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2" w:rsidRPr="006A10C4" w:rsidRDefault="00466742" w:rsidP="00466742">
      <w:pPr>
        <w:spacing w:after="240"/>
        <w:jc w:val="center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  <w:caps/>
        </w:rPr>
        <w:t>Australia’s intellectual Property arrangements</w:t>
      </w:r>
    </w:p>
    <w:p w:rsidR="00466742" w:rsidRPr="002A300B" w:rsidRDefault="00466742" w:rsidP="00466742">
      <w:pPr>
        <w:spacing w:after="240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trade marks</w:t>
      </w:r>
      <w:r w:rsidR="000B1185">
        <w:rPr>
          <w:rFonts w:ascii="Arial" w:hAnsi="Arial" w:cs="Arial"/>
          <w:caps/>
          <w:sz w:val="28"/>
          <w:szCs w:val="28"/>
        </w:rPr>
        <w:t>,</w:t>
      </w:r>
      <w:r w:rsidR="00CD34C6">
        <w:rPr>
          <w:rFonts w:ascii="Arial" w:hAnsi="Arial" w:cs="Arial"/>
          <w:caps/>
          <w:sz w:val="28"/>
          <w:szCs w:val="28"/>
        </w:rPr>
        <w:t xml:space="preserve"> </w:t>
      </w:r>
      <w:r w:rsidR="000B1185">
        <w:rPr>
          <w:rFonts w:ascii="Arial" w:hAnsi="Arial" w:cs="Arial"/>
          <w:caps/>
          <w:sz w:val="28"/>
          <w:szCs w:val="28"/>
        </w:rPr>
        <w:t xml:space="preserve">REGISTERED DESIGNS </w:t>
      </w:r>
      <w:r w:rsidR="00CD34C6">
        <w:rPr>
          <w:rFonts w:ascii="Arial" w:hAnsi="Arial" w:cs="Arial"/>
          <w:caps/>
          <w:sz w:val="28"/>
          <w:szCs w:val="28"/>
        </w:rPr>
        <w:t>and plant breeder’s rights</w:t>
      </w:r>
    </w:p>
    <w:p w:rsidR="00A309E8" w:rsidRDefault="00A309E8" w:rsidP="00A309E8">
      <w:pPr>
        <w:pStyle w:val="Heading3"/>
      </w:pPr>
      <w:r>
        <w:t>Trade Marks</w:t>
      </w:r>
    </w:p>
    <w:p w:rsidR="00A309E8" w:rsidRPr="0079008E" w:rsidRDefault="00A309E8" w:rsidP="00771E55">
      <w:pPr>
        <w:pStyle w:val="ListBullet"/>
        <w:numPr>
          <w:ilvl w:val="0"/>
          <w:numId w:val="0"/>
        </w:numPr>
      </w:pPr>
      <w:r w:rsidRPr="0079008E">
        <w:t xml:space="preserve">Trade marks </w:t>
      </w:r>
      <w:r w:rsidR="000B1185">
        <w:t>help consumers identify the</w:t>
      </w:r>
      <w:r w:rsidRPr="0079008E">
        <w:t xml:space="preserve"> goods and services </w:t>
      </w:r>
      <w:r w:rsidR="000B1185">
        <w:t>they prefer, and</w:t>
      </w:r>
      <w:r w:rsidRPr="0079008E">
        <w:t xml:space="preserve"> can encourage businesses </w:t>
      </w:r>
      <w:r w:rsidR="004C2195">
        <w:t xml:space="preserve">to build their brand and </w:t>
      </w:r>
      <w:r w:rsidRPr="0079008E">
        <w:t xml:space="preserve">reputation. </w:t>
      </w:r>
      <w:r w:rsidR="005B1044">
        <w:t>Trade marks now cover a</w:t>
      </w:r>
      <w:r w:rsidR="005B1044" w:rsidRPr="00865467">
        <w:t xml:space="preserve"> letter, number, word, ph</w:t>
      </w:r>
      <w:r w:rsidR="005B1044">
        <w:t>rase, sound, smell, shape, logo or</w:t>
      </w:r>
      <w:r w:rsidR="005B1044" w:rsidRPr="00865467">
        <w:t xml:space="preserve"> picture</w:t>
      </w:r>
      <w:r w:rsidR="005B1044">
        <w:t>.</w:t>
      </w:r>
      <w:r w:rsidR="005B1044" w:rsidRPr="0079008E">
        <w:t xml:space="preserve"> </w:t>
      </w:r>
    </w:p>
    <w:p w:rsidR="004C2195" w:rsidRDefault="004C2195" w:rsidP="004C2195">
      <w:pPr>
        <w:pStyle w:val="ListBullet"/>
        <w:numPr>
          <w:ilvl w:val="0"/>
          <w:numId w:val="0"/>
        </w:numPr>
      </w:pPr>
      <w:r>
        <w:t xml:space="preserve">Changes to Australia’s trade mark system </w:t>
      </w:r>
      <w:r w:rsidR="00A43A7C">
        <w:t xml:space="preserve">may </w:t>
      </w:r>
      <w:r>
        <w:t>have resulted in more</w:t>
      </w:r>
      <w:r w:rsidR="005B1044">
        <w:t xml:space="preserve"> </w:t>
      </w:r>
      <w:proofErr w:type="spellStart"/>
      <w:r w:rsidR="005B1044">
        <w:t>trade </w:t>
      </w:r>
      <w:r>
        <w:t>marks</w:t>
      </w:r>
      <w:proofErr w:type="spellEnd"/>
      <w:r>
        <w:t xml:space="preserve"> </w:t>
      </w:r>
      <w:r w:rsidR="005B1044">
        <w:t xml:space="preserve">of lower quality </w:t>
      </w:r>
      <w:r>
        <w:t xml:space="preserve">being </w:t>
      </w:r>
      <w:r w:rsidR="005B1044">
        <w:t>registered</w:t>
      </w:r>
      <w:r w:rsidR="008B1AFE">
        <w:t>. Where trade marks are cast too broadly, they can reduce the ability of new firms to differentiate themselves</w:t>
      </w:r>
      <w:r w:rsidR="003117FE">
        <w:t xml:space="preserve"> and constrain competition</w:t>
      </w:r>
      <w:r>
        <w:t xml:space="preserve">. </w:t>
      </w:r>
      <w:r w:rsidR="00D5028B">
        <w:t>T</w:t>
      </w:r>
      <w:r w:rsidRPr="00A309E8">
        <w:t xml:space="preserve">rade marks </w:t>
      </w:r>
      <w:r w:rsidR="00D5028B">
        <w:t xml:space="preserve">can </w:t>
      </w:r>
      <w:r w:rsidR="008B1AFE">
        <w:t xml:space="preserve">also </w:t>
      </w:r>
      <w:r w:rsidR="005B1044">
        <w:t>contribute to</w:t>
      </w:r>
      <w:r w:rsidRPr="00A309E8">
        <w:t xml:space="preserve"> consumer confusion</w:t>
      </w:r>
      <w:r w:rsidR="00D5028B">
        <w:t>,</w:t>
      </w:r>
      <w:r w:rsidRPr="00A309E8">
        <w:t xml:space="preserve"> </w:t>
      </w:r>
      <w:r w:rsidR="005B1044">
        <w:t xml:space="preserve">for example, when </w:t>
      </w:r>
      <w:r w:rsidR="008B1AFE">
        <w:t>they include</w:t>
      </w:r>
      <w:r w:rsidRPr="00A309E8">
        <w:t xml:space="preserve"> geographic </w:t>
      </w:r>
      <w:r w:rsidR="008B1AFE">
        <w:t>names</w:t>
      </w:r>
      <w:r w:rsidR="005B1044">
        <w:t xml:space="preserve"> unrelated to the product or service</w:t>
      </w:r>
      <w:r w:rsidR="008B1AFE">
        <w:t>.</w:t>
      </w:r>
    </w:p>
    <w:p w:rsidR="008B1AFE" w:rsidRDefault="00C02393" w:rsidP="00771E55">
      <w:pPr>
        <w:pStyle w:val="ListBullet"/>
        <w:numPr>
          <w:ilvl w:val="0"/>
          <w:numId w:val="0"/>
        </w:numPr>
      </w:pPr>
      <w:r>
        <w:t>Giving the</w:t>
      </w:r>
      <w:r w:rsidRPr="0079008E">
        <w:t xml:space="preserve"> </w:t>
      </w:r>
      <w:r>
        <w:t xml:space="preserve">Registrar of </w:t>
      </w:r>
      <w:r w:rsidRPr="0079008E">
        <w:t xml:space="preserve">Trade Marks </w:t>
      </w:r>
      <w:r>
        <w:t>greater powers, and increasing application fees, would help make sure trade marks are</w:t>
      </w:r>
      <w:r w:rsidR="003117FE">
        <w:t xml:space="preserve"> not</w:t>
      </w:r>
      <w:r>
        <w:t xml:space="preserve"> cast too widely</w:t>
      </w:r>
      <w:r w:rsidRPr="0079008E">
        <w:t>.</w:t>
      </w:r>
      <w:r>
        <w:t xml:space="preserve"> </w:t>
      </w:r>
      <w:r w:rsidR="008B1AFE">
        <w:t>Consumer</w:t>
      </w:r>
      <w:r w:rsidR="008B1AFE" w:rsidRPr="00A309E8">
        <w:t xml:space="preserve"> confusion can be </w:t>
      </w:r>
      <w:r w:rsidR="008B1AFE">
        <w:t>a</w:t>
      </w:r>
      <w:r w:rsidR="008B1AFE" w:rsidRPr="00A309E8">
        <w:t>d</w:t>
      </w:r>
      <w:r w:rsidR="008B1AFE">
        <w:t>d</w:t>
      </w:r>
      <w:r w:rsidR="008B1AFE" w:rsidRPr="00A309E8">
        <w:t xml:space="preserve">ressed by </w:t>
      </w:r>
      <w:r>
        <w:t>allowing</w:t>
      </w:r>
      <w:r w:rsidR="008B1AFE" w:rsidRPr="00A309E8">
        <w:t xml:space="preserve"> the </w:t>
      </w:r>
      <w:r>
        <w:t xml:space="preserve">Registrar of </w:t>
      </w:r>
      <w:r w:rsidRPr="0079008E">
        <w:t xml:space="preserve">Trade Marks </w:t>
      </w:r>
      <w:r w:rsidR="009F57E2">
        <w:t xml:space="preserve">more scope to seek further information on, and to reject, trade marks </w:t>
      </w:r>
      <w:r w:rsidR="00F605F1">
        <w:t>making</w:t>
      </w:r>
      <w:r w:rsidR="009F57E2">
        <w:t xml:space="preserve"> potentially confusing claims</w:t>
      </w:r>
      <w:r>
        <w:t>.</w:t>
      </w:r>
    </w:p>
    <w:p w:rsidR="00A309E8" w:rsidRDefault="00D5028B" w:rsidP="00771E55">
      <w:pPr>
        <w:pStyle w:val="ListBullet"/>
        <w:numPr>
          <w:ilvl w:val="0"/>
          <w:numId w:val="0"/>
        </w:numPr>
      </w:pPr>
      <w:r>
        <w:t>Some b</w:t>
      </w:r>
      <w:r w:rsidR="005B1044">
        <w:t>usinesses</w:t>
      </w:r>
      <w:r>
        <w:t>, particularly small</w:t>
      </w:r>
      <w:r>
        <w:noBreakHyphen/>
        <w:t xml:space="preserve"> and medium</w:t>
      </w:r>
      <w:r>
        <w:noBreakHyphen/>
        <w:t xml:space="preserve"> enterprises, also struggle</w:t>
      </w:r>
      <w:r w:rsidR="005B1044">
        <w:t xml:space="preserve"> </w:t>
      </w:r>
      <w:r>
        <w:t xml:space="preserve">with the </w:t>
      </w:r>
      <w:r w:rsidR="005B1044">
        <w:t>difference between trade marks and business names</w:t>
      </w:r>
      <w:r>
        <w:t xml:space="preserve">. </w:t>
      </w:r>
      <w:r w:rsidR="003117FE">
        <w:t>The Government should l</w:t>
      </w:r>
      <w:r w:rsidR="00A309E8" w:rsidRPr="00A309E8">
        <w:t xml:space="preserve">ink </w:t>
      </w:r>
      <w:r>
        <w:t>the</w:t>
      </w:r>
      <w:r w:rsidR="00A309E8" w:rsidRPr="00A309E8">
        <w:t xml:space="preserve"> trade mark database</w:t>
      </w:r>
      <w:r>
        <w:t xml:space="preserve"> and business names register </w:t>
      </w:r>
      <w:r w:rsidR="003117FE">
        <w:t>to</w:t>
      </w:r>
      <w:r w:rsidR="00A309E8" w:rsidRPr="00A309E8">
        <w:t xml:space="preserve"> </w:t>
      </w:r>
      <w:r>
        <w:t xml:space="preserve">help </w:t>
      </w:r>
      <w:r w:rsidR="00A309E8" w:rsidRPr="00A309E8">
        <w:t>reduce unintentional infringement of trade marks.</w:t>
      </w:r>
    </w:p>
    <w:p w:rsidR="008976D1" w:rsidRDefault="00C02393" w:rsidP="00F7545E">
      <w:pPr>
        <w:pStyle w:val="ListBullet"/>
        <w:numPr>
          <w:ilvl w:val="0"/>
          <w:numId w:val="0"/>
        </w:numPr>
      </w:pPr>
      <w:r>
        <w:t xml:space="preserve">Contrary to some </w:t>
      </w:r>
      <w:r w:rsidR="003117FE">
        <w:t>commentary</w:t>
      </w:r>
      <w:r>
        <w:t>, parallel imports are genuine products, not counterfeits. While the law is intended to allow p</w:t>
      </w:r>
      <w:r w:rsidR="00A309E8" w:rsidRPr="00A309E8">
        <w:t>arallel imports</w:t>
      </w:r>
      <w:r>
        <w:t xml:space="preserve">, it has become unclear and unworkable, harming </w:t>
      </w:r>
      <w:r w:rsidR="00A309E8" w:rsidRPr="00A309E8">
        <w:t xml:space="preserve">competition and Australian consumers. Amending the </w:t>
      </w:r>
      <w:r w:rsidR="00A309E8" w:rsidRPr="0079008E">
        <w:t xml:space="preserve">Trade Marks Act </w:t>
      </w:r>
      <w:r w:rsidR="00A309E8" w:rsidRPr="00A309E8">
        <w:t xml:space="preserve">to allow parallel imports </w:t>
      </w:r>
      <w:r w:rsidR="003117FE">
        <w:t xml:space="preserve">of marked goods </w:t>
      </w:r>
      <w:r w:rsidR="00A309E8" w:rsidRPr="00A309E8">
        <w:t xml:space="preserve">would </w:t>
      </w:r>
      <w:r>
        <w:t>address this problem</w:t>
      </w:r>
      <w:r w:rsidR="00A309E8" w:rsidRPr="00A309E8">
        <w:t>.</w:t>
      </w:r>
    </w:p>
    <w:p w:rsidR="000B1185" w:rsidRDefault="000B1185" w:rsidP="000B1185">
      <w:pPr>
        <w:pStyle w:val="Heading3"/>
        <w:spacing w:before="480"/>
      </w:pPr>
      <w:r>
        <w:t>Registered Designs</w:t>
      </w:r>
    </w:p>
    <w:p w:rsidR="000B1185" w:rsidRDefault="000B1185" w:rsidP="000B1185">
      <w:pPr>
        <w:pStyle w:val="ListBullet"/>
        <w:numPr>
          <w:ilvl w:val="0"/>
          <w:numId w:val="0"/>
        </w:numPr>
      </w:pPr>
      <w:r w:rsidRPr="003371D0">
        <w:t xml:space="preserve">Registered design rights protect </w:t>
      </w:r>
      <w:r>
        <w:t xml:space="preserve">the </w:t>
      </w:r>
      <w:r w:rsidR="009F57E2">
        <w:t>appearance</w:t>
      </w:r>
      <w:r>
        <w:t xml:space="preserve"> of </w:t>
      </w:r>
      <w:r w:rsidR="00954D01" w:rsidRPr="00DB6E36">
        <w:t xml:space="preserve">products </w:t>
      </w:r>
      <w:r w:rsidR="00954D01">
        <w:t>with</w:t>
      </w:r>
      <w:r w:rsidR="00954D01" w:rsidRPr="00DB6E36">
        <w:t xml:space="preserve"> an industrial or commercial use</w:t>
      </w:r>
      <w:r>
        <w:t>.</w:t>
      </w:r>
      <w:r w:rsidRPr="003371D0">
        <w:t xml:space="preserve"> </w:t>
      </w:r>
    </w:p>
    <w:p w:rsidR="00954D01" w:rsidRDefault="00940BA7" w:rsidP="00954D01">
      <w:pPr>
        <w:pStyle w:val="ListBullet"/>
        <w:numPr>
          <w:ilvl w:val="0"/>
          <w:numId w:val="0"/>
        </w:numPr>
      </w:pPr>
      <w:r>
        <w:t xml:space="preserve">Some have argued Australia should join </w:t>
      </w:r>
      <w:r w:rsidR="00DB6522">
        <w:t xml:space="preserve">an </w:t>
      </w:r>
      <w:r>
        <w:t>international</w:t>
      </w:r>
      <w:r w:rsidR="00954D01">
        <w:t xml:space="preserve"> </w:t>
      </w:r>
      <w:r w:rsidR="00DB6522">
        <w:t>agreement</w:t>
      </w:r>
      <w:r>
        <w:t xml:space="preserve"> </w:t>
      </w:r>
      <w:r w:rsidR="003117FE">
        <w:t xml:space="preserve">(the Hague Agreement) </w:t>
      </w:r>
      <w:r>
        <w:t xml:space="preserve">covering registered designs, which </w:t>
      </w:r>
      <w:r w:rsidR="00954D01">
        <w:t xml:space="preserve">would allow designers to </w:t>
      </w:r>
      <w:r>
        <w:t xml:space="preserve">apply for </w:t>
      </w:r>
      <w:r w:rsidR="00954D01">
        <w:t>protection in a number of countries through a single international application</w:t>
      </w:r>
      <w:r>
        <w:t>.</w:t>
      </w:r>
      <w:r w:rsidR="00954D01">
        <w:t xml:space="preserve"> </w:t>
      </w:r>
      <w:r>
        <w:t>B</w:t>
      </w:r>
      <w:r w:rsidR="00954D01">
        <w:t xml:space="preserve">ut </w:t>
      </w:r>
      <w:r>
        <w:t xml:space="preserve">joining </w:t>
      </w:r>
      <w:r w:rsidR="00954D01">
        <w:t xml:space="preserve">would </w:t>
      </w:r>
      <w:r>
        <w:t xml:space="preserve">also require Australia to </w:t>
      </w:r>
      <w:r w:rsidR="00954D01">
        <w:t>extend the term of protection for registered designs from 10 to 15 years.</w:t>
      </w:r>
    </w:p>
    <w:p w:rsidR="00954D01" w:rsidRPr="00DB6E36" w:rsidRDefault="003117FE" w:rsidP="00954D01">
      <w:pPr>
        <w:pStyle w:val="ListBullet"/>
        <w:numPr>
          <w:ilvl w:val="0"/>
          <w:numId w:val="0"/>
        </w:numPr>
      </w:pPr>
      <w:r>
        <w:t>T</w:t>
      </w:r>
      <w:r w:rsidR="00954D01">
        <w:t xml:space="preserve">he Australian Government should </w:t>
      </w:r>
      <w:r w:rsidR="003C2428">
        <w:t xml:space="preserve">carefully </w:t>
      </w:r>
      <w:r w:rsidR="00954D01">
        <w:t xml:space="preserve">assess the costs and benefits </w:t>
      </w:r>
      <w:r w:rsidR="00C15A60">
        <w:t>before making such commitments</w:t>
      </w:r>
      <w:r w:rsidR="00954D01">
        <w:t>. This would help ensure the interests of Australian consumers are adequately considered, and tha</w:t>
      </w:r>
      <w:r w:rsidR="003C2428">
        <w:t>t the gains from harmonisation</w:t>
      </w:r>
      <w:r w:rsidR="00954D01">
        <w:t xml:space="preserve"> outweigh the costs of extending term.</w:t>
      </w:r>
    </w:p>
    <w:p w:rsidR="0079008E" w:rsidRDefault="0079008E" w:rsidP="0079008E">
      <w:pPr>
        <w:pStyle w:val="Heading3"/>
      </w:pPr>
      <w:r>
        <w:lastRenderedPageBreak/>
        <w:t>Plant Breeder’s Rights</w:t>
      </w:r>
    </w:p>
    <w:p w:rsidR="00CD34C6" w:rsidRDefault="009F57E2" w:rsidP="00771E55">
      <w:pPr>
        <w:pStyle w:val="ListBullet"/>
        <w:numPr>
          <w:ilvl w:val="0"/>
          <w:numId w:val="0"/>
        </w:numPr>
      </w:pPr>
      <w:r>
        <w:t>Plant breeder’s rights</w:t>
      </w:r>
      <w:r w:rsidR="00CD34C6">
        <w:t xml:space="preserve"> </w:t>
      </w:r>
      <w:r w:rsidR="00CD34C6" w:rsidRPr="00C77A7E">
        <w:t xml:space="preserve">provide </w:t>
      </w:r>
      <w:r w:rsidR="00CD34C6">
        <w:t xml:space="preserve">rights holders with </w:t>
      </w:r>
      <w:r w:rsidR="00CD34C6" w:rsidRPr="00C77A7E">
        <w:t xml:space="preserve">exclusive </w:t>
      </w:r>
      <w:r w:rsidR="00CD34C6">
        <w:t xml:space="preserve">control over the sale and propagation of registered plant varieties — 25 years in the case of trees or vines, and 20 years for all other plants. </w:t>
      </w:r>
    </w:p>
    <w:p w:rsidR="00802BD7" w:rsidRPr="00343BFF" w:rsidRDefault="00CD34C6" w:rsidP="00771E55">
      <w:pPr>
        <w:pStyle w:val="ListBullet"/>
        <w:numPr>
          <w:ilvl w:val="0"/>
          <w:numId w:val="0"/>
        </w:numPr>
      </w:pPr>
      <w:r w:rsidRPr="00343BFF">
        <w:t xml:space="preserve">Plant Breeder’s Rights </w:t>
      </w:r>
      <w:r>
        <w:t xml:space="preserve">have been successful in encouraging greater private sector plant breeding activity. </w:t>
      </w:r>
      <w:r w:rsidR="00802BD7" w:rsidRPr="00343BFF">
        <w:t xml:space="preserve">However, plant breeders and other stakeholders have expressed concern that the scope of protection provided by </w:t>
      </w:r>
      <w:r w:rsidRPr="00343BFF">
        <w:t>Plant Breeder’s Rights</w:t>
      </w:r>
      <w:r w:rsidR="00802BD7" w:rsidRPr="00343BFF">
        <w:t xml:space="preserve"> is being undermined by technology changes, opening the door </w:t>
      </w:r>
      <w:r>
        <w:t>on</w:t>
      </w:r>
      <w:r w:rsidR="00802BD7" w:rsidRPr="00343BFF">
        <w:t xml:space="preserve"> unauthorised copying.</w:t>
      </w:r>
    </w:p>
    <w:p w:rsidR="002F0BFE" w:rsidRDefault="002F0BFE" w:rsidP="00771E55">
      <w:pPr>
        <w:pStyle w:val="ListBullet"/>
        <w:numPr>
          <w:ilvl w:val="0"/>
          <w:numId w:val="0"/>
        </w:numPr>
      </w:pPr>
      <w:r>
        <w:t xml:space="preserve">Amending the Plant Breeder’s Rights Act to close a loophole, would avoid situations where breeders can copy and sell protected varieties, so long as they do not attempt to register the copied varieties with IP Australia. </w:t>
      </w:r>
    </w:p>
    <w:p w:rsidR="00802BD7" w:rsidRDefault="00802BD7" w:rsidP="00771E55">
      <w:pPr>
        <w:pStyle w:val="ListBullet"/>
        <w:numPr>
          <w:ilvl w:val="0"/>
          <w:numId w:val="0"/>
        </w:numPr>
      </w:pPr>
      <w:r w:rsidRPr="00343BFF">
        <w:t>The use of a market</w:t>
      </w:r>
      <w:r w:rsidRPr="00343BFF">
        <w:noBreakHyphen/>
        <w:t xml:space="preserve">impact test </w:t>
      </w:r>
      <w:r w:rsidR="002F0BFE">
        <w:t>would help to better</w:t>
      </w:r>
      <w:r w:rsidRPr="00343BFF">
        <w:t xml:space="preserve"> differ</w:t>
      </w:r>
      <w:r w:rsidR="002F0BFE">
        <w:t>entiate new from existing</w:t>
      </w:r>
      <w:r w:rsidRPr="00343BFF">
        <w:t xml:space="preserve"> plant varieties </w:t>
      </w:r>
      <w:r w:rsidR="002F0BFE">
        <w:t xml:space="preserve">and so </w:t>
      </w:r>
      <w:r w:rsidRPr="00343BFF">
        <w:t>reduce the risk of fraudulent or copycat breeding and ensure that initial and follow</w:t>
      </w:r>
      <w:r w:rsidRPr="00343BFF">
        <w:noBreakHyphen/>
        <w:t xml:space="preserve">on breeders share appropriately in the value each has contributed. </w:t>
      </w:r>
    </w:p>
    <w:p w:rsidR="002F0BFE" w:rsidRPr="00343BFF" w:rsidRDefault="002F0BFE" w:rsidP="00771E55">
      <w:pPr>
        <w:pStyle w:val="ListBullet"/>
        <w:numPr>
          <w:ilvl w:val="0"/>
          <w:numId w:val="0"/>
        </w:numPr>
      </w:pPr>
      <w:r w:rsidRPr="002F0BFE">
        <w:t xml:space="preserve">Misrepresentation of varieties </w:t>
      </w:r>
      <w:r>
        <w:t>and</w:t>
      </w:r>
      <w:r w:rsidRPr="002F0BFE">
        <w:t xml:space="preserve"> refusal to pay royalties remains a concern</w:t>
      </w:r>
      <w:r>
        <w:t xml:space="preserve"> in some areas</w:t>
      </w:r>
      <w:r w:rsidRPr="002F0BFE">
        <w:t xml:space="preserve">. Improving compliance with royalty and licensing agreements is best achieved through closer cooperation and consultation, with industry groups best placed to lead these efforts. </w:t>
      </w:r>
    </w:p>
    <w:p w:rsidR="00F7545E" w:rsidRDefault="00F7545E" w:rsidP="00F7545E">
      <w:pPr>
        <w:pStyle w:val="BoxSpaceAboveElement"/>
      </w:pPr>
      <w:r>
        <w:t>Do not delete this RETURN as it gives space between the table and what precedes it.</w:t>
      </w:r>
    </w:p>
    <w:tbl>
      <w:tblPr>
        <w:tblpPr w:leftFromText="180" w:rightFromText="180" w:vertAnchor="text" w:tblpY="1"/>
        <w:tblOverlap w:val="never"/>
        <w:tblW w:w="0" w:type="auto"/>
        <w:tblInd w:w="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1"/>
      </w:tblGrid>
      <w:tr w:rsidR="00F7545E" w:rsidTr="00E92F49">
        <w:tc>
          <w:tcPr>
            <w:tcW w:w="8771" w:type="dxa"/>
            <w:tcBorders>
              <w:top w:val="single" w:sz="8" w:space="0" w:color="78A22F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:rsidR="00F7545E" w:rsidRDefault="00F7545E" w:rsidP="00E92F49">
            <w:pPr>
              <w:pStyle w:val="TableTitle"/>
              <w:rPr>
                <w:lang w:eastAsia="en-US"/>
              </w:rPr>
            </w:pPr>
            <w:r>
              <w:rPr>
                <w:lang w:eastAsia="en-US"/>
              </w:rPr>
              <w:t>Want to know more about what the Commission said about these IP rights?</w:t>
            </w:r>
          </w:p>
        </w:tc>
      </w:tr>
      <w:tr w:rsidR="00F7545E" w:rsidTr="00E92F49">
        <w:trPr>
          <w:cantSplit/>
          <w:trHeight w:val="1603"/>
        </w:trPr>
        <w:tc>
          <w:tcPr>
            <w:tcW w:w="8771" w:type="dxa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  <w:gridCol w:w="3407"/>
            </w:tblGrid>
            <w:tr w:rsidR="00F7545E" w:rsidTr="00F7228D">
              <w:tc>
                <w:tcPr>
                  <w:tcW w:w="2993" w:type="pct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ColumnHeading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Issue</w:t>
                  </w:r>
                </w:p>
              </w:tc>
              <w:tc>
                <w:tcPr>
                  <w:tcW w:w="2007" w:type="pct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ColumnHeading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For more details and the Commission’s draft recommendation</w:t>
                  </w: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F7545E" w:rsidRPr="00F7545E" w:rsidRDefault="00F7545E" w:rsidP="00E92F49">
                  <w:pPr>
                    <w:pStyle w:val="TableUnitsRow"/>
                    <w:framePr w:hSpace="180" w:wrap="around" w:vAnchor="text" w:hAnchor="text" w:y="1"/>
                    <w:suppressOverlap/>
                    <w:jc w:val="left"/>
                    <w:rPr>
                      <w:b/>
                      <w:i/>
                      <w:lang w:eastAsia="en-US"/>
                    </w:rPr>
                  </w:pPr>
                  <w:r w:rsidRPr="00F7545E">
                    <w:rPr>
                      <w:b/>
                      <w:i/>
                      <w:lang w:eastAsia="en-US"/>
                    </w:rPr>
                    <w:t>Designs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F7545E" w:rsidRDefault="00F7545E" w:rsidP="00E92F49">
                  <w:pPr>
                    <w:pStyle w:val="TableUnitsRow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UnitsRow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The Hague Agreement 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7C0C36" w:rsidP="00E92F49">
                  <w:pPr>
                    <w:pStyle w:val="TableUnitsRow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Pages 311</w:t>
                  </w:r>
                  <w:r w:rsidR="00F7545E">
                    <w:rPr>
                      <w:lang w:eastAsia="en-US"/>
                    </w:rPr>
                    <w:noBreakHyphen/>
                  </w:r>
                  <w:r>
                    <w:rPr>
                      <w:lang w:eastAsia="en-US"/>
                    </w:rPr>
                    <w:t>315</w:t>
                  </w:r>
                  <w:r w:rsidR="00F7545E">
                    <w:rPr>
                      <w:lang w:eastAsia="en-US"/>
                    </w:rPr>
                    <w:t>, recommendation 10.1</w:t>
                  </w:r>
                </w:p>
              </w:tc>
            </w:tr>
            <w:tr w:rsidR="00F7545E" w:rsidRP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F7545E" w:rsidRPr="00F7545E" w:rsidRDefault="00F7545E" w:rsidP="00E92F49">
                  <w:pPr>
                    <w:pStyle w:val="TableBodyText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Alternatives to registered design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F7545E" w:rsidRDefault="007C0C36" w:rsidP="00E92F49">
                  <w:pPr>
                    <w:pStyle w:val="TableBodyText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Pages 307</w:t>
                  </w:r>
                  <w:r>
                    <w:rPr>
                      <w:lang w:eastAsia="en-US"/>
                    </w:rPr>
                    <w:noBreakHyphen/>
                    <w:t>310</w:t>
                  </w:r>
                  <w:r w:rsidR="00F7545E">
                    <w:rPr>
                      <w:lang w:eastAsia="en-US"/>
                    </w:rPr>
                    <w:t>, finding 10.1</w:t>
                  </w: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F7545E" w:rsidRPr="00F7545E" w:rsidRDefault="00F7545E" w:rsidP="00E92F49">
                  <w:pPr>
                    <w:pStyle w:val="TableUnitsRow"/>
                    <w:framePr w:hSpace="180" w:wrap="around" w:vAnchor="text" w:hAnchor="text" w:y="1"/>
                    <w:suppressOverlap/>
                    <w:jc w:val="left"/>
                    <w:rPr>
                      <w:b/>
                      <w:i/>
                      <w:lang w:eastAsia="en-US"/>
                    </w:rPr>
                  </w:pPr>
                  <w:r w:rsidRPr="00F7545E">
                    <w:rPr>
                      <w:b/>
                      <w:i/>
                      <w:lang w:eastAsia="en-US"/>
                    </w:rPr>
                    <w:t>Trade</w:t>
                  </w:r>
                  <w:r>
                    <w:rPr>
                      <w:b/>
                      <w:i/>
                      <w:lang w:eastAsia="en-US"/>
                    </w:rPr>
                    <w:t> </w:t>
                  </w:r>
                  <w:r w:rsidRPr="00F7545E">
                    <w:rPr>
                      <w:b/>
                      <w:i/>
                      <w:lang w:eastAsia="en-US"/>
                    </w:rPr>
                    <w:t>marks</w:t>
                  </w:r>
                  <w:r>
                    <w:rPr>
                      <w:b/>
                      <w:i/>
                      <w:lang w:eastAsia="en-US"/>
                    </w:rPr>
                    <w:t xml:space="preserve"> and geographical indications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F7545E" w:rsidRDefault="00F7545E" w:rsidP="00E92F49">
                  <w:pPr>
                    <w:pStyle w:val="TableUnitsRow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UnitsRow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Reducing the scope for ‘cluttering’ of trade marks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7633BA" w:rsidP="00E92F49">
                  <w:pPr>
                    <w:pStyle w:val="TableUnitsRow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Pages 335</w:t>
                  </w:r>
                  <w:r w:rsidR="00F7545E">
                    <w:rPr>
                      <w:lang w:eastAsia="en-US"/>
                    </w:rPr>
                    <w:noBreakHyphen/>
                  </w:r>
                  <w:r>
                    <w:rPr>
                      <w:lang w:eastAsia="en-US"/>
                    </w:rPr>
                    <w:t>337</w:t>
                  </w:r>
                  <w:r w:rsidR="00F7545E">
                    <w:rPr>
                      <w:lang w:eastAsia="en-US"/>
                    </w:rPr>
                    <w:t>, recommendation 11.1</w:t>
                  </w: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BodyText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Reducing confusion among users of trade marks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7633BA" w:rsidP="00E92F49">
                  <w:pPr>
                    <w:pStyle w:val="TableBodyText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Pages 339</w:t>
                  </w:r>
                  <w:r w:rsidR="00F7545E">
                    <w:rPr>
                      <w:lang w:eastAsia="en-US"/>
                    </w:rPr>
                    <w:noBreakHyphen/>
                  </w:r>
                  <w:r>
                    <w:rPr>
                      <w:lang w:eastAsia="en-US"/>
                    </w:rPr>
                    <w:t>341</w:t>
                  </w:r>
                  <w:r w:rsidR="00F7545E">
                    <w:rPr>
                      <w:lang w:eastAsia="en-US"/>
                    </w:rPr>
                    <w:t>, recommendation 11.1</w:t>
                  </w: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BodyText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Improving efficiency by reforming parallel imports of trade marked goods and services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7633BA" w:rsidP="00E92F49">
                  <w:pPr>
                    <w:pStyle w:val="TableBodyText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Pages 344</w:t>
                  </w:r>
                  <w:r w:rsidR="00F7545E">
                    <w:rPr>
                      <w:lang w:eastAsia="en-US"/>
                    </w:rPr>
                    <w:noBreakHyphen/>
                  </w:r>
                  <w:r>
                    <w:rPr>
                      <w:lang w:eastAsia="en-US"/>
                    </w:rPr>
                    <w:t>347</w:t>
                  </w:r>
                  <w:r w:rsidR="00F7545E">
                    <w:rPr>
                      <w:lang w:eastAsia="en-US"/>
                    </w:rPr>
                    <w:t>, recommendation 11.2</w:t>
                  </w: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BodyText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Challenges for trade marks in the digital age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7633BA" w:rsidP="00E92F49">
                  <w:pPr>
                    <w:pStyle w:val="TableBodyText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Pages 347</w:t>
                  </w:r>
                  <w:r w:rsidR="00F7545E">
                    <w:rPr>
                      <w:lang w:eastAsia="en-US"/>
                    </w:rPr>
                    <w:noBreakHyphen/>
                  </w:r>
                  <w:r>
                    <w:rPr>
                      <w:lang w:eastAsia="en-US"/>
                    </w:rPr>
                    <w:t>349</w:t>
                  </w:r>
                  <w:r w:rsidR="00F7545E">
                    <w:rPr>
                      <w:lang w:eastAsia="en-US"/>
                    </w:rPr>
                    <w:t>, information request 11.1</w:t>
                  </w:r>
                </w:p>
              </w:tc>
            </w:tr>
            <w:tr w:rsidR="00F7545E" w:rsidTr="00F7228D">
              <w:tc>
                <w:tcPr>
                  <w:tcW w:w="2993" w:type="pct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BodyText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Geographical indications in wine and future trade agreements </w:t>
                  </w:r>
                </w:p>
              </w:tc>
              <w:tc>
                <w:tcPr>
                  <w:tcW w:w="2007" w:type="pct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BodyText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Pages </w:t>
                  </w:r>
                  <w:r w:rsidR="007633BA">
                    <w:rPr>
                      <w:lang w:eastAsia="en-US"/>
                    </w:rPr>
                    <w:t>349</w:t>
                  </w:r>
                  <w:r>
                    <w:rPr>
                      <w:lang w:eastAsia="en-US"/>
                    </w:rPr>
                    <w:noBreakHyphen/>
                  </w:r>
                  <w:r w:rsidR="007633BA">
                    <w:rPr>
                      <w:lang w:eastAsia="en-US"/>
                    </w:rPr>
                    <w:t>352</w:t>
                  </w:r>
                  <w:r>
                    <w:rPr>
                      <w:lang w:eastAsia="en-US"/>
                    </w:rPr>
                    <w:t>, information request 11.2</w:t>
                  </w: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F7545E" w:rsidRPr="00F7545E" w:rsidRDefault="00F7545E" w:rsidP="00E92F49">
                  <w:pPr>
                    <w:pStyle w:val="TableUnitsRow"/>
                    <w:framePr w:hSpace="180" w:wrap="around" w:vAnchor="text" w:hAnchor="text" w:y="1"/>
                    <w:suppressOverlap/>
                    <w:jc w:val="left"/>
                    <w:rPr>
                      <w:b/>
                      <w:i/>
                      <w:lang w:eastAsia="en-US"/>
                    </w:rPr>
                  </w:pPr>
                  <w:r w:rsidRPr="00F7545E">
                    <w:rPr>
                      <w:b/>
                      <w:i/>
                      <w:lang w:eastAsia="en-US"/>
                    </w:rPr>
                    <w:t>Plant Breeder’s Rights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</w:tcPr>
                <w:p w:rsidR="00F7545E" w:rsidRDefault="00F7545E" w:rsidP="00E92F49">
                  <w:pPr>
                    <w:pStyle w:val="TableUnitsRow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UnitsRow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Amending the PBR Act 1994 to constrain unauthorised copying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UnitsRow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Pages </w:t>
                  </w:r>
                  <w:r w:rsidR="00F7228D">
                    <w:rPr>
                      <w:lang w:eastAsia="en-US"/>
                    </w:rPr>
                    <w:t>366</w:t>
                  </w:r>
                  <w:r>
                    <w:rPr>
                      <w:lang w:eastAsia="en-US"/>
                    </w:rPr>
                    <w:t>-</w:t>
                  </w:r>
                  <w:r w:rsidR="00F7228D">
                    <w:rPr>
                      <w:lang w:eastAsia="en-US"/>
                    </w:rPr>
                    <w:t>367</w:t>
                  </w:r>
                  <w:r>
                    <w:rPr>
                      <w:lang w:eastAsia="en-US"/>
                    </w:rPr>
                    <w:t>, recommendation 12.1</w:t>
                  </w: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228D" w:rsidP="00E92F49">
                  <w:pPr>
                    <w:pStyle w:val="TableBodyText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An ‘impacts tes</w:t>
                  </w:r>
                  <w:r w:rsidR="00F7545E">
                    <w:rPr>
                      <w:lang w:eastAsia="en-US"/>
                    </w:rPr>
                    <w:t>t’ to determine EDV status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228D" w:rsidP="00E92F49">
                  <w:pPr>
                    <w:pStyle w:val="TableBodyText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Pages 367</w:t>
                  </w:r>
                  <w:r w:rsidR="00F7545E">
                    <w:rPr>
                      <w:lang w:eastAsia="en-US"/>
                    </w:rPr>
                    <w:noBreakHyphen/>
                  </w:r>
                  <w:r>
                    <w:rPr>
                      <w:lang w:eastAsia="en-US"/>
                    </w:rPr>
                    <w:t>368</w:t>
                  </w:r>
                  <w:r w:rsidR="00F7545E">
                    <w:rPr>
                      <w:lang w:eastAsia="en-US"/>
                    </w:rPr>
                    <w:t>, information request 12.1</w:t>
                  </w:r>
                </w:p>
              </w:tc>
            </w:tr>
            <w:tr w:rsidR="00F7545E" w:rsidTr="00F7228D">
              <w:tc>
                <w:tcPr>
                  <w:tcW w:w="2993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545E" w:rsidP="00E92F49">
                  <w:pPr>
                    <w:pStyle w:val="TableBodyText"/>
                    <w:framePr w:hSpace="180" w:wrap="around" w:vAnchor="text" w:hAnchor="text" w:y="1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Improving efficiency by end point royalty systems</w:t>
                  </w:r>
                </w:p>
              </w:tc>
              <w:tc>
                <w:tcPr>
                  <w:tcW w:w="2007" w:type="pct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545E" w:rsidRDefault="00F7228D" w:rsidP="00E92F49">
                  <w:pPr>
                    <w:pStyle w:val="TableBodyText"/>
                    <w:framePr w:hSpace="180" w:wrap="around" w:vAnchor="text" w:hAnchor="text" w:y="1"/>
                    <w:ind w:right="28"/>
                    <w:suppressOverlap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Pages 369</w:t>
                  </w:r>
                  <w:r>
                    <w:rPr>
                      <w:lang w:eastAsia="en-US"/>
                    </w:rPr>
                    <w:noBreakHyphen/>
                    <w:t>373</w:t>
                  </w:r>
                </w:p>
              </w:tc>
            </w:tr>
          </w:tbl>
          <w:p w:rsidR="00F7545E" w:rsidRDefault="00F7545E" w:rsidP="00E92F49">
            <w:pPr>
              <w:rPr>
                <w:rFonts w:ascii="Times New Roman" w:eastAsia="Times New Roman" w:hAnsi="Times New Roman"/>
                <w:sz w:val="20"/>
                <w:szCs w:val="20"/>
                <w:lang w:eastAsia="en-AU"/>
              </w:rPr>
            </w:pPr>
          </w:p>
        </w:tc>
      </w:tr>
      <w:tr w:rsidR="00F7545E" w:rsidTr="00E92F49">
        <w:trPr>
          <w:cantSplit/>
        </w:trPr>
        <w:tc>
          <w:tcPr>
            <w:tcW w:w="8771" w:type="dxa"/>
            <w:tcBorders>
              <w:top w:val="nil"/>
              <w:left w:val="nil"/>
              <w:bottom w:val="single" w:sz="8" w:space="0" w:color="78A22F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:rsidR="00F7545E" w:rsidRDefault="00F7545E" w:rsidP="00E92F49">
            <w:pPr>
              <w:pStyle w:val="Box"/>
              <w:spacing w:before="0" w:line="120" w:lineRule="exact"/>
              <w:rPr>
                <w:lang w:eastAsia="en-US"/>
              </w:rPr>
            </w:pPr>
          </w:p>
        </w:tc>
      </w:tr>
      <w:tr w:rsidR="00F7545E" w:rsidTr="00E92F49">
        <w:tc>
          <w:tcPr>
            <w:tcW w:w="8771" w:type="dxa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:rsidR="00F7545E" w:rsidRDefault="00F7545E" w:rsidP="00E92F49">
            <w:pPr>
              <w:pStyle w:val="BoxSpaceBelow"/>
              <w:rPr>
                <w:lang w:eastAsia="en-US"/>
              </w:rPr>
            </w:pPr>
          </w:p>
        </w:tc>
      </w:tr>
    </w:tbl>
    <w:p w:rsidR="003971E7" w:rsidRDefault="00E92F49" w:rsidP="00802BD7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W w:w="0" w:type="auto"/>
        <w:tblInd w:w="164" w:type="dxa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617"/>
      </w:tblGrid>
      <w:tr w:rsidR="003971E7" w:rsidTr="00F07DE5">
        <w:tc>
          <w:tcPr>
            <w:tcW w:w="9617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F2F2F2"/>
          </w:tcPr>
          <w:p w:rsidR="003971E7" w:rsidRDefault="003971E7" w:rsidP="00F07DE5">
            <w:pPr>
              <w:pStyle w:val="BoxTitle"/>
            </w:pPr>
            <w:r>
              <w:lastRenderedPageBreak/>
              <w:t>Having your say</w:t>
            </w:r>
          </w:p>
        </w:tc>
      </w:tr>
      <w:tr w:rsidR="003971E7" w:rsidTr="00F07DE5">
        <w:trPr>
          <w:cantSplit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3971E7" w:rsidRPr="00D66699" w:rsidRDefault="003971E7" w:rsidP="00F07DE5">
            <w:pPr>
              <w:pStyle w:val="Box"/>
            </w:pPr>
            <w:r w:rsidRPr="00D66699">
              <w:t xml:space="preserve">The </w:t>
            </w:r>
            <w:r w:rsidRPr="00AA4229">
              <w:t xml:space="preserve">Productivity </w:t>
            </w:r>
            <w:r w:rsidRPr="00D66699">
              <w:t xml:space="preserve">Commission is keen to hear your feedback on this draft report. You are welcome to make a written submission to the Commission, preferably in electronic format, by </w:t>
            </w:r>
            <w:r w:rsidRPr="003C17C7">
              <w:rPr>
                <w:b/>
              </w:rPr>
              <w:t>3 June 2016</w:t>
            </w:r>
            <w:r w:rsidRPr="00D66699">
              <w:t xml:space="preserve">. </w:t>
            </w:r>
            <w:r>
              <w:t>More</w:t>
            </w:r>
            <w:r w:rsidRPr="00D66699">
              <w:t xml:space="preserve"> </w:t>
            </w:r>
            <w:r>
              <w:t>information on making a</w:t>
            </w:r>
            <w:r w:rsidRPr="00D66699">
              <w:t xml:space="preserve"> submission </w:t>
            </w:r>
            <w:r>
              <w:t>can be found</w:t>
            </w:r>
            <w:r w:rsidRPr="00D66699">
              <w:t xml:space="preserve"> on the inquiry website </w:t>
            </w:r>
            <w:r>
              <w:t xml:space="preserve">at </w:t>
            </w:r>
            <w:hyperlink r:id="rId9" w:history="1">
              <w:r w:rsidRPr="00D66699">
                <w:rPr>
                  <w:rStyle w:val="Hyperlink"/>
                </w:rPr>
                <w:t>http://www.pc.gov.au/inquiries/current/intellectual-property/make-submission</w:t>
              </w:r>
            </w:hyperlink>
          </w:p>
          <w:p w:rsidR="003971E7" w:rsidRPr="003C17C7" w:rsidRDefault="003971E7" w:rsidP="00F07DE5">
            <w:pPr>
              <w:pStyle w:val="Box"/>
            </w:pPr>
            <w:r w:rsidRPr="003C17C7">
              <w:t xml:space="preserve">Public hearings will be held in mid June 2016 — likely locations are Canberra, Melbourne and Sydney (to be determined by participant demand). Information on hearing dates and venues will be available on the inquiry website </w:t>
            </w:r>
            <w:hyperlink r:id="rId10" w:anchor="draft" w:history="1">
              <w:r w:rsidRPr="003C17C7">
                <w:rPr>
                  <w:rStyle w:val="Hyperlink"/>
                </w:rPr>
                <w:t>http://www.pc.gov.au/inquiries/current/intellectual-property#draft</w:t>
              </w:r>
            </w:hyperlink>
            <w:r w:rsidRPr="003C17C7">
              <w:t>.</w:t>
            </w:r>
          </w:p>
          <w:p w:rsidR="003971E7" w:rsidRPr="003C17C7" w:rsidRDefault="003971E7" w:rsidP="00F07DE5">
            <w:pPr>
              <w:pStyle w:val="Box"/>
            </w:pPr>
            <w:r w:rsidRPr="003C17C7">
              <w:t>The final report will be provided to the Australian Government on 18 August 2016.</w:t>
            </w:r>
          </w:p>
        </w:tc>
      </w:tr>
      <w:tr w:rsidR="003971E7" w:rsidTr="00F07DE5">
        <w:trPr>
          <w:cantSplit/>
        </w:trPr>
        <w:tc>
          <w:tcPr>
            <w:tcW w:w="9617" w:type="dxa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F2F2F2"/>
          </w:tcPr>
          <w:p w:rsidR="003971E7" w:rsidRDefault="003971E7" w:rsidP="00F07DE5">
            <w:pPr>
              <w:pStyle w:val="Box"/>
              <w:spacing w:before="0" w:line="120" w:lineRule="exact"/>
            </w:pPr>
          </w:p>
        </w:tc>
      </w:tr>
      <w:tr w:rsidR="003971E7" w:rsidRPr="000863A5" w:rsidTr="00F07DE5">
        <w:tc>
          <w:tcPr>
            <w:tcW w:w="9617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3971E7" w:rsidRPr="00626D32" w:rsidRDefault="003971E7" w:rsidP="00F07DE5">
            <w:pPr>
              <w:pStyle w:val="BoxSpaceBelow"/>
            </w:pPr>
          </w:p>
        </w:tc>
      </w:tr>
    </w:tbl>
    <w:p w:rsidR="003971E7" w:rsidRDefault="003971E7" w:rsidP="00802BD7">
      <w:pPr>
        <w:spacing w:after="240"/>
        <w:jc w:val="center"/>
        <w:rPr>
          <w:rFonts w:ascii="Arial" w:hAnsi="Arial" w:cs="Arial"/>
        </w:rPr>
      </w:pPr>
    </w:p>
    <w:p w:rsidR="00BF738A" w:rsidRPr="00BF738A" w:rsidRDefault="00C01870" w:rsidP="00802BD7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[END]</w:t>
      </w:r>
    </w:p>
    <w:sectPr w:rsidR="00BF738A" w:rsidRPr="00BF738A" w:rsidSect="006A10C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3" w:right="1134" w:bottom="1701" w:left="1134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42" w:rsidRDefault="00E74C42" w:rsidP="00BF738A">
      <w:pPr>
        <w:spacing w:after="0" w:line="240" w:lineRule="auto"/>
      </w:pPr>
      <w:r>
        <w:separator/>
      </w:r>
    </w:p>
  </w:endnote>
  <w:endnote w:type="continuationSeparator" w:id="0">
    <w:p w:rsidR="00E74C42" w:rsidRDefault="00E74C42" w:rsidP="00BF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9657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BF738A" w:rsidRPr="00FD6A55" w:rsidRDefault="006A10C4" w:rsidP="006A10C4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FD6A55">
          <w:rPr>
            <w:rFonts w:ascii="Arial" w:eastAsia="Times New Roman" w:hAnsi="Arial" w:cs="Arial"/>
            <w:noProof/>
            <w:kern w:val="16"/>
            <w:sz w:val="18"/>
            <w:szCs w:val="18"/>
            <w:lang w:eastAsia="en-AU"/>
          </w:rPr>
          <w:drawing>
            <wp:anchor distT="0" distB="0" distL="114300" distR="114300" simplePos="0" relativeHeight="251662336" behindDoc="1" locked="0" layoutInCell="1" allowOverlap="1" wp14:anchorId="5B984A39" wp14:editId="7C644AA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961200"/>
              <wp:effectExtent l="0" t="0" r="3175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0472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D6A55">
          <w:rPr>
            <w:rFonts w:ascii="Arial" w:hAnsi="Arial" w:cs="Arial"/>
            <w:sz w:val="18"/>
            <w:szCs w:val="18"/>
          </w:rPr>
          <w:fldChar w:fldCharType="begin"/>
        </w:r>
        <w:r w:rsidRPr="00FD6A5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D6A55">
          <w:rPr>
            <w:rFonts w:ascii="Arial" w:hAnsi="Arial" w:cs="Arial"/>
            <w:sz w:val="18"/>
            <w:szCs w:val="18"/>
          </w:rPr>
          <w:fldChar w:fldCharType="separate"/>
        </w:r>
        <w:r w:rsidR="00F451FD">
          <w:rPr>
            <w:rFonts w:ascii="Arial" w:hAnsi="Arial" w:cs="Arial"/>
            <w:noProof/>
            <w:sz w:val="18"/>
            <w:szCs w:val="18"/>
          </w:rPr>
          <w:t>1</w:t>
        </w:r>
        <w:r w:rsidRPr="00FD6A5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42" w:rsidRDefault="00E74C42" w:rsidP="00BF738A">
      <w:pPr>
        <w:spacing w:after="0" w:line="240" w:lineRule="auto"/>
      </w:pPr>
      <w:r>
        <w:separator/>
      </w:r>
    </w:p>
  </w:footnote>
  <w:footnote w:type="continuationSeparator" w:id="0">
    <w:p w:rsidR="00E74C42" w:rsidRDefault="00E74C42" w:rsidP="00BF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49" w:rsidRDefault="00E92F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8A" w:rsidRPr="002A300B" w:rsidRDefault="00057037" w:rsidP="00BF738A">
    <w:pPr>
      <w:spacing w:before="120" w:after="0" w:line="240" w:lineRule="auto"/>
      <w:ind w:right="-46"/>
      <w:jc w:val="right"/>
      <w:rPr>
        <w:rFonts w:ascii="Verdana" w:eastAsia="Times New Roman" w:hAnsi="Verdana" w:cs="Arial"/>
        <w:b/>
        <w:color w:val="FFFFFF" w:themeColor="background1"/>
        <w:sz w:val="28"/>
        <w:szCs w:val="28"/>
        <w:lang w:eastAsia="en-AU"/>
      </w:rPr>
    </w:pPr>
    <w:r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drawing>
        <wp:anchor distT="0" distB="0" distL="114300" distR="114300" simplePos="0" relativeHeight="251660288" behindDoc="1" locked="0" layoutInCell="1" allowOverlap="1" wp14:anchorId="4DDC7C33" wp14:editId="1E95A21F">
          <wp:simplePos x="752475" y="523875"/>
          <wp:positionH relativeFrom="page">
            <wp:align>center</wp:align>
          </wp:positionH>
          <wp:positionV relativeFrom="page">
            <wp:posOffset>-9525</wp:posOffset>
          </wp:positionV>
          <wp:extent cx="7561921" cy="158115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53"/>
                  <a:stretch/>
                </pic:blipFill>
                <pic:spPr bwMode="auto">
                  <a:xfrm>
                    <a:off x="0" y="0"/>
                    <a:ext cx="7560000" cy="1580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10C4"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>F</w:t>
    </w:r>
    <w:r w:rsidR="00BF738A"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>A</w:t>
    </w:r>
    <w:r w:rsidR="00E92F49">
      <w:rPr>
        <w:rFonts w:ascii="Verdana" w:eastAsia="Times New Roman" w:hAnsi="Verdana" w:cs="Arial"/>
        <w:b/>
        <w:noProof/>
        <w:color w:val="FFFFFF" w:themeColor="background1"/>
        <w:sz w:val="28"/>
        <w:szCs w:val="28"/>
        <w:lang w:eastAsia="en-AU"/>
      </w:rPr>
      <w:t>CT SHEET</w:t>
    </w:r>
  </w:p>
  <w:p w:rsidR="00BF738A" w:rsidRDefault="00BF7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49" w:rsidRDefault="00E92F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1">
    <w:nsid w:val="0AB57115"/>
    <w:multiLevelType w:val="hybridMultilevel"/>
    <w:tmpl w:val="E2FEC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36DFA"/>
    <w:multiLevelType w:val="hybridMultilevel"/>
    <w:tmpl w:val="CD002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</w:num>
  <w:num w:numId="8">
    <w:abstractNumId w:val="0"/>
  </w:num>
  <w:num w:numId="9">
    <w:abstractNumId w:val="3"/>
  </w:num>
  <w:num w:numId="10">
    <w:abstractNumId w:val="3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0A"/>
    <w:rsid w:val="00057037"/>
    <w:rsid w:val="000B1185"/>
    <w:rsid w:val="001C6234"/>
    <w:rsid w:val="00212E48"/>
    <w:rsid w:val="00251616"/>
    <w:rsid w:val="002F0BFE"/>
    <w:rsid w:val="003117FE"/>
    <w:rsid w:val="00343BFF"/>
    <w:rsid w:val="003840D6"/>
    <w:rsid w:val="003971E7"/>
    <w:rsid w:val="003A2525"/>
    <w:rsid w:val="003A446C"/>
    <w:rsid w:val="003C2428"/>
    <w:rsid w:val="0042472C"/>
    <w:rsid w:val="00427865"/>
    <w:rsid w:val="00466742"/>
    <w:rsid w:val="004857FE"/>
    <w:rsid w:val="004C2195"/>
    <w:rsid w:val="005B1044"/>
    <w:rsid w:val="005F735F"/>
    <w:rsid w:val="0060647D"/>
    <w:rsid w:val="0063097F"/>
    <w:rsid w:val="006A10C4"/>
    <w:rsid w:val="006A5F23"/>
    <w:rsid w:val="007174B6"/>
    <w:rsid w:val="00745F1D"/>
    <w:rsid w:val="007633BA"/>
    <w:rsid w:val="00771E55"/>
    <w:rsid w:val="0079008E"/>
    <w:rsid w:val="007C0C36"/>
    <w:rsid w:val="00802BD7"/>
    <w:rsid w:val="008447F5"/>
    <w:rsid w:val="00864EED"/>
    <w:rsid w:val="00891774"/>
    <w:rsid w:val="008976D1"/>
    <w:rsid w:val="008B1AFE"/>
    <w:rsid w:val="008C477E"/>
    <w:rsid w:val="008E6FF2"/>
    <w:rsid w:val="008F29CF"/>
    <w:rsid w:val="00940BA7"/>
    <w:rsid w:val="0094401A"/>
    <w:rsid w:val="00954D01"/>
    <w:rsid w:val="009F57E2"/>
    <w:rsid w:val="009F696C"/>
    <w:rsid w:val="00A10A9C"/>
    <w:rsid w:val="00A127BD"/>
    <w:rsid w:val="00A309E8"/>
    <w:rsid w:val="00A41933"/>
    <w:rsid w:val="00A43A7C"/>
    <w:rsid w:val="00A51A4E"/>
    <w:rsid w:val="00AB4A3F"/>
    <w:rsid w:val="00AF5C1A"/>
    <w:rsid w:val="00B00BD0"/>
    <w:rsid w:val="00B0536E"/>
    <w:rsid w:val="00B66063"/>
    <w:rsid w:val="00BA72B3"/>
    <w:rsid w:val="00BE1405"/>
    <w:rsid w:val="00BE3D7C"/>
    <w:rsid w:val="00BE6D6D"/>
    <w:rsid w:val="00BF738A"/>
    <w:rsid w:val="00C01870"/>
    <w:rsid w:val="00C02393"/>
    <w:rsid w:val="00C0593E"/>
    <w:rsid w:val="00C15A60"/>
    <w:rsid w:val="00C51B0A"/>
    <w:rsid w:val="00C63A5F"/>
    <w:rsid w:val="00CD34C6"/>
    <w:rsid w:val="00D11FCA"/>
    <w:rsid w:val="00D50068"/>
    <w:rsid w:val="00D5028B"/>
    <w:rsid w:val="00D50431"/>
    <w:rsid w:val="00D83EFD"/>
    <w:rsid w:val="00DB6522"/>
    <w:rsid w:val="00E740FA"/>
    <w:rsid w:val="00E74C42"/>
    <w:rsid w:val="00E92F49"/>
    <w:rsid w:val="00EC56CF"/>
    <w:rsid w:val="00F451FD"/>
    <w:rsid w:val="00F50058"/>
    <w:rsid w:val="00F605F1"/>
    <w:rsid w:val="00F6351E"/>
    <w:rsid w:val="00F7228D"/>
    <w:rsid w:val="00F7545E"/>
    <w:rsid w:val="00FD6A55"/>
    <w:rsid w:val="00FD6D61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8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466742"/>
    <w:pPr>
      <w:keepLines w:val="0"/>
      <w:spacing w:before="560" w:line="320" w:lineRule="exact"/>
      <w:outlineLvl w:val="2"/>
    </w:pPr>
    <w:rPr>
      <w:rFonts w:ascii="Arial" w:eastAsia="Times New Roman" w:hAnsi="Arial" w:cs="Times New Roman"/>
      <w:bCs w:val="0"/>
      <w:color w:val="auto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66742"/>
    <w:rPr>
      <w:rFonts w:ascii="Arial" w:eastAsia="Times New Roman" w:hAnsi="Arial" w:cs="Times New Roman"/>
      <w:b/>
      <w:sz w:val="2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667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6742"/>
  </w:style>
  <w:style w:type="character" w:customStyle="1" w:styleId="DraftingNote">
    <w:name w:val="Drafting Note"/>
    <w:basedOn w:val="DefaultParagraphFont"/>
    <w:qFormat/>
    <w:rsid w:val="00A309E8"/>
    <w:rPr>
      <w:b/>
      <w:color w:val="FF0000"/>
      <w:sz w:val="24"/>
      <w:u w:val="dotted"/>
    </w:rPr>
  </w:style>
  <w:style w:type="paragraph" w:customStyle="1" w:styleId="Rec">
    <w:name w:val="Rec"/>
    <w:basedOn w:val="BodyText"/>
    <w:qFormat/>
    <w:rsid w:val="00A309E8"/>
    <w:pPr>
      <w:keepLines/>
      <w:spacing w:before="120" w:after="0" w:line="280" w:lineRule="atLeast"/>
      <w:jc w:val="both"/>
    </w:pPr>
    <w:rPr>
      <w:rFonts w:ascii="Arial" w:eastAsia="Times New Roman" w:hAnsi="Arial" w:cs="Times New Roman"/>
      <w:szCs w:val="20"/>
      <w:lang w:eastAsia="en-AU"/>
    </w:rPr>
  </w:style>
  <w:style w:type="paragraph" w:customStyle="1" w:styleId="BoxSpaceBelow">
    <w:name w:val="Box Space Below"/>
    <w:basedOn w:val="Normal"/>
    <w:rsid w:val="00A309E8"/>
    <w:pPr>
      <w:spacing w:before="60" w:after="60" w:line="80" w:lineRule="exact"/>
      <w:jc w:val="both"/>
    </w:pPr>
    <w:rPr>
      <w:rFonts w:ascii="Arial" w:eastAsia="Times New Roman" w:hAnsi="Arial" w:cs="Times New Roman"/>
      <w:sz w:val="14"/>
      <w:szCs w:val="20"/>
      <w:lang w:eastAsia="en-AU"/>
    </w:rPr>
  </w:style>
  <w:style w:type="paragraph" w:customStyle="1" w:styleId="Space">
    <w:name w:val="Space"/>
    <w:basedOn w:val="Normal"/>
    <w:rsid w:val="00A309E8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SpaceAboveElement">
    <w:name w:val="Box Space Above Element"/>
    <w:basedOn w:val="Normal"/>
    <w:link w:val="BoxSpaceAboveElementChar"/>
    <w:qFormat/>
    <w:rsid w:val="00A309E8"/>
    <w:pPr>
      <w:keepNext/>
      <w:spacing w:before="240" w:after="0" w:line="80" w:lineRule="exact"/>
    </w:pPr>
    <w:rPr>
      <w:rFonts w:ascii="Times New Roman" w:eastAsia="Times New Roman" w:hAnsi="Times New Roman" w:cs="Times New Roman"/>
      <w:b/>
      <w:vanish/>
      <w:color w:val="FF00FF"/>
      <w:sz w:val="14"/>
      <w:szCs w:val="24"/>
      <w:lang w:eastAsia="en-AU"/>
    </w:rPr>
  </w:style>
  <w:style w:type="character" w:customStyle="1" w:styleId="BoxSpaceAboveElementChar">
    <w:name w:val="Box Space Above Element Char"/>
    <w:basedOn w:val="DefaultParagraphFont"/>
    <w:link w:val="BoxSpaceAboveElement"/>
    <w:rsid w:val="00A309E8"/>
    <w:rPr>
      <w:rFonts w:ascii="Times New Roman" w:eastAsia="Times New Roman" w:hAnsi="Times New Roman" w:cs="Times New Roman"/>
      <w:b/>
      <w:vanish/>
      <w:color w:val="FF00FF"/>
      <w:sz w:val="1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9008E"/>
    <w:pPr>
      <w:ind w:left="720"/>
      <w:contextualSpacing/>
    </w:pPr>
  </w:style>
  <w:style w:type="paragraph" w:styleId="ListBullet">
    <w:name w:val="List Bullet"/>
    <w:basedOn w:val="BodyText"/>
    <w:rsid w:val="0079008E"/>
    <w:pPr>
      <w:numPr>
        <w:numId w:val="2"/>
      </w:numPr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x">
    <w:name w:val="Box"/>
    <w:basedOn w:val="Normal"/>
    <w:link w:val="BoxChar"/>
    <w:qFormat/>
    <w:rsid w:val="0042472C"/>
    <w:pPr>
      <w:keepNext/>
      <w:spacing w:before="120" w:after="0" w:line="260" w:lineRule="atLeast"/>
      <w:jc w:val="both"/>
    </w:pPr>
    <w:rPr>
      <w:rFonts w:ascii="Arial" w:hAnsi="Arial" w:cs="Arial"/>
      <w:sz w:val="20"/>
      <w:szCs w:val="20"/>
      <w:lang w:eastAsia="en-AU"/>
    </w:rPr>
  </w:style>
  <w:style w:type="paragraph" w:customStyle="1" w:styleId="TableBodyText">
    <w:name w:val="Table Body Text"/>
    <w:basedOn w:val="Normal"/>
    <w:rsid w:val="0042472C"/>
    <w:pPr>
      <w:keepNext/>
      <w:spacing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paragraph" w:customStyle="1" w:styleId="TableColumnHeading">
    <w:name w:val="Table Column Heading"/>
    <w:basedOn w:val="Normal"/>
    <w:rsid w:val="0042472C"/>
    <w:pPr>
      <w:keepNext/>
      <w:spacing w:before="80" w:after="80" w:line="200" w:lineRule="atLeast"/>
      <w:ind w:left="6" w:right="113"/>
      <w:jc w:val="right"/>
    </w:pPr>
    <w:rPr>
      <w:rFonts w:ascii="Arial" w:hAnsi="Arial" w:cs="Arial"/>
      <w:i/>
      <w:iCs/>
      <w:sz w:val="18"/>
      <w:szCs w:val="18"/>
      <w:lang w:eastAsia="en-AU"/>
    </w:rPr>
  </w:style>
  <w:style w:type="paragraph" w:customStyle="1" w:styleId="TableTitle">
    <w:name w:val="Table Title"/>
    <w:basedOn w:val="Normal"/>
    <w:rsid w:val="0042472C"/>
    <w:pPr>
      <w:keepNext/>
      <w:spacing w:before="120" w:after="80" w:line="280" w:lineRule="exact"/>
      <w:ind w:left="1474" w:hanging="1474"/>
    </w:pPr>
    <w:rPr>
      <w:rFonts w:ascii="Arial" w:hAnsi="Arial" w:cs="Arial"/>
      <w:b/>
      <w:bCs/>
      <w:sz w:val="24"/>
      <w:szCs w:val="24"/>
      <w:lang w:eastAsia="en-AU"/>
    </w:rPr>
  </w:style>
  <w:style w:type="paragraph" w:customStyle="1" w:styleId="TableUnitsRow">
    <w:name w:val="Table Units Row"/>
    <w:basedOn w:val="Normal"/>
    <w:rsid w:val="0042472C"/>
    <w:pPr>
      <w:keepNext/>
      <w:spacing w:before="40"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paragraph" w:customStyle="1" w:styleId="BoxSpaceAbove">
    <w:name w:val="Box Space Above"/>
    <w:basedOn w:val="Normal"/>
    <w:rsid w:val="0042472C"/>
    <w:pPr>
      <w:keepNext/>
      <w:spacing w:before="360" w:after="0" w:line="80" w:lineRule="exact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oxListBullet">
    <w:name w:val="Box List Bullet"/>
    <w:basedOn w:val="BodyText"/>
    <w:link w:val="BoxListBulletChar"/>
    <w:rsid w:val="00802BD7"/>
    <w:pPr>
      <w:keepNext/>
      <w:numPr>
        <w:numId w:val="5"/>
      </w:numPr>
      <w:spacing w:before="10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ListBullet2">
    <w:name w:val="Box List Bullet 2"/>
    <w:basedOn w:val="BoxListBullet"/>
    <w:rsid w:val="00A127BD"/>
    <w:pPr>
      <w:numPr>
        <w:numId w:val="8"/>
      </w:numPr>
      <w:ind w:left="568" w:hanging="284"/>
    </w:pPr>
  </w:style>
  <w:style w:type="character" w:customStyle="1" w:styleId="BoxListBulletChar">
    <w:name w:val="Box List Bullet Char"/>
    <w:link w:val="BoxListBullet"/>
    <w:locked/>
    <w:rsid w:val="00A127B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Title">
    <w:name w:val="Box Title"/>
    <w:basedOn w:val="Caption"/>
    <w:next w:val="Normal"/>
    <w:rsid w:val="003971E7"/>
    <w:pPr>
      <w:keepNext/>
      <w:keepLines/>
      <w:spacing w:before="120" w:after="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character" w:customStyle="1" w:styleId="BoxChar">
    <w:name w:val="Box Char"/>
    <w:link w:val="Box"/>
    <w:locked/>
    <w:rsid w:val="003971E7"/>
    <w:rPr>
      <w:rFonts w:ascii="Arial" w:hAnsi="Arial" w:cs="Arial"/>
      <w:sz w:val="20"/>
      <w:szCs w:val="20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71E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8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466742"/>
    <w:pPr>
      <w:keepLines w:val="0"/>
      <w:spacing w:before="560" w:line="320" w:lineRule="exact"/>
      <w:outlineLvl w:val="2"/>
    </w:pPr>
    <w:rPr>
      <w:rFonts w:ascii="Arial" w:eastAsia="Times New Roman" w:hAnsi="Arial" w:cs="Times New Roman"/>
      <w:bCs w:val="0"/>
      <w:color w:val="auto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8A"/>
  </w:style>
  <w:style w:type="paragraph" w:styleId="Footer">
    <w:name w:val="footer"/>
    <w:basedOn w:val="Normal"/>
    <w:link w:val="FooterChar"/>
    <w:uiPriority w:val="99"/>
    <w:unhideWhenUsed/>
    <w:rsid w:val="00B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8A"/>
  </w:style>
  <w:style w:type="character" w:styleId="Hyperlink">
    <w:name w:val="Hyperlink"/>
    <w:basedOn w:val="DefaultParagraphFont"/>
    <w:uiPriority w:val="99"/>
    <w:unhideWhenUsed/>
    <w:rsid w:val="00BF7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66742"/>
    <w:rPr>
      <w:rFonts w:ascii="Arial" w:eastAsia="Times New Roman" w:hAnsi="Arial" w:cs="Times New Roman"/>
      <w:b/>
      <w:sz w:val="2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667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6742"/>
  </w:style>
  <w:style w:type="character" w:customStyle="1" w:styleId="DraftingNote">
    <w:name w:val="Drafting Note"/>
    <w:basedOn w:val="DefaultParagraphFont"/>
    <w:qFormat/>
    <w:rsid w:val="00A309E8"/>
    <w:rPr>
      <w:b/>
      <w:color w:val="FF0000"/>
      <w:sz w:val="24"/>
      <w:u w:val="dotted"/>
    </w:rPr>
  </w:style>
  <w:style w:type="paragraph" w:customStyle="1" w:styleId="Rec">
    <w:name w:val="Rec"/>
    <w:basedOn w:val="BodyText"/>
    <w:qFormat/>
    <w:rsid w:val="00A309E8"/>
    <w:pPr>
      <w:keepLines/>
      <w:spacing w:before="120" w:after="0" w:line="280" w:lineRule="atLeast"/>
      <w:jc w:val="both"/>
    </w:pPr>
    <w:rPr>
      <w:rFonts w:ascii="Arial" w:eastAsia="Times New Roman" w:hAnsi="Arial" w:cs="Times New Roman"/>
      <w:szCs w:val="20"/>
      <w:lang w:eastAsia="en-AU"/>
    </w:rPr>
  </w:style>
  <w:style w:type="paragraph" w:customStyle="1" w:styleId="BoxSpaceBelow">
    <w:name w:val="Box Space Below"/>
    <w:basedOn w:val="Normal"/>
    <w:rsid w:val="00A309E8"/>
    <w:pPr>
      <w:spacing w:before="60" w:after="60" w:line="80" w:lineRule="exact"/>
      <w:jc w:val="both"/>
    </w:pPr>
    <w:rPr>
      <w:rFonts w:ascii="Arial" w:eastAsia="Times New Roman" w:hAnsi="Arial" w:cs="Times New Roman"/>
      <w:sz w:val="14"/>
      <w:szCs w:val="20"/>
      <w:lang w:eastAsia="en-AU"/>
    </w:rPr>
  </w:style>
  <w:style w:type="paragraph" w:customStyle="1" w:styleId="Space">
    <w:name w:val="Space"/>
    <w:basedOn w:val="Normal"/>
    <w:rsid w:val="00A309E8"/>
    <w:pPr>
      <w:keepNext/>
      <w:spacing w:after="0" w:line="120" w:lineRule="exac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SpaceAboveElement">
    <w:name w:val="Box Space Above Element"/>
    <w:basedOn w:val="Normal"/>
    <w:link w:val="BoxSpaceAboveElementChar"/>
    <w:qFormat/>
    <w:rsid w:val="00A309E8"/>
    <w:pPr>
      <w:keepNext/>
      <w:spacing w:before="240" w:after="0" w:line="80" w:lineRule="exact"/>
    </w:pPr>
    <w:rPr>
      <w:rFonts w:ascii="Times New Roman" w:eastAsia="Times New Roman" w:hAnsi="Times New Roman" w:cs="Times New Roman"/>
      <w:b/>
      <w:vanish/>
      <w:color w:val="FF00FF"/>
      <w:sz w:val="14"/>
      <w:szCs w:val="24"/>
      <w:lang w:eastAsia="en-AU"/>
    </w:rPr>
  </w:style>
  <w:style w:type="character" w:customStyle="1" w:styleId="BoxSpaceAboveElementChar">
    <w:name w:val="Box Space Above Element Char"/>
    <w:basedOn w:val="DefaultParagraphFont"/>
    <w:link w:val="BoxSpaceAboveElement"/>
    <w:rsid w:val="00A309E8"/>
    <w:rPr>
      <w:rFonts w:ascii="Times New Roman" w:eastAsia="Times New Roman" w:hAnsi="Times New Roman" w:cs="Times New Roman"/>
      <w:b/>
      <w:vanish/>
      <w:color w:val="FF00FF"/>
      <w:sz w:val="1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9008E"/>
    <w:pPr>
      <w:ind w:left="720"/>
      <w:contextualSpacing/>
    </w:pPr>
  </w:style>
  <w:style w:type="paragraph" w:styleId="ListBullet">
    <w:name w:val="List Bullet"/>
    <w:basedOn w:val="BodyText"/>
    <w:rsid w:val="0079008E"/>
    <w:pPr>
      <w:numPr>
        <w:numId w:val="2"/>
      </w:numPr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x">
    <w:name w:val="Box"/>
    <w:basedOn w:val="Normal"/>
    <w:link w:val="BoxChar"/>
    <w:qFormat/>
    <w:rsid w:val="0042472C"/>
    <w:pPr>
      <w:keepNext/>
      <w:spacing w:before="120" w:after="0" w:line="260" w:lineRule="atLeast"/>
      <w:jc w:val="both"/>
    </w:pPr>
    <w:rPr>
      <w:rFonts w:ascii="Arial" w:hAnsi="Arial" w:cs="Arial"/>
      <w:sz w:val="20"/>
      <w:szCs w:val="20"/>
      <w:lang w:eastAsia="en-AU"/>
    </w:rPr>
  </w:style>
  <w:style w:type="paragraph" w:customStyle="1" w:styleId="TableBodyText">
    <w:name w:val="Table Body Text"/>
    <w:basedOn w:val="Normal"/>
    <w:rsid w:val="0042472C"/>
    <w:pPr>
      <w:keepNext/>
      <w:spacing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paragraph" w:customStyle="1" w:styleId="TableColumnHeading">
    <w:name w:val="Table Column Heading"/>
    <w:basedOn w:val="Normal"/>
    <w:rsid w:val="0042472C"/>
    <w:pPr>
      <w:keepNext/>
      <w:spacing w:before="80" w:after="80" w:line="200" w:lineRule="atLeast"/>
      <w:ind w:left="6" w:right="113"/>
      <w:jc w:val="right"/>
    </w:pPr>
    <w:rPr>
      <w:rFonts w:ascii="Arial" w:hAnsi="Arial" w:cs="Arial"/>
      <w:i/>
      <w:iCs/>
      <w:sz w:val="18"/>
      <w:szCs w:val="18"/>
      <w:lang w:eastAsia="en-AU"/>
    </w:rPr>
  </w:style>
  <w:style w:type="paragraph" w:customStyle="1" w:styleId="TableTitle">
    <w:name w:val="Table Title"/>
    <w:basedOn w:val="Normal"/>
    <w:rsid w:val="0042472C"/>
    <w:pPr>
      <w:keepNext/>
      <w:spacing w:before="120" w:after="80" w:line="280" w:lineRule="exact"/>
      <w:ind w:left="1474" w:hanging="1474"/>
    </w:pPr>
    <w:rPr>
      <w:rFonts w:ascii="Arial" w:hAnsi="Arial" w:cs="Arial"/>
      <w:b/>
      <w:bCs/>
      <w:sz w:val="24"/>
      <w:szCs w:val="24"/>
      <w:lang w:eastAsia="en-AU"/>
    </w:rPr>
  </w:style>
  <w:style w:type="paragraph" w:customStyle="1" w:styleId="TableUnitsRow">
    <w:name w:val="Table Units Row"/>
    <w:basedOn w:val="Normal"/>
    <w:rsid w:val="0042472C"/>
    <w:pPr>
      <w:keepNext/>
      <w:spacing w:before="40" w:after="40" w:line="200" w:lineRule="atLeast"/>
      <w:ind w:left="6" w:right="113"/>
      <w:jc w:val="right"/>
    </w:pPr>
    <w:rPr>
      <w:rFonts w:ascii="Arial" w:hAnsi="Arial" w:cs="Arial"/>
      <w:sz w:val="18"/>
      <w:szCs w:val="18"/>
      <w:lang w:eastAsia="en-AU"/>
    </w:rPr>
  </w:style>
  <w:style w:type="paragraph" w:customStyle="1" w:styleId="BoxSpaceAbove">
    <w:name w:val="Box Space Above"/>
    <w:basedOn w:val="Normal"/>
    <w:rsid w:val="0042472C"/>
    <w:pPr>
      <w:keepNext/>
      <w:spacing w:before="360" w:after="0" w:line="80" w:lineRule="exact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oxListBullet">
    <w:name w:val="Box List Bullet"/>
    <w:basedOn w:val="BodyText"/>
    <w:link w:val="BoxListBulletChar"/>
    <w:rsid w:val="00802BD7"/>
    <w:pPr>
      <w:keepNext/>
      <w:numPr>
        <w:numId w:val="5"/>
      </w:numPr>
      <w:spacing w:before="10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ListBullet2">
    <w:name w:val="Box List Bullet 2"/>
    <w:basedOn w:val="BoxListBullet"/>
    <w:rsid w:val="00A127BD"/>
    <w:pPr>
      <w:numPr>
        <w:numId w:val="8"/>
      </w:numPr>
      <w:ind w:left="568" w:hanging="284"/>
    </w:pPr>
  </w:style>
  <w:style w:type="character" w:customStyle="1" w:styleId="BoxListBulletChar">
    <w:name w:val="Box List Bullet Char"/>
    <w:link w:val="BoxListBullet"/>
    <w:locked/>
    <w:rsid w:val="00A127B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Title">
    <w:name w:val="Box Title"/>
    <w:basedOn w:val="Caption"/>
    <w:next w:val="Normal"/>
    <w:rsid w:val="003971E7"/>
    <w:pPr>
      <w:keepNext/>
      <w:keepLines/>
      <w:spacing w:before="120" w:after="0" w:line="280" w:lineRule="exact"/>
      <w:ind w:left="1474" w:hanging="1474"/>
    </w:pPr>
    <w:rPr>
      <w:rFonts w:ascii="Arial" w:eastAsia="Times New Roman" w:hAnsi="Arial" w:cs="Times New Roman"/>
      <w:bCs w:val="0"/>
      <w:color w:val="auto"/>
      <w:sz w:val="24"/>
      <w:szCs w:val="24"/>
      <w:lang w:eastAsia="en-AU"/>
    </w:rPr>
  </w:style>
  <w:style w:type="character" w:customStyle="1" w:styleId="BoxChar">
    <w:name w:val="Box Char"/>
    <w:link w:val="Box"/>
    <w:locked/>
    <w:rsid w:val="003971E7"/>
    <w:rPr>
      <w:rFonts w:ascii="Arial" w:hAnsi="Arial" w:cs="Arial"/>
      <w:sz w:val="20"/>
      <w:szCs w:val="20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71E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c.gov.au/inquiries/current/intellectual-proper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c.gov.au/inquiries/current/intellectual-property/make-submissio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AEBD-6F03-4333-8E88-77024362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marks, registered designs and plant breeder’s rights - Fact sheet - Intellectual Property Arrangements</vt:lpstr>
    </vt:vector>
  </TitlesOfParts>
  <Company>Productivity Commission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marks, registered designs and plant breeder’s rights - Fact sheet - Intellectual Property Arrangements</dc:title>
  <dc:creator>Productivity Commission</dc:creator>
  <cp:lastModifiedBy>Pimperl, Mark</cp:lastModifiedBy>
  <cp:revision>8</cp:revision>
  <dcterms:created xsi:type="dcterms:W3CDTF">2016-04-22T07:20:00Z</dcterms:created>
  <dcterms:modified xsi:type="dcterms:W3CDTF">2016-04-27T05:26:00Z</dcterms:modified>
</cp:coreProperties>
</file>