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9544" w14:textId="62F0C4E1" w:rsidR="000F37F1" w:rsidRPr="00947B8F" w:rsidRDefault="00096E88" w:rsidP="00947B8F">
      <w:pPr>
        <w:spacing w:line="276" w:lineRule="auto"/>
        <w:jc w:val="center"/>
        <w:rPr>
          <w:rFonts w:ascii="Times New Roman" w:hAnsi="Times New Roman" w:cs="Times New Roman"/>
          <w:sz w:val="24"/>
          <w:szCs w:val="24"/>
        </w:rPr>
      </w:pPr>
      <w:r w:rsidRPr="00947B8F">
        <w:rPr>
          <w:rFonts w:ascii="Times New Roman" w:hAnsi="Times New Roman" w:cs="Times New Roman"/>
          <w:b/>
          <w:bCs/>
          <w:sz w:val="28"/>
          <w:szCs w:val="28"/>
          <w:u w:val="single"/>
        </w:rPr>
        <w:t>Submission to Productivity Commission Draft Report on Philanthropy</w:t>
      </w:r>
    </w:p>
    <w:p w14:paraId="3A0B4006" w14:textId="77777777" w:rsidR="00270633" w:rsidRPr="00947B8F" w:rsidRDefault="00270633" w:rsidP="00947B8F">
      <w:pPr>
        <w:spacing w:line="276" w:lineRule="auto"/>
        <w:rPr>
          <w:rFonts w:ascii="Times New Roman" w:hAnsi="Times New Roman" w:cs="Times New Roman"/>
          <w:sz w:val="24"/>
          <w:szCs w:val="24"/>
        </w:rPr>
      </w:pPr>
    </w:p>
    <w:p w14:paraId="17F57045" w14:textId="7E835FE1" w:rsidR="00270633" w:rsidRPr="00947B8F" w:rsidRDefault="00270633"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Dr Alex Deagon</w:t>
      </w:r>
    </w:p>
    <w:p w14:paraId="1A7165C5" w14:textId="0DE7D627" w:rsidR="00270633" w:rsidRPr="00947B8F" w:rsidRDefault="00270633"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Associate Professor, School of Law</w:t>
      </w:r>
    </w:p>
    <w:p w14:paraId="503C8FA2" w14:textId="51CFB415" w:rsidR="009C54BC" w:rsidRPr="00947B8F" w:rsidRDefault="00270633"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Queensland University of Technology</w:t>
      </w:r>
    </w:p>
    <w:p w14:paraId="4FC74B62" w14:textId="10D61912" w:rsidR="00270633" w:rsidRPr="00947B8F" w:rsidRDefault="00270633" w:rsidP="00947B8F">
      <w:pPr>
        <w:spacing w:line="276" w:lineRule="auto"/>
        <w:rPr>
          <w:rFonts w:ascii="Times New Roman" w:hAnsi="Times New Roman" w:cs="Times New Roman"/>
          <w:sz w:val="24"/>
          <w:szCs w:val="24"/>
        </w:rPr>
      </w:pPr>
      <w:r w:rsidRPr="2A4EBCE9">
        <w:rPr>
          <w:rFonts w:ascii="Times New Roman" w:hAnsi="Times New Roman" w:cs="Times New Roman"/>
          <w:sz w:val="24"/>
          <w:szCs w:val="24"/>
        </w:rPr>
        <w:t>(Submitting in a personal capacity)</w:t>
      </w:r>
      <w:r w:rsidR="009C54BC" w:rsidRPr="2A4EBCE9">
        <w:rPr>
          <w:rFonts w:ascii="Times New Roman" w:hAnsi="Times New Roman" w:cs="Times New Roman"/>
          <w:sz w:val="24"/>
          <w:szCs w:val="24"/>
        </w:rPr>
        <w:t xml:space="preserve"> </w:t>
      </w:r>
    </w:p>
    <w:p w14:paraId="78F92417" w14:textId="341830AA" w:rsidR="2A4EBCE9" w:rsidRDefault="2A4EBCE9" w:rsidP="2A4EBCE9">
      <w:pPr>
        <w:spacing w:line="276" w:lineRule="auto"/>
        <w:rPr>
          <w:rFonts w:ascii="Times New Roman" w:hAnsi="Times New Roman" w:cs="Times New Roman"/>
          <w:sz w:val="24"/>
          <w:szCs w:val="24"/>
        </w:rPr>
      </w:pPr>
    </w:p>
    <w:p w14:paraId="4868F688" w14:textId="7FEC8100" w:rsidR="508F1B29" w:rsidRDefault="508F1B29" w:rsidP="2A4EBCE9">
      <w:pPr>
        <w:spacing w:line="276" w:lineRule="auto"/>
        <w:rPr>
          <w:rFonts w:ascii="Times New Roman" w:hAnsi="Times New Roman" w:cs="Times New Roman"/>
          <w:sz w:val="24"/>
          <w:szCs w:val="24"/>
        </w:rPr>
      </w:pPr>
      <w:r w:rsidRPr="2A4EBCE9">
        <w:rPr>
          <w:rFonts w:ascii="Times New Roman" w:hAnsi="Times New Roman" w:cs="Times New Roman"/>
          <w:sz w:val="24"/>
          <w:szCs w:val="24"/>
        </w:rPr>
        <w:t>Dr Mark Fowler</w:t>
      </w:r>
    </w:p>
    <w:p w14:paraId="61D29081" w14:textId="783E7222" w:rsidR="508F1B29" w:rsidRDefault="508F1B29" w:rsidP="2A4EBCE9">
      <w:pPr>
        <w:spacing w:line="276" w:lineRule="auto"/>
        <w:rPr>
          <w:rFonts w:ascii="Times New Roman" w:hAnsi="Times New Roman" w:cs="Times New Roman"/>
          <w:sz w:val="24"/>
          <w:szCs w:val="24"/>
        </w:rPr>
      </w:pPr>
      <w:r w:rsidRPr="2A4EBCE9">
        <w:rPr>
          <w:rFonts w:ascii="Times New Roman" w:hAnsi="Times New Roman" w:cs="Times New Roman"/>
          <w:sz w:val="24"/>
          <w:szCs w:val="24"/>
        </w:rPr>
        <w:t>Adjunct Associate Professor, School of Law, University of Notre Dame</w:t>
      </w:r>
    </w:p>
    <w:p w14:paraId="7C842BEA" w14:textId="0D586275" w:rsidR="508F1B29" w:rsidRDefault="508F1B29" w:rsidP="2A4EBCE9">
      <w:pPr>
        <w:spacing w:line="276" w:lineRule="auto"/>
        <w:rPr>
          <w:rFonts w:ascii="Times New Roman" w:hAnsi="Times New Roman" w:cs="Times New Roman"/>
          <w:sz w:val="24"/>
          <w:szCs w:val="24"/>
        </w:rPr>
      </w:pPr>
      <w:r w:rsidRPr="2A4EBCE9">
        <w:rPr>
          <w:rFonts w:ascii="Times New Roman" w:hAnsi="Times New Roman" w:cs="Times New Roman"/>
          <w:sz w:val="24"/>
          <w:szCs w:val="24"/>
        </w:rPr>
        <w:t>Adjunct Associate Professor, School of Law, University of New England</w:t>
      </w:r>
    </w:p>
    <w:p w14:paraId="60B19B57" w14:textId="5ACA4CD3" w:rsidR="508F1B29" w:rsidRDefault="508F1B29" w:rsidP="2A4EBCE9">
      <w:pPr>
        <w:spacing w:line="276" w:lineRule="auto"/>
        <w:rPr>
          <w:rFonts w:ascii="Times New Roman" w:hAnsi="Times New Roman" w:cs="Times New Roman"/>
          <w:sz w:val="24"/>
          <w:szCs w:val="24"/>
        </w:rPr>
      </w:pPr>
      <w:r w:rsidRPr="2A4EBCE9">
        <w:rPr>
          <w:rFonts w:ascii="Times New Roman" w:hAnsi="Times New Roman" w:cs="Times New Roman"/>
          <w:sz w:val="24"/>
          <w:szCs w:val="24"/>
        </w:rPr>
        <w:t>Principal, Fowler Charity Law Pty Ltd</w:t>
      </w:r>
    </w:p>
    <w:p w14:paraId="7E36821F" w14:textId="008C84FC" w:rsidR="508F1B29" w:rsidRDefault="508F1B29" w:rsidP="2A4EBCE9">
      <w:pPr>
        <w:spacing w:line="276" w:lineRule="auto"/>
        <w:rPr>
          <w:rFonts w:ascii="Times New Roman" w:hAnsi="Times New Roman" w:cs="Times New Roman"/>
          <w:sz w:val="24"/>
          <w:szCs w:val="24"/>
        </w:rPr>
      </w:pPr>
      <w:r w:rsidRPr="2A4EBCE9">
        <w:rPr>
          <w:rFonts w:ascii="Times New Roman" w:hAnsi="Times New Roman" w:cs="Times New Roman"/>
          <w:sz w:val="24"/>
          <w:szCs w:val="24"/>
        </w:rPr>
        <w:t xml:space="preserve">(Submitting in a personal capacity) </w:t>
      </w:r>
    </w:p>
    <w:p w14:paraId="634D0D25" w14:textId="77777777" w:rsidR="00270633" w:rsidRPr="00947B8F" w:rsidRDefault="00270633" w:rsidP="00947B8F">
      <w:pPr>
        <w:spacing w:line="276" w:lineRule="auto"/>
        <w:rPr>
          <w:rFonts w:ascii="Times New Roman" w:hAnsi="Times New Roman" w:cs="Times New Roman"/>
          <w:sz w:val="24"/>
          <w:szCs w:val="24"/>
        </w:rPr>
      </w:pPr>
    </w:p>
    <w:p w14:paraId="3C99B6C3" w14:textId="3C701F57" w:rsidR="00270633" w:rsidRPr="00947B8F" w:rsidRDefault="00270633" w:rsidP="00947B8F">
      <w:pPr>
        <w:spacing w:line="276" w:lineRule="auto"/>
        <w:rPr>
          <w:rFonts w:ascii="Times New Roman" w:hAnsi="Times New Roman" w:cs="Times New Roman"/>
          <w:sz w:val="24"/>
          <w:szCs w:val="24"/>
        </w:rPr>
      </w:pPr>
      <w:r w:rsidRPr="00947B8F">
        <w:rPr>
          <w:rFonts w:ascii="Times New Roman" w:hAnsi="Times New Roman" w:cs="Times New Roman"/>
          <w:b/>
          <w:bCs/>
          <w:sz w:val="24"/>
          <w:szCs w:val="24"/>
        </w:rPr>
        <w:t>Executive Summary</w:t>
      </w:r>
    </w:p>
    <w:p w14:paraId="25AA2608" w14:textId="77777777" w:rsidR="00270633" w:rsidRPr="00947B8F" w:rsidRDefault="00270633" w:rsidP="00947B8F">
      <w:pPr>
        <w:spacing w:line="276" w:lineRule="auto"/>
        <w:rPr>
          <w:rFonts w:ascii="Times New Roman" w:hAnsi="Times New Roman" w:cs="Times New Roman"/>
          <w:sz w:val="24"/>
          <w:szCs w:val="24"/>
        </w:rPr>
      </w:pPr>
    </w:p>
    <w:p w14:paraId="0A4B0145" w14:textId="326441D3" w:rsidR="00270633" w:rsidRPr="00947B8F" w:rsidRDefault="00FB3689"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 xml:space="preserve">The draft report recommends </w:t>
      </w:r>
      <w:r w:rsidR="00DA3866" w:rsidRPr="00947B8F">
        <w:rPr>
          <w:rFonts w:ascii="Times New Roman" w:hAnsi="Times New Roman" w:cs="Times New Roman"/>
          <w:sz w:val="24"/>
          <w:szCs w:val="24"/>
        </w:rPr>
        <w:t xml:space="preserve">the removal of the Basic Religious Charity Exception within the ACNC regime, with the result that the ACNC Commissioner will be able to suspend, appoint and remove the leaders of religious institutions. </w:t>
      </w:r>
      <w:r w:rsidR="00BE2408" w:rsidRPr="00947B8F">
        <w:rPr>
          <w:rFonts w:ascii="Times New Roman" w:hAnsi="Times New Roman" w:cs="Times New Roman"/>
          <w:sz w:val="24"/>
          <w:szCs w:val="24"/>
        </w:rPr>
        <w:t xml:space="preserve">This is a significant imposition on religious freedom under international law and </w:t>
      </w:r>
      <w:r w:rsidR="00E3651C" w:rsidRPr="00947B8F">
        <w:rPr>
          <w:rFonts w:ascii="Times New Roman" w:hAnsi="Times New Roman" w:cs="Times New Roman"/>
          <w:sz w:val="24"/>
          <w:szCs w:val="24"/>
        </w:rPr>
        <w:t xml:space="preserve">the Australian Constitution. In particular, international human rights bodies have strongly contended that government interference in the leadership of religious organisations </w:t>
      </w:r>
      <w:r w:rsidR="00AF7A2D" w:rsidRPr="00947B8F">
        <w:rPr>
          <w:rFonts w:ascii="Times New Roman" w:hAnsi="Times New Roman" w:cs="Times New Roman"/>
          <w:sz w:val="24"/>
          <w:szCs w:val="24"/>
        </w:rPr>
        <w:t xml:space="preserve">will breach human rights norms. </w:t>
      </w:r>
      <w:r w:rsidR="00006650" w:rsidRPr="00947B8F">
        <w:rPr>
          <w:rFonts w:ascii="Times New Roman" w:hAnsi="Times New Roman" w:cs="Times New Roman"/>
          <w:sz w:val="24"/>
          <w:szCs w:val="24"/>
        </w:rPr>
        <w:t xml:space="preserve">Commonwealth legislation enabling such interference may </w:t>
      </w:r>
      <w:r w:rsidR="00A6192D" w:rsidRPr="00947B8F">
        <w:rPr>
          <w:rFonts w:ascii="Times New Roman" w:hAnsi="Times New Roman" w:cs="Times New Roman"/>
          <w:sz w:val="24"/>
          <w:szCs w:val="24"/>
        </w:rPr>
        <w:t>be beyond the powers granted to the Parliament under the Constitution. Even if the legislation is within power, it is likely to be invalid on the basis of breaching the freedom of religion provision of the Constitution which imposes limits on Commonwealth legislative power.</w:t>
      </w:r>
    </w:p>
    <w:p w14:paraId="7116F049" w14:textId="77777777" w:rsidR="00270633" w:rsidRPr="00947B8F" w:rsidRDefault="00270633" w:rsidP="00947B8F">
      <w:pPr>
        <w:spacing w:line="276" w:lineRule="auto"/>
        <w:rPr>
          <w:rFonts w:ascii="Times New Roman" w:hAnsi="Times New Roman" w:cs="Times New Roman"/>
          <w:sz w:val="24"/>
          <w:szCs w:val="24"/>
        </w:rPr>
      </w:pPr>
    </w:p>
    <w:p w14:paraId="46EFF618" w14:textId="0335DD46" w:rsidR="00270633" w:rsidRPr="00947B8F" w:rsidRDefault="00565684" w:rsidP="00947B8F">
      <w:pPr>
        <w:spacing w:line="276" w:lineRule="auto"/>
        <w:rPr>
          <w:rFonts w:ascii="Times New Roman" w:hAnsi="Times New Roman" w:cs="Times New Roman"/>
          <w:sz w:val="24"/>
          <w:szCs w:val="24"/>
        </w:rPr>
      </w:pPr>
      <w:r w:rsidRPr="2A4EBCE9">
        <w:rPr>
          <w:rFonts w:ascii="Times New Roman" w:hAnsi="Times New Roman" w:cs="Times New Roman"/>
          <w:b/>
          <w:bCs/>
          <w:sz w:val="24"/>
          <w:szCs w:val="24"/>
        </w:rPr>
        <w:t>Research Expertise</w:t>
      </w:r>
      <w:r w:rsidR="3055EEC5" w:rsidRPr="2A4EBCE9">
        <w:rPr>
          <w:rFonts w:ascii="Times New Roman" w:hAnsi="Times New Roman" w:cs="Times New Roman"/>
          <w:b/>
          <w:bCs/>
          <w:sz w:val="24"/>
          <w:szCs w:val="24"/>
        </w:rPr>
        <w:t xml:space="preserve"> - Deagon</w:t>
      </w:r>
    </w:p>
    <w:p w14:paraId="58879294" w14:textId="77777777" w:rsidR="001D10C4" w:rsidRPr="00947B8F" w:rsidRDefault="001D10C4" w:rsidP="00947B8F">
      <w:pPr>
        <w:spacing w:line="276" w:lineRule="auto"/>
        <w:rPr>
          <w:rFonts w:ascii="Times New Roman" w:hAnsi="Times New Roman" w:cs="Times New Roman"/>
          <w:sz w:val="24"/>
          <w:szCs w:val="24"/>
        </w:rPr>
      </w:pPr>
    </w:p>
    <w:p w14:paraId="7FB69B54" w14:textId="124DCFCE"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 xml:space="preserve">My name is Dr Alex Deagon. I am an Associate Professor in the School of Law at the Queensland University of Technology. I am a leading authority on religious freedom in Australia. In regard to this issue I have published </w:t>
      </w:r>
      <w:r w:rsidR="00404393" w:rsidRPr="00947B8F">
        <w:rPr>
          <w:rFonts w:ascii="Times New Roman" w:eastAsia="Times New Roman" w:hAnsi="Times New Roman" w:cs="Times New Roman"/>
          <w:sz w:val="24"/>
          <w:szCs w:val="24"/>
        </w:rPr>
        <w:t xml:space="preserve">a scholarly monograph, </w:t>
      </w:r>
      <w:r w:rsidRPr="00947B8F">
        <w:rPr>
          <w:rFonts w:ascii="Times New Roman" w:eastAsia="Times New Roman" w:hAnsi="Times New Roman" w:cs="Times New Roman"/>
          <w:sz w:val="24"/>
          <w:szCs w:val="24"/>
        </w:rPr>
        <w:t>peer-reviewed journal articles, presented at national and international conferences, and have written opinion pieces and provided expert commentary on religious freedom issues to the media</w:t>
      </w:r>
      <w:r w:rsidR="00043B3D">
        <w:rPr>
          <w:rFonts w:ascii="Times New Roman" w:eastAsia="Times New Roman" w:hAnsi="Times New Roman" w:cs="Times New Roman"/>
          <w:sz w:val="24"/>
          <w:szCs w:val="24"/>
        </w:rPr>
        <w:t xml:space="preserve"> and government </w:t>
      </w:r>
      <w:r w:rsidR="00C802D2">
        <w:rPr>
          <w:rFonts w:ascii="Times New Roman" w:eastAsia="Times New Roman" w:hAnsi="Times New Roman" w:cs="Times New Roman"/>
          <w:sz w:val="24"/>
          <w:szCs w:val="24"/>
        </w:rPr>
        <w:t>inquiries</w:t>
      </w:r>
      <w:r w:rsidRPr="00947B8F">
        <w:rPr>
          <w:rFonts w:ascii="Times New Roman" w:eastAsia="Times New Roman" w:hAnsi="Times New Roman" w:cs="Times New Roman"/>
          <w:sz w:val="24"/>
          <w:szCs w:val="24"/>
        </w:rPr>
        <w:t xml:space="preserve">. I am also the founding co-editor of the </w:t>
      </w:r>
      <w:r w:rsidRPr="00947B8F">
        <w:rPr>
          <w:rFonts w:ascii="Times New Roman" w:eastAsia="Times New Roman" w:hAnsi="Times New Roman" w:cs="Times New Roman"/>
          <w:i/>
          <w:iCs/>
          <w:sz w:val="24"/>
          <w:szCs w:val="24"/>
        </w:rPr>
        <w:t xml:space="preserve">Australian Journal of Law and </w:t>
      </w:r>
      <w:r w:rsidRPr="00947B8F">
        <w:rPr>
          <w:rFonts w:ascii="Times New Roman" w:eastAsia="Times New Roman" w:hAnsi="Times New Roman" w:cs="Times New Roman"/>
          <w:i/>
          <w:iCs/>
          <w:sz w:val="24"/>
          <w:szCs w:val="24"/>
        </w:rPr>
        <w:lastRenderedPageBreak/>
        <w:t>Religion</w:t>
      </w:r>
      <w:r w:rsidRPr="00947B8F">
        <w:rPr>
          <w:rFonts w:ascii="Times New Roman" w:eastAsia="Times New Roman" w:hAnsi="Times New Roman" w:cs="Times New Roman"/>
          <w:sz w:val="24"/>
          <w:szCs w:val="24"/>
        </w:rPr>
        <w:t xml:space="preserve">. Some relevant publications are listed below. My scholarly monograph on religious freedom and discrimination in Australia, the US and the UK, </w:t>
      </w:r>
      <w:r w:rsidR="003E7130" w:rsidRPr="00947B8F">
        <w:rPr>
          <w:rFonts w:ascii="Times New Roman" w:eastAsia="Times New Roman" w:hAnsi="Times New Roman" w:cs="Times New Roman"/>
          <w:sz w:val="24"/>
          <w:szCs w:val="24"/>
        </w:rPr>
        <w:t>was</w:t>
      </w:r>
      <w:r w:rsidRPr="00947B8F">
        <w:rPr>
          <w:rFonts w:ascii="Times New Roman" w:eastAsia="Times New Roman" w:hAnsi="Times New Roman" w:cs="Times New Roman"/>
          <w:sz w:val="24"/>
          <w:szCs w:val="24"/>
        </w:rPr>
        <w:t xml:space="preserve"> published in February 2023 with Hart Publishing, Oxford, a legal publisher of international repute. I draw on this monograph, my below publications, and my previous submissions for this submission. For a full catalogue of my experience and publications in this area, please see </w:t>
      </w:r>
      <w:hyperlink r:id="rId12" w:history="1">
        <w:r w:rsidRPr="00947B8F">
          <w:rPr>
            <w:rStyle w:val="Hyperlink"/>
            <w:rFonts w:ascii="Times New Roman" w:eastAsia="Times New Roman" w:hAnsi="Times New Roman" w:cs="Times New Roman"/>
            <w:sz w:val="24"/>
            <w:szCs w:val="24"/>
          </w:rPr>
          <w:t>https://staff.qut.edu.au/staff/alex.deagon</w:t>
        </w:r>
      </w:hyperlink>
      <w:r w:rsidRPr="00947B8F">
        <w:rPr>
          <w:rFonts w:ascii="Times New Roman" w:eastAsia="Times New Roman" w:hAnsi="Times New Roman" w:cs="Times New Roman"/>
          <w:sz w:val="24"/>
          <w:szCs w:val="24"/>
        </w:rPr>
        <w:t xml:space="preserve">. </w:t>
      </w:r>
    </w:p>
    <w:p w14:paraId="1B71CF51"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p>
    <w:p w14:paraId="782B1C2E" w14:textId="0638E4C4"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A Principled Framework for the Autonomy of Religious Communities: Reconciling Freedom and Discrimination</w:t>
      </w:r>
      <w:r w:rsidRPr="00947B8F">
        <w:rPr>
          <w:rFonts w:ascii="Times New Roman" w:hAnsi="Times New Roman" w:cs="Times New Roman"/>
          <w:sz w:val="24"/>
          <w:szCs w:val="24"/>
        </w:rPr>
        <w:t>, Hart Publishing, Oxford, UK; 2023.</w:t>
      </w:r>
    </w:p>
    <w:p w14:paraId="5C14845D" w14:textId="1A26BE73" w:rsidR="00D81E26" w:rsidRPr="00947B8F" w:rsidRDefault="00D81E26"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eastAsia="Times New Roman" w:hAnsi="Times New Roman" w:cs="Times New Roman"/>
          <w:color w:val="000000" w:themeColor="text1"/>
          <w:sz w:val="24"/>
          <w:szCs w:val="24"/>
          <w:u w:val="single"/>
        </w:rPr>
        <w:t>Circumventing Section 116 Through ‘Indirect or Devious Means’: Freedom of Religion and the Boundaries of Executive Power</w:t>
      </w:r>
      <w:r w:rsidRPr="00947B8F">
        <w:rPr>
          <w:rFonts w:ascii="Times New Roman" w:eastAsia="Times New Roman" w:hAnsi="Times New Roman" w:cs="Times New Roman"/>
          <w:color w:val="000000" w:themeColor="text1"/>
          <w:sz w:val="24"/>
          <w:szCs w:val="24"/>
        </w:rPr>
        <w:t xml:space="preserve"> (2024) </w:t>
      </w:r>
      <w:r w:rsidRPr="00947B8F">
        <w:rPr>
          <w:rFonts w:ascii="Times New Roman" w:eastAsia="Times New Roman" w:hAnsi="Times New Roman" w:cs="Times New Roman"/>
          <w:i/>
          <w:iCs/>
          <w:color w:val="000000" w:themeColor="text1"/>
          <w:sz w:val="24"/>
          <w:szCs w:val="24"/>
        </w:rPr>
        <w:t>Federal Law Review</w:t>
      </w:r>
      <w:r w:rsidRPr="00947B8F">
        <w:rPr>
          <w:rFonts w:ascii="Times New Roman" w:eastAsia="Times New Roman" w:hAnsi="Times New Roman" w:cs="Times New Roman"/>
          <w:color w:val="000000" w:themeColor="text1"/>
          <w:sz w:val="24"/>
          <w:szCs w:val="24"/>
        </w:rPr>
        <w:t xml:space="preserve"> (forthcoming). (with Benjamin Saunders)</w:t>
      </w:r>
    </w:p>
    <w:p w14:paraId="4BD14CEF" w14:textId="4A7EEE63" w:rsidR="00A93C2E" w:rsidRPr="00947B8F" w:rsidRDefault="00A93C2E"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Creating Peaceful Coexistence through Virtue: A Theological Approach to Institutional Religious Freedom, Equality and the First Amendment</w:t>
      </w:r>
      <w:r w:rsidRPr="00947B8F">
        <w:rPr>
          <w:rFonts w:ascii="Times New Roman" w:hAnsi="Times New Roman" w:cs="Times New Roman"/>
          <w:sz w:val="24"/>
          <w:szCs w:val="24"/>
        </w:rPr>
        <w:t xml:space="preserve"> (2024) 61 </w:t>
      </w:r>
      <w:r w:rsidRPr="00947B8F">
        <w:rPr>
          <w:rFonts w:ascii="Times New Roman" w:hAnsi="Times New Roman" w:cs="Times New Roman"/>
          <w:i/>
          <w:iCs/>
          <w:sz w:val="24"/>
          <w:szCs w:val="24"/>
        </w:rPr>
        <w:t>Journal of Catholic Legal Studies</w:t>
      </w:r>
      <w:r w:rsidRPr="00947B8F">
        <w:rPr>
          <w:rFonts w:ascii="Times New Roman" w:hAnsi="Times New Roman" w:cs="Times New Roman"/>
          <w:sz w:val="24"/>
          <w:szCs w:val="24"/>
        </w:rPr>
        <w:t xml:space="preserve"> (forthcoming).</w:t>
      </w:r>
    </w:p>
    <w:p w14:paraId="28E51509" w14:textId="3DE95D40"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 xml:space="preserve">Reconciling Freedom and Equality for Peaceful Coexistence: On the Need to Reframe the Exemptions in the </w:t>
      </w:r>
      <w:r w:rsidRPr="00947B8F">
        <w:rPr>
          <w:rFonts w:ascii="Times New Roman" w:hAnsi="Times New Roman" w:cs="Times New Roman"/>
          <w:i/>
          <w:iCs/>
          <w:sz w:val="24"/>
          <w:szCs w:val="24"/>
          <w:u w:val="single"/>
        </w:rPr>
        <w:t>Sex Discrimination Act</w:t>
      </w:r>
      <w:r w:rsidRPr="00947B8F">
        <w:rPr>
          <w:rFonts w:ascii="Times New Roman" w:hAnsi="Times New Roman" w:cs="Times New Roman"/>
          <w:sz w:val="24"/>
          <w:szCs w:val="24"/>
        </w:rPr>
        <w:t xml:space="preserve"> (2023) </w:t>
      </w:r>
      <w:r w:rsidR="00A93C2E" w:rsidRPr="00947B8F">
        <w:rPr>
          <w:rFonts w:ascii="Times New Roman" w:hAnsi="Times New Roman" w:cs="Times New Roman"/>
          <w:sz w:val="24"/>
          <w:szCs w:val="24"/>
        </w:rPr>
        <w:t>2</w:t>
      </w:r>
      <w:r w:rsidRPr="00947B8F">
        <w:rPr>
          <w:rFonts w:ascii="Times New Roman" w:hAnsi="Times New Roman" w:cs="Times New Roman"/>
          <w:sz w:val="24"/>
          <w:szCs w:val="24"/>
        </w:rPr>
        <w:t xml:space="preserve"> </w:t>
      </w:r>
      <w:r w:rsidRPr="00947B8F">
        <w:rPr>
          <w:rFonts w:ascii="Times New Roman" w:hAnsi="Times New Roman" w:cs="Times New Roman"/>
          <w:i/>
          <w:iCs/>
          <w:sz w:val="24"/>
          <w:szCs w:val="24"/>
        </w:rPr>
        <w:t>Australian Journal of Law and Religion</w:t>
      </w:r>
      <w:r w:rsidRPr="00947B8F">
        <w:rPr>
          <w:rFonts w:ascii="Times New Roman" w:hAnsi="Times New Roman" w:cs="Times New Roman"/>
          <w:sz w:val="24"/>
          <w:szCs w:val="24"/>
        </w:rPr>
        <w:t xml:space="preserve"> </w:t>
      </w:r>
      <w:r w:rsidR="005C1548" w:rsidRPr="00947B8F">
        <w:rPr>
          <w:rFonts w:ascii="Times New Roman" w:hAnsi="Times New Roman" w:cs="Times New Roman"/>
          <w:sz w:val="24"/>
          <w:szCs w:val="24"/>
        </w:rPr>
        <w:t>20-35</w:t>
      </w:r>
      <w:r w:rsidRPr="00947B8F">
        <w:rPr>
          <w:rFonts w:ascii="Times New Roman" w:hAnsi="Times New Roman" w:cs="Times New Roman"/>
          <w:sz w:val="24"/>
          <w:szCs w:val="24"/>
        </w:rPr>
        <w:t>.</w:t>
      </w:r>
    </w:p>
    <w:p w14:paraId="70E81653"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The Influence of Secularism on Free Exercise Jurisprudence: Contrasting US and Australian Interpretations</w:t>
      </w:r>
      <w:r w:rsidRPr="00947B8F">
        <w:rPr>
          <w:rFonts w:ascii="Times New Roman" w:hAnsi="Times New Roman" w:cs="Times New Roman"/>
          <w:sz w:val="24"/>
          <w:szCs w:val="24"/>
        </w:rPr>
        <w:t xml:space="preserve"> (2022) 13 </w:t>
      </w:r>
      <w:r w:rsidRPr="00947B8F">
        <w:rPr>
          <w:rFonts w:ascii="Times New Roman" w:hAnsi="Times New Roman" w:cs="Times New Roman"/>
          <w:i/>
          <w:iCs/>
          <w:sz w:val="24"/>
          <w:szCs w:val="24"/>
        </w:rPr>
        <w:t>International Journal of Religious Freedom</w:t>
      </w:r>
      <w:r w:rsidRPr="00947B8F">
        <w:rPr>
          <w:rFonts w:ascii="Times New Roman" w:hAnsi="Times New Roman" w:cs="Times New Roman"/>
          <w:sz w:val="24"/>
          <w:szCs w:val="24"/>
        </w:rPr>
        <w:t xml:space="preserve"> 123-137.</w:t>
      </w:r>
    </w:p>
    <w:p w14:paraId="12AD6F42"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The Religious Questions Doctrine: Addressing (Secular) Judicial Incompetence</w:t>
      </w:r>
      <w:r w:rsidRPr="00947B8F">
        <w:rPr>
          <w:rFonts w:ascii="Times New Roman" w:hAnsi="Times New Roman" w:cs="Times New Roman"/>
          <w:sz w:val="24"/>
          <w:szCs w:val="24"/>
        </w:rPr>
        <w:t xml:space="preserve"> (2021) 47(1) </w:t>
      </w:r>
      <w:r w:rsidRPr="00947B8F">
        <w:rPr>
          <w:rFonts w:ascii="Times New Roman" w:hAnsi="Times New Roman" w:cs="Times New Roman"/>
          <w:i/>
          <w:iCs/>
          <w:sz w:val="24"/>
          <w:szCs w:val="24"/>
        </w:rPr>
        <w:t>Monash University Law Review</w:t>
      </w:r>
      <w:r w:rsidRPr="00947B8F">
        <w:rPr>
          <w:rFonts w:ascii="Times New Roman" w:hAnsi="Times New Roman" w:cs="Times New Roman"/>
          <w:sz w:val="24"/>
          <w:szCs w:val="24"/>
        </w:rPr>
        <w:t xml:space="preserve"> 60-87.</w:t>
      </w:r>
    </w:p>
    <w:p w14:paraId="2291E941"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Religion and the Constitution: A Response to Luke Beck’s Safeguard Against Religious Intolerance Theory of Section 116</w:t>
      </w:r>
      <w:r w:rsidRPr="00947B8F">
        <w:rPr>
          <w:rFonts w:ascii="Times New Roman" w:hAnsi="Times New Roman" w:cs="Times New Roman"/>
          <w:sz w:val="24"/>
          <w:szCs w:val="24"/>
        </w:rPr>
        <w:t xml:space="preserve"> (2021) 44(4) </w:t>
      </w:r>
      <w:r w:rsidRPr="00947B8F">
        <w:rPr>
          <w:rFonts w:ascii="Times New Roman" w:hAnsi="Times New Roman" w:cs="Times New Roman"/>
          <w:i/>
          <w:sz w:val="24"/>
          <w:szCs w:val="24"/>
        </w:rPr>
        <w:t>UNSW Law Journal</w:t>
      </w:r>
      <w:r w:rsidRPr="00947B8F">
        <w:rPr>
          <w:rFonts w:ascii="Times New Roman" w:hAnsi="Times New Roman" w:cs="Times New Roman"/>
          <w:sz w:val="24"/>
          <w:szCs w:val="24"/>
        </w:rPr>
        <w:t xml:space="preserve"> 1558-1583. (with Benjamin Saunders)</w:t>
      </w:r>
    </w:p>
    <w:p w14:paraId="52AE37E2"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State (non-)Neutrality and Conceptions of Religious Freedom</w:t>
      </w:r>
      <w:r w:rsidRPr="00947B8F">
        <w:rPr>
          <w:rFonts w:ascii="Times New Roman" w:hAnsi="Times New Roman" w:cs="Times New Roman"/>
          <w:sz w:val="24"/>
          <w:szCs w:val="24"/>
        </w:rPr>
        <w:t xml:space="preserve"> in Jasper </w:t>
      </w:r>
      <w:proofErr w:type="spellStart"/>
      <w:r w:rsidRPr="00947B8F">
        <w:rPr>
          <w:rFonts w:ascii="Times New Roman" w:hAnsi="Times New Roman" w:cs="Times New Roman"/>
          <w:sz w:val="24"/>
          <w:szCs w:val="24"/>
        </w:rPr>
        <w:t>Doomen</w:t>
      </w:r>
      <w:proofErr w:type="spellEnd"/>
      <w:r w:rsidRPr="00947B8F">
        <w:rPr>
          <w:rFonts w:ascii="Times New Roman" w:hAnsi="Times New Roman" w:cs="Times New Roman"/>
          <w:sz w:val="24"/>
          <w:szCs w:val="24"/>
        </w:rPr>
        <w:t xml:space="preserve"> and Mirjam van Schaik (eds) </w:t>
      </w:r>
      <w:r w:rsidRPr="00947B8F">
        <w:rPr>
          <w:rFonts w:ascii="Times New Roman" w:hAnsi="Times New Roman" w:cs="Times New Roman"/>
          <w:i/>
          <w:sz w:val="24"/>
          <w:szCs w:val="24"/>
        </w:rPr>
        <w:t>Religious Ideas in Liberal Democratic States</w:t>
      </w:r>
      <w:r w:rsidRPr="00947B8F">
        <w:rPr>
          <w:rFonts w:ascii="Times New Roman" w:hAnsi="Times New Roman" w:cs="Times New Roman"/>
          <w:sz w:val="24"/>
          <w:szCs w:val="24"/>
        </w:rPr>
        <w:t xml:space="preserve"> (Rowman &amp; Littlefield, 2021) 65-85.</w:t>
      </w:r>
    </w:p>
    <w:p w14:paraId="00A2A7B5"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Is Religious Liberty Loving in Principle?</w:t>
      </w:r>
      <w:r w:rsidRPr="00947B8F">
        <w:rPr>
          <w:rFonts w:ascii="Times New Roman" w:hAnsi="Times New Roman" w:cs="Times New Roman"/>
          <w:sz w:val="24"/>
          <w:szCs w:val="24"/>
        </w:rPr>
        <w:t xml:space="preserve"> in Michael Quinlan (ed) </w:t>
      </w:r>
      <w:r w:rsidRPr="00947B8F">
        <w:rPr>
          <w:rFonts w:ascii="Times New Roman" w:hAnsi="Times New Roman" w:cs="Times New Roman"/>
          <w:i/>
          <w:sz w:val="24"/>
          <w:szCs w:val="24"/>
        </w:rPr>
        <w:t xml:space="preserve">Inclusion, Exclusion and Religious Freedom in Contemporary Australia </w:t>
      </w:r>
      <w:r w:rsidRPr="00947B8F">
        <w:rPr>
          <w:rFonts w:ascii="Times New Roman" w:hAnsi="Times New Roman" w:cs="Times New Roman"/>
          <w:sz w:val="24"/>
          <w:szCs w:val="24"/>
        </w:rPr>
        <w:t>(Connor Court Publishing, 2021) 17-47.</w:t>
      </w:r>
    </w:p>
    <w:p w14:paraId="7B086C9E"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Principles, Pragmatism and Power: Another Look at the Historical Context of Section 116</w:t>
      </w:r>
      <w:r w:rsidRPr="00947B8F">
        <w:rPr>
          <w:rFonts w:ascii="Times New Roman" w:hAnsi="Times New Roman" w:cs="Times New Roman"/>
          <w:sz w:val="24"/>
          <w:szCs w:val="24"/>
        </w:rPr>
        <w:t xml:space="preserve"> (2020) 43(3) </w:t>
      </w:r>
      <w:r w:rsidRPr="00947B8F">
        <w:rPr>
          <w:rFonts w:ascii="Times New Roman" w:hAnsi="Times New Roman" w:cs="Times New Roman"/>
          <w:i/>
          <w:sz w:val="24"/>
          <w:szCs w:val="24"/>
        </w:rPr>
        <w:t>Melbourne University Law Review</w:t>
      </w:r>
      <w:r w:rsidRPr="00947B8F">
        <w:rPr>
          <w:rFonts w:ascii="Times New Roman" w:hAnsi="Times New Roman" w:cs="Times New Roman"/>
          <w:sz w:val="24"/>
          <w:szCs w:val="24"/>
        </w:rPr>
        <w:t xml:space="preserve"> 1033-1068. (with Benjamin Saunders)</w:t>
      </w:r>
    </w:p>
    <w:p w14:paraId="0D3BED80"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Equal Voice Liberalism and Free Public Religion: Some Legal Implications</w:t>
      </w:r>
      <w:r w:rsidRPr="00947B8F">
        <w:rPr>
          <w:rFonts w:ascii="Times New Roman" w:hAnsi="Times New Roman" w:cs="Times New Roman"/>
          <w:sz w:val="24"/>
          <w:szCs w:val="24"/>
        </w:rPr>
        <w:t xml:space="preserve"> in Michael Quinlan, Iain Benson and Keith Thompson (eds) </w:t>
      </w:r>
      <w:r w:rsidRPr="00947B8F">
        <w:rPr>
          <w:rFonts w:ascii="Times New Roman" w:hAnsi="Times New Roman" w:cs="Times New Roman"/>
          <w:i/>
          <w:sz w:val="24"/>
          <w:szCs w:val="24"/>
        </w:rPr>
        <w:t xml:space="preserve">Religious Freedom in Australia: A new </w:t>
      </w:r>
      <w:r w:rsidRPr="00947B8F">
        <w:rPr>
          <w:rFonts w:ascii="Times New Roman" w:hAnsi="Times New Roman" w:cs="Times New Roman"/>
          <w:sz w:val="24"/>
          <w:szCs w:val="24"/>
        </w:rPr>
        <w:t>Terra Nullius</w:t>
      </w:r>
      <w:r w:rsidRPr="00947B8F">
        <w:rPr>
          <w:rFonts w:ascii="Times New Roman" w:hAnsi="Times New Roman" w:cs="Times New Roman"/>
          <w:i/>
          <w:sz w:val="24"/>
          <w:szCs w:val="24"/>
        </w:rPr>
        <w:t>?</w:t>
      </w:r>
      <w:r w:rsidRPr="00947B8F">
        <w:rPr>
          <w:rFonts w:ascii="Times New Roman" w:hAnsi="Times New Roman" w:cs="Times New Roman"/>
          <w:sz w:val="24"/>
          <w:szCs w:val="24"/>
        </w:rPr>
        <w:t xml:space="preserve"> (Connor Court Publishing, 2019) 292-332.</w:t>
      </w:r>
    </w:p>
    <w:p w14:paraId="4F130F81"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A Christian Framework for Religious Diversity in Political Discourse</w:t>
      </w:r>
      <w:r w:rsidRPr="00947B8F">
        <w:rPr>
          <w:rFonts w:ascii="Times New Roman" w:hAnsi="Times New Roman" w:cs="Times New Roman"/>
          <w:sz w:val="24"/>
          <w:szCs w:val="24"/>
        </w:rPr>
        <w:t xml:space="preserve"> in Michael Quinlan, Iain Benson and Keith Thompson (eds) </w:t>
      </w:r>
      <w:r w:rsidRPr="00947B8F">
        <w:rPr>
          <w:rFonts w:ascii="Times New Roman" w:hAnsi="Times New Roman" w:cs="Times New Roman"/>
          <w:i/>
          <w:sz w:val="24"/>
          <w:szCs w:val="24"/>
        </w:rPr>
        <w:t xml:space="preserve">Religious Freedom in Australia: A new </w:t>
      </w:r>
      <w:r w:rsidRPr="00947B8F">
        <w:rPr>
          <w:rFonts w:ascii="Times New Roman" w:hAnsi="Times New Roman" w:cs="Times New Roman"/>
          <w:sz w:val="24"/>
          <w:szCs w:val="24"/>
        </w:rPr>
        <w:t>Terra Nullius</w:t>
      </w:r>
      <w:r w:rsidRPr="00947B8F">
        <w:rPr>
          <w:rFonts w:ascii="Times New Roman" w:hAnsi="Times New Roman" w:cs="Times New Roman"/>
          <w:i/>
          <w:sz w:val="24"/>
          <w:szCs w:val="24"/>
        </w:rPr>
        <w:t>?</w:t>
      </w:r>
      <w:r w:rsidRPr="00947B8F">
        <w:rPr>
          <w:rFonts w:ascii="Times New Roman" w:hAnsi="Times New Roman" w:cs="Times New Roman"/>
          <w:sz w:val="24"/>
          <w:szCs w:val="24"/>
        </w:rPr>
        <w:t xml:space="preserve"> (Connor Court Publishing, 2019) 130-162.</w:t>
      </w:r>
    </w:p>
    <w:p w14:paraId="2946B70F"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Religious Schools, Religious Vendors and Refusing Services After Ruddock: Diversity or Discrimination?</w:t>
      </w:r>
      <w:r w:rsidRPr="00947B8F">
        <w:rPr>
          <w:rFonts w:ascii="Times New Roman" w:hAnsi="Times New Roman" w:cs="Times New Roman"/>
          <w:sz w:val="24"/>
          <w:szCs w:val="24"/>
        </w:rPr>
        <w:t xml:space="preserve"> (2019) 93(9) </w:t>
      </w:r>
      <w:r w:rsidRPr="00947B8F">
        <w:rPr>
          <w:rFonts w:ascii="Times New Roman" w:hAnsi="Times New Roman" w:cs="Times New Roman"/>
          <w:i/>
          <w:sz w:val="24"/>
          <w:szCs w:val="24"/>
        </w:rPr>
        <w:t>Australian Law Journal</w:t>
      </w:r>
      <w:r w:rsidRPr="00947B8F">
        <w:rPr>
          <w:rFonts w:ascii="Times New Roman" w:hAnsi="Times New Roman" w:cs="Times New Roman"/>
          <w:sz w:val="24"/>
          <w:szCs w:val="24"/>
        </w:rPr>
        <w:t xml:space="preserve"> 766-777.</w:t>
      </w:r>
    </w:p>
    <w:p w14:paraId="18E98335"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lastRenderedPageBreak/>
        <w:t>Maintaining Religious Freedom for Religious Schools: Options for Legal Protection after the Ruddock Review</w:t>
      </w:r>
      <w:r w:rsidRPr="00947B8F">
        <w:rPr>
          <w:rFonts w:ascii="Times New Roman" w:hAnsi="Times New Roman" w:cs="Times New Roman"/>
          <w:sz w:val="24"/>
          <w:szCs w:val="24"/>
        </w:rPr>
        <w:t xml:space="preserve"> (2019) 247(1) </w:t>
      </w:r>
      <w:r w:rsidRPr="00947B8F">
        <w:rPr>
          <w:rFonts w:ascii="Times New Roman" w:hAnsi="Times New Roman" w:cs="Times New Roman"/>
          <w:i/>
          <w:sz w:val="24"/>
          <w:szCs w:val="24"/>
        </w:rPr>
        <w:t>St Mark’s Review: A Journal of Christian Thought and Opinion</w:t>
      </w:r>
      <w:r w:rsidRPr="00947B8F">
        <w:rPr>
          <w:rFonts w:ascii="Times New Roman" w:hAnsi="Times New Roman" w:cs="Times New Roman"/>
          <w:sz w:val="24"/>
          <w:szCs w:val="24"/>
        </w:rPr>
        <w:t xml:space="preserve"> 40-61.</w:t>
      </w:r>
    </w:p>
    <w:p w14:paraId="515B4A0A" w14:textId="77777777" w:rsidR="001D10C4" w:rsidRPr="00947B8F" w:rsidRDefault="001D10C4" w:rsidP="00947B8F">
      <w:pPr>
        <w:pStyle w:val="ListParagraph"/>
        <w:numPr>
          <w:ilvl w:val="0"/>
          <w:numId w:val="1"/>
        </w:numPr>
        <w:spacing w:after="200" w:line="276" w:lineRule="auto"/>
        <w:rPr>
          <w:rFonts w:ascii="Times New Roman" w:hAnsi="Times New Roman" w:cs="Times New Roman"/>
          <w:b/>
          <w:sz w:val="24"/>
          <w:szCs w:val="24"/>
        </w:rPr>
      </w:pPr>
      <w:r w:rsidRPr="00947B8F">
        <w:rPr>
          <w:rFonts w:ascii="Times New Roman" w:hAnsi="Times New Roman" w:cs="Times New Roman"/>
          <w:sz w:val="24"/>
          <w:szCs w:val="24"/>
          <w:u w:val="single"/>
        </w:rPr>
        <w:t>Liberal Secularism and Religious Freedom in the Public Space: Reforming Political Discourse</w:t>
      </w:r>
      <w:r w:rsidRPr="00947B8F">
        <w:rPr>
          <w:rFonts w:ascii="Times New Roman" w:hAnsi="Times New Roman" w:cs="Times New Roman"/>
          <w:sz w:val="24"/>
          <w:szCs w:val="24"/>
        </w:rPr>
        <w:t xml:space="preserve"> (2018) 41(3) </w:t>
      </w:r>
      <w:r w:rsidRPr="00947B8F">
        <w:rPr>
          <w:rFonts w:ascii="Times New Roman" w:hAnsi="Times New Roman" w:cs="Times New Roman"/>
          <w:i/>
          <w:sz w:val="24"/>
          <w:szCs w:val="24"/>
        </w:rPr>
        <w:t>Harvard Journal of Law and Public Policy</w:t>
      </w:r>
      <w:r w:rsidRPr="00947B8F">
        <w:rPr>
          <w:rFonts w:ascii="Times New Roman" w:hAnsi="Times New Roman" w:cs="Times New Roman"/>
          <w:sz w:val="24"/>
          <w:szCs w:val="24"/>
        </w:rPr>
        <w:t xml:space="preserve"> 901-934. </w:t>
      </w:r>
    </w:p>
    <w:p w14:paraId="36344DE8"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Liberal Assumptions in Section 116 Cases and Implications for Religious Freedom</w:t>
      </w:r>
      <w:r w:rsidRPr="00947B8F">
        <w:rPr>
          <w:rFonts w:ascii="Times New Roman" w:hAnsi="Times New Roman" w:cs="Times New Roman"/>
          <w:sz w:val="24"/>
          <w:szCs w:val="24"/>
        </w:rPr>
        <w:t xml:space="preserve"> (2018) 46(1) </w:t>
      </w:r>
      <w:r w:rsidRPr="00947B8F">
        <w:rPr>
          <w:rFonts w:ascii="Times New Roman" w:hAnsi="Times New Roman" w:cs="Times New Roman"/>
          <w:i/>
          <w:sz w:val="24"/>
          <w:szCs w:val="24"/>
        </w:rPr>
        <w:t>Federal Law Review</w:t>
      </w:r>
      <w:r w:rsidRPr="00947B8F">
        <w:rPr>
          <w:rFonts w:ascii="Times New Roman" w:hAnsi="Times New Roman" w:cs="Times New Roman"/>
          <w:sz w:val="24"/>
          <w:szCs w:val="24"/>
        </w:rPr>
        <w:t xml:space="preserve"> 113-137. </w:t>
      </w:r>
    </w:p>
    <w:p w14:paraId="0F9D82D1" w14:textId="77777777" w:rsidR="001D10C4" w:rsidRPr="00947B8F" w:rsidRDefault="001D10C4" w:rsidP="00947B8F">
      <w:pPr>
        <w:pStyle w:val="ListParagraph"/>
        <w:numPr>
          <w:ilvl w:val="0"/>
          <w:numId w:val="1"/>
        </w:numPr>
        <w:spacing w:after="200" w:line="276" w:lineRule="auto"/>
        <w:rPr>
          <w:rFonts w:ascii="Times New Roman" w:hAnsi="Times New Roman" w:cs="Times New Roman"/>
          <w:sz w:val="24"/>
          <w:szCs w:val="24"/>
        </w:rPr>
      </w:pPr>
      <w:r w:rsidRPr="00947B8F">
        <w:rPr>
          <w:rFonts w:ascii="Times New Roman" w:hAnsi="Times New Roman" w:cs="Times New Roman"/>
          <w:sz w:val="24"/>
          <w:szCs w:val="24"/>
          <w:u w:val="single"/>
        </w:rPr>
        <w:t>Defining the Interface of Freedom and Discrimination: Exercising Religion, Democracy and Same-Sex Marriage</w:t>
      </w:r>
      <w:r w:rsidRPr="00947B8F">
        <w:rPr>
          <w:rFonts w:ascii="Times New Roman" w:hAnsi="Times New Roman" w:cs="Times New Roman"/>
          <w:sz w:val="24"/>
          <w:szCs w:val="24"/>
        </w:rPr>
        <w:t xml:space="preserve"> (2017) 20 </w:t>
      </w:r>
      <w:r w:rsidRPr="00947B8F">
        <w:rPr>
          <w:rFonts w:ascii="Times New Roman" w:hAnsi="Times New Roman" w:cs="Times New Roman"/>
          <w:i/>
          <w:sz w:val="24"/>
          <w:szCs w:val="24"/>
        </w:rPr>
        <w:t>International Trade and Business Law Review</w:t>
      </w:r>
      <w:r w:rsidRPr="00947B8F">
        <w:rPr>
          <w:rFonts w:ascii="Times New Roman" w:hAnsi="Times New Roman" w:cs="Times New Roman"/>
          <w:sz w:val="24"/>
          <w:szCs w:val="24"/>
        </w:rPr>
        <w:t xml:space="preserve"> 239-286.</w:t>
      </w:r>
    </w:p>
    <w:p w14:paraId="28B054FC"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p>
    <w:p w14:paraId="0FB8FED9"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 xml:space="preserve">I have also contributed significantly to religious freedom law and policy in Australia.  My submissions have been cited in multiple Commonwealth Government reviews and inquiries.  The Australian Law Reform Commission Freedoms Inquiry (2015) agreed with and adopted my submission that religious speech might be protected by both Section 116 and the implied freedom of political communication (p 134).  The Australian Senate Select Committee Inquiry into the Exposure Draft of the Marriage Amendment (Same-Sex Marriage) Bill (2016) extensively quoted me and relied on my written submissions and expert evidence in relation to religious freedom (2.88, 2.90), which helped inform the national debate and government policy on religious freedom protections during the process of legalising same-sex marriage.  I was also invited to give expert evidence on the legal foundations for religious freedom in Australia, and contemporary challenges, to the Joint Standing Committee on Foreign Affairs, Defence and Trade (Human Rights Sub-Committee) Inquiry into the status of the human right to freedom of religion or belief (2017).  </w:t>
      </w:r>
    </w:p>
    <w:p w14:paraId="47158041"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p>
    <w:p w14:paraId="1EE62B03"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 xml:space="preserve">This Inquiry released an Interim Report in November 2017.  The Report extensively cited and relied on my written and oral submissions in relation to interpretation of the free exercise clause in s 116 of the Constitution, and the tension between religious freedom and anti-discrimination law.  For example, the Inquiry adopted my positive characterisation of the High Court’s definition of religion and accepted that definition (p 16), agreed with my submission that the constitutional protection of free exercise extends to individuals (p 20), and relied on my submission as the leading view on how the free exercise clause has been interpreted narrowly (p 32).  The Report further relied on my submission as the leading authority on the tension between religious freedom and anti-discrimination (p 76).  The Report specifically relied on my submissions to clarify the nature and limits of any religious freedom protections, including draft proposals for legislation (pp 79, 86).  Based on a written submission I was also invited to appear before the Ruddock Religious Freedom Review Panel (2018) to give expert oral evidence, one of only 21 academics around Australia to appear. </w:t>
      </w:r>
    </w:p>
    <w:p w14:paraId="7F0CCD0E"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p>
    <w:p w14:paraId="2923906B"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 xml:space="preserve">After the release of the Ruddock Review, Senator Penny Wong moved a bill to remove religious exemptions for religious schools in the Sex Discrimination Act, which gave rise to two Senate inquiries. First, I made a written submission to the Legal and Constitutional </w:t>
      </w:r>
      <w:r w:rsidRPr="00947B8F">
        <w:rPr>
          <w:rFonts w:ascii="Times New Roman" w:eastAsia="Times New Roman" w:hAnsi="Times New Roman" w:cs="Times New Roman"/>
          <w:sz w:val="24"/>
          <w:szCs w:val="24"/>
        </w:rPr>
        <w:lastRenderedPageBreak/>
        <w:t xml:space="preserve">Affairs References Committee Inquiry on Religious Exemptions for Religious Educational Institutions (2018). The Committee released their report on 26th November 2018, which consisted of a majority report (ALP/Greens) and a dissenting report (Coalition). I was cited by the majority report in relation to potential constitutional issues with any attempt to remove religious exemptions in Commonwealth legislation. In particular, the majority report noted my argument that removing religious exemptions in Commonwealth law would breach s 116 of the Constitution (p 26). I was cited extensively by the dissenting report on similar constitutional issues, as well as to support arguments regarding the need for the religious freedom of religious educational institutions to be maintained and substantively protected. </w:t>
      </w:r>
    </w:p>
    <w:p w14:paraId="546815F0"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p>
    <w:p w14:paraId="381E7373"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 xml:space="preserve">The dissenting report extensively quoted and relied on my arguments that the harm against religious educators is greater if the exemptions were removed than the harm against those discriminated against if they are retained (p 64), that international law requires legal protection for faith-based schools to positively select staff who uphold the ethos of the school (p 68), that religious freedom requires the protection of minority beliefs from the prevailing orthodoxy of uniform equality (pp 69-70), that removing exemptions actually promotes inequality by failing to take into account due accommodations for religious entities disproportionately targeted by equality legislation (pp 72-73), that removing religious exemptions in Commonwealth law for religious educational institutions would breach s 116 by prohibiting the free exercise of religion (pp 81-82), that withdrawing state support of religious educational institutions would limit pluralism and undermine democracy (p 83), and that religious educational institutions need legal protection to maintain the distinct and unique religious ethos which undergirds their approach to education (p 93). The dissenting report further quoted from two citations in my submission: The dissent in the Canadian Trinity Western University case (2018) which noted that the accommodation of difference serves the public interest (p 84), and a quote from Professor Nicholas </w:t>
      </w:r>
      <w:proofErr w:type="spellStart"/>
      <w:r w:rsidRPr="00947B8F">
        <w:rPr>
          <w:rFonts w:ascii="Times New Roman" w:eastAsia="Times New Roman" w:hAnsi="Times New Roman" w:cs="Times New Roman"/>
          <w:sz w:val="24"/>
          <w:szCs w:val="24"/>
        </w:rPr>
        <w:t>Aroney</w:t>
      </w:r>
      <w:proofErr w:type="spellEnd"/>
      <w:r w:rsidRPr="00947B8F">
        <w:rPr>
          <w:rFonts w:ascii="Times New Roman" w:eastAsia="Times New Roman" w:hAnsi="Times New Roman" w:cs="Times New Roman"/>
          <w:sz w:val="24"/>
          <w:szCs w:val="24"/>
        </w:rPr>
        <w:t xml:space="preserve"> expressing religious practice as broader than just belief and worship; it also includes social, cultural, commercial, educational, medical and charitable activities (p 92). I was also quoted by Government Minister Senator Zed </w:t>
      </w:r>
      <w:proofErr w:type="spellStart"/>
      <w:r w:rsidRPr="00947B8F">
        <w:rPr>
          <w:rFonts w:ascii="Times New Roman" w:eastAsia="Times New Roman" w:hAnsi="Times New Roman" w:cs="Times New Roman"/>
          <w:sz w:val="24"/>
          <w:szCs w:val="24"/>
        </w:rPr>
        <w:t>Seselja</w:t>
      </w:r>
      <w:proofErr w:type="spellEnd"/>
      <w:r w:rsidRPr="00947B8F">
        <w:rPr>
          <w:rFonts w:ascii="Times New Roman" w:eastAsia="Times New Roman" w:hAnsi="Times New Roman" w:cs="Times New Roman"/>
          <w:sz w:val="24"/>
          <w:szCs w:val="24"/>
        </w:rPr>
        <w:t xml:space="preserve"> during the Senate Debate on 3/12/18 on the need to maintain religious freedom for religious schools, which was used to justify proposed Government amendments to the bill (Senate Hansard, p 2).</w:t>
      </w:r>
    </w:p>
    <w:p w14:paraId="033FE5C3" w14:textId="77777777" w:rsidR="001D10C4" w:rsidRPr="00947B8F" w:rsidRDefault="001D10C4" w:rsidP="00947B8F">
      <w:pPr>
        <w:widowControl w:val="0"/>
        <w:autoSpaceDE w:val="0"/>
        <w:autoSpaceDN w:val="0"/>
        <w:adjustRightInd w:val="0"/>
        <w:spacing w:before="31" w:after="0" w:line="276" w:lineRule="auto"/>
        <w:ind w:right="-20"/>
        <w:rPr>
          <w:rFonts w:ascii="Times New Roman" w:eastAsia="Times New Roman" w:hAnsi="Times New Roman" w:cs="Times New Roman"/>
          <w:sz w:val="24"/>
          <w:szCs w:val="24"/>
        </w:rPr>
      </w:pPr>
    </w:p>
    <w:p w14:paraId="455E1B4B" w14:textId="77777777" w:rsidR="001D10C4" w:rsidRPr="00947B8F" w:rsidRDefault="001D10C4" w:rsidP="00947B8F">
      <w:pPr>
        <w:spacing w:line="276" w:lineRule="auto"/>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Second, I made a written submission to the Legal and Constitutional Affairs Legislation Committee on Religious Exemptions for Religious Educational Institutions (2018), and was invited to present expert oral evidence to the Committee in February 2019. The Committee released their Report on 14th February 2019. I was cited in support of a proposed Government amendment to the bill which would protect the ability of religious schools to teach in accordance with their religious doctrine (3.31), and in support of the fact that the bill was rushed, flawed and a more detailed consideration was needed (3.68). Consistent with my submissions the Committee recommended that the bill not be passed and the issue be referred to the Australian Law Reform Commission for further consideration (3.80-3.84). Consequently, the Senate did not pass the bill and the Government did refer the issue to the ALRC.</w:t>
      </w:r>
    </w:p>
    <w:p w14:paraId="4649E197" w14:textId="77777777" w:rsidR="001D10C4" w:rsidRPr="00947B8F" w:rsidRDefault="001D10C4" w:rsidP="00947B8F">
      <w:pPr>
        <w:spacing w:line="276" w:lineRule="auto"/>
        <w:rPr>
          <w:rFonts w:ascii="Times New Roman" w:eastAsia="Times New Roman" w:hAnsi="Times New Roman" w:cs="Times New Roman"/>
          <w:sz w:val="24"/>
          <w:szCs w:val="24"/>
        </w:rPr>
      </w:pPr>
    </w:p>
    <w:p w14:paraId="1B604A6E" w14:textId="77777777" w:rsidR="001D10C4" w:rsidRPr="00947B8F" w:rsidRDefault="001D10C4" w:rsidP="00947B8F">
      <w:pPr>
        <w:spacing w:line="276" w:lineRule="auto"/>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 xml:space="preserve">I also made submissions to the Attorney-General’s Department on the first and second exposure drafts of the </w:t>
      </w:r>
      <w:r w:rsidRPr="00947B8F">
        <w:rPr>
          <w:rFonts w:ascii="Times New Roman" w:eastAsia="Times New Roman" w:hAnsi="Times New Roman" w:cs="Times New Roman"/>
          <w:i/>
          <w:iCs/>
          <w:sz w:val="24"/>
          <w:szCs w:val="24"/>
        </w:rPr>
        <w:t>Religious Discrimination Bill</w:t>
      </w:r>
      <w:r w:rsidRPr="00947B8F">
        <w:rPr>
          <w:rFonts w:ascii="Times New Roman" w:eastAsia="Times New Roman" w:hAnsi="Times New Roman" w:cs="Times New Roman"/>
          <w:sz w:val="24"/>
          <w:szCs w:val="24"/>
        </w:rPr>
        <w:t xml:space="preserve">. </w:t>
      </w:r>
      <w:r w:rsidRPr="00947B8F">
        <w:rPr>
          <w:rFonts w:ascii="Times New Roman" w:hAnsi="Times New Roman" w:cs="Times New Roman"/>
          <w:sz w:val="24"/>
          <w:szCs w:val="24"/>
        </w:rPr>
        <w:t>Four of my recommendations with respect to the first Exposure Draft were adopted in the second Exposure Draft: the extension of religious bodies to charities and hospitals, a more generous and consistent test for determining whether conduct is discriminatory, a clear definition of ‘vilify’, and the prevention of ‘lawful religious activities’ being prohibited by local council by-laws.</w:t>
      </w:r>
    </w:p>
    <w:p w14:paraId="58141901" w14:textId="77777777" w:rsidR="001D10C4" w:rsidRPr="00947B8F" w:rsidRDefault="001D10C4" w:rsidP="00947B8F">
      <w:pPr>
        <w:spacing w:line="276" w:lineRule="auto"/>
        <w:rPr>
          <w:rFonts w:ascii="Times New Roman" w:eastAsia="Times New Roman" w:hAnsi="Times New Roman" w:cs="Times New Roman"/>
          <w:sz w:val="24"/>
          <w:szCs w:val="24"/>
        </w:rPr>
      </w:pPr>
    </w:p>
    <w:p w14:paraId="16101A4D" w14:textId="77777777" w:rsidR="001D10C4" w:rsidRPr="00947B8F" w:rsidRDefault="001D10C4" w:rsidP="00947B8F">
      <w:pPr>
        <w:spacing w:after="0" w:line="276" w:lineRule="auto"/>
        <w:rPr>
          <w:rFonts w:ascii="Times New Roman" w:eastAsiaTheme="minorEastAsia" w:hAnsi="Times New Roman" w:cs="Times New Roman"/>
          <w:color w:val="111111"/>
          <w:sz w:val="24"/>
          <w:szCs w:val="24"/>
        </w:rPr>
      </w:pPr>
      <w:r w:rsidRPr="00947B8F">
        <w:rPr>
          <w:rFonts w:ascii="Times New Roman" w:hAnsi="Times New Roman" w:cs="Times New Roman"/>
          <w:sz w:val="24"/>
          <w:szCs w:val="24"/>
        </w:rPr>
        <w:t xml:space="preserve">After a revised version of the </w:t>
      </w:r>
      <w:r w:rsidRPr="00947B8F">
        <w:rPr>
          <w:rFonts w:ascii="Times New Roman" w:hAnsi="Times New Roman" w:cs="Times New Roman"/>
          <w:i/>
          <w:iCs/>
          <w:sz w:val="24"/>
          <w:szCs w:val="24"/>
        </w:rPr>
        <w:t>Religious Discrimination Bill</w:t>
      </w:r>
      <w:r w:rsidRPr="00947B8F">
        <w:rPr>
          <w:rFonts w:ascii="Times New Roman" w:hAnsi="Times New Roman" w:cs="Times New Roman"/>
          <w:sz w:val="24"/>
          <w:szCs w:val="24"/>
        </w:rPr>
        <w:t xml:space="preserve"> </w:t>
      </w:r>
      <w:r w:rsidRPr="00947B8F">
        <w:rPr>
          <w:rFonts w:ascii="Times New Roman" w:hAnsi="Times New Roman" w:cs="Times New Roman"/>
          <w:i/>
          <w:iCs/>
          <w:sz w:val="24"/>
          <w:szCs w:val="24"/>
        </w:rPr>
        <w:t>2021</w:t>
      </w:r>
      <w:r w:rsidRPr="00947B8F">
        <w:rPr>
          <w:rFonts w:ascii="Times New Roman" w:hAnsi="Times New Roman" w:cs="Times New Roman"/>
          <w:sz w:val="24"/>
          <w:szCs w:val="24"/>
        </w:rPr>
        <w:t xml:space="preserve"> (</w:t>
      </w:r>
      <w:proofErr w:type="spellStart"/>
      <w:r w:rsidRPr="00947B8F">
        <w:rPr>
          <w:rFonts w:ascii="Times New Roman" w:hAnsi="Times New Roman" w:cs="Times New Roman"/>
          <w:sz w:val="24"/>
          <w:szCs w:val="24"/>
        </w:rPr>
        <w:t>Cth</w:t>
      </w:r>
      <w:proofErr w:type="spellEnd"/>
      <w:r w:rsidRPr="00947B8F">
        <w:rPr>
          <w:rFonts w:ascii="Times New Roman" w:hAnsi="Times New Roman" w:cs="Times New Roman"/>
          <w:sz w:val="24"/>
          <w:szCs w:val="24"/>
        </w:rPr>
        <w:t xml:space="preserve">) was introduced to Parliament in 2021, I made a written submission to Parliamentary Joint Committee on Human Rights. </w:t>
      </w:r>
      <w:r w:rsidRPr="00947B8F">
        <w:rPr>
          <w:rFonts w:ascii="Times New Roman" w:eastAsia="Times New Roman" w:hAnsi="Times New Roman" w:cs="Times New Roman"/>
          <w:sz w:val="24"/>
          <w:szCs w:val="24"/>
        </w:rPr>
        <w:t>Consistent with my written submission the Committee recommended that the bills be passed (with minor amendments). I was cited 5 times: in support of empowering religious corporations as litigants (3.35), in support of parents having the right to educate in conformity with their convictions (5.45), in support of protection for statements of belief (6.3), and in support of overriding the Tasmanian law against offensive statements because it is too broad (6.23 and 6.25).</w:t>
      </w:r>
    </w:p>
    <w:p w14:paraId="02CDB4C6" w14:textId="77777777" w:rsidR="001D10C4" w:rsidRPr="00947B8F" w:rsidRDefault="001D10C4" w:rsidP="00947B8F">
      <w:pPr>
        <w:spacing w:after="0" w:line="276" w:lineRule="auto"/>
        <w:rPr>
          <w:rFonts w:ascii="Times New Roman" w:eastAsia="Times New Roman" w:hAnsi="Times New Roman" w:cs="Times New Roman"/>
          <w:sz w:val="24"/>
          <w:szCs w:val="24"/>
        </w:rPr>
      </w:pPr>
    </w:p>
    <w:p w14:paraId="331D2238" w14:textId="289CB745" w:rsidR="001D10C4" w:rsidRPr="00947B8F" w:rsidRDefault="001D10C4" w:rsidP="00947B8F">
      <w:pPr>
        <w:spacing w:line="276" w:lineRule="auto"/>
        <w:rPr>
          <w:rFonts w:ascii="Times New Roman" w:eastAsia="Times New Roman" w:hAnsi="Times New Roman" w:cs="Times New Roman"/>
          <w:color w:val="000000" w:themeColor="text1"/>
          <w:sz w:val="24"/>
          <w:szCs w:val="24"/>
        </w:rPr>
      </w:pPr>
      <w:r w:rsidRPr="00947B8F">
        <w:rPr>
          <w:rFonts w:ascii="Times New Roman" w:eastAsia="Times New Roman" w:hAnsi="Times New Roman" w:cs="Times New Roman"/>
          <w:sz w:val="24"/>
          <w:szCs w:val="24"/>
        </w:rPr>
        <w:t xml:space="preserve">I also made a written submission to the Legal and Constitutional Affairs Legislation Committee considering the same bill, and was invited to give oral submissions to that Committee. </w:t>
      </w:r>
      <w:r w:rsidRPr="00947B8F">
        <w:rPr>
          <w:rFonts w:ascii="Times New Roman" w:eastAsia="Times New Roman" w:hAnsi="Times New Roman" w:cs="Times New Roman"/>
          <w:color w:val="000000" w:themeColor="text1"/>
          <w:sz w:val="24"/>
          <w:szCs w:val="24"/>
        </w:rPr>
        <w:t xml:space="preserve">Consistent with my written and oral submissions the Committee recommended that the bills be passed (with minor amendments). I was cited over 15 times: in support of the bills generally to protect against discrimination and fulfil our international obligations (2.28), that allowing religious schools to preference staff consistent with an ethos is a fundamental human right (2.40), that a unique religious discrimination package is needed because religion is unique as expressive and communal (2.52), in support of the statement of belief provisions because they are appropriately expressed to protect moderately expressed beliefs in a pluralist and democratic society (2.62), </w:t>
      </w:r>
      <w:r w:rsidRPr="00947B8F">
        <w:rPr>
          <w:rFonts w:ascii="Times New Roman" w:eastAsia="Times New Roman" w:hAnsi="Times New Roman" w:cs="Times New Roman"/>
          <w:sz w:val="24"/>
          <w:szCs w:val="24"/>
        </w:rPr>
        <w:t xml:space="preserve">in support of overriding the Tasmanian law against offensive statements because it is too broad (2.69), </w:t>
      </w:r>
      <w:r w:rsidRPr="00947B8F">
        <w:rPr>
          <w:rFonts w:ascii="Times New Roman" w:eastAsia="Times New Roman" w:hAnsi="Times New Roman" w:cs="Times New Roman"/>
          <w:color w:val="000000" w:themeColor="text1"/>
          <w:sz w:val="24"/>
          <w:szCs w:val="24"/>
        </w:rPr>
        <w:t>in providing constitutional and international law support for empowering religious corporations as litigants (2.84 and 3.71), and that changes to the SDA should be left to the ALRC (3.77).</w:t>
      </w:r>
    </w:p>
    <w:p w14:paraId="532AA24C" w14:textId="77777777" w:rsidR="00B50A4A" w:rsidRPr="00947B8F" w:rsidRDefault="00B50A4A" w:rsidP="00947B8F">
      <w:pPr>
        <w:spacing w:line="276" w:lineRule="auto"/>
        <w:rPr>
          <w:rFonts w:ascii="Times New Roman" w:eastAsia="Times New Roman" w:hAnsi="Times New Roman" w:cs="Times New Roman"/>
          <w:color w:val="000000" w:themeColor="text1"/>
          <w:sz w:val="24"/>
          <w:szCs w:val="24"/>
        </w:rPr>
      </w:pPr>
    </w:p>
    <w:p w14:paraId="2F3E71C3" w14:textId="1AFD67A6" w:rsidR="00B50A4A" w:rsidRPr="00947B8F" w:rsidRDefault="00B50A4A" w:rsidP="77349DE2">
      <w:pPr>
        <w:spacing w:line="276" w:lineRule="auto"/>
        <w:rPr>
          <w:rFonts w:ascii="Times New Roman" w:hAnsi="Times New Roman" w:cs="Times New Roman"/>
          <w:sz w:val="24"/>
          <w:szCs w:val="24"/>
        </w:rPr>
      </w:pPr>
      <w:r w:rsidRPr="77349DE2">
        <w:rPr>
          <w:rFonts w:ascii="Times New Roman" w:eastAsia="Times New Roman" w:hAnsi="Times New Roman" w:cs="Times New Roman"/>
          <w:color w:val="000000" w:themeColor="text1"/>
          <w:sz w:val="24"/>
          <w:szCs w:val="24"/>
        </w:rPr>
        <w:t xml:space="preserve">I provided a written submission to the Australian Law Reform Commission Inquiry into </w:t>
      </w:r>
      <w:r w:rsidR="009D16D9" w:rsidRPr="77349DE2">
        <w:rPr>
          <w:rFonts w:ascii="Times New Roman" w:eastAsia="Times New Roman" w:hAnsi="Times New Roman" w:cs="Times New Roman"/>
          <w:color w:val="000000" w:themeColor="text1"/>
          <w:sz w:val="24"/>
          <w:szCs w:val="24"/>
        </w:rPr>
        <w:t xml:space="preserve">Religious Schools and Discrimination. The ALRC </w:t>
      </w:r>
      <w:r w:rsidR="0050228F" w:rsidRPr="77349DE2">
        <w:rPr>
          <w:rFonts w:ascii="Times New Roman" w:hAnsi="Times New Roman" w:cs="Times New Roman"/>
          <w:sz w:val="24"/>
          <w:szCs w:val="24"/>
        </w:rPr>
        <w:t xml:space="preserve">requested a copy of my 2023 </w:t>
      </w:r>
      <w:r w:rsidR="0050228F" w:rsidRPr="77349DE2">
        <w:rPr>
          <w:rFonts w:ascii="Times New Roman" w:hAnsi="Times New Roman" w:cs="Times New Roman"/>
          <w:i/>
          <w:iCs/>
          <w:sz w:val="24"/>
          <w:szCs w:val="24"/>
        </w:rPr>
        <w:t>Reconciling Freedom and Discrimination</w:t>
      </w:r>
      <w:r w:rsidR="0050228F" w:rsidRPr="77349DE2">
        <w:rPr>
          <w:rFonts w:ascii="Times New Roman" w:hAnsi="Times New Roman" w:cs="Times New Roman"/>
          <w:sz w:val="24"/>
          <w:szCs w:val="24"/>
        </w:rPr>
        <w:t xml:space="preserve"> monograph before it was published to inform their recommendations, and I also had a private meeting with ALRC legal officers to provide expertise on freedom of religion issues. </w:t>
      </w:r>
      <w:r w:rsidR="7A3F4122" w:rsidRPr="77349DE2">
        <w:rPr>
          <w:rFonts w:ascii="Times New Roman" w:eastAsia="Times New Roman" w:hAnsi="Times New Roman" w:cs="Times New Roman"/>
          <w:color w:val="000000" w:themeColor="text1"/>
          <w:sz w:val="24"/>
          <w:szCs w:val="24"/>
        </w:rPr>
        <w:t>I was one of only 14 academics nationwide consulted directly by the ALRC and was cited 6 times in the ‘What we Heard ADL2 Background Paper’.</w:t>
      </w:r>
      <w:r w:rsidR="7A3F4122" w:rsidRPr="77349DE2">
        <w:rPr>
          <w:rFonts w:ascii="Times New Roman" w:eastAsia="Times New Roman" w:hAnsi="Times New Roman" w:cs="Times New Roman"/>
          <w:sz w:val="24"/>
          <w:szCs w:val="24"/>
        </w:rPr>
        <w:t xml:space="preserve"> </w:t>
      </w:r>
      <w:r w:rsidR="0050228F" w:rsidRPr="77349DE2">
        <w:rPr>
          <w:rFonts w:ascii="Times New Roman" w:hAnsi="Times New Roman" w:cs="Times New Roman"/>
          <w:sz w:val="24"/>
          <w:szCs w:val="24"/>
        </w:rPr>
        <w:t>The foregoing demonstrates my considerable national and international expertise in religious freedom matters.</w:t>
      </w:r>
    </w:p>
    <w:p w14:paraId="2395D7E3" w14:textId="774C43F2" w:rsidR="77349DE2" w:rsidRDefault="77349DE2" w:rsidP="77349DE2">
      <w:pPr>
        <w:spacing w:line="276" w:lineRule="auto"/>
        <w:rPr>
          <w:rFonts w:ascii="Times New Roman" w:hAnsi="Times New Roman" w:cs="Times New Roman"/>
          <w:sz w:val="24"/>
          <w:szCs w:val="24"/>
        </w:rPr>
      </w:pPr>
    </w:p>
    <w:p w14:paraId="153FC1A9" w14:textId="56F2BB9E" w:rsidR="77349DE2" w:rsidRDefault="77349DE2" w:rsidP="77349DE2">
      <w:pPr>
        <w:spacing w:line="276" w:lineRule="auto"/>
        <w:rPr>
          <w:rFonts w:ascii="Times New Roman" w:hAnsi="Times New Roman" w:cs="Times New Roman"/>
          <w:sz w:val="24"/>
          <w:szCs w:val="24"/>
        </w:rPr>
      </w:pPr>
    </w:p>
    <w:p w14:paraId="5734EB5A" w14:textId="77777777" w:rsidR="00365C87" w:rsidRPr="00947B8F" w:rsidRDefault="00365C87" w:rsidP="00947B8F">
      <w:pPr>
        <w:spacing w:line="276" w:lineRule="auto"/>
        <w:rPr>
          <w:rFonts w:ascii="Times New Roman" w:hAnsi="Times New Roman" w:cs="Times New Roman"/>
          <w:sz w:val="24"/>
          <w:szCs w:val="24"/>
        </w:rPr>
      </w:pPr>
    </w:p>
    <w:p w14:paraId="3BFA0DA1" w14:textId="5C4180E4" w:rsidR="00365C87" w:rsidRPr="00947B8F" w:rsidRDefault="21433C6A" w:rsidP="2A4EBCE9">
      <w:pPr>
        <w:spacing w:line="276" w:lineRule="auto"/>
        <w:rPr>
          <w:rFonts w:ascii="Times New Roman" w:hAnsi="Times New Roman" w:cs="Times New Roman"/>
          <w:sz w:val="24"/>
          <w:szCs w:val="24"/>
        </w:rPr>
      </w:pPr>
      <w:r w:rsidRPr="2A4EBCE9">
        <w:rPr>
          <w:rFonts w:ascii="Times New Roman" w:hAnsi="Times New Roman" w:cs="Times New Roman"/>
          <w:b/>
          <w:bCs/>
          <w:sz w:val="24"/>
          <w:szCs w:val="24"/>
        </w:rPr>
        <w:t>Research Expertise - Fowler</w:t>
      </w:r>
    </w:p>
    <w:p w14:paraId="3DD7FF8B" w14:textId="5858742C" w:rsidR="00365C87" w:rsidRPr="00947B8F" w:rsidRDefault="00365C87" w:rsidP="2A4EBCE9">
      <w:pPr>
        <w:spacing w:line="276" w:lineRule="auto"/>
        <w:rPr>
          <w:rFonts w:ascii="Times New Roman" w:hAnsi="Times New Roman" w:cs="Times New Roman"/>
          <w:sz w:val="24"/>
          <w:szCs w:val="24"/>
        </w:rPr>
      </w:pPr>
    </w:p>
    <w:p w14:paraId="0E1247B2" w14:textId="77329F9B" w:rsidR="00365C87" w:rsidRPr="00947B8F" w:rsidRDefault="21433C6A" w:rsidP="2A4EBCE9">
      <w:pPr>
        <w:shd w:val="clear" w:color="auto" w:fill="FFFFFF" w:themeFill="background1"/>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Dr Mark Fowler’s specialist areas of advice include the law applying to schools, international aid organisations, retirement villages, aged care facilities and religious organisations. Mark also has a breadth of experience in property and commercial law, with a particular focus on the affordable, community and social housing sectors. Mark has advised many leading national and international charities across these fields.</w:t>
      </w:r>
    </w:p>
    <w:p w14:paraId="275293FA" w14:textId="671D832E" w:rsidR="00365C87" w:rsidRPr="00947B8F" w:rsidRDefault="00365C87" w:rsidP="2A4EBCE9">
      <w:pPr>
        <w:shd w:val="clear" w:color="auto" w:fill="FFFFFF" w:themeFill="background1"/>
        <w:spacing w:after="0" w:line="276" w:lineRule="auto"/>
        <w:rPr>
          <w:rFonts w:ascii="Times New Roman" w:eastAsia="Times New Roman" w:hAnsi="Times New Roman" w:cs="Times New Roman"/>
          <w:sz w:val="24"/>
          <w:szCs w:val="24"/>
        </w:rPr>
      </w:pPr>
    </w:p>
    <w:p w14:paraId="17BAB633" w14:textId="56C5E47C" w:rsidR="00365C87" w:rsidRPr="00947B8F" w:rsidRDefault="21433C6A" w:rsidP="2A4EBCE9">
      <w:pPr>
        <w:shd w:val="clear" w:color="auto" w:fill="FFFFFF" w:themeFill="background1"/>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 xml:space="preserve">Prior to establishing Fowler Charity Law Pty Ltd in 2019, Mark was a Partner in leading national charity and not-for-profit law firms located in Sydney and Brisbane. He is an Appeals Panel member for the Australian Council for International Development (ACFID), the peak body for Australian non-government organisations (NGOs) involved in international development and humanitarian action. He is a member of the Australian Charities and Not-for-Profits Commission Professional Users Group and has served as a member of the Queensland Law Society’s Human Rights Working Group. Mark is also an Adjunct Associate Professor at the University of Notre Dame, School of Law, Sydney, and an Adjunct Associate Professor in the Law School at his </w:t>
      </w:r>
      <w:r w:rsidRPr="2A4EBCE9">
        <w:rPr>
          <w:rFonts w:ascii="Times New Roman" w:eastAsia="Times New Roman" w:hAnsi="Times New Roman" w:cs="Times New Roman"/>
          <w:i/>
          <w:iCs/>
          <w:sz w:val="24"/>
          <w:szCs w:val="24"/>
        </w:rPr>
        <w:t>alma mater</w:t>
      </w:r>
      <w:r w:rsidRPr="2A4EBCE9">
        <w:rPr>
          <w:rFonts w:ascii="Times New Roman" w:eastAsia="Times New Roman" w:hAnsi="Times New Roman" w:cs="Times New Roman"/>
          <w:sz w:val="24"/>
          <w:szCs w:val="24"/>
        </w:rPr>
        <w:t>, the University of New England. He is also a Research Scholar at the Centre for Public, International and Comparative Law, University of Queensland. He holds a doctorate degree in law conferred by the University of Queensland in 2023.</w:t>
      </w:r>
    </w:p>
    <w:p w14:paraId="4D9BF0BF" w14:textId="300DD9BC" w:rsidR="00365C87" w:rsidRPr="00947B8F" w:rsidRDefault="00365C87" w:rsidP="2A4EBCE9">
      <w:pPr>
        <w:shd w:val="clear" w:color="auto" w:fill="FFFFFF" w:themeFill="background1"/>
        <w:spacing w:after="0" w:line="276" w:lineRule="auto"/>
        <w:rPr>
          <w:rFonts w:ascii="Times New Roman" w:eastAsia="Times New Roman" w:hAnsi="Times New Roman" w:cs="Times New Roman"/>
          <w:sz w:val="24"/>
          <w:szCs w:val="24"/>
        </w:rPr>
      </w:pPr>
    </w:p>
    <w:p w14:paraId="30CC97B1" w14:textId="42E5809F" w:rsidR="00365C87" w:rsidRPr="00947B8F" w:rsidRDefault="21433C6A" w:rsidP="2A4EBCE9">
      <w:pPr>
        <w:spacing w:after="0" w:line="276" w:lineRule="auto"/>
        <w:rPr>
          <w:rFonts w:ascii="Times New Roman" w:eastAsia="Times New Roman" w:hAnsi="Times New Roman" w:cs="Times New Roman"/>
          <w:b/>
          <w:bCs/>
          <w:sz w:val="24"/>
          <w:szCs w:val="24"/>
        </w:rPr>
      </w:pPr>
      <w:r w:rsidRPr="2A4EBCE9">
        <w:rPr>
          <w:rFonts w:ascii="Times New Roman" w:eastAsia="Times New Roman" w:hAnsi="Times New Roman" w:cs="Times New Roman"/>
          <w:b/>
          <w:bCs/>
          <w:sz w:val="24"/>
          <w:szCs w:val="24"/>
        </w:rPr>
        <w:t>Research publications</w:t>
      </w:r>
    </w:p>
    <w:p w14:paraId="0B23A229" w14:textId="322920C1"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Fowler, Mark, ‘Charity Law and Critiques of Modernity: An Application of Philosophical and Theological Critiques of Liberalism to Four Fields of Charity Law and Regulation: Civic-Engagement, Anti-Discrimination Law, Critique of Government Policy and Tax Exemption’ (PhD Thesis, University of Queensland, 2023).</w:t>
      </w:r>
    </w:p>
    <w:p w14:paraId="707FA673" w14:textId="29689694"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 xml:space="preserve">Fowler, Mark, ‘Can a Faith-Based Public Benevolent Institution Have a Purpose of “Advancing Religion”?’ (2023) 1 </w:t>
      </w:r>
      <w:r w:rsidRPr="2A4EBCE9">
        <w:rPr>
          <w:rFonts w:ascii="Times New Roman" w:eastAsia="Times New Roman" w:hAnsi="Times New Roman" w:cs="Times New Roman"/>
          <w:i/>
          <w:iCs/>
          <w:sz w:val="24"/>
          <w:szCs w:val="24"/>
        </w:rPr>
        <w:t xml:space="preserve">Third Sector Review </w:t>
      </w:r>
      <w:r w:rsidRPr="2A4EBCE9">
        <w:rPr>
          <w:rFonts w:ascii="Times New Roman" w:eastAsia="Times New Roman" w:hAnsi="Times New Roman" w:cs="Times New Roman"/>
          <w:sz w:val="24"/>
          <w:szCs w:val="24"/>
        </w:rPr>
        <w:t>65.</w:t>
      </w:r>
    </w:p>
    <w:p w14:paraId="5510513C" w14:textId="0C322A15"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 xml:space="preserve">Fowler, Mark ‘The Position of Religious Schools Under International Human Rights Law’ (2023) 2 </w:t>
      </w:r>
      <w:r w:rsidRPr="2A4EBCE9">
        <w:rPr>
          <w:rFonts w:ascii="Times New Roman" w:eastAsia="Times New Roman" w:hAnsi="Times New Roman" w:cs="Times New Roman"/>
          <w:i/>
          <w:iCs/>
          <w:sz w:val="24"/>
          <w:szCs w:val="24"/>
        </w:rPr>
        <w:t>The Australian Journal of Law and Religion</w:t>
      </w:r>
      <w:r w:rsidRPr="2A4EBCE9">
        <w:rPr>
          <w:rFonts w:ascii="Times New Roman" w:eastAsia="Times New Roman" w:hAnsi="Times New Roman" w:cs="Times New Roman"/>
          <w:sz w:val="24"/>
          <w:szCs w:val="24"/>
        </w:rPr>
        <w:t xml:space="preserve"> 36.</w:t>
      </w:r>
    </w:p>
    <w:p w14:paraId="3E635341" w14:textId="1EEA77FD"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Fowler, Mark ‘Judicial Apprehension of Religious Belief under the Commonwealth Religious Discrimination Bill’, in Michael Quinlan and A. Keith Thompson (eds) Inclusion, Exclusion and Religious Freedom in Contemporary Australia, (Shepherd Street Press, 2021).</w:t>
      </w:r>
    </w:p>
    <w:p w14:paraId="403A6625" w14:textId="7F03EBDB"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 xml:space="preserve">Fowler, Mark ‘Attaining to Certainty: Does the Expert Panel’s Proposal for Reform of the Charities Act Sufficiently Protect Religious Charities?’ (2020) 2 </w:t>
      </w:r>
      <w:r w:rsidRPr="2A4EBCE9">
        <w:rPr>
          <w:rFonts w:ascii="Times New Roman" w:eastAsia="Times New Roman" w:hAnsi="Times New Roman" w:cs="Times New Roman"/>
          <w:i/>
          <w:iCs/>
          <w:sz w:val="24"/>
          <w:szCs w:val="24"/>
        </w:rPr>
        <w:t>Third Sector Review</w:t>
      </w:r>
      <w:r w:rsidRPr="2A4EBCE9">
        <w:rPr>
          <w:rFonts w:ascii="Times New Roman" w:eastAsia="Times New Roman" w:hAnsi="Times New Roman" w:cs="Times New Roman"/>
          <w:sz w:val="24"/>
          <w:szCs w:val="24"/>
        </w:rPr>
        <w:t>.</w:t>
      </w:r>
    </w:p>
    <w:p w14:paraId="49BB5668" w14:textId="14B349B0"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lastRenderedPageBreak/>
        <w:t xml:space="preserve">Fowler, Mark, ‘Identifying Faith-Based Entities for the Purpose of Anti-Discrimination Law’ in Neville G. Rochow and Brett G. </w:t>
      </w:r>
      <w:proofErr w:type="spellStart"/>
      <w:r w:rsidRPr="2A4EBCE9">
        <w:rPr>
          <w:rFonts w:ascii="Times New Roman" w:eastAsia="Times New Roman" w:hAnsi="Times New Roman" w:cs="Times New Roman"/>
          <w:sz w:val="24"/>
          <w:szCs w:val="24"/>
        </w:rPr>
        <w:t>Scharffs</w:t>
      </w:r>
      <w:proofErr w:type="spellEnd"/>
      <w:r w:rsidRPr="2A4EBCE9">
        <w:rPr>
          <w:rFonts w:ascii="Times New Roman" w:eastAsia="Times New Roman" w:hAnsi="Times New Roman" w:cs="Times New Roman"/>
          <w:sz w:val="24"/>
          <w:szCs w:val="24"/>
        </w:rPr>
        <w:t xml:space="preserve"> Paul T. Babie (eds), Freedom of Religion or Belief: Creating the Constitutional Space for Fundamental Freedoms (Edward Elgar Publishing Limited, 2020)</w:t>
      </w:r>
    </w:p>
    <w:p w14:paraId="71129DE8" w14:textId="7F60BF78"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Fowler, Mark ‘The Courts and the Marriage Debate’ Upholding the Australian Constitution, Proceedings of the Samuel Griffith Society August (Volume 27) (2017)</w:t>
      </w:r>
    </w:p>
    <w:p w14:paraId="3B2F7630" w14:textId="060A53FF"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Fowler, Mark ‘Charitable Housing – Update and Future Trends’ in Myles McGregor-Lowndes (ed) The Australian Nonprofit Sector Legal and Accounting Almanac 2014, Working Paper No. ACPNS 64, (The Australian Centre for Philanthropy and Nonprofit Studies, Queensland University of Technology Prints, 2015)</w:t>
      </w:r>
    </w:p>
    <w:p w14:paraId="70FD058A" w14:textId="5F74F861" w:rsidR="00365C87" w:rsidRPr="00947B8F" w:rsidRDefault="21433C6A" w:rsidP="2A4EBCE9">
      <w:pPr>
        <w:pStyle w:val="ListParagraph"/>
        <w:numPr>
          <w:ilvl w:val="0"/>
          <w:numId w:val="1"/>
        </w:numPr>
        <w:spacing w:after="0"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Fowler, Mark ‘National Rental Affordability Scheme’ in Myles McGregor-Lowndes (ed), The Australian Nonprofit Sector Legal Almanac 2009, Working Paper No. CPNS 49, (The Australian Centre for Philanthropy and Nonprofit Studies, Queensland University of Technology, 2010)</w:t>
      </w:r>
    </w:p>
    <w:p w14:paraId="4F00BF47" w14:textId="78EA17E2" w:rsidR="00365C87" w:rsidRPr="00947B8F" w:rsidRDefault="00365C87" w:rsidP="2A4EBCE9">
      <w:pPr>
        <w:spacing w:line="276" w:lineRule="auto"/>
        <w:rPr>
          <w:rFonts w:ascii="Times New Roman" w:eastAsia="Times New Roman" w:hAnsi="Times New Roman" w:cs="Times New Roman"/>
          <w:sz w:val="24"/>
          <w:szCs w:val="24"/>
        </w:rPr>
      </w:pPr>
    </w:p>
    <w:p w14:paraId="754E81DF" w14:textId="0399F997" w:rsidR="2A4EBCE9" w:rsidRDefault="2A4EBCE9" w:rsidP="2A4EBCE9">
      <w:pPr>
        <w:spacing w:line="276" w:lineRule="auto"/>
        <w:rPr>
          <w:rFonts w:ascii="Times New Roman" w:eastAsia="Times New Roman" w:hAnsi="Times New Roman" w:cs="Times New Roman"/>
          <w:sz w:val="24"/>
          <w:szCs w:val="24"/>
        </w:rPr>
      </w:pPr>
    </w:p>
    <w:p w14:paraId="036D28B1" w14:textId="1C62AEAB" w:rsidR="00365C87" w:rsidRPr="00947B8F" w:rsidRDefault="00365C87" w:rsidP="00947B8F">
      <w:pPr>
        <w:spacing w:line="276" w:lineRule="auto"/>
        <w:rPr>
          <w:rFonts w:ascii="Times New Roman" w:hAnsi="Times New Roman" w:cs="Times New Roman"/>
          <w:sz w:val="24"/>
          <w:szCs w:val="24"/>
        </w:rPr>
      </w:pPr>
      <w:r w:rsidRPr="00947B8F">
        <w:rPr>
          <w:rFonts w:ascii="Times New Roman" w:hAnsi="Times New Roman" w:cs="Times New Roman"/>
          <w:b/>
          <w:bCs/>
          <w:sz w:val="24"/>
          <w:szCs w:val="24"/>
        </w:rPr>
        <w:t>Detailed Submissions</w:t>
      </w:r>
    </w:p>
    <w:p w14:paraId="5C57A8FA" w14:textId="77777777" w:rsidR="00CB35C9" w:rsidRPr="00947B8F" w:rsidRDefault="00CB35C9" w:rsidP="00947B8F">
      <w:pPr>
        <w:spacing w:line="276" w:lineRule="auto"/>
        <w:rPr>
          <w:rFonts w:ascii="Times New Roman" w:hAnsi="Times New Roman" w:cs="Times New Roman"/>
          <w:sz w:val="24"/>
          <w:szCs w:val="24"/>
        </w:rPr>
      </w:pPr>
    </w:p>
    <w:p w14:paraId="06ED8652" w14:textId="7FFE3EE8" w:rsidR="00CB35C9" w:rsidRPr="00947B8F" w:rsidRDefault="00CB35C9"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 xml:space="preserve">The draft report recommends the removal of the Basic Religious Charity Exception within the ACNC regime, with the result that the ACNC Commissioner will be able to suspend, appoint and remove the leaders of religious institutions (pp </w:t>
      </w:r>
      <w:r w:rsidR="00986E14" w:rsidRPr="00947B8F">
        <w:rPr>
          <w:rFonts w:ascii="Times New Roman" w:hAnsi="Times New Roman" w:cs="Times New Roman"/>
          <w:sz w:val="24"/>
          <w:szCs w:val="24"/>
        </w:rPr>
        <w:t xml:space="preserve">222-225). </w:t>
      </w:r>
      <w:r w:rsidR="00272150" w:rsidRPr="00947B8F">
        <w:rPr>
          <w:rFonts w:ascii="Times New Roman" w:hAnsi="Times New Roman" w:cs="Times New Roman"/>
          <w:sz w:val="24"/>
          <w:szCs w:val="24"/>
        </w:rPr>
        <w:t>Though this power has never been used (p 225)</w:t>
      </w:r>
      <w:r w:rsidR="008A2994" w:rsidRPr="00947B8F">
        <w:rPr>
          <w:rFonts w:ascii="Times New Roman" w:hAnsi="Times New Roman" w:cs="Times New Roman"/>
          <w:sz w:val="24"/>
          <w:szCs w:val="24"/>
        </w:rPr>
        <w:t xml:space="preserve">, the fact it is being contemplated and may be passed as law reveals a disturbing </w:t>
      </w:r>
      <w:r w:rsidR="00D34D2C" w:rsidRPr="00947B8F">
        <w:rPr>
          <w:rFonts w:ascii="Times New Roman" w:hAnsi="Times New Roman" w:cs="Times New Roman"/>
          <w:sz w:val="24"/>
          <w:szCs w:val="24"/>
        </w:rPr>
        <w:t xml:space="preserve">ignorance of religious freedom norms. To grant to the state the ability to intervene in the governance of religious organisations through </w:t>
      </w:r>
      <w:r w:rsidR="005D4A46" w:rsidRPr="00947B8F">
        <w:rPr>
          <w:rFonts w:ascii="Times New Roman" w:hAnsi="Times New Roman" w:cs="Times New Roman"/>
          <w:sz w:val="24"/>
          <w:szCs w:val="24"/>
        </w:rPr>
        <w:t xml:space="preserve">suspending, appointing and removing leaders of those organisations is a grave and fundamental breach of religious freedom and contains the hallmarks of authoritarian regimes rather than </w:t>
      </w:r>
      <w:r w:rsidR="00F87F03" w:rsidRPr="00947B8F">
        <w:rPr>
          <w:rFonts w:ascii="Times New Roman" w:hAnsi="Times New Roman" w:cs="Times New Roman"/>
          <w:sz w:val="24"/>
          <w:szCs w:val="24"/>
        </w:rPr>
        <w:t>a pluralistic liberal democracy.</w:t>
      </w:r>
    </w:p>
    <w:p w14:paraId="6F8C9CB7" w14:textId="77777777" w:rsidR="00CB35C9" w:rsidRPr="00947B8F" w:rsidRDefault="00CB35C9" w:rsidP="00947B8F">
      <w:pPr>
        <w:spacing w:line="276" w:lineRule="auto"/>
        <w:rPr>
          <w:rFonts w:ascii="Times New Roman" w:hAnsi="Times New Roman" w:cs="Times New Roman"/>
          <w:sz w:val="24"/>
          <w:szCs w:val="24"/>
        </w:rPr>
      </w:pPr>
    </w:p>
    <w:p w14:paraId="1C554BFB" w14:textId="1E740D5F" w:rsidR="00365C87" w:rsidRPr="00947B8F" w:rsidRDefault="00B47D1B"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u w:val="single"/>
        </w:rPr>
        <w:t>International Law and the appointment/removal of religious leaders</w:t>
      </w:r>
    </w:p>
    <w:p w14:paraId="415CF358" w14:textId="77777777" w:rsidR="00B47D1B" w:rsidRPr="00947B8F" w:rsidRDefault="00B47D1B" w:rsidP="00947B8F">
      <w:pPr>
        <w:spacing w:line="276" w:lineRule="auto"/>
        <w:rPr>
          <w:rFonts w:ascii="Times New Roman" w:hAnsi="Times New Roman" w:cs="Times New Roman"/>
          <w:sz w:val="24"/>
          <w:szCs w:val="24"/>
        </w:rPr>
      </w:pPr>
    </w:p>
    <w:p w14:paraId="6BD901B1" w14:textId="77777777" w:rsidR="001E2887" w:rsidRPr="0029257A" w:rsidRDefault="001E2887" w:rsidP="00947B8F">
      <w:pPr>
        <w:spacing w:line="276" w:lineRule="auto"/>
        <w:rPr>
          <w:rFonts w:ascii="Times New Roman" w:hAnsi="Times New Roman" w:cs="Times New Roman"/>
          <w:bCs/>
          <w:i/>
          <w:iCs/>
          <w:sz w:val="24"/>
        </w:rPr>
      </w:pPr>
      <w:r w:rsidRPr="0029257A">
        <w:rPr>
          <w:rFonts w:ascii="Times New Roman" w:hAnsi="Times New Roman" w:cs="Times New Roman"/>
          <w:bCs/>
          <w:i/>
          <w:iCs/>
          <w:sz w:val="24"/>
        </w:rPr>
        <w:t>General Obligations under the ICCPR</w:t>
      </w:r>
    </w:p>
    <w:p w14:paraId="7F22E5D3" w14:textId="77777777" w:rsidR="001E2887" w:rsidRPr="00947B8F" w:rsidRDefault="001E2887" w:rsidP="00947B8F">
      <w:pPr>
        <w:spacing w:line="276" w:lineRule="auto"/>
        <w:rPr>
          <w:rFonts w:ascii="Times New Roman" w:eastAsia="Times New Roman" w:hAnsi="Times New Roman" w:cs="Times New Roman"/>
          <w:sz w:val="24"/>
          <w:szCs w:val="24"/>
        </w:rPr>
      </w:pPr>
    </w:p>
    <w:p w14:paraId="78D7B9AC" w14:textId="32EAD907" w:rsidR="001E2887" w:rsidRPr="00947B8F" w:rsidRDefault="001E2887" w:rsidP="00947B8F">
      <w:pPr>
        <w:spacing w:line="276" w:lineRule="auto"/>
        <w:rPr>
          <w:rFonts w:ascii="Times New Roman" w:hAnsi="Times New Roman" w:cs="Times New Roman"/>
        </w:rPr>
      </w:pPr>
      <w:r w:rsidRPr="00947B8F">
        <w:rPr>
          <w:rFonts w:ascii="Times New Roman" w:hAnsi="Times New Roman" w:cs="Times New Roman"/>
          <w:sz w:val="24"/>
        </w:rPr>
        <w:t xml:space="preserve">Article 18 of the </w:t>
      </w:r>
      <w:r w:rsidRPr="00947B8F">
        <w:rPr>
          <w:rFonts w:ascii="Times New Roman" w:hAnsi="Times New Roman" w:cs="Times New Roman"/>
          <w:i/>
          <w:sz w:val="24"/>
        </w:rPr>
        <w:t>International Covenant on Civil and Political Rights</w:t>
      </w:r>
      <w:r w:rsidRPr="00947B8F">
        <w:rPr>
          <w:rFonts w:ascii="Times New Roman" w:hAnsi="Times New Roman" w:cs="Times New Roman"/>
          <w:sz w:val="24"/>
        </w:rPr>
        <w:t xml:space="preserve"> </w:t>
      </w:r>
      <w:r w:rsidRPr="00947B8F">
        <w:rPr>
          <w:rFonts w:ascii="Times New Roman" w:eastAsia="Times New Roman" w:hAnsi="Times New Roman" w:cs="Times New Roman"/>
          <w:sz w:val="24"/>
          <w:szCs w:val="24"/>
        </w:rPr>
        <w:t xml:space="preserve">(‘ICCPR’) </w:t>
      </w:r>
      <w:r w:rsidRPr="00947B8F">
        <w:rPr>
          <w:rFonts w:ascii="Times New Roman" w:hAnsi="Times New Roman" w:cs="Times New Roman"/>
          <w:sz w:val="24"/>
        </w:rPr>
        <w:t>ratified by Australia in 1980, which states:</w:t>
      </w:r>
    </w:p>
    <w:p w14:paraId="06FAFC97" w14:textId="77777777" w:rsidR="001E2887" w:rsidRPr="00947B8F" w:rsidRDefault="001E2887" w:rsidP="00947B8F">
      <w:pPr>
        <w:numPr>
          <w:ilvl w:val="0"/>
          <w:numId w:val="2"/>
        </w:numPr>
        <w:spacing w:before="100" w:beforeAutospacing="1" w:after="100" w:afterAutospacing="1" w:line="276" w:lineRule="auto"/>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65B8DF21" w14:textId="77777777" w:rsidR="001E2887" w:rsidRPr="00947B8F" w:rsidRDefault="001E2887" w:rsidP="00947B8F">
      <w:pPr>
        <w:numPr>
          <w:ilvl w:val="0"/>
          <w:numId w:val="2"/>
        </w:numPr>
        <w:spacing w:before="100" w:beforeAutospacing="1" w:after="100" w:afterAutospacing="1" w:line="276" w:lineRule="auto"/>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lastRenderedPageBreak/>
        <w:t>No one shall be subject to coercion which would impair his freedom to have or to adopt a religion or belief of his choice.</w:t>
      </w:r>
    </w:p>
    <w:p w14:paraId="0054F0A0" w14:textId="77777777" w:rsidR="001E2887" w:rsidRPr="00947B8F" w:rsidRDefault="001E2887" w:rsidP="00947B8F">
      <w:pPr>
        <w:numPr>
          <w:ilvl w:val="0"/>
          <w:numId w:val="2"/>
        </w:numPr>
        <w:spacing w:before="100" w:beforeAutospacing="1" w:after="100" w:afterAutospacing="1" w:line="276" w:lineRule="auto"/>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Freedom to manifest one’s religion or beliefs may be subject only to such limitations as are prescribed by law and are necessary to protect public safety, order, health or morals or the fundamental rights and freedoms of others.</w:t>
      </w:r>
    </w:p>
    <w:p w14:paraId="559FD25C" w14:textId="77777777" w:rsidR="001E2887" w:rsidRPr="00947B8F" w:rsidRDefault="001E2887" w:rsidP="00947B8F">
      <w:pPr>
        <w:numPr>
          <w:ilvl w:val="0"/>
          <w:numId w:val="2"/>
        </w:numPr>
        <w:spacing w:before="100" w:beforeAutospacing="1" w:after="100" w:afterAutospacing="1" w:line="276" w:lineRule="auto"/>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The States Parties to the present Covenant undertake to have respect for the liberty of parents and, when applicable, legal guardians to ensure the religious and moral education of their children in conformity with their own convictions.</w:t>
      </w:r>
      <w:r w:rsidRPr="00947B8F">
        <w:rPr>
          <w:rStyle w:val="FootnoteReference"/>
          <w:rFonts w:ascii="Times New Roman" w:eastAsia="Times New Roman" w:hAnsi="Times New Roman" w:cs="Times New Roman"/>
          <w:sz w:val="24"/>
          <w:szCs w:val="24"/>
        </w:rPr>
        <w:footnoteReference w:id="1"/>
      </w:r>
    </w:p>
    <w:p w14:paraId="392537B4" w14:textId="6DF3C3E7" w:rsidR="001E2887" w:rsidRPr="00947B8F" w:rsidRDefault="001E2887" w:rsidP="00947B8F">
      <w:pPr>
        <w:spacing w:line="276" w:lineRule="auto"/>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While freedom of religion as recognised under the ICCPR is a right exercised by individuals, Article 18(1) specifically protects the ability to act in community with others (including through unincorporated and incorporated vehicles) as a form of manifesting belief, both privately and publicly.</w:t>
      </w:r>
      <w:r w:rsidRPr="00947B8F">
        <w:rPr>
          <w:rStyle w:val="FootnoteReference"/>
          <w:rFonts w:ascii="Times New Roman" w:eastAsia="Times New Roman" w:hAnsi="Times New Roman" w:cs="Times New Roman"/>
          <w:sz w:val="24"/>
          <w:szCs w:val="24"/>
        </w:rPr>
        <w:footnoteReference w:id="2"/>
      </w:r>
      <w:r w:rsidRPr="00947B8F">
        <w:rPr>
          <w:rFonts w:ascii="Times New Roman" w:eastAsia="Times New Roman" w:hAnsi="Times New Roman" w:cs="Times New Roman"/>
          <w:sz w:val="24"/>
          <w:szCs w:val="24"/>
        </w:rPr>
        <w:t xml:space="preserve"> </w:t>
      </w:r>
      <w:r w:rsidR="00E4414A">
        <w:rPr>
          <w:rFonts w:ascii="Times New Roman" w:eastAsia="Times New Roman" w:hAnsi="Times New Roman" w:cs="Times New Roman"/>
          <w:sz w:val="24"/>
          <w:szCs w:val="24"/>
        </w:rPr>
        <w:t>T</w:t>
      </w:r>
      <w:r w:rsidRPr="00947B8F">
        <w:rPr>
          <w:rFonts w:ascii="Times New Roman" w:eastAsia="Times New Roman" w:hAnsi="Times New Roman" w:cs="Times New Roman"/>
          <w:sz w:val="24"/>
          <w:szCs w:val="24"/>
        </w:rPr>
        <w:t xml:space="preserve">he only permissible restrictions on religious manifestation are those found in Article 18(3), namely those which are </w:t>
      </w:r>
      <w:r w:rsidRPr="2A4EBCE9">
        <w:rPr>
          <w:rFonts w:ascii="Times New Roman" w:eastAsia="Times New Roman" w:hAnsi="Times New Roman" w:cs="Times New Roman"/>
          <w:i/>
          <w:iCs/>
          <w:sz w:val="24"/>
          <w:szCs w:val="24"/>
        </w:rPr>
        <w:t>necessary</w:t>
      </w:r>
      <w:r w:rsidRPr="00947B8F">
        <w:rPr>
          <w:rFonts w:ascii="Times New Roman" w:eastAsia="Times New Roman" w:hAnsi="Times New Roman" w:cs="Times New Roman"/>
          <w:sz w:val="24"/>
          <w:szCs w:val="24"/>
        </w:rPr>
        <w:t xml:space="preserve"> (not merely reasonable) to protect public safety, order, health, morals or fundamental rights and freedoms of others. This is a high threshold which requires substantive proof before any legal limitation is appropriate.</w:t>
      </w:r>
      <w:r w:rsidRPr="00947B8F">
        <w:rPr>
          <w:rStyle w:val="FootnoteReference"/>
          <w:rFonts w:ascii="Times New Roman" w:eastAsia="Times New Roman" w:hAnsi="Times New Roman" w:cs="Times New Roman"/>
          <w:sz w:val="24"/>
          <w:szCs w:val="24"/>
        </w:rPr>
        <w:footnoteReference w:id="3"/>
      </w:r>
      <w:r w:rsidRPr="00947B8F">
        <w:rPr>
          <w:rFonts w:ascii="Times New Roman" w:eastAsia="Times New Roman" w:hAnsi="Times New Roman" w:cs="Times New Roman"/>
          <w:sz w:val="24"/>
          <w:szCs w:val="24"/>
        </w:rPr>
        <w:t xml:space="preserve"> </w:t>
      </w:r>
    </w:p>
    <w:p w14:paraId="3FCFC058" w14:textId="77777777" w:rsidR="001E2887" w:rsidRPr="00947B8F" w:rsidRDefault="001E2887" w:rsidP="00947B8F">
      <w:pPr>
        <w:spacing w:line="276" w:lineRule="auto"/>
        <w:rPr>
          <w:rFonts w:ascii="Times New Roman" w:eastAsia="Times New Roman" w:hAnsi="Times New Roman" w:cs="Times New Roman"/>
          <w:sz w:val="24"/>
          <w:szCs w:val="24"/>
        </w:rPr>
      </w:pPr>
    </w:p>
    <w:p w14:paraId="13F8C307" w14:textId="77777777" w:rsidR="00917738" w:rsidRPr="00947B8F" w:rsidRDefault="00917738" w:rsidP="00947B8F">
      <w:pPr>
        <w:spacing w:line="276" w:lineRule="auto"/>
        <w:rPr>
          <w:rFonts w:ascii="Times New Roman" w:hAnsi="Times New Roman" w:cs="Times New Roman"/>
          <w:sz w:val="24"/>
        </w:rPr>
      </w:pPr>
      <w:r w:rsidRPr="00947B8F">
        <w:rPr>
          <w:rFonts w:ascii="Times New Roman" w:hAnsi="Times New Roman" w:cs="Times New Roman"/>
          <w:sz w:val="24"/>
        </w:rPr>
        <w:t xml:space="preserve">Article 18(1) of the ICCPR in its express terms protects the right to exercise the ‘freedom, either individually </w:t>
      </w:r>
      <w:r w:rsidRPr="00947B8F">
        <w:rPr>
          <w:rFonts w:ascii="Times New Roman" w:hAnsi="Times New Roman" w:cs="Times New Roman"/>
          <w:i/>
          <w:sz w:val="24"/>
        </w:rPr>
        <w:t>or in community with others</w:t>
      </w:r>
      <w:r w:rsidRPr="00947B8F">
        <w:rPr>
          <w:rFonts w:ascii="Times New Roman" w:hAnsi="Times New Roman" w:cs="Times New Roman"/>
          <w:sz w:val="24"/>
        </w:rPr>
        <w:t xml:space="preserve"> and in public or private, to manifest his religion or belief in worship, observance, practice and teaching’ (emphasis added). General Comment 22 further elaborates: </w:t>
      </w:r>
    </w:p>
    <w:p w14:paraId="495EAAB9" w14:textId="77777777" w:rsidR="00917738" w:rsidRPr="00947B8F" w:rsidRDefault="00917738" w:rsidP="00947B8F">
      <w:pPr>
        <w:pStyle w:val="ListParagraph"/>
        <w:spacing w:line="276" w:lineRule="auto"/>
        <w:rPr>
          <w:rFonts w:ascii="Times New Roman" w:hAnsi="Times New Roman" w:cs="Times New Roman"/>
        </w:rPr>
      </w:pPr>
      <w:r w:rsidRPr="2A4EBCE9">
        <w:rPr>
          <w:rFonts w:ascii="Times New Roman" w:hAnsi="Times New Roman" w:cs="Times New Roman"/>
          <w:sz w:val="24"/>
          <w:szCs w:val="24"/>
        </w:rPr>
        <w:t xml:space="preserve">The right to freedom of thought, conscience and religion (which includes the freedom to hold beliefs) in article 18.1 is far-reaching and profound; it encompasses freedom of thought on all matters, personal conviction and the commitment to religion or belief, whether manifested individually or in </w:t>
      </w:r>
      <w:r w:rsidRPr="2A4EBCE9">
        <w:rPr>
          <w:rFonts w:ascii="Times New Roman" w:hAnsi="Times New Roman" w:cs="Times New Roman"/>
          <w:i/>
          <w:iCs/>
          <w:sz w:val="24"/>
          <w:szCs w:val="24"/>
        </w:rPr>
        <w:t>community with others.</w:t>
      </w:r>
      <w:r w:rsidRPr="2A4EBCE9">
        <w:rPr>
          <w:rStyle w:val="FootnoteReference"/>
          <w:rFonts w:ascii="Times New Roman" w:hAnsi="Times New Roman" w:cs="Times New Roman"/>
          <w:sz w:val="24"/>
          <w:szCs w:val="24"/>
        </w:rPr>
        <w:footnoteReference w:id="4"/>
      </w:r>
      <w:r w:rsidRPr="2A4EBCE9">
        <w:rPr>
          <w:rFonts w:ascii="Times New Roman" w:eastAsia="Times New Roman" w:hAnsi="Times New Roman" w:cs="Times New Roman"/>
          <w:i/>
          <w:iCs/>
          <w:sz w:val="24"/>
          <w:szCs w:val="24"/>
        </w:rPr>
        <w:t xml:space="preserve"> </w:t>
      </w:r>
    </w:p>
    <w:p w14:paraId="4FC86A7A" w14:textId="77777777" w:rsidR="00917738" w:rsidRPr="00947B8F" w:rsidRDefault="00917738" w:rsidP="00947B8F">
      <w:pPr>
        <w:pStyle w:val="ListParagraph"/>
        <w:spacing w:line="276" w:lineRule="auto"/>
        <w:ind w:left="0"/>
        <w:rPr>
          <w:rFonts w:ascii="Times New Roman" w:hAnsi="Times New Roman" w:cs="Times New Roman"/>
          <w:sz w:val="24"/>
        </w:rPr>
      </w:pPr>
    </w:p>
    <w:p w14:paraId="56A99A0B" w14:textId="77777777" w:rsidR="00917738" w:rsidRPr="00947B8F" w:rsidRDefault="00917738" w:rsidP="00947B8F">
      <w:pPr>
        <w:pStyle w:val="ListParagraph"/>
        <w:spacing w:line="276" w:lineRule="auto"/>
        <w:ind w:left="0"/>
        <w:rPr>
          <w:rFonts w:ascii="Times New Roman" w:hAnsi="Times New Roman" w:cs="Times New Roman"/>
          <w:sz w:val="24"/>
        </w:rPr>
      </w:pPr>
      <w:r w:rsidRPr="2A4EBCE9">
        <w:rPr>
          <w:rFonts w:ascii="Times New Roman" w:hAnsi="Times New Roman" w:cs="Times New Roman"/>
          <w:sz w:val="24"/>
          <w:szCs w:val="24"/>
        </w:rPr>
        <w:t>As Evans notes, ‘while human rights belong to individuals, the right to manifest religious freedom collectively means that it has an organisational dimension’, whereby it ‘is for the individual, rather than the state, to decide whether to exercise the right individually and/or collectively.’</w:t>
      </w:r>
      <w:r w:rsidRPr="00947B8F">
        <w:rPr>
          <w:rStyle w:val="FootnoteReference"/>
          <w:rFonts w:ascii="Times New Roman" w:hAnsi="Times New Roman" w:cs="Times New Roman"/>
        </w:rPr>
        <w:footnoteReference w:id="5"/>
      </w:r>
      <w:r w:rsidRPr="2A4EBCE9">
        <w:rPr>
          <w:rFonts w:ascii="Times New Roman" w:hAnsi="Times New Roman" w:cs="Times New Roman"/>
          <w:sz w:val="24"/>
          <w:szCs w:val="24"/>
        </w:rPr>
        <w:t xml:space="preserve"> </w:t>
      </w:r>
    </w:p>
    <w:p w14:paraId="43877C07" w14:textId="77777777" w:rsidR="00917738" w:rsidRPr="00947B8F" w:rsidRDefault="00917738" w:rsidP="00947B8F">
      <w:pPr>
        <w:spacing w:line="276" w:lineRule="auto"/>
        <w:rPr>
          <w:rFonts w:ascii="Times New Roman" w:eastAsia="Times New Roman" w:hAnsi="Times New Roman" w:cs="Times New Roman"/>
          <w:sz w:val="24"/>
          <w:szCs w:val="24"/>
        </w:rPr>
      </w:pPr>
    </w:p>
    <w:p w14:paraId="084E1FBE" w14:textId="1E0FF75F" w:rsidR="00917738" w:rsidRPr="00947B8F" w:rsidRDefault="00917738" w:rsidP="00947B8F">
      <w:pPr>
        <w:spacing w:line="276" w:lineRule="auto"/>
        <w:rPr>
          <w:rFonts w:ascii="Times New Roman" w:eastAsia="Times New Roman" w:hAnsi="Times New Roman" w:cs="Times New Roman"/>
          <w:sz w:val="24"/>
          <w:szCs w:val="24"/>
        </w:rPr>
      </w:pPr>
      <w:r w:rsidRPr="00947B8F">
        <w:rPr>
          <w:rFonts w:ascii="Times New Roman" w:eastAsia="Times New Roman" w:hAnsi="Times New Roman" w:cs="Times New Roman"/>
          <w:sz w:val="24"/>
          <w:szCs w:val="24"/>
        </w:rPr>
        <w:t xml:space="preserve">Article 6 of the </w:t>
      </w:r>
      <w:r w:rsidRPr="2A4EBCE9">
        <w:rPr>
          <w:rFonts w:ascii="Times New Roman" w:eastAsia="Times New Roman" w:hAnsi="Times New Roman" w:cs="Times New Roman"/>
          <w:i/>
          <w:iCs/>
          <w:sz w:val="24"/>
          <w:szCs w:val="24"/>
        </w:rPr>
        <w:t xml:space="preserve">Declaration on the Elimination of All Forms of Intolerance and of Discrimination Based on Religion or Belief </w:t>
      </w:r>
      <w:r w:rsidRPr="00947B8F">
        <w:rPr>
          <w:rFonts w:ascii="Times New Roman" w:eastAsia="Times New Roman" w:hAnsi="Times New Roman" w:cs="Times New Roman"/>
          <w:sz w:val="24"/>
          <w:szCs w:val="24"/>
        </w:rPr>
        <w:t>(1981 Declaration), proclaimed by the General Assembly, recognises a range of rights that are by their nature necessarily expressed through corporate vehicles.</w:t>
      </w:r>
      <w:r w:rsidRPr="00947B8F">
        <w:rPr>
          <w:rStyle w:val="FootnoteReference"/>
          <w:rFonts w:ascii="Times New Roman" w:eastAsia="Times New Roman" w:hAnsi="Times New Roman" w:cs="Times New Roman"/>
          <w:sz w:val="24"/>
          <w:szCs w:val="24"/>
        </w:rPr>
        <w:footnoteReference w:id="6"/>
      </w:r>
      <w:r w:rsidRPr="00947B8F">
        <w:rPr>
          <w:rFonts w:ascii="Times New Roman" w:eastAsia="Times New Roman" w:hAnsi="Times New Roman" w:cs="Times New Roman"/>
          <w:sz w:val="24"/>
          <w:szCs w:val="24"/>
        </w:rPr>
        <w:t xml:space="preserve"> These include </w:t>
      </w:r>
      <w:r w:rsidRPr="2A4EBCE9">
        <w:rPr>
          <w:rFonts w:ascii="Times New Roman" w:hAnsi="Times New Roman" w:cs="Times New Roman"/>
          <w:sz w:val="24"/>
          <w:szCs w:val="24"/>
        </w:rPr>
        <w:t>the right ‘to establish and maintain appropriate charitable or humanitarian institutions’, the maintenance of places of worship</w:t>
      </w:r>
      <w:r w:rsidRPr="00947B8F">
        <w:rPr>
          <w:rFonts w:ascii="Times New Roman" w:eastAsia="Times New Roman" w:hAnsi="Times New Roman" w:cs="Times New Roman"/>
          <w:sz w:val="24"/>
          <w:szCs w:val="24"/>
        </w:rPr>
        <w:t>,</w:t>
      </w:r>
      <w:r w:rsidRPr="2A4EBCE9">
        <w:rPr>
          <w:rFonts w:ascii="Times New Roman" w:hAnsi="Times New Roman" w:cs="Times New Roman"/>
          <w:sz w:val="24"/>
          <w:szCs w:val="24"/>
        </w:rPr>
        <w:t xml:space="preserve"> and the observance of ceremonies and holidays.</w:t>
      </w:r>
      <w:r w:rsidRPr="00947B8F">
        <w:rPr>
          <w:rStyle w:val="FootnoteReference"/>
          <w:rFonts w:ascii="Times New Roman" w:hAnsi="Times New Roman" w:cs="Times New Roman"/>
        </w:rPr>
        <w:footnoteReference w:id="7"/>
      </w:r>
      <w:r w:rsidRPr="2A4EBCE9">
        <w:rPr>
          <w:rFonts w:ascii="Times New Roman" w:hAnsi="Times New Roman" w:cs="Times New Roman"/>
          <w:sz w:val="24"/>
          <w:szCs w:val="24"/>
        </w:rPr>
        <w:t xml:space="preserve"> </w:t>
      </w:r>
      <w:r w:rsidRPr="00947B8F">
        <w:rPr>
          <w:rFonts w:ascii="Times New Roman" w:eastAsia="Times New Roman" w:hAnsi="Times New Roman" w:cs="Times New Roman"/>
          <w:sz w:val="24"/>
          <w:szCs w:val="24"/>
        </w:rPr>
        <w:t>The Declaration has been utilised by the United Nations Human Rights Committee in interpreting the scope of Article 18’s protections.</w:t>
      </w:r>
      <w:r w:rsidR="00CA5D04">
        <w:rPr>
          <w:rFonts w:ascii="Times New Roman" w:eastAsia="Times New Roman" w:hAnsi="Times New Roman" w:cs="Times New Roman"/>
          <w:sz w:val="24"/>
          <w:szCs w:val="24"/>
        </w:rPr>
        <w:t xml:space="preserve"> </w:t>
      </w:r>
      <w:r w:rsidR="00316D8C" w:rsidRPr="00947B8F">
        <w:rPr>
          <w:rStyle w:val="pageno"/>
          <w:rFonts w:ascii="Times New Roman" w:eastAsia="Times New Roman" w:hAnsi="Times New Roman" w:cs="Times New Roman"/>
          <w:sz w:val="24"/>
          <w:szCs w:val="24"/>
          <w:lang w:val="en"/>
        </w:rPr>
        <w:t xml:space="preserve">The 1981 Religion </w:t>
      </w:r>
      <w:r w:rsidR="00316D8C" w:rsidRPr="2A4EBCE9">
        <w:rPr>
          <w:rStyle w:val="pageno"/>
          <w:rFonts w:ascii="Times New Roman" w:hAnsi="Times New Roman" w:cs="Times New Roman"/>
          <w:sz w:val="24"/>
          <w:szCs w:val="24"/>
          <w:lang w:val="en"/>
        </w:rPr>
        <w:t>Declaration</w:t>
      </w:r>
      <w:r w:rsidR="00316D8C" w:rsidRPr="00947B8F">
        <w:rPr>
          <w:rStyle w:val="pageno"/>
          <w:rFonts w:ascii="Times New Roman" w:eastAsia="Times New Roman" w:hAnsi="Times New Roman" w:cs="Times New Roman"/>
          <w:sz w:val="24"/>
          <w:szCs w:val="24"/>
          <w:lang w:val="en"/>
        </w:rPr>
        <w:t xml:space="preserve"> also states that the right to freedom of religion includes freedom to appoint appropriate leaders </w:t>
      </w:r>
      <w:r w:rsidR="00D46093">
        <w:rPr>
          <w:rStyle w:val="pageno"/>
          <w:rFonts w:ascii="Times New Roman" w:eastAsia="Times New Roman" w:hAnsi="Times New Roman" w:cs="Times New Roman"/>
          <w:sz w:val="24"/>
          <w:szCs w:val="24"/>
          <w:lang w:val="en"/>
        </w:rPr>
        <w:t xml:space="preserve">of charitable institutions </w:t>
      </w:r>
      <w:r w:rsidR="00316D8C" w:rsidRPr="00947B8F">
        <w:rPr>
          <w:rStyle w:val="pageno"/>
          <w:rFonts w:ascii="Times New Roman" w:eastAsia="Times New Roman" w:hAnsi="Times New Roman" w:cs="Times New Roman"/>
          <w:sz w:val="24"/>
          <w:szCs w:val="24"/>
          <w:lang w:val="en"/>
        </w:rPr>
        <w:t>consistent with the requirements and standards of the religion.</w:t>
      </w:r>
      <w:r w:rsidR="00316D8C" w:rsidRPr="00947B8F">
        <w:rPr>
          <w:rStyle w:val="FootnoteReference"/>
          <w:rFonts w:ascii="Times New Roman" w:eastAsia="Times New Roman" w:hAnsi="Times New Roman" w:cs="Times New Roman"/>
          <w:sz w:val="24"/>
          <w:szCs w:val="24"/>
          <w:lang w:val="en"/>
        </w:rPr>
        <w:footnoteReference w:id="8"/>
      </w:r>
      <w:r w:rsidR="00316D8C" w:rsidRPr="00947B8F">
        <w:rPr>
          <w:rStyle w:val="pageno"/>
          <w:rFonts w:ascii="Times New Roman" w:eastAsia="Times New Roman" w:hAnsi="Times New Roman" w:cs="Times New Roman"/>
          <w:sz w:val="24"/>
          <w:szCs w:val="24"/>
          <w:lang w:val="en"/>
        </w:rPr>
        <w:t xml:space="preserve"> It follows that there is a close connection between Article 18 and other fundamental human rights including freedom of association (Article 22). Freedom of religion in conjunction with freedom of association under the ICCPR thus protects the right to found an association based on a common purpose, the right of that association to be </w:t>
      </w:r>
      <w:proofErr w:type="spellStart"/>
      <w:r w:rsidR="00316D8C" w:rsidRPr="00947B8F">
        <w:rPr>
          <w:rStyle w:val="pageno"/>
          <w:rFonts w:ascii="Times New Roman" w:eastAsia="Times New Roman" w:hAnsi="Times New Roman" w:cs="Times New Roman"/>
          <w:sz w:val="24"/>
          <w:szCs w:val="24"/>
          <w:lang w:val="en"/>
        </w:rPr>
        <w:t>recognised</w:t>
      </w:r>
      <w:proofErr w:type="spellEnd"/>
      <w:r w:rsidR="00316D8C" w:rsidRPr="00947B8F">
        <w:rPr>
          <w:rStyle w:val="pageno"/>
          <w:rFonts w:ascii="Times New Roman" w:eastAsia="Times New Roman" w:hAnsi="Times New Roman" w:cs="Times New Roman"/>
          <w:sz w:val="24"/>
          <w:szCs w:val="24"/>
          <w:lang w:val="en"/>
        </w:rPr>
        <w:t xml:space="preserve"> as and function as a distinct legal person, and the right of such an association to select and regulate </w:t>
      </w:r>
      <w:r w:rsidR="00C86569">
        <w:rPr>
          <w:rStyle w:val="pageno"/>
          <w:rFonts w:ascii="Times New Roman" w:eastAsia="Times New Roman" w:hAnsi="Times New Roman" w:cs="Times New Roman"/>
          <w:sz w:val="24"/>
          <w:szCs w:val="24"/>
          <w:lang w:val="en"/>
        </w:rPr>
        <w:t xml:space="preserve">leaders and </w:t>
      </w:r>
      <w:r w:rsidR="00316D8C" w:rsidRPr="00947B8F">
        <w:rPr>
          <w:rStyle w:val="pageno"/>
          <w:rFonts w:ascii="Times New Roman" w:eastAsia="Times New Roman" w:hAnsi="Times New Roman" w:cs="Times New Roman"/>
          <w:sz w:val="24"/>
          <w:szCs w:val="24"/>
          <w:lang w:val="en"/>
        </w:rPr>
        <w:t>members of the association in accordance with the common interest of the association, including expulsion of those who breach the terms of the association.</w:t>
      </w:r>
      <w:r w:rsidR="00316D8C" w:rsidRPr="00947B8F">
        <w:rPr>
          <w:rStyle w:val="FootnoteReference"/>
          <w:rFonts w:ascii="Times New Roman" w:eastAsia="Times New Roman" w:hAnsi="Times New Roman" w:cs="Times New Roman"/>
          <w:sz w:val="24"/>
          <w:szCs w:val="24"/>
          <w:lang w:val="en"/>
        </w:rPr>
        <w:footnoteReference w:id="9"/>
      </w:r>
    </w:p>
    <w:p w14:paraId="09F6B404" w14:textId="77777777" w:rsidR="001E2887" w:rsidRPr="00947B8F" w:rsidRDefault="001E2887" w:rsidP="00947B8F">
      <w:pPr>
        <w:spacing w:line="276" w:lineRule="auto"/>
        <w:rPr>
          <w:rFonts w:ascii="Times New Roman" w:eastAsia="Times New Roman" w:hAnsi="Times New Roman" w:cs="Times New Roman"/>
          <w:sz w:val="24"/>
          <w:szCs w:val="24"/>
        </w:rPr>
      </w:pPr>
    </w:p>
    <w:p w14:paraId="22B8E02F" w14:textId="0F43D71F" w:rsidR="000F5996" w:rsidRPr="0029257A" w:rsidRDefault="000F5996" w:rsidP="00947B8F">
      <w:pPr>
        <w:spacing w:line="276" w:lineRule="auto"/>
        <w:rPr>
          <w:rFonts w:ascii="Times New Roman" w:hAnsi="Times New Roman" w:cs="Times New Roman"/>
          <w:i/>
          <w:iCs/>
          <w:sz w:val="24"/>
          <w:szCs w:val="24"/>
        </w:rPr>
      </w:pPr>
      <w:r w:rsidRPr="0029257A">
        <w:rPr>
          <w:rFonts w:ascii="Times New Roman" w:hAnsi="Times New Roman" w:cs="Times New Roman"/>
          <w:i/>
          <w:iCs/>
          <w:sz w:val="24"/>
          <w:szCs w:val="24"/>
        </w:rPr>
        <w:t>European Convention of Human Rights</w:t>
      </w:r>
      <w:r w:rsidR="0029257A">
        <w:rPr>
          <w:rFonts w:ascii="Times New Roman" w:hAnsi="Times New Roman" w:cs="Times New Roman"/>
          <w:i/>
          <w:iCs/>
          <w:sz w:val="24"/>
          <w:szCs w:val="24"/>
        </w:rPr>
        <w:t xml:space="preserve"> </w:t>
      </w:r>
      <w:r w:rsidRPr="00947B8F">
        <w:rPr>
          <w:rFonts w:ascii="Times New Roman" w:hAnsi="Times New Roman" w:cs="Times New Roman"/>
          <w:i/>
          <w:sz w:val="24"/>
          <w:szCs w:val="24"/>
        </w:rPr>
        <w:t>Article 9: Freedom of thought, conscience and religion</w:t>
      </w:r>
    </w:p>
    <w:p w14:paraId="297D3362" w14:textId="77777777" w:rsidR="000F5996" w:rsidRPr="00947B8F" w:rsidRDefault="000F5996" w:rsidP="00947B8F">
      <w:pPr>
        <w:spacing w:line="276" w:lineRule="auto"/>
        <w:rPr>
          <w:rFonts w:ascii="Times New Roman" w:hAnsi="Times New Roman" w:cs="Times New Roman"/>
          <w:sz w:val="24"/>
          <w:szCs w:val="24"/>
        </w:rPr>
      </w:pPr>
    </w:p>
    <w:p w14:paraId="4328F4F1" w14:textId="10C93190" w:rsidR="000F5996" w:rsidRPr="00947B8F" w:rsidRDefault="00AD4360" w:rsidP="00947B8F">
      <w:pPr>
        <w:spacing w:line="276" w:lineRule="auto"/>
        <w:rPr>
          <w:rFonts w:ascii="Times New Roman" w:hAnsi="Times New Roman" w:cs="Times New Roman"/>
          <w:sz w:val="24"/>
          <w:szCs w:val="24"/>
        </w:rPr>
      </w:pPr>
      <w:r>
        <w:rPr>
          <w:rFonts w:ascii="Times New Roman" w:hAnsi="Times New Roman" w:cs="Times New Roman"/>
          <w:sz w:val="24"/>
          <w:szCs w:val="24"/>
        </w:rPr>
        <w:t xml:space="preserve">Although the ECHR is not binding on Australia, it </w:t>
      </w:r>
      <w:r w:rsidR="009E0FF7">
        <w:rPr>
          <w:rFonts w:ascii="Times New Roman" w:hAnsi="Times New Roman" w:cs="Times New Roman"/>
          <w:sz w:val="24"/>
          <w:szCs w:val="24"/>
        </w:rPr>
        <w:t xml:space="preserve">reaffirms and supports the same principles as the ICCPR on this point. </w:t>
      </w:r>
      <w:r w:rsidR="000F5996" w:rsidRPr="00947B8F">
        <w:rPr>
          <w:rFonts w:ascii="Times New Roman" w:hAnsi="Times New Roman" w:cs="Times New Roman"/>
          <w:sz w:val="24"/>
          <w:szCs w:val="24"/>
        </w:rPr>
        <w:t xml:space="preserve">Article 9 in the Convention is partly an absolute right and partly a qualified right. It is an absolute right in the sense that the internal dimension, freedom to believe or change belief, is inviolable and not subject to limitation. It is a qualified right in the sense that the external dimension, manifestation of that belief, is subject to the limitations indicated in Article 9 itself. Any limitation must be ‘necessary in a democratic society’, which requires a test of ‘proportionality’: the Court considers whether the purpose of the limitation of the right is ‘legitimate’, whether the limitation is ‘necessary for attaining that purpose’, and </w:t>
      </w:r>
      <w:r w:rsidR="000F5996" w:rsidRPr="00947B8F">
        <w:rPr>
          <w:rFonts w:ascii="Times New Roman" w:hAnsi="Times New Roman" w:cs="Times New Roman"/>
          <w:sz w:val="24"/>
          <w:szCs w:val="24"/>
        </w:rPr>
        <w:lastRenderedPageBreak/>
        <w:t>whether the measure strikes the proper balance between that purpose and the right being restricted.</w:t>
      </w:r>
      <w:r w:rsidR="000F5996" w:rsidRPr="00947B8F">
        <w:rPr>
          <w:rStyle w:val="FootnoteReference"/>
          <w:rFonts w:ascii="Times New Roman" w:hAnsi="Times New Roman" w:cs="Times New Roman"/>
          <w:sz w:val="24"/>
          <w:szCs w:val="24"/>
        </w:rPr>
        <w:footnoteReference w:id="10"/>
      </w:r>
      <w:r w:rsidR="000F5996" w:rsidRPr="00947B8F">
        <w:rPr>
          <w:rFonts w:ascii="Times New Roman" w:hAnsi="Times New Roman" w:cs="Times New Roman"/>
          <w:sz w:val="24"/>
          <w:szCs w:val="24"/>
        </w:rPr>
        <w:t xml:space="preserve">  Article 9 states:</w:t>
      </w:r>
    </w:p>
    <w:p w14:paraId="1549A030" w14:textId="77777777" w:rsidR="000F5996" w:rsidRPr="00947B8F" w:rsidRDefault="000F5996" w:rsidP="00947B8F">
      <w:pPr>
        <w:spacing w:after="0" w:line="276" w:lineRule="auto"/>
        <w:ind w:left="720"/>
        <w:rPr>
          <w:rFonts w:ascii="Times New Roman" w:eastAsia="Times New Roman" w:hAnsi="Times New Roman" w:cs="Times New Roman"/>
          <w:sz w:val="24"/>
          <w:szCs w:val="24"/>
          <w:lang w:eastAsia="en-AU"/>
        </w:rPr>
      </w:pPr>
      <w:r w:rsidRPr="00947B8F">
        <w:rPr>
          <w:rFonts w:ascii="Times New Roman" w:eastAsia="Times New Roman" w:hAnsi="Times New Roman" w:cs="Times New Roman"/>
          <w:sz w:val="24"/>
          <w:szCs w:val="24"/>
          <w:lang w:eastAsia="en-AU"/>
        </w:rPr>
        <w:t xml:space="preserve">1. 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 </w:t>
      </w:r>
    </w:p>
    <w:p w14:paraId="449314B9" w14:textId="77777777" w:rsidR="000F5996" w:rsidRPr="00947B8F" w:rsidRDefault="000F5996" w:rsidP="00947B8F">
      <w:pPr>
        <w:spacing w:after="0" w:line="276" w:lineRule="auto"/>
        <w:ind w:left="720"/>
        <w:rPr>
          <w:rFonts w:ascii="Times New Roman" w:eastAsia="Times New Roman" w:hAnsi="Times New Roman" w:cs="Times New Roman"/>
          <w:sz w:val="24"/>
          <w:szCs w:val="24"/>
          <w:lang w:eastAsia="en-AU"/>
        </w:rPr>
      </w:pPr>
      <w:r w:rsidRPr="00947B8F">
        <w:rPr>
          <w:rFonts w:ascii="Times New Roman" w:eastAsia="Times New Roman" w:hAnsi="Times New Roman" w:cs="Times New Roman"/>
          <w:sz w:val="24"/>
          <w:szCs w:val="24"/>
          <w:lang w:eastAsia="en-AU"/>
        </w:rPr>
        <w:t>2. 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14:paraId="45A73EF4" w14:textId="77777777" w:rsidR="000F5996" w:rsidRPr="00947B8F" w:rsidRDefault="000F5996" w:rsidP="00947B8F">
      <w:pPr>
        <w:spacing w:line="276" w:lineRule="auto"/>
        <w:rPr>
          <w:rFonts w:ascii="Times New Roman" w:hAnsi="Times New Roman" w:cs="Times New Roman"/>
          <w:sz w:val="24"/>
          <w:szCs w:val="24"/>
        </w:rPr>
      </w:pPr>
    </w:p>
    <w:p w14:paraId="0EE30C2D" w14:textId="431A3A6C" w:rsidR="00B47D1B" w:rsidRDefault="000F5996"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In regard to the autonomy of religious communities specifically, there are some emerging themes in Article 9 jurisprudence. These recognise that associations can themselves bear rights, including the right to structure themselves in accordance with religious precepts. Religious communities have the autonomy to determine their own leadership and membership structure, and standards for those leaders and members to follow, as long as those members of the community also have the freedom to leave the organisation.</w:t>
      </w:r>
      <w:r w:rsidRPr="00947B8F">
        <w:rPr>
          <w:rStyle w:val="FootnoteReference"/>
          <w:rFonts w:ascii="Times New Roman" w:hAnsi="Times New Roman" w:cs="Times New Roman"/>
          <w:sz w:val="24"/>
          <w:szCs w:val="24"/>
        </w:rPr>
        <w:footnoteReference w:id="11"/>
      </w:r>
      <w:r w:rsidRPr="00947B8F">
        <w:rPr>
          <w:rFonts w:ascii="Times New Roman" w:hAnsi="Times New Roman" w:cs="Times New Roman"/>
          <w:sz w:val="24"/>
          <w:szCs w:val="24"/>
        </w:rPr>
        <w:t xml:space="preserve"> </w:t>
      </w:r>
    </w:p>
    <w:p w14:paraId="1375DAF1" w14:textId="77777777" w:rsidR="00E11E31" w:rsidRPr="00947B8F" w:rsidRDefault="00E11E31" w:rsidP="00947B8F">
      <w:pPr>
        <w:spacing w:line="276" w:lineRule="auto"/>
        <w:rPr>
          <w:rFonts w:ascii="Times New Roman" w:hAnsi="Times New Roman" w:cs="Times New Roman"/>
          <w:sz w:val="24"/>
          <w:szCs w:val="24"/>
        </w:rPr>
      </w:pPr>
    </w:p>
    <w:p w14:paraId="6AAEF528" w14:textId="74969410" w:rsidR="000E79DA" w:rsidRPr="00947B8F" w:rsidRDefault="000E79DA"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The E</w:t>
      </w:r>
      <w:r w:rsidR="444C2661" w:rsidRPr="00947B8F">
        <w:rPr>
          <w:rFonts w:ascii="Times New Roman" w:hAnsi="Times New Roman" w:cs="Times New Roman"/>
          <w:sz w:val="24"/>
          <w:szCs w:val="24"/>
        </w:rPr>
        <w:t>uropean Court of Human Rights (ECtHR)</w:t>
      </w:r>
      <w:r w:rsidRPr="00947B8F">
        <w:rPr>
          <w:rFonts w:ascii="Times New Roman" w:hAnsi="Times New Roman" w:cs="Times New Roman"/>
          <w:sz w:val="24"/>
          <w:szCs w:val="24"/>
        </w:rPr>
        <w:t xml:space="preserve"> has recognised that religious organisations have legal personality and distinct rights. ‘The importance of the collective dimension to religious freedom has emerged as an important theme in Convention jurisprudence’.</w:t>
      </w:r>
      <w:r w:rsidRPr="00947B8F">
        <w:rPr>
          <w:rStyle w:val="FootnoteReference"/>
          <w:rFonts w:ascii="Times New Roman" w:hAnsi="Times New Roman" w:cs="Times New Roman"/>
          <w:sz w:val="24"/>
          <w:szCs w:val="24"/>
        </w:rPr>
        <w:footnoteReference w:id="12"/>
      </w:r>
      <w:r w:rsidRPr="00947B8F">
        <w:rPr>
          <w:rFonts w:ascii="Times New Roman" w:hAnsi="Times New Roman" w:cs="Times New Roman"/>
          <w:sz w:val="24"/>
          <w:szCs w:val="24"/>
        </w:rPr>
        <w:t xml:space="preserve"> Harrison notes that the autonomy of these groups is linked with their ability to privately maintain their traditions and publicly express their beliefs. There is a ‘distinct line of jurisprudence that emphasises the importance of religious associations to a vital civil society’.</w:t>
      </w:r>
      <w:r w:rsidRPr="00947B8F">
        <w:rPr>
          <w:rStyle w:val="FootnoteReference"/>
          <w:rFonts w:ascii="Times New Roman" w:hAnsi="Times New Roman" w:cs="Times New Roman"/>
          <w:sz w:val="24"/>
          <w:szCs w:val="24"/>
        </w:rPr>
        <w:footnoteReference w:id="13"/>
      </w:r>
      <w:r w:rsidRPr="00947B8F">
        <w:rPr>
          <w:rFonts w:ascii="Times New Roman" w:hAnsi="Times New Roman" w:cs="Times New Roman"/>
          <w:sz w:val="24"/>
          <w:szCs w:val="24"/>
        </w:rPr>
        <w:t xml:space="preserve"> For example, in the foundational case of </w:t>
      </w:r>
      <w:r w:rsidRPr="2A4EBCE9">
        <w:rPr>
          <w:rFonts w:ascii="Times New Roman" w:hAnsi="Times New Roman" w:cs="Times New Roman"/>
          <w:i/>
          <w:iCs/>
          <w:sz w:val="24"/>
          <w:szCs w:val="24"/>
        </w:rPr>
        <w:t>Kokkinakis v Greece</w:t>
      </w:r>
      <w:r w:rsidRPr="00947B8F">
        <w:rPr>
          <w:rFonts w:ascii="Times New Roman" w:hAnsi="Times New Roman" w:cs="Times New Roman"/>
          <w:sz w:val="24"/>
          <w:szCs w:val="24"/>
        </w:rPr>
        <w:t>, the Court states:</w:t>
      </w:r>
    </w:p>
    <w:p w14:paraId="54FFF2B2" w14:textId="77777777" w:rsidR="000E79DA" w:rsidRPr="00947B8F" w:rsidRDefault="000E79DA" w:rsidP="00947B8F">
      <w:pPr>
        <w:spacing w:line="276" w:lineRule="auto"/>
        <w:ind w:left="720"/>
        <w:rPr>
          <w:rFonts w:ascii="Times New Roman" w:hAnsi="Times New Roman" w:cs="Times New Roman"/>
          <w:sz w:val="24"/>
          <w:szCs w:val="24"/>
        </w:rPr>
      </w:pPr>
      <w:r w:rsidRPr="00947B8F">
        <w:rPr>
          <w:rFonts w:ascii="Times New Roman" w:hAnsi="Times New Roman" w:cs="Times New Roman"/>
          <w:sz w:val="24"/>
          <w:szCs w:val="24"/>
        </w:rPr>
        <w:t>As enshrined in Article 9, freedom of thought, conscience and religion is one of the foundations of a democratic society… it is, in its religious dimension, one of the most vital elements that go to make up the identity of believers and their conceptions of life… The pluralism indissociable from a democratic society… depends on it.</w:t>
      </w:r>
      <w:r w:rsidRPr="00947B8F">
        <w:rPr>
          <w:rStyle w:val="FootnoteReference"/>
          <w:rFonts w:ascii="Times New Roman" w:hAnsi="Times New Roman" w:cs="Times New Roman"/>
          <w:sz w:val="24"/>
          <w:szCs w:val="24"/>
        </w:rPr>
        <w:footnoteReference w:id="14"/>
      </w:r>
    </w:p>
    <w:p w14:paraId="7A0E7778" w14:textId="77777777" w:rsidR="000E79DA" w:rsidRPr="00947B8F" w:rsidRDefault="000E79DA" w:rsidP="00947B8F">
      <w:pPr>
        <w:spacing w:line="276" w:lineRule="auto"/>
        <w:rPr>
          <w:rFonts w:ascii="Times New Roman" w:hAnsi="Times New Roman" w:cs="Times New Roman"/>
          <w:sz w:val="24"/>
          <w:szCs w:val="24"/>
        </w:rPr>
      </w:pPr>
    </w:p>
    <w:p w14:paraId="180A2A83" w14:textId="2F96BCF3" w:rsidR="000E79DA" w:rsidRPr="00947B8F" w:rsidRDefault="000E79DA"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 xml:space="preserve">The collective dimension of Article 9, the freedom to manifest in community with others, contributes to the common good, pluralism and peaceful coexistence of different communities in a democratic society. Protecting ‘the autonomy of the religious institution’ in </w:t>
      </w:r>
      <w:r w:rsidRPr="00947B8F">
        <w:rPr>
          <w:rFonts w:ascii="Times New Roman" w:hAnsi="Times New Roman" w:cs="Times New Roman"/>
          <w:sz w:val="24"/>
          <w:szCs w:val="24"/>
        </w:rPr>
        <w:lastRenderedPageBreak/>
        <w:t>this way is essential for preserving ‘the pluralism indissociable from a democratic society’.</w:t>
      </w:r>
      <w:r w:rsidRPr="00947B8F">
        <w:rPr>
          <w:rStyle w:val="FootnoteReference"/>
          <w:rFonts w:ascii="Times New Roman" w:hAnsi="Times New Roman" w:cs="Times New Roman"/>
          <w:sz w:val="24"/>
          <w:szCs w:val="24"/>
        </w:rPr>
        <w:footnoteReference w:id="15"/>
      </w:r>
      <w:r w:rsidRPr="00947B8F">
        <w:rPr>
          <w:rFonts w:ascii="Times New Roman" w:hAnsi="Times New Roman" w:cs="Times New Roman"/>
          <w:sz w:val="24"/>
          <w:szCs w:val="24"/>
        </w:rPr>
        <w:t xml:space="preserve"> As McCrudden emphasises, ‘the autonomous existence of religious communities is indispensable for pluralism in a democratic society and is thus an issue at the very heart of the protection which Article 9 affords... Were the organisational life of the community not protected by Article 9... all other aspects of... freedom of religion would become vulnerable.’</w:t>
      </w:r>
      <w:r w:rsidRPr="00947B8F">
        <w:rPr>
          <w:rStyle w:val="FootnoteReference"/>
          <w:rFonts w:ascii="Times New Roman" w:hAnsi="Times New Roman" w:cs="Times New Roman"/>
          <w:sz w:val="24"/>
          <w:szCs w:val="24"/>
        </w:rPr>
        <w:footnoteReference w:id="16"/>
      </w:r>
      <w:r w:rsidRPr="00947B8F">
        <w:rPr>
          <w:rFonts w:ascii="Times New Roman" w:hAnsi="Times New Roman" w:cs="Times New Roman"/>
          <w:sz w:val="24"/>
          <w:szCs w:val="24"/>
        </w:rPr>
        <w:t xml:space="preserve"> The most powerful cases demonstrate this principle through protecting the autonomy of religious organisations in selecting their leaders.</w:t>
      </w:r>
      <w:r w:rsidRPr="00947B8F">
        <w:rPr>
          <w:rStyle w:val="FootnoteReference"/>
          <w:rFonts w:ascii="Times New Roman" w:hAnsi="Times New Roman" w:cs="Times New Roman"/>
          <w:sz w:val="24"/>
          <w:szCs w:val="24"/>
        </w:rPr>
        <w:footnoteReference w:id="17"/>
      </w:r>
      <w:r w:rsidRPr="00947B8F">
        <w:rPr>
          <w:rFonts w:ascii="Times New Roman" w:hAnsi="Times New Roman" w:cs="Times New Roman"/>
          <w:sz w:val="24"/>
          <w:szCs w:val="24"/>
        </w:rPr>
        <w:t xml:space="preserve"> </w:t>
      </w:r>
    </w:p>
    <w:p w14:paraId="590D9710" w14:textId="77777777" w:rsidR="000E79DA" w:rsidRPr="00947B8F" w:rsidRDefault="000E79DA" w:rsidP="00947B8F">
      <w:pPr>
        <w:spacing w:line="276" w:lineRule="auto"/>
        <w:rPr>
          <w:rFonts w:ascii="Times New Roman" w:hAnsi="Times New Roman" w:cs="Times New Roman"/>
          <w:sz w:val="24"/>
          <w:szCs w:val="24"/>
        </w:rPr>
      </w:pPr>
    </w:p>
    <w:p w14:paraId="1BCDE3EA" w14:textId="2431726A" w:rsidR="00CC1CB6" w:rsidRPr="00947B8F" w:rsidRDefault="000E79DA" w:rsidP="00CC1CB6">
      <w:pPr>
        <w:spacing w:line="276" w:lineRule="auto"/>
        <w:rPr>
          <w:rFonts w:ascii="Times New Roman" w:eastAsia="Times New Roman" w:hAnsi="Times New Roman" w:cs="Times New Roman"/>
          <w:sz w:val="24"/>
          <w:szCs w:val="20"/>
        </w:rPr>
      </w:pPr>
      <w:r w:rsidRPr="00947B8F">
        <w:rPr>
          <w:rFonts w:ascii="Times New Roman" w:hAnsi="Times New Roman" w:cs="Times New Roman"/>
          <w:sz w:val="24"/>
          <w:szCs w:val="24"/>
        </w:rPr>
        <w:t>Hence religious communities have the right to determine their own structure, membership, policy, objectives and so on. ‘Selection of leaders is one of the very core aspects of religious association autonomy... religious bodies have the right to reject candidates for ministry or discipline or expel an existing pastoral minister even if the grounds for doing so appear to liberals (and others) to be archaic, illiberal or bigoted. The grounds for selection and dismissal are matters within the province of the religious community, and it alone, to decide’, including on the basis of race (for example a Jewish community), sex (ordination of men and not women), and sexual orientation (not appointing a gay man to a leadership position).</w:t>
      </w:r>
      <w:r w:rsidRPr="00947B8F">
        <w:rPr>
          <w:rStyle w:val="FootnoteReference"/>
          <w:rFonts w:ascii="Times New Roman" w:hAnsi="Times New Roman" w:cs="Times New Roman"/>
          <w:sz w:val="24"/>
          <w:szCs w:val="24"/>
        </w:rPr>
        <w:footnoteReference w:id="18"/>
      </w:r>
      <w:r w:rsidR="00CC1CB6">
        <w:rPr>
          <w:rFonts w:ascii="Times New Roman" w:hAnsi="Times New Roman" w:cs="Times New Roman"/>
          <w:sz w:val="24"/>
          <w:szCs w:val="24"/>
        </w:rPr>
        <w:t xml:space="preserve"> </w:t>
      </w:r>
      <w:r w:rsidR="00CC1CB6" w:rsidRPr="2A4EBCE9">
        <w:rPr>
          <w:rFonts w:ascii="Times New Roman" w:hAnsi="Times New Roman" w:cs="Times New Roman"/>
          <w:sz w:val="24"/>
          <w:szCs w:val="24"/>
        </w:rPr>
        <w:t xml:space="preserve">These decisions are coherent with, and give substantive effect to, the principles articulated by the ECtHR in </w:t>
      </w:r>
      <w:r w:rsidR="00CC1CB6" w:rsidRPr="77349DE2">
        <w:rPr>
          <w:rFonts w:ascii="Times New Roman" w:hAnsi="Times New Roman" w:cs="Times New Roman"/>
          <w:i/>
          <w:iCs/>
          <w:sz w:val="24"/>
          <w:szCs w:val="24"/>
        </w:rPr>
        <w:t xml:space="preserve">Hasan &amp; </w:t>
      </w:r>
      <w:proofErr w:type="spellStart"/>
      <w:r w:rsidR="00CC1CB6" w:rsidRPr="77349DE2">
        <w:rPr>
          <w:rFonts w:ascii="Times New Roman" w:hAnsi="Times New Roman" w:cs="Times New Roman"/>
          <w:i/>
          <w:iCs/>
          <w:sz w:val="24"/>
          <w:szCs w:val="24"/>
        </w:rPr>
        <w:t>Chuash</w:t>
      </w:r>
      <w:proofErr w:type="spellEnd"/>
      <w:r w:rsidR="00CC1CB6" w:rsidRPr="77349DE2">
        <w:rPr>
          <w:rFonts w:ascii="Times New Roman" w:hAnsi="Times New Roman" w:cs="Times New Roman"/>
          <w:i/>
          <w:iCs/>
          <w:sz w:val="24"/>
          <w:szCs w:val="24"/>
        </w:rPr>
        <w:t xml:space="preserve"> v Bulgaria: </w:t>
      </w:r>
      <w:r w:rsidR="00CC1CB6" w:rsidRPr="2A4EBCE9">
        <w:rPr>
          <w:rFonts w:ascii="Times New Roman" w:hAnsi="Times New Roman" w:cs="Times New Roman"/>
          <w:sz w:val="24"/>
          <w:szCs w:val="24"/>
        </w:rPr>
        <w:t>‘religious communities traditionally and universally exist in the form of organised structures’ necessitating the recognition that ‘participation in the life of [such communities] is a manifestation of one’s religion.’</w:t>
      </w:r>
      <w:r w:rsidR="00CC1CB6" w:rsidRPr="00947B8F">
        <w:rPr>
          <w:rStyle w:val="FootnoteReference"/>
          <w:rFonts w:ascii="Times New Roman" w:hAnsi="Times New Roman" w:cs="Times New Roman"/>
        </w:rPr>
        <w:footnoteReference w:id="19"/>
      </w:r>
      <w:r w:rsidR="00CC1CB6" w:rsidRPr="2A4EBCE9">
        <w:rPr>
          <w:rFonts w:ascii="Times New Roman" w:hAnsi="Times New Roman" w:cs="Times New Roman"/>
          <w:sz w:val="24"/>
          <w:szCs w:val="24"/>
        </w:rPr>
        <w:t xml:space="preserve"> Similarly the Court has recognised that ‘[w]ere the organisational life of the community not protected by Article 9 of the Convention, all other aspects of the individual’s freedom of religion would become vulnerable.’</w:t>
      </w:r>
      <w:r w:rsidR="00CC1CB6" w:rsidRPr="00947B8F">
        <w:rPr>
          <w:rStyle w:val="FootnoteReference"/>
          <w:rFonts w:ascii="Times New Roman" w:hAnsi="Times New Roman" w:cs="Times New Roman"/>
        </w:rPr>
        <w:footnoteReference w:id="20"/>
      </w:r>
      <w:r w:rsidR="00CC1CB6" w:rsidRPr="2A4EBCE9">
        <w:rPr>
          <w:rFonts w:ascii="Times New Roman" w:hAnsi="Times New Roman" w:cs="Times New Roman"/>
          <w:sz w:val="24"/>
          <w:szCs w:val="24"/>
        </w:rPr>
        <w:t xml:space="preserve"> </w:t>
      </w:r>
    </w:p>
    <w:p w14:paraId="3678FA6C" w14:textId="77777777" w:rsidR="00CC1CB6" w:rsidRDefault="00CC1CB6" w:rsidP="00947B8F">
      <w:pPr>
        <w:spacing w:line="276" w:lineRule="auto"/>
        <w:rPr>
          <w:rFonts w:ascii="Times New Roman" w:hAnsi="Times New Roman" w:cs="Times New Roman"/>
          <w:sz w:val="24"/>
          <w:szCs w:val="24"/>
        </w:rPr>
      </w:pPr>
    </w:p>
    <w:p w14:paraId="796938D8" w14:textId="283882F0" w:rsidR="000E79DA" w:rsidRPr="00947B8F" w:rsidRDefault="00CC1CB6" w:rsidP="00947B8F">
      <w:pPr>
        <w:spacing w:line="276" w:lineRule="auto"/>
        <w:rPr>
          <w:rFonts w:ascii="Times New Roman" w:hAnsi="Times New Roman" w:cs="Times New Roman"/>
          <w:sz w:val="24"/>
          <w:szCs w:val="24"/>
        </w:rPr>
      </w:pPr>
      <w:r>
        <w:rPr>
          <w:rFonts w:ascii="Times New Roman" w:hAnsi="Times New Roman" w:cs="Times New Roman"/>
          <w:sz w:val="24"/>
          <w:szCs w:val="24"/>
        </w:rPr>
        <w:t>Thus, state intervention</w:t>
      </w:r>
      <w:r w:rsidR="000E79DA" w:rsidRPr="00947B8F">
        <w:rPr>
          <w:rFonts w:ascii="Times New Roman" w:hAnsi="Times New Roman" w:cs="Times New Roman"/>
          <w:sz w:val="24"/>
          <w:szCs w:val="24"/>
        </w:rPr>
        <w:t xml:space="preserve"> would be invasive and destructive to religious freedom and, indeed, the separation of church and state and democracy itself; state-determined appointment or dismissal of religious leaders, and/or penalties for non-compliance, are hallmarks of authoritarian and religiously repressive regimes.</w:t>
      </w:r>
      <w:r w:rsidR="000E79DA" w:rsidRPr="00947B8F">
        <w:rPr>
          <w:rStyle w:val="FootnoteReference"/>
          <w:rFonts w:ascii="Times New Roman" w:hAnsi="Times New Roman" w:cs="Times New Roman"/>
          <w:sz w:val="24"/>
          <w:szCs w:val="24"/>
        </w:rPr>
        <w:footnoteReference w:id="21"/>
      </w:r>
      <w:r w:rsidR="000E79DA" w:rsidRPr="00947B8F">
        <w:rPr>
          <w:rFonts w:ascii="Times New Roman" w:hAnsi="Times New Roman" w:cs="Times New Roman"/>
          <w:sz w:val="24"/>
          <w:szCs w:val="24"/>
        </w:rPr>
        <w:t xml:space="preserve"> In short, ‘the right of religious communities to select their own religious leaders is borne out by the European Convention case law. The European Court of Human Rights has made it abundantly clear that attempts by a state to interfere in the selection of leaders will not be tolerated.’</w:t>
      </w:r>
      <w:r w:rsidR="000E79DA" w:rsidRPr="00947B8F">
        <w:rPr>
          <w:rStyle w:val="FootnoteReference"/>
          <w:rFonts w:ascii="Times New Roman" w:hAnsi="Times New Roman" w:cs="Times New Roman"/>
          <w:sz w:val="24"/>
          <w:szCs w:val="24"/>
        </w:rPr>
        <w:footnoteReference w:id="22"/>
      </w:r>
    </w:p>
    <w:p w14:paraId="6C901BE4" w14:textId="77777777" w:rsidR="00B47D1B" w:rsidRPr="00947B8F" w:rsidRDefault="00B47D1B" w:rsidP="00947B8F">
      <w:pPr>
        <w:spacing w:line="276" w:lineRule="auto"/>
        <w:rPr>
          <w:rFonts w:ascii="Times New Roman" w:hAnsi="Times New Roman" w:cs="Times New Roman"/>
          <w:sz w:val="24"/>
          <w:szCs w:val="24"/>
        </w:rPr>
      </w:pPr>
    </w:p>
    <w:p w14:paraId="5EF2AB95" w14:textId="3B81224D" w:rsidR="77349DE2" w:rsidRDefault="77349DE2" w:rsidP="77349DE2">
      <w:pPr>
        <w:spacing w:line="276" w:lineRule="auto"/>
        <w:rPr>
          <w:rFonts w:ascii="Times New Roman" w:hAnsi="Times New Roman" w:cs="Times New Roman"/>
          <w:sz w:val="24"/>
          <w:szCs w:val="24"/>
        </w:rPr>
      </w:pPr>
    </w:p>
    <w:p w14:paraId="401188F7" w14:textId="3A913EDA" w:rsidR="00B47D1B" w:rsidRPr="00947B8F" w:rsidRDefault="00AB5A53"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u w:val="single"/>
        </w:rPr>
        <w:t>Constitutional Law and the appointment/removal of religious leaders</w:t>
      </w:r>
    </w:p>
    <w:p w14:paraId="33C95997" w14:textId="77777777" w:rsidR="00AB5A53" w:rsidRPr="00947B8F" w:rsidRDefault="00AB5A53" w:rsidP="00947B8F">
      <w:pPr>
        <w:spacing w:line="276" w:lineRule="auto"/>
        <w:rPr>
          <w:rFonts w:ascii="Times New Roman" w:hAnsi="Times New Roman" w:cs="Times New Roman"/>
          <w:sz w:val="24"/>
          <w:szCs w:val="24"/>
        </w:rPr>
      </w:pPr>
    </w:p>
    <w:p w14:paraId="71E1721C" w14:textId="6E53E3A5" w:rsidR="00AB5A53" w:rsidRPr="00947B8F" w:rsidRDefault="00AB5A53" w:rsidP="00947B8F">
      <w:pPr>
        <w:spacing w:line="276" w:lineRule="auto"/>
        <w:rPr>
          <w:rFonts w:ascii="Times New Roman" w:hAnsi="Times New Roman" w:cs="Times New Roman"/>
          <w:sz w:val="24"/>
          <w:szCs w:val="24"/>
        </w:rPr>
      </w:pPr>
      <w:r w:rsidRPr="00947B8F">
        <w:rPr>
          <w:rFonts w:ascii="Times New Roman" w:hAnsi="Times New Roman" w:cs="Times New Roman"/>
          <w:i/>
          <w:iCs/>
          <w:sz w:val="24"/>
          <w:szCs w:val="24"/>
        </w:rPr>
        <w:t>Commonwealth Powers</w:t>
      </w:r>
    </w:p>
    <w:p w14:paraId="7A7E654A" w14:textId="77777777" w:rsidR="00AB5A53" w:rsidRPr="00947B8F" w:rsidRDefault="00AB5A53" w:rsidP="00947B8F">
      <w:pPr>
        <w:spacing w:line="276" w:lineRule="auto"/>
        <w:rPr>
          <w:rFonts w:ascii="Times New Roman" w:hAnsi="Times New Roman" w:cs="Times New Roman"/>
          <w:sz w:val="24"/>
          <w:szCs w:val="24"/>
        </w:rPr>
      </w:pPr>
    </w:p>
    <w:p w14:paraId="5DE672E0" w14:textId="7F9CC76A" w:rsidR="00AB5A53" w:rsidRPr="00947B8F" w:rsidRDefault="00B6076A"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 xml:space="preserve">Here I defer to the </w:t>
      </w:r>
      <w:r w:rsidR="00FD657A">
        <w:rPr>
          <w:rFonts w:ascii="Times New Roman" w:hAnsi="Times New Roman" w:cs="Times New Roman"/>
          <w:sz w:val="24"/>
          <w:szCs w:val="24"/>
        </w:rPr>
        <w:t>seminal</w:t>
      </w:r>
      <w:r w:rsidRPr="00947B8F">
        <w:rPr>
          <w:rFonts w:ascii="Times New Roman" w:hAnsi="Times New Roman" w:cs="Times New Roman"/>
          <w:sz w:val="24"/>
          <w:szCs w:val="24"/>
        </w:rPr>
        <w:t xml:space="preserve"> work of Nicholas </w:t>
      </w:r>
      <w:proofErr w:type="spellStart"/>
      <w:r w:rsidRPr="00947B8F">
        <w:rPr>
          <w:rFonts w:ascii="Times New Roman" w:hAnsi="Times New Roman" w:cs="Times New Roman"/>
          <w:sz w:val="24"/>
          <w:szCs w:val="24"/>
        </w:rPr>
        <w:t>Aroney</w:t>
      </w:r>
      <w:proofErr w:type="spellEnd"/>
      <w:r w:rsidRPr="00947B8F">
        <w:rPr>
          <w:rFonts w:ascii="Times New Roman" w:hAnsi="Times New Roman" w:cs="Times New Roman"/>
          <w:sz w:val="24"/>
          <w:szCs w:val="24"/>
        </w:rPr>
        <w:t xml:space="preserve">, Professor of Constitutional Law at the University of Queensland. </w:t>
      </w:r>
      <w:r w:rsidR="008E7608" w:rsidRPr="00947B8F">
        <w:rPr>
          <w:rFonts w:ascii="Times New Roman" w:hAnsi="Times New Roman" w:cs="Times New Roman"/>
          <w:sz w:val="24"/>
          <w:szCs w:val="24"/>
        </w:rPr>
        <w:t xml:space="preserve">In two articles </w:t>
      </w:r>
      <w:proofErr w:type="spellStart"/>
      <w:r w:rsidR="008E7608" w:rsidRPr="00947B8F">
        <w:rPr>
          <w:rFonts w:ascii="Times New Roman" w:hAnsi="Times New Roman" w:cs="Times New Roman"/>
          <w:sz w:val="24"/>
          <w:szCs w:val="24"/>
        </w:rPr>
        <w:t>Aroney</w:t>
      </w:r>
      <w:proofErr w:type="spellEnd"/>
      <w:r w:rsidR="008E7608" w:rsidRPr="00947B8F">
        <w:rPr>
          <w:rFonts w:ascii="Times New Roman" w:hAnsi="Times New Roman" w:cs="Times New Roman"/>
          <w:sz w:val="24"/>
          <w:szCs w:val="24"/>
        </w:rPr>
        <w:t xml:space="preserve"> </w:t>
      </w:r>
      <w:r w:rsidR="00FD657A">
        <w:rPr>
          <w:rFonts w:ascii="Times New Roman" w:hAnsi="Times New Roman" w:cs="Times New Roman"/>
          <w:sz w:val="24"/>
          <w:szCs w:val="24"/>
        </w:rPr>
        <w:t>has</w:t>
      </w:r>
      <w:r w:rsidR="008E7608" w:rsidRPr="00947B8F">
        <w:rPr>
          <w:rFonts w:ascii="Times New Roman" w:hAnsi="Times New Roman" w:cs="Times New Roman"/>
          <w:sz w:val="24"/>
          <w:szCs w:val="24"/>
        </w:rPr>
        <w:t xml:space="preserve"> argued that the Commonwealth does not have </w:t>
      </w:r>
      <w:r w:rsidR="00EA437A" w:rsidRPr="00947B8F">
        <w:rPr>
          <w:rFonts w:ascii="Times New Roman" w:hAnsi="Times New Roman" w:cs="Times New Roman"/>
          <w:sz w:val="24"/>
          <w:szCs w:val="24"/>
        </w:rPr>
        <w:t xml:space="preserve">legislative power under the Constitution to regulate the charities and non-profit sector as such. Rather, the Commonwealth relies on </w:t>
      </w:r>
      <w:r w:rsidR="008812F3" w:rsidRPr="00947B8F">
        <w:rPr>
          <w:rFonts w:ascii="Times New Roman" w:hAnsi="Times New Roman" w:cs="Times New Roman"/>
          <w:sz w:val="24"/>
          <w:szCs w:val="24"/>
        </w:rPr>
        <w:t xml:space="preserve">a combination of </w:t>
      </w:r>
      <w:r w:rsidR="00EA437A" w:rsidRPr="00947B8F">
        <w:rPr>
          <w:rFonts w:ascii="Times New Roman" w:hAnsi="Times New Roman" w:cs="Times New Roman"/>
          <w:sz w:val="24"/>
          <w:szCs w:val="24"/>
        </w:rPr>
        <w:t xml:space="preserve">the </w:t>
      </w:r>
      <w:r w:rsidR="008812F3" w:rsidRPr="00947B8F">
        <w:rPr>
          <w:rFonts w:ascii="Times New Roman" w:hAnsi="Times New Roman" w:cs="Times New Roman"/>
          <w:sz w:val="24"/>
          <w:szCs w:val="24"/>
        </w:rPr>
        <w:t>taxation, communications, corporations, external affairs and territories powers</w:t>
      </w:r>
      <w:r w:rsidR="003C4179" w:rsidRPr="00947B8F">
        <w:rPr>
          <w:rFonts w:ascii="Times New Roman" w:hAnsi="Times New Roman" w:cs="Times New Roman"/>
          <w:sz w:val="24"/>
          <w:szCs w:val="24"/>
        </w:rPr>
        <w:t xml:space="preserve">. There are strong arguments to suggest these powers do not </w:t>
      </w:r>
      <w:r w:rsidR="00EC7F48" w:rsidRPr="00947B8F">
        <w:rPr>
          <w:rFonts w:ascii="Times New Roman" w:hAnsi="Times New Roman" w:cs="Times New Roman"/>
          <w:sz w:val="24"/>
          <w:szCs w:val="24"/>
        </w:rPr>
        <w:t>support the relevant legislation.</w:t>
      </w:r>
      <w:r w:rsidR="00EC7F48" w:rsidRPr="00947B8F">
        <w:rPr>
          <w:rStyle w:val="FootnoteReference"/>
          <w:rFonts w:ascii="Times New Roman" w:hAnsi="Times New Roman" w:cs="Times New Roman"/>
          <w:sz w:val="24"/>
          <w:szCs w:val="24"/>
        </w:rPr>
        <w:footnoteReference w:id="23"/>
      </w:r>
      <w:r w:rsidR="00EC7F48" w:rsidRPr="00947B8F">
        <w:rPr>
          <w:rFonts w:ascii="Times New Roman" w:hAnsi="Times New Roman" w:cs="Times New Roman"/>
          <w:sz w:val="24"/>
          <w:szCs w:val="24"/>
        </w:rPr>
        <w:t xml:space="preserve"> </w:t>
      </w:r>
    </w:p>
    <w:p w14:paraId="586D4290" w14:textId="77777777" w:rsidR="00C71918" w:rsidRDefault="00C71918" w:rsidP="00947B8F">
      <w:pPr>
        <w:spacing w:line="276" w:lineRule="auto"/>
        <w:rPr>
          <w:rFonts w:ascii="Times New Roman" w:hAnsi="Times New Roman" w:cs="Times New Roman"/>
          <w:sz w:val="24"/>
          <w:szCs w:val="24"/>
        </w:rPr>
      </w:pPr>
    </w:p>
    <w:p w14:paraId="416A0DFC" w14:textId="1FBC78B5" w:rsidR="00D35370" w:rsidRPr="00947B8F" w:rsidRDefault="00E41627" w:rsidP="00947B8F">
      <w:pPr>
        <w:spacing w:line="276" w:lineRule="auto"/>
        <w:rPr>
          <w:rFonts w:ascii="Times New Roman" w:eastAsia="Times New Roman" w:hAnsi="Times New Roman" w:cs="Times New Roman"/>
          <w:sz w:val="24"/>
          <w:szCs w:val="24"/>
        </w:rPr>
      </w:pPr>
      <w:r w:rsidRPr="00947B8F">
        <w:rPr>
          <w:rFonts w:ascii="Times New Roman" w:hAnsi="Times New Roman" w:cs="Times New Roman"/>
          <w:sz w:val="24"/>
          <w:szCs w:val="24"/>
        </w:rPr>
        <w:t xml:space="preserve">In particular, to the extent </w:t>
      </w:r>
      <w:r w:rsidR="00BF449F" w:rsidRPr="00947B8F">
        <w:rPr>
          <w:rFonts w:ascii="Times New Roman" w:hAnsi="Times New Roman" w:cs="Times New Roman"/>
          <w:sz w:val="24"/>
          <w:szCs w:val="24"/>
        </w:rPr>
        <w:t xml:space="preserve">the legislation relies on the external affairs power, it will be invalid. </w:t>
      </w:r>
      <w:r w:rsidR="00477D36">
        <w:rPr>
          <w:rFonts w:ascii="Times New Roman" w:eastAsia="Times New Roman" w:hAnsi="Times New Roman" w:cs="Times New Roman"/>
          <w:sz w:val="24"/>
          <w:szCs w:val="24"/>
        </w:rPr>
        <w:t>T</w:t>
      </w:r>
      <w:r w:rsidR="00D35370" w:rsidRPr="00947B8F">
        <w:rPr>
          <w:rFonts w:ascii="Times New Roman" w:eastAsia="Times New Roman" w:hAnsi="Times New Roman" w:cs="Times New Roman"/>
          <w:sz w:val="24"/>
          <w:szCs w:val="24"/>
        </w:rPr>
        <w:t>he external affairs</w:t>
      </w:r>
      <w:r w:rsidR="00477D36">
        <w:rPr>
          <w:rFonts w:ascii="Times New Roman" w:eastAsia="Times New Roman" w:hAnsi="Times New Roman" w:cs="Times New Roman"/>
          <w:sz w:val="24"/>
          <w:szCs w:val="24"/>
        </w:rPr>
        <w:t xml:space="preserve"> </w:t>
      </w:r>
      <w:r w:rsidR="00D35370" w:rsidRPr="00947B8F">
        <w:rPr>
          <w:rFonts w:ascii="Times New Roman" w:eastAsia="Times New Roman" w:hAnsi="Times New Roman" w:cs="Times New Roman"/>
          <w:sz w:val="24"/>
          <w:szCs w:val="24"/>
        </w:rPr>
        <w:t>power enables the Commonwealth to make laws for the purpose of implementing rights and obligations arising from international treaties ratified by Australia.</w:t>
      </w:r>
      <w:r w:rsidR="00D35370" w:rsidRPr="00947B8F">
        <w:rPr>
          <w:rStyle w:val="FootnoteReference"/>
          <w:rFonts w:ascii="Times New Roman" w:eastAsia="Times New Roman" w:hAnsi="Times New Roman" w:cs="Times New Roman"/>
          <w:sz w:val="24"/>
          <w:szCs w:val="24"/>
        </w:rPr>
        <w:footnoteReference w:id="24"/>
      </w:r>
      <w:r w:rsidR="00D35370" w:rsidRPr="00947B8F">
        <w:rPr>
          <w:rFonts w:ascii="Times New Roman" w:eastAsia="Times New Roman" w:hAnsi="Times New Roman" w:cs="Times New Roman"/>
          <w:sz w:val="24"/>
          <w:szCs w:val="24"/>
        </w:rPr>
        <w:t xml:space="preserve"> </w:t>
      </w:r>
      <w:bookmarkStart w:id="0" w:name="_Hlk90529096"/>
      <w:r w:rsidR="00D35370" w:rsidRPr="00947B8F">
        <w:rPr>
          <w:rFonts w:ascii="Times New Roman" w:eastAsia="Times New Roman" w:hAnsi="Times New Roman" w:cs="Times New Roman"/>
          <w:sz w:val="24"/>
          <w:szCs w:val="24"/>
          <w:lang w:val="en-US"/>
        </w:rPr>
        <w:t xml:space="preserve">In the </w:t>
      </w:r>
      <w:r w:rsidR="00477D36">
        <w:rPr>
          <w:rFonts w:ascii="Times New Roman" w:eastAsia="Times New Roman" w:hAnsi="Times New Roman" w:cs="Times New Roman"/>
          <w:sz w:val="24"/>
          <w:szCs w:val="24"/>
          <w:lang w:val="en-US"/>
        </w:rPr>
        <w:t>leading</w:t>
      </w:r>
      <w:r w:rsidR="00D35370" w:rsidRPr="00947B8F">
        <w:rPr>
          <w:rFonts w:ascii="Times New Roman" w:eastAsia="Times New Roman" w:hAnsi="Times New Roman" w:cs="Times New Roman"/>
          <w:sz w:val="24"/>
          <w:szCs w:val="24"/>
          <w:lang w:val="en-US"/>
        </w:rPr>
        <w:t xml:space="preserve"> </w:t>
      </w:r>
      <w:r w:rsidR="00D35370" w:rsidRPr="2A4EBCE9">
        <w:rPr>
          <w:rFonts w:ascii="Times New Roman" w:eastAsia="Times New Roman" w:hAnsi="Times New Roman" w:cs="Times New Roman"/>
          <w:i/>
          <w:iCs/>
          <w:sz w:val="24"/>
          <w:szCs w:val="24"/>
          <w:lang w:val="en-US"/>
        </w:rPr>
        <w:t>Victoria v Commonwealth</w:t>
      </w:r>
      <w:r w:rsidR="00D35370" w:rsidRPr="00947B8F">
        <w:rPr>
          <w:rFonts w:ascii="Times New Roman" w:eastAsia="Times New Roman" w:hAnsi="Times New Roman" w:cs="Times New Roman"/>
          <w:sz w:val="24"/>
          <w:szCs w:val="24"/>
          <w:lang w:val="en-US"/>
        </w:rPr>
        <w:t xml:space="preserve"> (</w:t>
      </w:r>
      <w:r w:rsidR="00D35370" w:rsidRPr="2A4EBCE9">
        <w:rPr>
          <w:rFonts w:ascii="Times New Roman" w:eastAsia="Times New Roman" w:hAnsi="Times New Roman" w:cs="Times New Roman"/>
          <w:i/>
          <w:iCs/>
          <w:sz w:val="24"/>
          <w:szCs w:val="24"/>
          <w:lang w:val="en-US"/>
        </w:rPr>
        <w:t>Industrial Relations</w:t>
      </w:r>
      <w:r w:rsidR="00D35370" w:rsidRPr="00947B8F">
        <w:rPr>
          <w:rFonts w:ascii="Times New Roman" w:eastAsia="Times New Roman" w:hAnsi="Times New Roman" w:cs="Times New Roman"/>
          <w:sz w:val="24"/>
          <w:szCs w:val="24"/>
          <w:lang w:val="en-US"/>
        </w:rPr>
        <w:t xml:space="preserve"> case), t</w:t>
      </w:r>
      <w:r w:rsidR="00D35370" w:rsidRPr="00947B8F">
        <w:rPr>
          <w:rFonts w:ascii="Times New Roman" w:eastAsia="Times New Roman" w:hAnsi="Times New Roman" w:cs="Times New Roman"/>
          <w:sz w:val="24"/>
          <w:szCs w:val="24"/>
        </w:rPr>
        <w:t>he High Court outlined the applicable test: the law ‘must be reasonably capable of being considered appropriate and adapted to implementing the treaty’, and the law ‘must prescribe a regime that the treaty has itself defined with sufficient specificity to direct the general course to be taken by the signatory states’.</w:t>
      </w:r>
      <w:r w:rsidR="00D35370" w:rsidRPr="00947B8F">
        <w:rPr>
          <w:rStyle w:val="FootnoteReference"/>
          <w:rFonts w:ascii="Times New Roman" w:eastAsia="Times New Roman" w:hAnsi="Times New Roman" w:cs="Times New Roman"/>
          <w:sz w:val="24"/>
          <w:szCs w:val="24"/>
        </w:rPr>
        <w:footnoteReference w:id="25"/>
      </w:r>
      <w:r w:rsidR="00D35370" w:rsidRPr="00947B8F">
        <w:rPr>
          <w:rFonts w:ascii="Times New Roman" w:eastAsia="Times New Roman" w:hAnsi="Times New Roman" w:cs="Times New Roman"/>
          <w:sz w:val="24"/>
          <w:szCs w:val="24"/>
        </w:rPr>
        <w:t xml:space="preserve"> </w:t>
      </w:r>
      <w:bookmarkStart w:id="1" w:name="_Hlk90529250"/>
      <w:bookmarkEnd w:id="0"/>
      <w:r w:rsidR="00D35370" w:rsidRPr="00947B8F">
        <w:rPr>
          <w:rFonts w:ascii="Times New Roman" w:eastAsia="Times New Roman" w:hAnsi="Times New Roman" w:cs="Times New Roman"/>
          <w:sz w:val="24"/>
          <w:szCs w:val="24"/>
        </w:rPr>
        <w:t>The first aspect (conformity) entails a proportionality analysis which considers the purpose of the treaty and which recognises that ‘it is for the legislature to choose the means by which it carries into or gives effect to the treaty’.</w:t>
      </w:r>
      <w:r w:rsidR="00D35370" w:rsidRPr="00947B8F">
        <w:rPr>
          <w:rStyle w:val="FootnoteReference"/>
          <w:rFonts w:ascii="Times New Roman" w:eastAsia="Times New Roman" w:hAnsi="Times New Roman" w:cs="Times New Roman"/>
          <w:sz w:val="24"/>
          <w:szCs w:val="24"/>
        </w:rPr>
        <w:footnoteReference w:id="26"/>
      </w:r>
      <w:r w:rsidR="00D35370" w:rsidRPr="00947B8F">
        <w:rPr>
          <w:rFonts w:ascii="Times New Roman" w:eastAsia="Times New Roman" w:hAnsi="Times New Roman" w:cs="Times New Roman"/>
          <w:sz w:val="24"/>
          <w:szCs w:val="24"/>
        </w:rPr>
        <w:t xml:space="preserve"> The second aspect (specificity) requires that the treaty embodies precise obligations, rather than mere aspirations which are ‘broad objectives’ permitting ‘widely divergent policies’.</w:t>
      </w:r>
      <w:r w:rsidR="00D35370" w:rsidRPr="00947B8F">
        <w:rPr>
          <w:rStyle w:val="FootnoteReference"/>
          <w:rFonts w:ascii="Times New Roman" w:eastAsia="Times New Roman" w:hAnsi="Times New Roman" w:cs="Times New Roman"/>
          <w:sz w:val="24"/>
          <w:szCs w:val="24"/>
        </w:rPr>
        <w:footnoteReference w:id="27"/>
      </w:r>
      <w:r w:rsidR="00D35370" w:rsidRPr="00947B8F">
        <w:rPr>
          <w:rFonts w:ascii="Times New Roman" w:eastAsia="Times New Roman" w:hAnsi="Times New Roman" w:cs="Times New Roman"/>
          <w:sz w:val="24"/>
          <w:szCs w:val="24"/>
        </w:rPr>
        <w:t xml:space="preserve"> </w:t>
      </w:r>
      <w:bookmarkEnd w:id="1"/>
    </w:p>
    <w:p w14:paraId="1CA741DC" w14:textId="77777777" w:rsidR="00D35370" w:rsidRPr="00947B8F" w:rsidRDefault="00D35370" w:rsidP="00947B8F">
      <w:pPr>
        <w:spacing w:line="276" w:lineRule="auto"/>
        <w:rPr>
          <w:rFonts w:ascii="Times New Roman" w:eastAsia="Times New Roman" w:hAnsi="Times New Roman" w:cs="Times New Roman"/>
          <w:sz w:val="24"/>
          <w:szCs w:val="24"/>
        </w:rPr>
      </w:pPr>
    </w:p>
    <w:p w14:paraId="774C9ACB" w14:textId="643FBAE2" w:rsidR="00AB5A53" w:rsidRPr="00947B8F" w:rsidRDefault="00D35370" w:rsidP="00947B8F">
      <w:pPr>
        <w:spacing w:line="276" w:lineRule="auto"/>
        <w:rPr>
          <w:rFonts w:ascii="Times New Roman" w:hAnsi="Times New Roman" w:cs="Times New Roman"/>
          <w:sz w:val="24"/>
          <w:szCs w:val="24"/>
        </w:rPr>
      </w:pPr>
      <w:r w:rsidRPr="00947B8F">
        <w:rPr>
          <w:rFonts w:ascii="Times New Roman" w:eastAsia="Times New Roman" w:hAnsi="Times New Roman" w:cs="Times New Roman"/>
          <w:sz w:val="24"/>
          <w:szCs w:val="24"/>
        </w:rPr>
        <w:t xml:space="preserve">As explained above, the ICCPR and associated instruments prescribe a clear right to freedom of religion which includes freedom to manifest religion in in community with others. </w:t>
      </w:r>
      <w:r w:rsidRPr="00947B8F">
        <w:rPr>
          <w:rFonts w:ascii="Times New Roman" w:eastAsia="Times New Roman" w:hAnsi="Times New Roman" w:cs="Times New Roman"/>
          <w:sz w:val="24"/>
          <w:szCs w:val="24"/>
          <w:lang w:eastAsia="en-AU"/>
        </w:rPr>
        <w:t xml:space="preserve">Manifesting religion in community with others entails the creation and continuance of incorporated and unincorporated religious associations which function as distinct legal persons for a common purpose. </w:t>
      </w:r>
      <w:r w:rsidRPr="00947B8F">
        <w:rPr>
          <w:rFonts w:ascii="Times New Roman" w:eastAsia="Times New Roman" w:hAnsi="Times New Roman" w:cs="Times New Roman"/>
          <w:sz w:val="24"/>
          <w:szCs w:val="24"/>
        </w:rPr>
        <w:t>Article 18 recognises the ability of persons to form and incorporate religious associations</w:t>
      </w:r>
      <w:r w:rsidR="00AD4360">
        <w:rPr>
          <w:rFonts w:ascii="Times New Roman" w:eastAsia="Times New Roman" w:hAnsi="Times New Roman" w:cs="Times New Roman"/>
          <w:sz w:val="24"/>
          <w:szCs w:val="24"/>
        </w:rPr>
        <w:t xml:space="preserve"> such as charitable institutions</w:t>
      </w:r>
      <w:r w:rsidRPr="00947B8F">
        <w:rPr>
          <w:rFonts w:ascii="Times New Roman" w:eastAsia="Times New Roman" w:hAnsi="Times New Roman" w:cs="Times New Roman"/>
          <w:sz w:val="24"/>
          <w:szCs w:val="24"/>
        </w:rPr>
        <w:t xml:space="preserve"> as a function of exercising </w:t>
      </w:r>
      <w:r w:rsidRPr="00947B8F">
        <w:rPr>
          <w:rFonts w:ascii="Times New Roman" w:eastAsia="Times New Roman" w:hAnsi="Times New Roman" w:cs="Times New Roman"/>
          <w:sz w:val="24"/>
          <w:szCs w:val="24"/>
        </w:rPr>
        <w:lastRenderedPageBreak/>
        <w:t>their rights of freedom of religion and association</w:t>
      </w:r>
      <w:r w:rsidR="002335D4" w:rsidRPr="00947B8F">
        <w:rPr>
          <w:rFonts w:ascii="Times New Roman" w:eastAsia="Times New Roman" w:hAnsi="Times New Roman" w:cs="Times New Roman"/>
          <w:sz w:val="24"/>
          <w:szCs w:val="24"/>
        </w:rPr>
        <w:t xml:space="preserve">, including the selection of leaders. If legislation permits interference with these rights, </w:t>
      </w:r>
      <w:r w:rsidR="002C4F30" w:rsidRPr="00947B8F">
        <w:rPr>
          <w:rFonts w:ascii="Times New Roman" w:eastAsia="Times New Roman" w:hAnsi="Times New Roman" w:cs="Times New Roman"/>
          <w:sz w:val="24"/>
          <w:szCs w:val="24"/>
        </w:rPr>
        <w:t>it is clearly not implementing international obligations with respect to religious freedom</w:t>
      </w:r>
      <w:r w:rsidR="00993B23" w:rsidRPr="00947B8F">
        <w:rPr>
          <w:rFonts w:ascii="Times New Roman" w:eastAsia="Times New Roman" w:hAnsi="Times New Roman" w:cs="Times New Roman"/>
          <w:sz w:val="24"/>
          <w:szCs w:val="24"/>
        </w:rPr>
        <w:t xml:space="preserve"> and therefore will be invalid.</w:t>
      </w:r>
    </w:p>
    <w:p w14:paraId="54BE329A" w14:textId="77777777" w:rsidR="00AB5A53" w:rsidRPr="00947B8F" w:rsidRDefault="00AB5A53" w:rsidP="00947B8F">
      <w:pPr>
        <w:spacing w:line="276" w:lineRule="auto"/>
        <w:rPr>
          <w:rFonts w:ascii="Times New Roman" w:hAnsi="Times New Roman" w:cs="Times New Roman"/>
          <w:sz w:val="24"/>
          <w:szCs w:val="24"/>
        </w:rPr>
      </w:pPr>
    </w:p>
    <w:p w14:paraId="2DDCC607" w14:textId="47D7EC36" w:rsidR="00AB5A53" w:rsidRPr="00947B8F" w:rsidRDefault="00AB5A53" w:rsidP="00947B8F">
      <w:pPr>
        <w:spacing w:line="276" w:lineRule="auto"/>
        <w:rPr>
          <w:rFonts w:ascii="Times New Roman" w:hAnsi="Times New Roman" w:cs="Times New Roman"/>
          <w:sz w:val="24"/>
          <w:szCs w:val="24"/>
        </w:rPr>
      </w:pPr>
      <w:r w:rsidRPr="00947B8F">
        <w:rPr>
          <w:rFonts w:ascii="Times New Roman" w:hAnsi="Times New Roman" w:cs="Times New Roman"/>
          <w:i/>
          <w:iCs/>
          <w:sz w:val="24"/>
          <w:szCs w:val="24"/>
        </w:rPr>
        <w:t>Limits on Commonwealth Powers</w:t>
      </w:r>
    </w:p>
    <w:p w14:paraId="3DA77FCB" w14:textId="77777777" w:rsidR="00AC2BAE" w:rsidRPr="00947B8F" w:rsidRDefault="00AC2BAE" w:rsidP="00947B8F">
      <w:pPr>
        <w:spacing w:line="276" w:lineRule="auto"/>
        <w:rPr>
          <w:rFonts w:ascii="Times New Roman" w:hAnsi="Times New Roman" w:cs="Times New Roman"/>
          <w:sz w:val="24"/>
          <w:szCs w:val="24"/>
        </w:rPr>
      </w:pPr>
    </w:p>
    <w:p w14:paraId="1EAF5653" w14:textId="77777777" w:rsidR="00A7461C" w:rsidRPr="00947B8F" w:rsidRDefault="00A7461C" w:rsidP="00947B8F">
      <w:pPr>
        <w:pStyle w:val="NormalWeb"/>
        <w:spacing w:line="276" w:lineRule="auto"/>
      </w:pPr>
      <w:r w:rsidRPr="00947B8F">
        <w:t>Section 116 of the Australian Constitution provides:</w:t>
      </w:r>
    </w:p>
    <w:p w14:paraId="478F7B07" w14:textId="77777777" w:rsidR="00A7461C" w:rsidRPr="00947B8F" w:rsidRDefault="00A7461C" w:rsidP="00947B8F">
      <w:pPr>
        <w:spacing w:line="276" w:lineRule="auto"/>
        <w:ind w:left="720"/>
        <w:rPr>
          <w:rFonts w:ascii="Times New Roman" w:hAnsi="Times New Roman" w:cs="Times New Roman"/>
          <w:sz w:val="24"/>
          <w:szCs w:val="24"/>
        </w:rPr>
      </w:pPr>
      <w:r w:rsidRPr="00947B8F">
        <w:rPr>
          <w:rFonts w:ascii="Times New Roman" w:hAnsi="Times New Roman" w:cs="Times New Roman"/>
          <w:sz w:val="24"/>
          <w:szCs w:val="24"/>
        </w:rPr>
        <w:t>The Commonwealth shall not make any law for establishing any religion, or for imposing any religious observance, or for prohibiting the free exercise of any religion, and no religious test shall be required as a qualification for any office or public trust under the Commonwealth.</w:t>
      </w:r>
      <w:r w:rsidRPr="00947B8F">
        <w:rPr>
          <w:rStyle w:val="FootnoteReference"/>
          <w:rFonts w:ascii="Times New Roman" w:hAnsi="Times New Roman" w:cs="Times New Roman"/>
          <w:sz w:val="24"/>
          <w:szCs w:val="24"/>
        </w:rPr>
        <w:footnoteReference w:id="28"/>
      </w:r>
    </w:p>
    <w:p w14:paraId="666FA351" w14:textId="77777777" w:rsidR="00A7461C" w:rsidRPr="00947B8F" w:rsidRDefault="00A7461C" w:rsidP="00947B8F">
      <w:pPr>
        <w:spacing w:line="276" w:lineRule="auto"/>
        <w:rPr>
          <w:rFonts w:ascii="Times New Roman" w:hAnsi="Times New Roman" w:cs="Times New Roman"/>
          <w:sz w:val="24"/>
          <w:szCs w:val="24"/>
        </w:rPr>
      </w:pPr>
    </w:p>
    <w:p w14:paraId="692ABA7D" w14:textId="07E53057" w:rsidR="00A7461C" w:rsidRPr="00260F98" w:rsidRDefault="00A7461C" w:rsidP="00260F98">
      <w:pPr>
        <w:spacing w:line="276" w:lineRule="auto"/>
        <w:rPr>
          <w:rFonts w:ascii="Times New Roman" w:hAnsi="Times New Roman" w:cs="Times New Roman"/>
          <w:sz w:val="24"/>
          <w:szCs w:val="24"/>
          <w:lang w:val="en-US"/>
        </w:rPr>
      </w:pPr>
      <w:r w:rsidRPr="00947B8F">
        <w:rPr>
          <w:rFonts w:ascii="Times New Roman" w:hAnsi="Times New Roman" w:cs="Times New Roman"/>
          <w:sz w:val="24"/>
          <w:szCs w:val="24"/>
        </w:rPr>
        <w:t>Section 116 is subject to a number of limitations.</w:t>
      </w:r>
      <w:r w:rsidRPr="00947B8F">
        <w:rPr>
          <w:rStyle w:val="FootnoteReference"/>
          <w:rFonts w:ascii="Times New Roman" w:hAnsi="Times New Roman" w:cs="Times New Roman"/>
          <w:sz w:val="24"/>
          <w:szCs w:val="24"/>
        </w:rPr>
        <w:footnoteReference w:id="29"/>
      </w:r>
      <w:r w:rsidRPr="00947B8F">
        <w:rPr>
          <w:rFonts w:ascii="Times New Roman" w:hAnsi="Times New Roman" w:cs="Times New Roman"/>
          <w:sz w:val="24"/>
          <w:szCs w:val="24"/>
        </w:rPr>
        <w:t xml:space="preserve"> First, s 116 only applies to laws (including laws which authorise executive acts amounting to a breach) rather than general executive or personal action.</w:t>
      </w:r>
      <w:r w:rsidRPr="00947B8F">
        <w:rPr>
          <w:rStyle w:val="FootnoteReference"/>
          <w:rFonts w:ascii="Times New Roman" w:hAnsi="Times New Roman" w:cs="Times New Roman"/>
          <w:sz w:val="24"/>
          <w:szCs w:val="24"/>
        </w:rPr>
        <w:footnoteReference w:id="30"/>
      </w:r>
      <w:r w:rsidRPr="00947B8F">
        <w:rPr>
          <w:rFonts w:ascii="Times New Roman" w:hAnsi="Times New Roman" w:cs="Times New Roman"/>
          <w:sz w:val="24"/>
          <w:szCs w:val="24"/>
        </w:rPr>
        <w:t xml:space="preserve"> This means s 116 is not an individual right but a limit on legislative power.</w:t>
      </w:r>
      <w:r w:rsidRPr="00947B8F">
        <w:rPr>
          <w:rStyle w:val="FootnoteReference"/>
          <w:rFonts w:ascii="Times New Roman" w:hAnsi="Times New Roman" w:cs="Times New Roman"/>
          <w:sz w:val="24"/>
          <w:szCs w:val="24"/>
        </w:rPr>
        <w:footnoteReference w:id="31"/>
      </w:r>
      <w:r w:rsidRPr="00947B8F">
        <w:rPr>
          <w:rFonts w:ascii="Times New Roman" w:hAnsi="Times New Roman" w:cs="Times New Roman"/>
          <w:sz w:val="24"/>
          <w:szCs w:val="24"/>
        </w:rPr>
        <w:t xml:space="preserve"> Second, s 116 only applies to Commonwealth laws and does not apply to the states.</w:t>
      </w:r>
      <w:r w:rsidRPr="00947B8F">
        <w:rPr>
          <w:rStyle w:val="FootnoteReference"/>
          <w:rFonts w:ascii="Times New Roman" w:hAnsi="Times New Roman" w:cs="Times New Roman"/>
          <w:sz w:val="24"/>
          <w:szCs w:val="24"/>
        </w:rPr>
        <w:footnoteReference w:id="32"/>
      </w:r>
      <w:r w:rsidRPr="00947B8F">
        <w:rPr>
          <w:rFonts w:ascii="Times New Roman" w:hAnsi="Times New Roman" w:cs="Times New Roman"/>
          <w:sz w:val="24"/>
          <w:szCs w:val="24"/>
        </w:rPr>
        <w:t xml:space="preserve"> In regard to the scope of religious freedom, Chief Justice Latham in the </w:t>
      </w:r>
      <w:r w:rsidRPr="2A4EBCE9">
        <w:rPr>
          <w:rFonts w:ascii="Times New Roman" w:hAnsi="Times New Roman" w:cs="Times New Roman"/>
          <w:i/>
          <w:iCs/>
          <w:sz w:val="24"/>
          <w:szCs w:val="24"/>
        </w:rPr>
        <w:t>Jehovah’s Witnesses</w:t>
      </w:r>
      <w:r w:rsidRPr="00947B8F">
        <w:rPr>
          <w:rFonts w:ascii="Times New Roman" w:hAnsi="Times New Roman" w:cs="Times New Roman"/>
          <w:sz w:val="24"/>
          <w:szCs w:val="24"/>
        </w:rPr>
        <w:t xml:space="preserve"> case argues that since the ‘free exercise’ of religion is protected, this includes but extends beyond religious belief or the mere holding of religious opinion; the protection ‘from the operation of any Commonwealth laws’ covers ‘acts which are done in the exercise of religion’ or ‘acts done in pursuance of religious belief as part of religion’.</w:t>
      </w:r>
      <w:r w:rsidRPr="00947B8F">
        <w:rPr>
          <w:rStyle w:val="FootnoteReference"/>
          <w:rFonts w:ascii="Times New Roman" w:hAnsi="Times New Roman" w:cs="Times New Roman"/>
          <w:sz w:val="24"/>
          <w:szCs w:val="24"/>
        </w:rPr>
        <w:footnoteReference w:id="33"/>
      </w:r>
      <w:r w:rsidRPr="00947B8F">
        <w:rPr>
          <w:rFonts w:ascii="Times New Roman" w:hAnsi="Times New Roman" w:cs="Times New Roman"/>
          <w:sz w:val="24"/>
          <w:szCs w:val="24"/>
        </w:rPr>
        <w:t xml:space="preserve">  However, subsequent cases noted these acts must be religious conduct, or ‘conduct in which a person engages in giving effect to his [sic] faith in the supernatural’.</w:t>
      </w:r>
      <w:r w:rsidRPr="00947B8F">
        <w:rPr>
          <w:rStyle w:val="FootnoteReference"/>
          <w:rFonts w:ascii="Times New Roman" w:hAnsi="Times New Roman" w:cs="Times New Roman"/>
          <w:sz w:val="24"/>
          <w:szCs w:val="24"/>
        </w:rPr>
        <w:footnoteReference w:id="34"/>
      </w:r>
      <w:r w:rsidRPr="00947B8F">
        <w:rPr>
          <w:rFonts w:ascii="Times New Roman" w:hAnsi="Times New Roman" w:cs="Times New Roman"/>
          <w:sz w:val="24"/>
          <w:szCs w:val="24"/>
        </w:rPr>
        <w:t xml:space="preserve"> Religious conduct</w:t>
      </w:r>
      <w:r w:rsidRPr="00947B8F">
        <w:rPr>
          <w:rFonts w:ascii="Times New Roman" w:eastAsia="Times New Roman" w:hAnsi="Times New Roman" w:cs="Times New Roman"/>
          <w:sz w:val="24"/>
          <w:szCs w:val="24"/>
        </w:rPr>
        <w:t xml:space="preserve"> protected by s 116 extends to ‘faith and worship, to the teaching and propagation of religion, and to the practices and observances of religion’.</w:t>
      </w:r>
      <w:r w:rsidRPr="00947B8F">
        <w:rPr>
          <w:rStyle w:val="FootnoteReference"/>
          <w:rFonts w:ascii="Times New Roman" w:eastAsia="Times New Roman" w:hAnsi="Times New Roman" w:cs="Times New Roman"/>
          <w:sz w:val="24"/>
          <w:szCs w:val="24"/>
        </w:rPr>
        <w:footnoteReference w:id="35"/>
      </w:r>
      <w:r w:rsidRPr="00947B8F">
        <w:rPr>
          <w:rFonts w:ascii="Times New Roman" w:eastAsia="Times New Roman" w:hAnsi="Times New Roman" w:cs="Times New Roman"/>
          <w:sz w:val="24"/>
          <w:szCs w:val="24"/>
        </w:rPr>
        <w:t xml:space="preserve"> </w:t>
      </w:r>
      <w:r w:rsidRPr="00947B8F">
        <w:rPr>
          <w:rFonts w:ascii="Times New Roman" w:hAnsi="Times New Roman" w:cs="Times New Roman"/>
          <w:sz w:val="24"/>
          <w:szCs w:val="24"/>
        </w:rPr>
        <w:t>Furthermore, not every interference with religion is a breach of s 116, but only those which ‘unduly infringe’ upon religious freedom.</w:t>
      </w:r>
      <w:r w:rsidRPr="00947B8F">
        <w:rPr>
          <w:rStyle w:val="FootnoteReference"/>
          <w:rFonts w:ascii="Times New Roman" w:hAnsi="Times New Roman" w:cs="Times New Roman"/>
          <w:sz w:val="24"/>
          <w:szCs w:val="24"/>
        </w:rPr>
        <w:footnoteReference w:id="36"/>
      </w:r>
      <w:r w:rsidRPr="00947B8F">
        <w:rPr>
          <w:rFonts w:ascii="Times New Roman" w:hAnsi="Times New Roman" w:cs="Times New Roman"/>
          <w:sz w:val="24"/>
          <w:szCs w:val="24"/>
        </w:rPr>
        <w:t xml:space="preserve"> At a minimum, the High Court has stated that the narrowest limitations on free exercise of religion are appropriate – that required for the ‘maintenance of civil government’ or ‘the continued existence of the community’.</w:t>
      </w:r>
      <w:r w:rsidRPr="00947B8F">
        <w:rPr>
          <w:rStyle w:val="FootnoteReference"/>
          <w:rFonts w:ascii="Times New Roman" w:hAnsi="Times New Roman" w:cs="Times New Roman"/>
          <w:sz w:val="24"/>
          <w:szCs w:val="24"/>
        </w:rPr>
        <w:footnoteReference w:id="37"/>
      </w:r>
      <w:r w:rsidRPr="00947B8F">
        <w:rPr>
          <w:rFonts w:ascii="Times New Roman" w:hAnsi="Times New Roman" w:cs="Times New Roman"/>
          <w:sz w:val="24"/>
          <w:szCs w:val="24"/>
        </w:rPr>
        <w:t xml:space="preserve"> </w:t>
      </w:r>
    </w:p>
    <w:p w14:paraId="27414838" w14:textId="77777777" w:rsidR="00A7461C" w:rsidRPr="00947B8F" w:rsidRDefault="00A7461C" w:rsidP="00947B8F">
      <w:pPr>
        <w:spacing w:line="276" w:lineRule="auto"/>
        <w:rPr>
          <w:rFonts w:ascii="Times New Roman" w:hAnsi="Times New Roman" w:cs="Times New Roman"/>
          <w:sz w:val="24"/>
          <w:szCs w:val="24"/>
        </w:rPr>
      </w:pPr>
    </w:p>
    <w:p w14:paraId="0E7C5B06" w14:textId="5F015CFE" w:rsidR="00A7461C" w:rsidRPr="00947B8F" w:rsidRDefault="00A7461C" w:rsidP="00947B8F">
      <w:pPr>
        <w:spacing w:line="276" w:lineRule="auto"/>
        <w:rPr>
          <w:rFonts w:ascii="Times New Roman" w:hAnsi="Times New Roman" w:cs="Times New Roman"/>
          <w:sz w:val="24"/>
          <w:szCs w:val="24"/>
        </w:rPr>
      </w:pPr>
      <w:proofErr w:type="spellStart"/>
      <w:r w:rsidRPr="00947B8F">
        <w:rPr>
          <w:rFonts w:ascii="Times New Roman" w:hAnsi="Times New Roman" w:cs="Times New Roman"/>
          <w:sz w:val="24"/>
          <w:szCs w:val="24"/>
        </w:rPr>
        <w:t>Aroney</w:t>
      </w:r>
      <w:proofErr w:type="spellEnd"/>
      <w:r w:rsidRPr="00947B8F">
        <w:rPr>
          <w:rFonts w:ascii="Times New Roman" w:hAnsi="Times New Roman" w:cs="Times New Roman"/>
          <w:sz w:val="24"/>
          <w:szCs w:val="24"/>
        </w:rPr>
        <w:t xml:space="preserve"> argues that s 116 protects religious freedom as an associational right as a function of its text, clear acknowledgement in the case law, and the nature of Australian religious practice as communal in the late 19</w:t>
      </w:r>
      <w:r w:rsidRPr="00947B8F">
        <w:rPr>
          <w:rFonts w:ascii="Times New Roman" w:hAnsi="Times New Roman" w:cs="Times New Roman"/>
          <w:sz w:val="24"/>
          <w:szCs w:val="24"/>
          <w:vertAlign w:val="superscript"/>
        </w:rPr>
        <w:t>th</w:t>
      </w:r>
      <w:r w:rsidRPr="00947B8F">
        <w:rPr>
          <w:rFonts w:ascii="Times New Roman" w:hAnsi="Times New Roman" w:cs="Times New Roman"/>
          <w:sz w:val="24"/>
          <w:szCs w:val="24"/>
        </w:rPr>
        <w:t xml:space="preserve"> century. This means s 116 protects religious organisations and communities</w:t>
      </w:r>
      <w:r w:rsidR="00593497">
        <w:rPr>
          <w:rFonts w:ascii="Times New Roman" w:hAnsi="Times New Roman" w:cs="Times New Roman"/>
          <w:sz w:val="24"/>
          <w:szCs w:val="24"/>
        </w:rPr>
        <w:t>, including religious charities</w:t>
      </w:r>
      <w:r w:rsidRPr="00947B8F">
        <w:rPr>
          <w:rFonts w:ascii="Times New Roman" w:hAnsi="Times New Roman" w:cs="Times New Roman"/>
          <w:sz w:val="24"/>
          <w:szCs w:val="24"/>
        </w:rPr>
        <w:t>.</w:t>
      </w:r>
      <w:r w:rsidRPr="00947B8F">
        <w:rPr>
          <w:rStyle w:val="FootnoteReference"/>
          <w:rFonts w:ascii="Times New Roman" w:hAnsi="Times New Roman" w:cs="Times New Roman"/>
          <w:sz w:val="24"/>
          <w:szCs w:val="24"/>
        </w:rPr>
        <w:footnoteReference w:id="38"/>
      </w:r>
      <w:r w:rsidRPr="00947B8F">
        <w:rPr>
          <w:rFonts w:ascii="Times New Roman" w:hAnsi="Times New Roman" w:cs="Times New Roman"/>
          <w:sz w:val="24"/>
          <w:szCs w:val="24"/>
        </w:rPr>
        <w:t xml:space="preserve"> The text of s 116 operates as a limit on Commonwealth power, which means persons (whether natural or artificial – including corporations and associations) are protected from laws which breach s 116. For example, </w:t>
      </w:r>
      <w:r w:rsidR="00593497">
        <w:rPr>
          <w:rFonts w:ascii="Times New Roman" w:hAnsi="Times New Roman" w:cs="Times New Roman"/>
          <w:sz w:val="24"/>
          <w:szCs w:val="24"/>
        </w:rPr>
        <w:t xml:space="preserve">since </w:t>
      </w:r>
      <w:r w:rsidRPr="00947B8F">
        <w:rPr>
          <w:rFonts w:ascii="Times New Roman" w:hAnsi="Times New Roman" w:cs="Times New Roman"/>
          <w:sz w:val="24"/>
          <w:szCs w:val="24"/>
        </w:rPr>
        <w:t>the free exercise of any religion includes ‘conducting religious services, disseminating religious teachings, determining religious doctrines, establishing standards of religious conduct, identifying conditions of membership, appointing officers</w:t>
      </w:r>
      <w:r w:rsidR="00593497">
        <w:rPr>
          <w:rFonts w:ascii="Times New Roman" w:hAnsi="Times New Roman" w:cs="Times New Roman"/>
          <w:sz w:val="24"/>
          <w:szCs w:val="24"/>
        </w:rPr>
        <w:t xml:space="preserve"> [leaders]</w:t>
      </w:r>
      <w:r w:rsidRPr="00947B8F">
        <w:rPr>
          <w:rFonts w:ascii="Times New Roman" w:hAnsi="Times New Roman" w:cs="Times New Roman"/>
          <w:sz w:val="24"/>
          <w:szCs w:val="24"/>
        </w:rPr>
        <w:t>, ordaining religious leaders and engaging employees,’, these practices are all protected regardless of whether they are engaged in by individuals or associations.</w:t>
      </w:r>
      <w:r w:rsidRPr="00947B8F">
        <w:rPr>
          <w:rStyle w:val="FootnoteReference"/>
          <w:rFonts w:ascii="Times New Roman" w:hAnsi="Times New Roman" w:cs="Times New Roman"/>
          <w:sz w:val="24"/>
          <w:szCs w:val="24"/>
        </w:rPr>
        <w:footnoteReference w:id="39"/>
      </w:r>
    </w:p>
    <w:p w14:paraId="53BC9E04" w14:textId="77777777" w:rsidR="00A7461C" w:rsidRPr="00947B8F" w:rsidRDefault="00A7461C" w:rsidP="00947B8F">
      <w:pPr>
        <w:spacing w:line="276" w:lineRule="auto"/>
        <w:rPr>
          <w:rFonts w:ascii="Times New Roman" w:hAnsi="Times New Roman" w:cs="Times New Roman"/>
          <w:sz w:val="24"/>
          <w:szCs w:val="24"/>
        </w:rPr>
      </w:pPr>
    </w:p>
    <w:p w14:paraId="0606D912" w14:textId="77777777" w:rsidR="00A7461C" w:rsidRPr="00947B8F" w:rsidRDefault="00A7461C"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 xml:space="preserve">In </w:t>
      </w:r>
      <w:r w:rsidRPr="2A4EBCE9">
        <w:rPr>
          <w:rFonts w:ascii="Times New Roman" w:hAnsi="Times New Roman" w:cs="Times New Roman"/>
          <w:i/>
          <w:iCs/>
          <w:sz w:val="24"/>
          <w:szCs w:val="24"/>
        </w:rPr>
        <w:t>Jehovah’s Witnesses</w:t>
      </w:r>
      <w:r w:rsidRPr="00947B8F">
        <w:rPr>
          <w:rFonts w:ascii="Times New Roman" w:hAnsi="Times New Roman" w:cs="Times New Roman"/>
          <w:sz w:val="24"/>
          <w:szCs w:val="24"/>
        </w:rPr>
        <w:t>, the impugned regulations</w:t>
      </w:r>
      <w:r w:rsidRPr="2A4EBCE9">
        <w:rPr>
          <w:rFonts w:ascii="Times New Roman" w:hAnsi="Times New Roman" w:cs="Times New Roman"/>
          <w:i/>
          <w:iCs/>
          <w:sz w:val="24"/>
          <w:szCs w:val="24"/>
          <w:lang w:val="en-US"/>
        </w:rPr>
        <w:t xml:space="preserve"> </w:t>
      </w:r>
      <w:r w:rsidRPr="00947B8F">
        <w:rPr>
          <w:rFonts w:ascii="Times New Roman" w:hAnsi="Times New Roman" w:cs="Times New Roman"/>
          <w:sz w:val="24"/>
          <w:szCs w:val="24"/>
          <w:lang w:val="en-US"/>
        </w:rPr>
        <w:t>prohibited the advocacy of doctrines which were prejudicial to the prosecution of the war in which the Commonwealth was engaged.  It provided for the dissolution of associations propagating such doctrines and vested their property in the Commonwealth.  The Jehovah</w:t>
      </w:r>
      <w:r w:rsidRPr="00947B8F">
        <w:rPr>
          <w:rFonts w:ascii="Times New Roman" w:hAnsi="Times New Roman" w:cs="Times New Roman"/>
          <w:sz w:val="24"/>
          <w:szCs w:val="24"/>
        </w:rPr>
        <w:t>’</w:t>
      </w:r>
      <w:r w:rsidRPr="00947B8F">
        <w:rPr>
          <w:rFonts w:ascii="Times New Roman" w:hAnsi="Times New Roman" w:cs="Times New Roman"/>
          <w:sz w:val="24"/>
          <w:szCs w:val="24"/>
          <w:lang w:val="en-US"/>
        </w:rPr>
        <w:t>s Witnesses challenged the constitutional validity of these regulations.</w:t>
      </w:r>
      <w:r w:rsidRPr="00947B8F">
        <w:rPr>
          <w:rFonts w:ascii="Times New Roman" w:hAnsi="Times New Roman" w:cs="Times New Roman"/>
          <w:sz w:val="24"/>
          <w:szCs w:val="24"/>
        </w:rPr>
        <w:t xml:space="preserve"> The Court found that the regulations exceeded the purported head of power and were therefore invalid, but, following the narrow approach in </w:t>
      </w:r>
      <w:proofErr w:type="spellStart"/>
      <w:r w:rsidRPr="2A4EBCE9">
        <w:rPr>
          <w:rFonts w:ascii="Times New Roman" w:hAnsi="Times New Roman" w:cs="Times New Roman"/>
          <w:i/>
          <w:iCs/>
          <w:sz w:val="24"/>
          <w:szCs w:val="24"/>
        </w:rPr>
        <w:t>Krygger</w:t>
      </w:r>
      <w:proofErr w:type="spellEnd"/>
      <w:r w:rsidRPr="00947B8F">
        <w:rPr>
          <w:rFonts w:ascii="Times New Roman" w:hAnsi="Times New Roman" w:cs="Times New Roman"/>
          <w:sz w:val="24"/>
          <w:szCs w:val="24"/>
        </w:rPr>
        <w:t>, they held that the regulations did not breach s 116 because freedom of religion is not absolute.</w:t>
      </w:r>
      <w:r w:rsidRPr="00947B8F">
        <w:rPr>
          <w:rStyle w:val="FootnoteReference"/>
          <w:rFonts w:ascii="Times New Roman" w:hAnsi="Times New Roman" w:cs="Times New Roman"/>
          <w:sz w:val="24"/>
          <w:szCs w:val="24"/>
        </w:rPr>
        <w:footnoteReference w:id="40"/>
      </w:r>
      <w:r w:rsidRPr="00947B8F">
        <w:rPr>
          <w:rFonts w:ascii="Times New Roman" w:hAnsi="Times New Roman" w:cs="Times New Roman"/>
          <w:sz w:val="24"/>
          <w:szCs w:val="24"/>
        </w:rPr>
        <w:t xml:space="preserve"> This means they did not directly decide whether religious groups are protected by s 116, though a majority held that the Witnesses were competent to bring the action as an incorporated organisation – which implies the majority assumed the protection granted to s 116 extends to groups.</w:t>
      </w:r>
      <w:r w:rsidRPr="00947B8F">
        <w:rPr>
          <w:rStyle w:val="FootnoteReference"/>
          <w:rFonts w:ascii="Times New Roman" w:hAnsi="Times New Roman" w:cs="Times New Roman"/>
          <w:sz w:val="24"/>
          <w:szCs w:val="24"/>
        </w:rPr>
        <w:footnoteReference w:id="41"/>
      </w:r>
    </w:p>
    <w:p w14:paraId="4FC2444E" w14:textId="77777777" w:rsidR="00A7461C" w:rsidRPr="00947B8F" w:rsidRDefault="00A7461C" w:rsidP="00947B8F">
      <w:pPr>
        <w:pStyle w:val="FLRbodytext"/>
        <w:spacing w:line="276" w:lineRule="auto"/>
        <w:ind w:firstLine="0"/>
        <w:jc w:val="left"/>
        <w:rPr>
          <w:rFonts w:ascii="Times New Roman" w:hAnsi="Times New Roman" w:cs="Times New Roman"/>
          <w:sz w:val="24"/>
          <w:szCs w:val="24"/>
        </w:rPr>
      </w:pPr>
    </w:p>
    <w:p w14:paraId="00E651F0" w14:textId="26234EAD" w:rsidR="00227A54" w:rsidRPr="00947B8F" w:rsidRDefault="00B43DF9" w:rsidP="00947B8F">
      <w:pPr>
        <w:spacing w:line="276" w:lineRule="auto"/>
        <w:rPr>
          <w:rFonts w:ascii="Times New Roman" w:hAnsi="Times New Roman" w:cs="Times New Roman"/>
          <w:sz w:val="24"/>
          <w:szCs w:val="24"/>
        </w:rPr>
      </w:pPr>
      <w:r>
        <w:rPr>
          <w:rFonts w:ascii="Times New Roman" w:hAnsi="Times New Roman" w:cs="Times New Roman"/>
          <w:sz w:val="24"/>
          <w:szCs w:val="24"/>
        </w:rPr>
        <w:t>Thus a</w:t>
      </w:r>
      <w:r w:rsidR="00160FBA">
        <w:rPr>
          <w:rFonts w:ascii="Times New Roman" w:hAnsi="Times New Roman" w:cs="Times New Roman"/>
          <w:sz w:val="24"/>
          <w:szCs w:val="24"/>
        </w:rPr>
        <w:t>ny attempt to pass legislation which enables state interference in the leadership of reli</w:t>
      </w:r>
      <w:r w:rsidR="007911AE">
        <w:rPr>
          <w:rFonts w:ascii="Times New Roman" w:hAnsi="Times New Roman" w:cs="Times New Roman"/>
          <w:sz w:val="24"/>
          <w:szCs w:val="24"/>
        </w:rPr>
        <w:t>gious organisations</w:t>
      </w:r>
      <w:r w:rsidR="00227A54" w:rsidRPr="00947B8F">
        <w:rPr>
          <w:rFonts w:ascii="Times New Roman" w:hAnsi="Times New Roman" w:cs="Times New Roman"/>
          <w:sz w:val="24"/>
          <w:szCs w:val="24"/>
        </w:rPr>
        <w:t xml:space="preserve"> may breach the free exercise clause of s 116 of the Constitution and consequently be invalid. As discussed above, free exercise includes religious conduct such as </w:t>
      </w:r>
      <w:r w:rsidR="00227A54" w:rsidRPr="00947B8F">
        <w:rPr>
          <w:rFonts w:ascii="Times New Roman" w:eastAsia="Times New Roman" w:hAnsi="Times New Roman" w:cs="Times New Roman"/>
          <w:sz w:val="24"/>
          <w:szCs w:val="24"/>
        </w:rPr>
        <w:t>‘faith and worship’, ‘the teaching and propagation of religion’, and ‘the practices and observances of religion’.</w:t>
      </w:r>
      <w:r w:rsidR="00227A54" w:rsidRPr="00947B8F">
        <w:rPr>
          <w:rStyle w:val="FootnoteReference"/>
          <w:rFonts w:ascii="Times New Roman" w:eastAsia="Times New Roman" w:hAnsi="Times New Roman" w:cs="Times New Roman"/>
          <w:sz w:val="24"/>
          <w:szCs w:val="24"/>
        </w:rPr>
        <w:footnoteReference w:id="42"/>
      </w:r>
      <w:r w:rsidR="00227A54" w:rsidRPr="00947B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creation and governance of religious organisations</w:t>
      </w:r>
      <w:r w:rsidR="00EF5CC7">
        <w:rPr>
          <w:rFonts w:ascii="Times New Roman" w:eastAsia="Times New Roman" w:hAnsi="Times New Roman" w:cs="Times New Roman"/>
          <w:sz w:val="24"/>
          <w:szCs w:val="24"/>
        </w:rPr>
        <w:t>, including leadership decisions,</w:t>
      </w:r>
      <w:r>
        <w:rPr>
          <w:rFonts w:ascii="Times New Roman" w:eastAsia="Times New Roman" w:hAnsi="Times New Roman" w:cs="Times New Roman"/>
          <w:sz w:val="24"/>
          <w:szCs w:val="24"/>
        </w:rPr>
        <w:t xml:space="preserve"> clearly</w:t>
      </w:r>
      <w:r w:rsidR="00227A54" w:rsidRPr="00947B8F">
        <w:rPr>
          <w:rFonts w:ascii="Times New Roman" w:eastAsia="Times New Roman" w:hAnsi="Times New Roman" w:cs="Times New Roman"/>
          <w:sz w:val="24"/>
          <w:szCs w:val="24"/>
        </w:rPr>
        <w:t xml:space="preserve"> comes within the ambit of free exercise.</w:t>
      </w:r>
    </w:p>
    <w:p w14:paraId="1EE2114C" w14:textId="77777777" w:rsidR="00227A54" w:rsidRPr="00947B8F" w:rsidRDefault="00227A54" w:rsidP="00947B8F">
      <w:pPr>
        <w:spacing w:line="276" w:lineRule="auto"/>
        <w:rPr>
          <w:rFonts w:ascii="Times New Roman" w:eastAsia="Times New Roman" w:hAnsi="Times New Roman" w:cs="Times New Roman"/>
          <w:sz w:val="24"/>
          <w:szCs w:val="24"/>
        </w:rPr>
      </w:pPr>
    </w:p>
    <w:p w14:paraId="61BE516C" w14:textId="11C168C9" w:rsidR="00227A54" w:rsidRPr="00947B8F" w:rsidRDefault="00227A54"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 xml:space="preserve">Furthermore, as discussed above, not every interference with religion is a breach of s 116, but only those </w:t>
      </w:r>
      <w:r w:rsidRPr="00947B8F">
        <w:rPr>
          <w:rFonts w:ascii="Times New Roman" w:hAnsi="Times New Roman" w:cs="Times New Roman"/>
          <w:noProof/>
          <w:sz w:val="24"/>
          <w:szCs w:val="24"/>
        </w:rPr>
        <w:t>which</w:t>
      </w:r>
      <w:r w:rsidRPr="00947B8F">
        <w:rPr>
          <w:rFonts w:ascii="Times New Roman" w:hAnsi="Times New Roman" w:cs="Times New Roman"/>
          <w:sz w:val="24"/>
          <w:szCs w:val="24"/>
        </w:rPr>
        <w:t xml:space="preserve"> ‘unduly infringe’ upon religious freedom.</w:t>
      </w:r>
      <w:r w:rsidRPr="00947B8F">
        <w:rPr>
          <w:rStyle w:val="FootnoteReference"/>
          <w:rFonts w:ascii="Times New Roman" w:hAnsi="Times New Roman" w:cs="Times New Roman"/>
          <w:sz w:val="24"/>
          <w:szCs w:val="24"/>
        </w:rPr>
        <w:footnoteReference w:id="43"/>
      </w:r>
      <w:r w:rsidRPr="00947B8F">
        <w:rPr>
          <w:rFonts w:ascii="Times New Roman" w:hAnsi="Times New Roman" w:cs="Times New Roman"/>
          <w:sz w:val="24"/>
          <w:szCs w:val="24"/>
        </w:rPr>
        <w:t xml:space="preserve"> Free exercise should only be </w:t>
      </w:r>
      <w:r w:rsidRPr="00947B8F">
        <w:rPr>
          <w:rFonts w:ascii="Times New Roman" w:hAnsi="Times New Roman" w:cs="Times New Roman"/>
          <w:sz w:val="24"/>
          <w:szCs w:val="24"/>
        </w:rPr>
        <w:lastRenderedPageBreak/>
        <w:t>limited where it is required for the maintenance of civil government or the continued existence of the community.</w:t>
      </w:r>
      <w:r w:rsidRPr="00947B8F">
        <w:rPr>
          <w:rStyle w:val="FootnoteReference"/>
          <w:rFonts w:ascii="Times New Roman" w:hAnsi="Times New Roman" w:cs="Times New Roman"/>
          <w:sz w:val="24"/>
          <w:szCs w:val="24"/>
        </w:rPr>
        <w:footnoteReference w:id="44"/>
      </w:r>
      <w:r w:rsidRPr="00947B8F">
        <w:rPr>
          <w:rFonts w:ascii="Times New Roman" w:hAnsi="Times New Roman" w:cs="Times New Roman"/>
          <w:sz w:val="24"/>
          <w:szCs w:val="24"/>
        </w:rPr>
        <w:t xml:space="preserve">  More precisely, freedom of religion should extend to protect all external actions which are not dangerous to society or democracy, even if those views or actions are deemed unpopular according to community values.</w:t>
      </w:r>
      <w:r w:rsidRPr="00947B8F">
        <w:rPr>
          <w:rStyle w:val="FootnoteReference"/>
          <w:rFonts w:ascii="Times New Roman" w:hAnsi="Times New Roman" w:cs="Times New Roman"/>
          <w:sz w:val="24"/>
          <w:szCs w:val="24"/>
        </w:rPr>
        <w:footnoteReference w:id="45"/>
      </w:r>
      <w:r w:rsidRPr="00947B8F">
        <w:rPr>
          <w:rFonts w:ascii="Times New Roman" w:hAnsi="Times New Roman" w:cs="Times New Roman"/>
          <w:sz w:val="24"/>
          <w:szCs w:val="24"/>
        </w:rPr>
        <w:t xml:space="preserve"> As Latham CJ observes, ‘section 116 is required to protect the religion (or absence of religion) of minorities, and in particular, of unpopular minorities’.</w:t>
      </w:r>
      <w:r w:rsidRPr="00947B8F">
        <w:rPr>
          <w:rStyle w:val="FootnoteReference"/>
          <w:rFonts w:ascii="Times New Roman" w:hAnsi="Times New Roman" w:cs="Times New Roman"/>
          <w:sz w:val="24"/>
          <w:szCs w:val="24"/>
        </w:rPr>
        <w:footnoteReference w:id="46"/>
      </w:r>
      <w:r w:rsidRPr="00947B8F">
        <w:rPr>
          <w:rFonts w:ascii="Times New Roman" w:hAnsi="Times New Roman" w:cs="Times New Roman"/>
          <w:sz w:val="24"/>
          <w:szCs w:val="24"/>
        </w:rPr>
        <w:t xml:space="preserve"> </w:t>
      </w:r>
      <w:r w:rsidR="00481B41">
        <w:rPr>
          <w:rFonts w:ascii="Times New Roman" w:hAnsi="Times New Roman" w:cs="Times New Roman"/>
          <w:sz w:val="24"/>
          <w:szCs w:val="24"/>
        </w:rPr>
        <w:t>Since religious charitable institutions are not dangerous to society or democracy, t</w:t>
      </w:r>
      <w:r w:rsidRPr="00947B8F">
        <w:rPr>
          <w:rFonts w:ascii="Times New Roman" w:hAnsi="Times New Roman" w:cs="Times New Roman"/>
          <w:sz w:val="24"/>
          <w:szCs w:val="24"/>
        </w:rPr>
        <w:t xml:space="preserve">his supports the argument that </w:t>
      </w:r>
      <w:r w:rsidR="00651BC8">
        <w:rPr>
          <w:rFonts w:ascii="Times New Roman" w:hAnsi="Times New Roman" w:cs="Times New Roman"/>
          <w:sz w:val="24"/>
          <w:szCs w:val="24"/>
        </w:rPr>
        <w:t>religious charities</w:t>
      </w:r>
      <w:r w:rsidRPr="00947B8F">
        <w:rPr>
          <w:rFonts w:ascii="Times New Roman" w:hAnsi="Times New Roman" w:cs="Times New Roman"/>
          <w:sz w:val="24"/>
          <w:szCs w:val="24"/>
        </w:rPr>
        <w:t xml:space="preserve"> are protected by s 116</w:t>
      </w:r>
      <w:r w:rsidR="00651BC8">
        <w:rPr>
          <w:rFonts w:ascii="Times New Roman" w:hAnsi="Times New Roman" w:cs="Times New Roman"/>
          <w:sz w:val="24"/>
          <w:szCs w:val="24"/>
        </w:rPr>
        <w:t xml:space="preserve"> and interference with them would be an undue infringement of their religious freedom</w:t>
      </w:r>
      <w:r w:rsidRPr="00947B8F">
        <w:rPr>
          <w:rFonts w:ascii="Times New Roman" w:hAnsi="Times New Roman" w:cs="Times New Roman"/>
          <w:sz w:val="24"/>
          <w:szCs w:val="24"/>
        </w:rPr>
        <w:t>.</w:t>
      </w:r>
    </w:p>
    <w:p w14:paraId="5D468625" w14:textId="77777777" w:rsidR="00227A54" w:rsidRPr="00947B8F" w:rsidRDefault="00227A54" w:rsidP="00947B8F">
      <w:pPr>
        <w:spacing w:line="276" w:lineRule="auto"/>
        <w:rPr>
          <w:rFonts w:ascii="Times New Roman" w:hAnsi="Times New Roman" w:cs="Times New Roman"/>
          <w:sz w:val="24"/>
          <w:szCs w:val="24"/>
        </w:rPr>
      </w:pPr>
    </w:p>
    <w:p w14:paraId="75951CCB" w14:textId="3F7BCACD" w:rsidR="00227A54" w:rsidRPr="00947B8F" w:rsidRDefault="00227A54" w:rsidP="00947B8F">
      <w:pPr>
        <w:spacing w:line="276" w:lineRule="auto"/>
        <w:rPr>
          <w:rFonts w:ascii="Times New Roman" w:hAnsi="Times New Roman" w:cs="Times New Roman"/>
          <w:sz w:val="24"/>
          <w:szCs w:val="24"/>
        </w:rPr>
      </w:pPr>
      <w:r w:rsidRPr="00947B8F">
        <w:rPr>
          <w:rFonts w:ascii="Times New Roman" w:hAnsi="Times New Roman" w:cs="Times New Roman"/>
          <w:sz w:val="24"/>
          <w:szCs w:val="24"/>
        </w:rPr>
        <w:t xml:space="preserve">Even on the narrow interpretation in </w:t>
      </w:r>
      <w:r w:rsidRPr="77349DE2">
        <w:rPr>
          <w:rFonts w:ascii="Times New Roman" w:hAnsi="Times New Roman" w:cs="Times New Roman"/>
          <w:i/>
          <w:iCs/>
          <w:sz w:val="24"/>
          <w:szCs w:val="24"/>
        </w:rPr>
        <w:t>Kruger</w:t>
      </w:r>
      <w:r w:rsidRPr="00947B8F">
        <w:rPr>
          <w:rFonts w:ascii="Times New Roman" w:hAnsi="Times New Roman" w:cs="Times New Roman"/>
          <w:sz w:val="24"/>
          <w:szCs w:val="24"/>
        </w:rPr>
        <w:t xml:space="preserve">, any proposal to </w:t>
      </w:r>
      <w:r w:rsidR="00F1365B">
        <w:rPr>
          <w:rFonts w:ascii="Times New Roman" w:hAnsi="Times New Roman" w:cs="Times New Roman"/>
          <w:sz w:val="24"/>
          <w:szCs w:val="24"/>
        </w:rPr>
        <w:t>render religious organisations subject to state interference</w:t>
      </w:r>
      <w:r w:rsidRPr="00947B8F">
        <w:rPr>
          <w:rFonts w:ascii="Times New Roman" w:hAnsi="Times New Roman" w:cs="Times New Roman"/>
          <w:sz w:val="24"/>
          <w:szCs w:val="24"/>
        </w:rPr>
        <w:t xml:space="preserve"> directly targets these </w:t>
      </w:r>
      <w:r w:rsidR="00F1365B">
        <w:rPr>
          <w:rFonts w:ascii="Times New Roman" w:hAnsi="Times New Roman" w:cs="Times New Roman"/>
          <w:sz w:val="24"/>
          <w:szCs w:val="24"/>
        </w:rPr>
        <w:t>organisations</w:t>
      </w:r>
      <w:r w:rsidRPr="00947B8F">
        <w:rPr>
          <w:rFonts w:ascii="Times New Roman" w:hAnsi="Times New Roman" w:cs="Times New Roman"/>
          <w:sz w:val="24"/>
          <w:szCs w:val="24"/>
        </w:rPr>
        <w:t xml:space="preserve"> and restricts their free exercise in its terms by preventing them from </w:t>
      </w:r>
      <w:r w:rsidR="00F1365B">
        <w:rPr>
          <w:rFonts w:ascii="Times New Roman" w:hAnsi="Times New Roman" w:cs="Times New Roman"/>
          <w:sz w:val="24"/>
          <w:szCs w:val="24"/>
        </w:rPr>
        <w:t>self-governance</w:t>
      </w:r>
      <w:r w:rsidRPr="00947B8F">
        <w:rPr>
          <w:rFonts w:ascii="Times New Roman" w:hAnsi="Times New Roman" w:cs="Times New Roman"/>
          <w:sz w:val="24"/>
          <w:szCs w:val="24"/>
        </w:rPr>
        <w:t>.</w:t>
      </w:r>
      <w:r w:rsidRPr="00947B8F">
        <w:rPr>
          <w:rStyle w:val="FootnoteReference"/>
          <w:rFonts w:ascii="Times New Roman" w:hAnsi="Times New Roman" w:cs="Times New Roman"/>
          <w:sz w:val="24"/>
          <w:szCs w:val="24"/>
        </w:rPr>
        <w:footnoteReference w:id="47"/>
      </w:r>
      <w:r w:rsidRPr="00947B8F">
        <w:rPr>
          <w:rFonts w:ascii="Times New Roman" w:hAnsi="Times New Roman" w:cs="Times New Roman"/>
          <w:sz w:val="24"/>
          <w:szCs w:val="24"/>
        </w:rPr>
        <w:t xml:space="preserve"> Section 116 </w:t>
      </w:r>
      <w:r w:rsidR="00E55F54">
        <w:rPr>
          <w:rFonts w:ascii="Times New Roman" w:hAnsi="Times New Roman" w:cs="Times New Roman"/>
          <w:sz w:val="24"/>
          <w:szCs w:val="24"/>
        </w:rPr>
        <w:t>extends</w:t>
      </w:r>
      <w:r w:rsidRPr="00947B8F">
        <w:rPr>
          <w:rFonts w:ascii="Times New Roman" w:hAnsi="Times New Roman" w:cs="Times New Roman"/>
          <w:sz w:val="24"/>
          <w:szCs w:val="24"/>
        </w:rPr>
        <w:t xml:space="preserve"> to protect acts done in the practice of religion by religious bodies, and this includes </w:t>
      </w:r>
      <w:r w:rsidR="00126674">
        <w:rPr>
          <w:rFonts w:ascii="Times New Roman" w:hAnsi="Times New Roman" w:cs="Times New Roman"/>
          <w:sz w:val="24"/>
          <w:szCs w:val="24"/>
        </w:rPr>
        <w:t>the purposes of charitable organisations</w:t>
      </w:r>
      <w:r w:rsidRPr="00947B8F">
        <w:rPr>
          <w:rFonts w:ascii="Times New Roman" w:hAnsi="Times New Roman" w:cs="Times New Roman"/>
          <w:sz w:val="24"/>
          <w:szCs w:val="24"/>
        </w:rPr>
        <w:t>.</w:t>
      </w:r>
      <w:r w:rsidRPr="00947B8F">
        <w:rPr>
          <w:rStyle w:val="FootnoteReference"/>
          <w:rFonts w:ascii="Times New Roman" w:hAnsi="Times New Roman" w:cs="Times New Roman"/>
          <w:sz w:val="24"/>
          <w:szCs w:val="24"/>
        </w:rPr>
        <w:footnoteReference w:id="48"/>
      </w:r>
      <w:r w:rsidRPr="00947B8F">
        <w:rPr>
          <w:rFonts w:ascii="Times New Roman" w:hAnsi="Times New Roman" w:cs="Times New Roman"/>
          <w:sz w:val="24"/>
          <w:szCs w:val="24"/>
        </w:rPr>
        <w:t xml:space="preserve"> Section 116 was designed precisely to prevent the direct targeting of religious practice by religious entities through Commonwealth laws, and since the </w:t>
      </w:r>
      <w:r w:rsidR="009528D6">
        <w:rPr>
          <w:rFonts w:ascii="Times New Roman" w:hAnsi="Times New Roman" w:cs="Times New Roman"/>
          <w:sz w:val="24"/>
          <w:szCs w:val="24"/>
        </w:rPr>
        <w:t xml:space="preserve">selection of leaders </w:t>
      </w:r>
      <w:r w:rsidRPr="00947B8F">
        <w:rPr>
          <w:rFonts w:ascii="Times New Roman" w:hAnsi="Times New Roman" w:cs="Times New Roman"/>
          <w:sz w:val="24"/>
          <w:szCs w:val="24"/>
        </w:rPr>
        <w:t xml:space="preserve">by a religious institution is </w:t>
      </w:r>
      <w:r w:rsidR="009528D6">
        <w:rPr>
          <w:rFonts w:ascii="Times New Roman" w:hAnsi="Times New Roman" w:cs="Times New Roman"/>
          <w:sz w:val="24"/>
          <w:szCs w:val="24"/>
        </w:rPr>
        <w:t>an exercise of religion</w:t>
      </w:r>
      <w:r w:rsidRPr="00947B8F">
        <w:rPr>
          <w:rFonts w:ascii="Times New Roman" w:hAnsi="Times New Roman" w:cs="Times New Roman"/>
          <w:sz w:val="24"/>
          <w:szCs w:val="24"/>
        </w:rPr>
        <w:t xml:space="preserve"> in accordance with religious convictions, and any removal of </w:t>
      </w:r>
      <w:r w:rsidR="00126674">
        <w:rPr>
          <w:rFonts w:ascii="Times New Roman" w:hAnsi="Times New Roman" w:cs="Times New Roman"/>
          <w:sz w:val="24"/>
          <w:szCs w:val="24"/>
        </w:rPr>
        <w:t xml:space="preserve">the BRC </w:t>
      </w:r>
      <w:r w:rsidRPr="00947B8F">
        <w:rPr>
          <w:rFonts w:ascii="Times New Roman" w:hAnsi="Times New Roman" w:cs="Times New Roman"/>
          <w:sz w:val="24"/>
          <w:szCs w:val="24"/>
        </w:rPr>
        <w:t xml:space="preserve">exemption would directly prohibit that practice in accordance with those convictions, it follows that the removal of </w:t>
      </w:r>
      <w:r w:rsidR="00126674">
        <w:rPr>
          <w:rFonts w:ascii="Times New Roman" w:hAnsi="Times New Roman" w:cs="Times New Roman"/>
          <w:sz w:val="24"/>
          <w:szCs w:val="24"/>
        </w:rPr>
        <w:t xml:space="preserve">the </w:t>
      </w:r>
      <w:r w:rsidRPr="00947B8F">
        <w:rPr>
          <w:rFonts w:ascii="Times New Roman" w:hAnsi="Times New Roman" w:cs="Times New Roman"/>
          <w:sz w:val="24"/>
          <w:szCs w:val="24"/>
        </w:rPr>
        <w:t>exemption would be likely to breach the free exercise clause.</w:t>
      </w:r>
      <w:r w:rsidR="23CCA9C5" w:rsidRPr="00947B8F">
        <w:rPr>
          <w:rFonts w:ascii="Times New Roman" w:hAnsi="Times New Roman" w:cs="Times New Roman"/>
          <w:sz w:val="24"/>
          <w:szCs w:val="24"/>
        </w:rPr>
        <w:t xml:space="preserve"> (Technically, it would be </w:t>
      </w:r>
      <w:r w:rsidR="5797FB10" w:rsidRPr="00947B8F">
        <w:rPr>
          <w:rFonts w:ascii="Times New Roman" w:hAnsi="Times New Roman" w:cs="Times New Roman"/>
          <w:sz w:val="24"/>
          <w:szCs w:val="24"/>
        </w:rPr>
        <w:t>the executive</w:t>
      </w:r>
      <w:r w:rsidR="6888B970" w:rsidRPr="00947B8F">
        <w:rPr>
          <w:rFonts w:ascii="Times New Roman" w:hAnsi="Times New Roman" w:cs="Times New Roman"/>
          <w:sz w:val="24"/>
          <w:szCs w:val="24"/>
        </w:rPr>
        <w:t xml:space="preserve"> </w:t>
      </w:r>
      <w:r w:rsidR="6EF7FAF4" w:rsidRPr="00947B8F">
        <w:rPr>
          <w:rFonts w:ascii="Times New Roman" w:hAnsi="Times New Roman" w:cs="Times New Roman"/>
          <w:sz w:val="24"/>
          <w:szCs w:val="24"/>
        </w:rPr>
        <w:t>application</w:t>
      </w:r>
      <w:r w:rsidR="5797FB10" w:rsidRPr="00947B8F">
        <w:rPr>
          <w:rFonts w:ascii="Times New Roman" w:hAnsi="Times New Roman" w:cs="Times New Roman"/>
          <w:sz w:val="24"/>
          <w:szCs w:val="24"/>
        </w:rPr>
        <w:t xml:space="preserve"> </w:t>
      </w:r>
      <w:r w:rsidR="0E5D079A" w:rsidRPr="00947B8F">
        <w:rPr>
          <w:rFonts w:ascii="Times New Roman" w:hAnsi="Times New Roman" w:cs="Times New Roman"/>
          <w:sz w:val="24"/>
          <w:szCs w:val="24"/>
        </w:rPr>
        <w:t>of</w:t>
      </w:r>
      <w:r w:rsidR="5797FB10" w:rsidRPr="00947B8F">
        <w:rPr>
          <w:rFonts w:ascii="Times New Roman" w:hAnsi="Times New Roman" w:cs="Times New Roman"/>
          <w:sz w:val="24"/>
          <w:szCs w:val="24"/>
        </w:rPr>
        <w:t xml:space="preserve"> the legislati</w:t>
      </w:r>
      <w:r w:rsidR="157A7274" w:rsidRPr="00947B8F">
        <w:rPr>
          <w:rFonts w:ascii="Times New Roman" w:hAnsi="Times New Roman" w:cs="Times New Roman"/>
          <w:sz w:val="24"/>
          <w:szCs w:val="24"/>
        </w:rPr>
        <w:t xml:space="preserve">on </w:t>
      </w:r>
      <w:r w:rsidR="5D3C23A6" w:rsidRPr="00947B8F">
        <w:rPr>
          <w:rFonts w:ascii="Times New Roman" w:hAnsi="Times New Roman" w:cs="Times New Roman"/>
          <w:sz w:val="24"/>
          <w:szCs w:val="24"/>
        </w:rPr>
        <w:t xml:space="preserve">removing the BRC exception </w:t>
      </w:r>
      <w:r w:rsidR="157A7274" w:rsidRPr="00947B8F">
        <w:rPr>
          <w:rFonts w:ascii="Times New Roman" w:hAnsi="Times New Roman" w:cs="Times New Roman"/>
          <w:sz w:val="24"/>
          <w:szCs w:val="24"/>
        </w:rPr>
        <w:t>by</w:t>
      </w:r>
      <w:r w:rsidR="233B66D4" w:rsidRPr="00947B8F">
        <w:rPr>
          <w:rFonts w:ascii="Times New Roman" w:hAnsi="Times New Roman" w:cs="Times New Roman"/>
          <w:sz w:val="24"/>
          <w:szCs w:val="24"/>
        </w:rPr>
        <w:t xml:space="preserve"> the ACNC Commissioner </w:t>
      </w:r>
      <w:r w:rsidR="463BB027" w:rsidRPr="00947B8F">
        <w:rPr>
          <w:rFonts w:ascii="Times New Roman" w:hAnsi="Times New Roman" w:cs="Times New Roman"/>
          <w:sz w:val="24"/>
          <w:szCs w:val="24"/>
        </w:rPr>
        <w:t>to interfere with the leadership of a religious charity</w:t>
      </w:r>
      <w:r w:rsidR="5797FB10" w:rsidRPr="00947B8F">
        <w:rPr>
          <w:rFonts w:ascii="Times New Roman" w:hAnsi="Times New Roman" w:cs="Times New Roman"/>
          <w:sz w:val="24"/>
          <w:szCs w:val="24"/>
        </w:rPr>
        <w:t xml:space="preserve"> which would breach the free exercise clause.</w:t>
      </w:r>
      <w:r w:rsidR="3F6ED7DB" w:rsidRPr="00947B8F">
        <w:rPr>
          <w:rFonts w:ascii="Times New Roman" w:hAnsi="Times New Roman" w:cs="Times New Roman"/>
          <w:sz w:val="24"/>
          <w:szCs w:val="24"/>
        </w:rPr>
        <w:t xml:space="preserve"> </w:t>
      </w:r>
      <w:r w:rsidR="1BE108D8" w:rsidRPr="00947B8F">
        <w:rPr>
          <w:rFonts w:ascii="Times New Roman" w:hAnsi="Times New Roman" w:cs="Times New Roman"/>
          <w:sz w:val="24"/>
          <w:szCs w:val="24"/>
        </w:rPr>
        <w:t>Th</w:t>
      </w:r>
      <w:r w:rsidR="433BEA6C" w:rsidRPr="00947B8F">
        <w:rPr>
          <w:rFonts w:ascii="Times New Roman" w:hAnsi="Times New Roman" w:cs="Times New Roman"/>
          <w:sz w:val="24"/>
          <w:szCs w:val="24"/>
        </w:rPr>
        <w:t>e legislation removing the BRC exception</w:t>
      </w:r>
      <w:r w:rsidR="3371CA3E" w:rsidRPr="00947B8F">
        <w:rPr>
          <w:rFonts w:ascii="Times New Roman" w:hAnsi="Times New Roman" w:cs="Times New Roman"/>
          <w:sz w:val="24"/>
          <w:szCs w:val="24"/>
        </w:rPr>
        <w:t xml:space="preserve"> would be a law which authorises executive action which amounts to a breach, as noted above. </w:t>
      </w:r>
      <w:r w:rsidR="3F6ED7DB" w:rsidRPr="00947B8F">
        <w:rPr>
          <w:rFonts w:ascii="Times New Roman" w:hAnsi="Times New Roman" w:cs="Times New Roman"/>
          <w:sz w:val="24"/>
          <w:szCs w:val="24"/>
        </w:rPr>
        <w:t xml:space="preserve">But </w:t>
      </w:r>
      <w:r w:rsidR="4841AC5B" w:rsidRPr="00947B8F">
        <w:rPr>
          <w:rFonts w:ascii="Times New Roman" w:hAnsi="Times New Roman" w:cs="Times New Roman"/>
          <w:sz w:val="24"/>
          <w:szCs w:val="24"/>
        </w:rPr>
        <w:t>such a law</w:t>
      </w:r>
      <w:r w:rsidR="3F6ED7DB" w:rsidRPr="00947B8F">
        <w:rPr>
          <w:rFonts w:ascii="Times New Roman" w:hAnsi="Times New Roman" w:cs="Times New Roman"/>
          <w:sz w:val="24"/>
          <w:szCs w:val="24"/>
        </w:rPr>
        <w:t xml:space="preserve"> is still a breach</w:t>
      </w:r>
      <w:r w:rsidR="655118AE" w:rsidRPr="00947B8F">
        <w:rPr>
          <w:rFonts w:ascii="Times New Roman" w:hAnsi="Times New Roman" w:cs="Times New Roman"/>
          <w:sz w:val="24"/>
          <w:szCs w:val="24"/>
        </w:rPr>
        <w:t xml:space="preserve"> of s 116</w:t>
      </w:r>
      <w:r w:rsidR="3F6ED7DB" w:rsidRPr="00947B8F">
        <w:rPr>
          <w:rFonts w:ascii="Times New Roman" w:hAnsi="Times New Roman" w:cs="Times New Roman"/>
          <w:sz w:val="24"/>
          <w:szCs w:val="24"/>
        </w:rPr>
        <w:t xml:space="preserve"> under existing High Court jurisprudence.</w:t>
      </w:r>
      <w:r w:rsidRPr="77349DE2">
        <w:rPr>
          <w:rFonts w:ascii="Times New Roman" w:hAnsi="Times New Roman" w:cs="Times New Roman"/>
          <w:sz w:val="24"/>
          <w:szCs w:val="24"/>
          <w:vertAlign w:val="superscript"/>
        </w:rPr>
        <w:footnoteReference w:id="49"/>
      </w:r>
      <w:r w:rsidR="1196718F" w:rsidRPr="00947B8F">
        <w:rPr>
          <w:rFonts w:ascii="Times New Roman" w:hAnsi="Times New Roman" w:cs="Times New Roman"/>
          <w:sz w:val="24"/>
          <w:szCs w:val="24"/>
        </w:rPr>
        <w:t>)</w:t>
      </w:r>
      <w:r w:rsidR="5797FB10" w:rsidRPr="00947B8F">
        <w:rPr>
          <w:rFonts w:ascii="Times New Roman" w:hAnsi="Times New Roman" w:cs="Times New Roman"/>
          <w:sz w:val="24"/>
          <w:szCs w:val="24"/>
        </w:rPr>
        <w:t xml:space="preserve"> </w:t>
      </w:r>
      <w:proofErr w:type="spellStart"/>
      <w:r w:rsidR="00993B23" w:rsidRPr="00947B8F">
        <w:rPr>
          <w:rFonts w:ascii="Times New Roman" w:hAnsi="Times New Roman" w:cs="Times New Roman"/>
          <w:sz w:val="24"/>
          <w:szCs w:val="24"/>
        </w:rPr>
        <w:t>Aroney</w:t>
      </w:r>
      <w:proofErr w:type="spellEnd"/>
      <w:r w:rsidR="00993B23" w:rsidRPr="00947B8F">
        <w:rPr>
          <w:rFonts w:ascii="Times New Roman" w:hAnsi="Times New Roman" w:cs="Times New Roman"/>
          <w:sz w:val="24"/>
          <w:szCs w:val="24"/>
        </w:rPr>
        <w:t xml:space="preserve"> also engages in a detailed analysis of the s 116 question and also reaches the conclusion that legislation which permits government interference </w:t>
      </w:r>
      <w:r w:rsidR="003D36FF" w:rsidRPr="00947B8F">
        <w:rPr>
          <w:rFonts w:ascii="Times New Roman" w:hAnsi="Times New Roman" w:cs="Times New Roman"/>
          <w:sz w:val="24"/>
          <w:szCs w:val="24"/>
        </w:rPr>
        <w:t xml:space="preserve">with the leaders of religious organisations </w:t>
      </w:r>
      <w:r w:rsidR="00993B23" w:rsidRPr="00947B8F">
        <w:rPr>
          <w:rFonts w:ascii="Times New Roman" w:hAnsi="Times New Roman" w:cs="Times New Roman"/>
          <w:sz w:val="24"/>
          <w:szCs w:val="24"/>
        </w:rPr>
        <w:t>would be invalid</w:t>
      </w:r>
      <w:r w:rsidR="003D36FF" w:rsidRPr="00947B8F">
        <w:rPr>
          <w:rFonts w:ascii="Times New Roman" w:hAnsi="Times New Roman" w:cs="Times New Roman"/>
          <w:sz w:val="24"/>
          <w:szCs w:val="24"/>
        </w:rPr>
        <w:t>.</w:t>
      </w:r>
      <w:r w:rsidR="003D36FF" w:rsidRPr="00947B8F">
        <w:rPr>
          <w:rStyle w:val="FootnoteReference"/>
          <w:rFonts w:ascii="Times New Roman" w:hAnsi="Times New Roman" w:cs="Times New Roman"/>
          <w:sz w:val="24"/>
          <w:szCs w:val="24"/>
        </w:rPr>
        <w:footnoteReference w:id="50"/>
      </w:r>
      <w:r w:rsidR="3E6A9D5B" w:rsidRPr="2A4EBCE9">
        <w:rPr>
          <w:rFonts w:ascii="Times New Roman" w:hAnsi="Times New Roman" w:cs="Times New Roman"/>
          <w:sz w:val="24"/>
          <w:szCs w:val="24"/>
        </w:rPr>
        <w:t xml:space="preserve"> </w:t>
      </w:r>
    </w:p>
    <w:p w14:paraId="4BD617E4" w14:textId="3A309DE2" w:rsidR="2A4EBCE9" w:rsidRDefault="2A4EBCE9" w:rsidP="2A4EBCE9">
      <w:pPr>
        <w:spacing w:line="276" w:lineRule="auto"/>
        <w:rPr>
          <w:rFonts w:ascii="Times New Roman" w:hAnsi="Times New Roman" w:cs="Times New Roman"/>
          <w:sz w:val="24"/>
          <w:szCs w:val="24"/>
        </w:rPr>
      </w:pPr>
    </w:p>
    <w:p w14:paraId="7FAD0B2A" w14:textId="5EE95A21" w:rsidR="3E6A9D5B" w:rsidRDefault="3E6A9D5B" w:rsidP="2A4EBCE9">
      <w:pPr>
        <w:spacing w:line="276" w:lineRule="auto"/>
        <w:rPr>
          <w:rFonts w:ascii="Times New Roman" w:eastAsia="Times New Roman" w:hAnsi="Times New Roman" w:cs="Times New Roman"/>
          <w:sz w:val="24"/>
          <w:szCs w:val="24"/>
        </w:rPr>
      </w:pPr>
      <w:r w:rsidRPr="2A4EBCE9">
        <w:rPr>
          <w:rFonts w:ascii="Times New Roman" w:eastAsia="Times New Roman" w:hAnsi="Times New Roman" w:cs="Times New Roman"/>
          <w:sz w:val="24"/>
          <w:szCs w:val="24"/>
        </w:rPr>
        <w:t xml:space="preserve">More generally, it should be noted that even the ACNC Act as it is </w:t>
      </w:r>
      <w:r w:rsidR="10EFE32C" w:rsidRPr="77349DE2">
        <w:rPr>
          <w:rFonts w:ascii="Times New Roman" w:eastAsia="Times New Roman" w:hAnsi="Times New Roman" w:cs="Times New Roman"/>
          <w:color w:val="242424"/>
          <w:sz w:val="24"/>
          <w:szCs w:val="24"/>
        </w:rPr>
        <w:t>already causes problems under s 116 because it allows the ACNC Commissioner to replace religious leaders of incorporated entities. The BRC does not apply if an entity is incorporated.</w:t>
      </w:r>
      <w:r w:rsidRPr="77349DE2">
        <w:rPr>
          <w:rFonts w:ascii="Times New Roman" w:eastAsia="Times New Roman" w:hAnsi="Times New Roman" w:cs="Times New Roman"/>
          <w:color w:val="242424"/>
          <w:sz w:val="24"/>
          <w:szCs w:val="24"/>
          <w:vertAlign w:val="superscript"/>
        </w:rPr>
        <w:footnoteReference w:id="51"/>
      </w:r>
      <w:r w:rsidR="10EFE32C" w:rsidRPr="77349DE2">
        <w:rPr>
          <w:rFonts w:ascii="Times New Roman" w:eastAsia="Times New Roman" w:hAnsi="Times New Roman" w:cs="Times New Roman"/>
          <w:color w:val="242424"/>
          <w:sz w:val="24"/>
          <w:szCs w:val="24"/>
        </w:rPr>
        <w:t xml:space="preserve"> Hence, applying the same principles, </w:t>
      </w:r>
      <w:r w:rsidR="62C0A1D5" w:rsidRPr="77349DE2">
        <w:rPr>
          <w:rFonts w:ascii="Times New Roman" w:eastAsia="Times New Roman" w:hAnsi="Times New Roman" w:cs="Times New Roman"/>
          <w:color w:val="242424"/>
          <w:sz w:val="24"/>
          <w:szCs w:val="24"/>
        </w:rPr>
        <w:t xml:space="preserve">the existing provisions of the ACNC Act which allow the Commissioner to appoint, suspend or remove the religious leaders of incorporated religious entities is a </w:t>
      </w:r>
      <w:r w:rsidR="62C0A1D5" w:rsidRPr="77349DE2">
        <w:rPr>
          <w:rFonts w:ascii="Times New Roman" w:eastAsia="Times New Roman" w:hAnsi="Times New Roman" w:cs="Times New Roman"/>
          <w:color w:val="242424"/>
          <w:sz w:val="24"/>
          <w:szCs w:val="24"/>
        </w:rPr>
        <w:lastRenderedPageBreak/>
        <w:t xml:space="preserve">significant and undue interference </w:t>
      </w:r>
      <w:r w:rsidR="36CB4DAE" w:rsidRPr="77349DE2">
        <w:rPr>
          <w:rFonts w:ascii="Times New Roman" w:eastAsia="Times New Roman" w:hAnsi="Times New Roman" w:cs="Times New Roman"/>
          <w:color w:val="242424"/>
          <w:sz w:val="24"/>
          <w:szCs w:val="24"/>
        </w:rPr>
        <w:t>with free exercise of religion which would breach the free exercise clause. This power should not be further extended by removing the BRC.</w:t>
      </w:r>
      <w:r w:rsidR="10EFE32C" w:rsidRPr="2A4EBCE9">
        <w:rPr>
          <w:rFonts w:ascii="Times New Roman" w:eastAsia="Times New Roman" w:hAnsi="Times New Roman" w:cs="Times New Roman"/>
          <w:sz w:val="24"/>
          <w:szCs w:val="24"/>
        </w:rPr>
        <w:t xml:space="preserve"> </w:t>
      </w:r>
    </w:p>
    <w:p w14:paraId="004C5D35" w14:textId="77777777" w:rsidR="00AC2BAE" w:rsidRPr="00947B8F" w:rsidRDefault="00AC2BAE" w:rsidP="00947B8F">
      <w:pPr>
        <w:spacing w:line="276" w:lineRule="auto"/>
        <w:rPr>
          <w:rFonts w:ascii="Times New Roman" w:hAnsi="Times New Roman" w:cs="Times New Roman"/>
          <w:sz w:val="24"/>
          <w:szCs w:val="24"/>
        </w:rPr>
      </w:pPr>
    </w:p>
    <w:p w14:paraId="02A9C495" w14:textId="2C03E19D" w:rsidR="00AC2BAE" w:rsidRDefault="00AC2BAE" w:rsidP="00947B8F">
      <w:pPr>
        <w:spacing w:line="276" w:lineRule="auto"/>
        <w:rPr>
          <w:rFonts w:ascii="Times New Roman" w:hAnsi="Times New Roman" w:cs="Times New Roman"/>
          <w:sz w:val="24"/>
          <w:szCs w:val="24"/>
        </w:rPr>
      </w:pPr>
      <w:r w:rsidRPr="00947B8F">
        <w:rPr>
          <w:rFonts w:ascii="Times New Roman" w:hAnsi="Times New Roman" w:cs="Times New Roman"/>
          <w:b/>
          <w:bCs/>
          <w:sz w:val="24"/>
          <w:szCs w:val="24"/>
        </w:rPr>
        <w:t>Conclusion</w:t>
      </w:r>
    </w:p>
    <w:p w14:paraId="25891FE3" w14:textId="77777777" w:rsidR="002B1FC6" w:rsidRDefault="002B1FC6" w:rsidP="00947B8F">
      <w:pPr>
        <w:spacing w:line="276" w:lineRule="auto"/>
        <w:rPr>
          <w:rFonts w:ascii="Times New Roman" w:hAnsi="Times New Roman" w:cs="Times New Roman"/>
          <w:sz w:val="24"/>
          <w:szCs w:val="24"/>
        </w:rPr>
      </w:pPr>
    </w:p>
    <w:p w14:paraId="42E4FE6F" w14:textId="476D2CB9" w:rsidR="002B1FC6" w:rsidRDefault="002B1FC6" w:rsidP="00947B8F">
      <w:pPr>
        <w:spacing w:line="276" w:lineRule="auto"/>
        <w:rPr>
          <w:rFonts w:ascii="Times New Roman" w:hAnsi="Times New Roman" w:cs="Times New Roman"/>
          <w:sz w:val="24"/>
          <w:szCs w:val="24"/>
        </w:rPr>
      </w:pPr>
      <w:r>
        <w:rPr>
          <w:rFonts w:ascii="Times New Roman" w:hAnsi="Times New Roman" w:cs="Times New Roman"/>
          <w:sz w:val="24"/>
          <w:szCs w:val="24"/>
        </w:rPr>
        <w:t xml:space="preserve">Therefore, the removal of the BRC exception </w:t>
      </w:r>
      <w:r w:rsidR="00961426">
        <w:rPr>
          <w:rFonts w:ascii="Times New Roman" w:hAnsi="Times New Roman" w:cs="Times New Roman"/>
          <w:sz w:val="24"/>
          <w:szCs w:val="24"/>
        </w:rPr>
        <w:t xml:space="preserve">is an egregious and severe interference with religious freedom in Australia. It is contrary to international law and likely to be unconstitutional for multiple reasons. </w:t>
      </w:r>
      <w:r w:rsidR="00143299">
        <w:rPr>
          <w:rFonts w:ascii="Times New Roman" w:hAnsi="Times New Roman" w:cs="Times New Roman"/>
          <w:sz w:val="24"/>
          <w:szCs w:val="24"/>
        </w:rPr>
        <w:t>The proposal should be abandoned.</w:t>
      </w:r>
    </w:p>
    <w:p w14:paraId="0086D466" w14:textId="77777777" w:rsidR="00143299" w:rsidRDefault="00143299" w:rsidP="00947B8F">
      <w:pPr>
        <w:spacing w:line="276" w:lineRule="auto"/>
        <w:rPr>
          <w:rFonts w:ascii="Times New Roman" w:hAnsi="Times New Roman" w:cs="Times New Roman"/>
          <w:sz w:val="24"/>
          <w:szCs w:val="24"/>
        </w:rPr>
      </w:pPr>
    </w:p>
    <w:p w14:paraId="3AD24190" w14:textId="3E411322" w:rsidR="00143299" w:rsidRPr="002B1FC6" w:rsidRDefault="00143299" w:rsidP="00947B8F">
      <w:pPr>
        <w:spacing w:line="276" w:lineRule="auto"/>
        <w:rPr>
          <w:rFonts w:ascii="Times New Roman" w:hAnsi="Times New Roman" w:cs="Times New Roman"/>
          <w:sz w:val="24"/>
          <w:szCs w:val="24"/>
        </w:rPr>
      </w:pPr>
      <w:r>
        <w:rPr>
          <w:rFonts w:ascii="Times New Roman" w:hAnsi="Times New Roman" w:cs="Times New Roman"/>
          <w:sz w:val="24"/>
          <w:szCs w:val="24"/>
        </w:rPr>
        <w:t>Thank you for your consideration.</w:t>
      </w:r>
    </w:p>
    <w:sectPr w:rsidR="00143299" w:rsidRPr="002B1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1198" w14:textId="77777777" w:rsidR="00BA77D6" w:rsidRDefault="00BA77D6" w:rsidP="00227A54">
      <w:pPr>
        <w:spacing w:after="0" w:line="240" w:lineRule="auto"/>
      </w:pPr>
      <w:r>
        <w:separator/>
      </w:r>
    </w:p>
  </w:endnote>
  <w:endnote w:type="continuationSeparator" w:id="0">
    <w:p w14:paraId="56569B50" w14:textId="77777777" w:rsidR="00BA77D6" w:rsidRDefault="00BA77D6" w:rsidP="0022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9D0D" w14:textId="77777777" w:rsidR="00BA77D6" w:rsidRDefault="00BA77D6" w:rsidP="00227A54">
      <w:pPr>
        <w:spacing w:after="0" w:line="240" w:lineRule="auto"/>
      </w:pPr>
      <w:r>
        <w:separator/>
      </w:r>
    </w:p>
  </w:footnote>
  <w:footnote w:type="continuationSeparator" w:id="0">
    <w:p w14:paraId="78A454F3" w14:textId="77777777" w:rsidR="00BA77D6" w:rsidRDefault="00BA77D6" w:rsidP="00227A54">
      <w:pPr>
        <w:spacing w:after="0" w:line="240" w:lineRule="auto"/>
      </w:pPr>
      <w:r>
        <w:continuationSeparator/>
      </w:r>
    </w:p>
  </w:footnote>
  <w:footnote w:id="1">
    <w:p w14:paraId="51983F93" w14:textId="77777777" w:rsidR="001E2887" w:rsidRPr="00C71918" w:rsidRDefault="001E2887"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International Covenant on Civil and Political Rights</w:t>
      </w:r>
      <w:r w:rsidR="2A4EBCE9" w:rsidRPr="2A4EBCE9">
        <w:rPr>
          <w:rFonts w:ascii="Times New Roman" w:eastAsia="Times New Roman" w:hAnsi="Times New Roman" w:cs="Times New Roman"/>
        </w:rPr>
        <w:t>, opened for signature 16 December 1966, 999 UNTS 171 (entered into force 23 March 1976).</w:t>
      </w:r>
    </w:p>
  </w:footnote>
  <w:footnote w:id="2">
    <w:p w14:paraId="58CBC870" w14:textId="72E20CD8" w:rsidR="001E2887" w:rsidRPr="00C71918" w:rsidRDefault="001E2887"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See Nicholas Aroney, ‘Freedom of Religion as an Associational Right’ (2014) 33 </w:t>
      </w:r>
      <w:r w:rsidR="2A4EBCE9" w:rsidRPr="2A4EBCE9">
        <w:rPr>
          <w:rFonts w:ascii="Times New Roman" w:eastAsia="Times New Roman" w:hAnsi="Times New Roman" w:cs="Times New Roman"/>
          <w:i/>
          <w:iCs/>
        </w:rPr>
        <w:t>University of Queensland Law Journal</w:t>
      </w:r>
      <w:r w:rsidR="2A4EBCE9" w:rsidRPr="2A4EBCE9">
        <w:rPr>
          <w:rFonts w:ascii="Times New Roman" w:eastAsia="Times New Roman" w:hAnsi="Times New Roman" w:cs="Times New Roman"/>
        </w:rPr>
        <w:t xml:space="preserve"> 153.</w:t>
      </w:r>
    </w:p>
  </w:footnote>
  <w:footnote w:id="3">
    <w:p w14:paraId="3D5C916E" w14:textId="77777777" w:rsidR="001E2887" w:rsidRPr="00C71918" w:rsidRDefault="001E2887" w:rsidP="2A4EBCE9">
      <w:pPr>
        <w:spacing w:after="0" w:line="240" w:lineRule="auto"/>
        <w:rPr>
          <w:rFonts w:ascii="Times New Roman" w:hAnsi="Times New Roman" w:cs="Times New Roman"/>
          <w:sz w:val="20"/>
          <w:szCs w:val="20"/>
        </w:rPr>
      </w:pPr>
      <w:r w:rsidRPr="00C71918">
        <w:rPr>
          <w:rStyle w:val="FootnoteReference"/>
          <w:rFonts w:ascii="Times New Roman" w:eastAsia="Times New Roman" w:hAnsi="Times New Roman" w:cs="Times New Roman"/>
          <w:sz w:val="20"/>
          <w:szCs w:val="20"/>
        </w:rPr>
        <w:footnoteRef/>
      </w:r>
      <w:r w:rsidR="2A4EBCE9" w:rsidRPr="00C71918">
        <w:rPr>
          <w:rFonts w:ascii="Times New Roman" w:eastAsia="Times New Roman" w:hAnsi="Times New Roman" w:cs="Times New Roman"/>
          <w:sz w:val="20"/>
          <w:szCs w:val="20"/>
        </w:rPr>
        <w:t xml:space="preserve"> In accordance with the Siracusa Principles, any restriction must be necessary to achieve one of the objects listed, and must be proportionate to that object in the sense that it is the least restrictive means to achieve that object: ‘S</w:t>
      </w:r>
      <w:r w:rsidR="2A4EBCE9" w:rsidRPr="00C71918">
        <w:rPr>
          <w:rFonts w:ascii="Times New Roman" w:eastAsia="Times New Roman" w:hAnsi="Times New Roman" w:cs="Times New Roman"/>
          <w:sz w:val="20"/>
          <w:szCs w:val="20"/>
          <w:lang w:eastAsia="en-AU"/>
        </w:rPr>
        <w:t>iracusa Principles on the Limitation and Derogation of Provisions</w:t>
      </w:r>
      <w:r w:rsidR="2A4EBCE9" w:rsidRPr="00C71918">
        <w:rPr>
          <w:rFonts w:ascii="Times New Roman" w:eastAsia="Times New Roman" w:hAnsi="Times New Roman" w:cs="Times New Roman"/>
          <w:sz w:val="20"/>
          <w:szCs w:val="20"/>
        </w:rPr>
        <w:t>’</w:t>
      </w:r>
      <w:r w:rsidR="2A4EBCE9" w:rsidRPr="00C71918">
        <w:rPr>
          <w:rFonts w:ascii="Times New Roman" w:eastAsia="Times New Roman" w:hAnsi="Times New Roman" w:cs="Times New Roman"/>
          <w:sz w:val="20"/>
          <w:szCs w:val="20"/>
          <w:lang w:eastAsia="en-AU"/>
        </w:rPr>
        <w:t xml:space="preserve"> in the </w:t>
      </w:r>
      <w:r w:rsidR="2A4EBCE9" w:rsidRPr="2A4EBCE9">
        <w:rPr>
          <w:rFonts w:ascii="Times New Roman" w:eastAsia="Times New Roman" w:hAnsi="Times New Roman" w:cs="Times New Roman"/>
          <w:i/>
          <w:iCs/>
          <w:sz w:val="20"/>
          <w:szCs w:val="20"/>
          <w:lang w:eastAsia="en-AU"/>
        </w:rPr>
        <w:t>International Covenant on Civil and Political Rights Annex</w:t>
      </w:r>
      <w:r w:rsidR="2A4EBCE9" w:rsidRPr="00C71918">
        <w:rPr>
          <w:rFonts w:ascii="Times New Roman" w:eastAsia="Times New Roman" w:hAnsi="Times New Roman" w:cs="Times New Roman"/>
          <w:sz w:val="20"/>
          <w:szCs w:val="20"/>
          <w:lang w:eastAsia="en-AU"/>
        </w:rPr>
        <w:t xml:space="preserve">, UN Doc E/CN.4/1984/4 (1984), accessed February 19, 2019, </w:t>
      </w:r>
      <w:hyperlink r:id="rId1" w:history="1">
        <w:r w:rsidR="2A4EBCE9" w:rsidRPr="00C71918">
          <w:rPr>
            <w:rStyle w:val="Hyperlink"/>
            <w:rFonts w:ascii="Times New Roman" w:eastAsia="Times New Roman" w:hAnsi="Times New Roman" w:cs="Times New Roman"/>
            <w:sz w:val="20"/>
            <w:szCs w:val="20"/>
          </w:rPr>
          <w:t>https://www.uio.no/studier/emner/jus/humanrights/HUMR5503/h09/undervisningsmateriale/SiracusaPrinciples.pdf</w:t>
        </w:r>
      </w:hyperlink>
      <w:r w:rsidR="2A4EBCE9" w:rsidRPr="00C71918">
        <w:rPr>
          <w:rFonts w:ascii="Times New Roman" w:eastAsia="Times New Roman" w:hAnsi="Times New Roman" w:cs="Times New Roman"/>
          <w:sz w:val="20"/>
          <w:szCs w:val="20"/>
        </w:rPr>
        <w:t>.</w:t>
      </w:r>
    </w:p>
  </w:footnote>
  <w:footnote w:id="4">
    <w:p w14:paraId="0C4A2D08" w14:textId="77777777" w:rsidR="00917738" w:rsidRPr="00C71918" w:rsidRDefault="00917738"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Pr="00C71918">
        <w:rPr>
          <w:rFonts w:ascii="Times New Roman" w:hAnsi="Times New Roman" w:cs="Times New Roman"/>
        </w:rPr>
        <w:fldChar w:fldCharType="begin"/>
      </w:r>
      <w:r w:rsidRPr="00C71918">
        <w:rPr>
          <w:rFonts w:ascii="Times New Roman" w:hAnsi="Times New Roman" w:cs="Times New Roman"/>
        </w:rPr>
        <w:instrText xml:space="preserve"> ADDIN EN.CITE &lt;EndNote&gt;&lt;Cite&gt;&lt;RecNum&gt;773&lt;/RecNum&gt;&lt;Pages&gt;[1] (emphasis added)&lt;/Pages&gt;&lt;DisplayText&gt;&lt;style face="italic"&gt;Human Rights Committee, General comment No. 22 (48) (art. 18),&lt;/style&gt; 48th sess, UN Doc CCPR/C/21/Rev.1/Add.4 (27 September 1993), [1] (emphasis added) (&amp;apos;&lt;style face="italic"&gt;Human Rights Committee, General comment No. 22 (48) (art. 18),&lt;/style&gt;&amp;apos;).&lt;/DisplayText&gt;&lt;record&gt;&lt;rec-number&gt;773&lt;/rec-number&gt;&lt;foreign-keys&gt;&lt;key app="EN" db-id="dw5ve525idd92oe592v5ssdy2axarpap0zrp" timestamp="1541109398"&gt;773&lt;/key&gt;&lt;/foreign-keys&gt;&lt;ref-type name="Case (Reported)"&gt;7&lt;/ref-type&gt;&lt;contributors&gt;&lt;/contributors&gt;&lt;titles&gt;&lt;title&gt;&lt;style face="normal" font="default" size="100%"&gt;Human Rights Committee, &lt;/style&gt;&lt;style face="italic" font="default" size="100%"&gt;General comment No. 22 (48) (art. 18),&lt;/style&gt;&lt;/title&gt;&lt;secondary-title&gt;48th sess, UN Doc CCPR/C/21/Rev.1/Add.4 (27 September 1993)&lt;/secondary-title&gt;&lt;/titles&gt;&lt;dates&gt;&lt;/dates&gt;&lt;urls&gt;&lt;/urls&gt;&lt;/record&gt;&lt;/Cite&gt;&lt;/EndNote&gt;</w:instrText>
      </w:r>
      <w:r w:rsidRPr="00C71918">
        <w:rPr>
          <w:rFonts w:ascii="Times New Roman" w:hAnsi="Times New Roman" w:cs="Times New Roman"/>
        </w:rPr>
        <w:fldChar w:fldCharType="separate"/>
      </w:r>
      <w:r w:rsidR="2A4EBCE9" w:rsidRPr="2A4EBCE9">
        <w:rPr>
          <w:rFonts w:ascii="Times New Roman" w:eastAsia="Times New Roman" w:hAnsi="Times New Roman" w:cs="Times New Roman"/>
          <w:i/>
          <w:iCs/>
          <w:noProof/>
        </w:rPr>
        <w:t>Human Rights Committee, General comment No. 22 (48) (art. 18),</w:t>
      </w:r>
      <w:r w:rsidR="2A4EBCE9" w:rsidRPr="2A4EBCE9">
        <w:rPr>
          <w:rFonts w:ascii="Times New Roman" w:eastAsia="Times New Roman" w:hAnsi="Times New Roman" w:cs="Times New Roman"/>
          <w:noProof/>
        </w:rPr>
        <w:t xml:space="preserve"> 48th sess, UN Doc CCPR/C/21/Rev.1/Add.4 (27 September 1993), [1] (emphasis added) ('</w:t>
      </w:r>
      <w:r w:rsidR="2A4EBCE9" w:rsidRPr="2A4EBCE9">
        <w:rPr>
          <w:rFonts w:ascii="Times New Roman" w:eastAsia="Times New Roman" w:hAnsi="Times New Roman" w:cs="Times New Roman"/>
          <w:i/>
          <w:iCs/>
          <w:noProof/>
        </w:rPr>
        <w:t>Human Rights Committee, General comment No. 22 (48) (art. 18),</w:t>
      </w:r>
      <w:r w:rsidR="2A4EBCE9" w:rsidRPr="2A4EBCE9">
        <w:rPr>
          <w:rFonts w:ascii="Times New Roman" w:eastAsia="Times New Roman" w:hAnsi="Times New Roman" w:cs="Times New Roman"/>
          <w:noProof/>
        </w:rPr>
        <w:t>').</w:t>
      </w:r>
      <w:r w:rsidRPr="00C71918">
        <w:rPr>
          <w:rFonts w:ascii="Times New Roman" w:hAnsi="Times New Roman" w:cs="Times New Roman"/>
        </w:rPr>
        <w:fldChar w:fldCharType="end"/>
      </w:r>
    </w:p>
  </w:footnote>
  <w:footnote w:id="5">
    <w:p w14:paraId="14AE405C" w14:textId="77777777" w:rsidR="00917738" w:rsidRPr="00C71918" w:rsidRDefault="00917738"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Pr="00C71918">
        <w:rPr>
          <w:rFonts w:ascii="Times New Roman" w:hAnsi="Times New Roman" w:cs="Times New Roman"/>
        </w:rPr>
        <w:fldChar w:fldCharType="begin"/>
      </w:r>
      <w:r w:rsidRPr="00C71918">
        <w:rPr>
          <w:rFonts w:ascii="Times New Roman" w:hAnsi="Times New Roman" w:cs="Times New Roman"/>
        </w:rPr>
        <w:instrText xml:space="preserve"> ADDIN EN.CITE &lt;EndNote&gt;&lt;Cite&gt;&lt;Author&gt;Evans&lt;/Author&gt;&lt;Year&gt;2012&lt;/Year&gt;&lt;RecNum&gt;1154&lt;/RecNum&gt;&lt;Pages&gt;35&lt;/Pages&gt;&lt;DisplayText&gt;Carolyn Evans, &lt;style face="italic"&gt;Legal Protection of Religious Freedom in Australia&lt;/style&gt; (Federation Press, 2012) 35.&lt;/DisplayText&gt;&lt;record&gt;&lt;rec-number&gt;1154&lt;/rec-number&gt;&lt;foreign-keys&gt;&lt;key app="EN" db-id="dw5ve525idd92oe592v5ssdy2axarpap0zrp" timestamp="1635913526"&gt;1154&lt;/key&gt;&lt;/foreign-keys&gt;&lt;ref-type name="Book"&gt;6&lt;/ref-type&gt;&lt;contributors&gt;&lt;authors&gt;&lt;author&gt;Carolyn Evans&lt;/author&gt;&lt;/authors&gt;&lt;/contributors&gt;&lt;titles&gt;&lt;title&gt;Legal Protection of Religious Freedom in Australia&lt;/title&gt;&lt;/titles&gt;&lt;dates&gt;&lt;year&gt;2012&lt;/year&gt;&lt;/dates&gt;&lt;publisher&gt;Federation Press&lt;/publisher&gt;&lt;urls&gt;&lt;/urls&gt;&lt;/record&gt;&lt;/Cite&gt;&lt;/EndNote&gt;</w:instrText>
      </w:r>
      <w:r w:rsidRPr="00C71918">
        <w:rPr>
          <w:rFonts w:ascii="Times New Roman" w:hAnsi="Times New Roman" w:cs="Times New Roman"/>
        </w:rPr>
        <w:fldChar w:fldCharType="separate"/>
      </w:r>
      <w:r w:rsidR="2A4EBCE9" w:rsidRPr="2A4EBCE9">
        <w:rPr>
          <w:rFonts w:ascii="Times New Roman" w:eastAsia="Times New Roman" w:hAnsi="Times New Roman" w:cs="Times New Roman"/>
        </w:rPr>
        <w:t xml:space="preserve">Carolyn Evans, </w:t>
      </w:r>
      <w:r w:rsidR="2A4EBCE9" w:rsidRPr="2A4EBCE9">
        <w:rPr>
          <w:rFonts w:ascii="Times New Roman" w:eastAsia="Times New Roman" w:hAnsi="Times New Roman" w:cs="Times New Roman"/>
          <w:i/>
          <w:iCs/>
        </w:rPr>
        <w:t>Legal Protection of Religious Freedom in Australia</w:t>
      </w:r>
      <w:r w:rsidR="2A4EBCE9" w:rsidRPr="2A4EBCE9">
        <w:rPr>
          <w:rFonts w:ascii="Times New Roman" w:eastAsia="Times New Roman" w:hAnsi="Times New Roman" w:cs="Times New Roman"/>
        </w:rPr>
        <w:t xml:space="preserve"> (Federation Press, 2012) 35.</w:t>
      </w:r>
      <w:r w:rsidRPr="00C71918">
        <w:rPr>
          <w:rFonts w:ascii="Times New Roman" w:hAnsi="Times New Roman" w:cs="Times New Roman"/>
        </w:rPr>
        <w:fldChar w:fldCharType="end"/>
      </w:r>
    </w:p>
  </w:footnote>
  <w:footnote w:id="6">
    <w:p w14:paraId="7BE7C297" w14:textId="77777777" w:rsidR="00917738" w:rsidRPr="00C71918" w:rsidRDefault="00917738"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noProof/>
        </w:rPr>
        <w:t>Sister Immaculate Joseph and 80 Teaching Sisters of the Holy Cross of the Third Order of Saint Francis in Menzingen of Sri Lanka v Sri Lanka,</w:t>
      </w:r>
      <w:r w:rsidR="2A4EBCE9" w:rsidRPr="2A4EBCE9">
        <w:rPr>
          <w:rFonts w:ascii="Times New Roman" w:eastAsia="Times New Roman" w:hAnsi="Times New Roman" w:cs="Times New Roman"/>
          <w:noProof/>
        </w:rPr>
        <w:t xml:space="preserve"> Communication No. 1249/2004, U.N. Doc. CCPR/C/85/D/1249/2004 (2005) [7.2].</w:t>
      </w:r>
    </w:p>
  </w:footnote>
  <w:footnote w:id="7">
    <w:p w14:paraId="05210B67" w14:textId="77777777" w:rsidR="00917738" w:rsidRPr="00C71918" w:rsidRDefault="00917738"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UN General Assembly, </w:t>
      </w:r>
      <w:r w:rsidR="2A4EBCE9" w:rsidRPr="2A4EBCE9">
        <w:rPr>
          <w:rFonts w:ascii="Times New Roman" w:eastAsia="Times New Roman" w:hAnsi="Times New Roman" w:cs="Times New Roman"/>
          <w:i/>
          <w:iCs/>
        </w:rPr>
        <w:t>Declaration on the Elimination of All Forms of Intolerance and of Discrimination Based on Religion or Belief</w:t>
      </w:r>
      <w:r w:rsidR="2A4EBCE9" w:rsidRPr="2A4EBCE9">
        <w:rPr>
          <w:rFonts w:ascii="Times New Roman" w:eastAsia="Times New Roman" w:hAnsi="Times New Roman" w:cs="Times New Roman"/>
        </w:rPr>
        <w:t>, 25 November 1981, A/RES/36/55, Article 6.</w:t>
      </w:r>
    </w:p>
  </w:footnote>
  <w:footnote w:id="8">
    <w:p w14:paraId="63CE6679" w14:textId="77777777" w:rsidR="00316D8C" w:rsidRPr="00C71918" w:rsidRDefault="00316D8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Nicholas Aroney, ‘Can Australian Law Better Protect Freedom of Religion?’ (2019) 93(9) </w:t>
      </w:r>
      <w:r w:rsidR="2A4EBCE9" w:rsidRPr="2A4EBCE9">
        <w:rPr>
          <w:rFonts w:ascii="Times New Roman" w:eastAsia="Times New Roman" w:hAnsi="Times New Roman" w:cs="Times New Roman"/>
          <w:i/>
          <w:iCs/>
        </w:rPr>
        <w:t>Australian Law Journal</w:t>
      </w:r>
      <w:r w:rsidR="2A4EBCE9" w:rsidRPr="2A4EBCE9">
        <w:rPr>
          <w:rFonts w:ascii="Times New Roman" w:eastAsia="Times New Roman" w:hAnsi="Times New Roman" w:cs="Times New Roman"/>
        </w:rPr>
        <w:t xml:space="preserve"> 708, </w:t>
      </w:r>
      <w:r w:rsidR="2A4EBCE9" w:rsidRPr="2A4EBCE9">
        <w:rPr>
          <w:rStyle w:val="pageno"/>
          <w:rFonts w:ascii="Times New Roman" w:eastAsia="Times New Roman" w:hAnsi="Times New Roman" w:cs="Times New Roman"/>
          <w:lang w:val="en"/>
        </w:rPr>
        <w:t xml:space="preserve">711-712; </w:t>
      </w:r>
      <w:r w:rsidR="2A4EBCE9" w:rsidRPr="2A4EBCE9">
        <w:rPr>
          <w:rStyle w:val="pageno"/>
          <w:rFonts w:ascii="Times New Roman" w:eastAsia="Times New Roman" w:hAnsi="Times New Roman" w:cs="Times New Roman"/>
          <w:i/>
          <w:iCs/>
          <w:lang w:val="en"/>
        </w:rPr>
        <w:t>Declaration on the Elimination of All Forms of Intolerance and Discrimination based on Religion or Belief</w:t>
      </w:r>
      <w:r w:rsidR="2A4EBCE9" w:rsidRPr="2A4EBCE9">
        <w:rPr>
          <w:rStyle w:val="pageno"/>
          <w:rFonts w:ascii="Times New Roman" w:eastAsia="Times New Roman" w:hAnsi="Times New Roman" w:cs="Times New Roman"/>
          <w:lang w:val="en"/>
        </w:rPr>
        <w:t>, GA Res 36/55, UN GAOR, 36</w:t>
      </w:r>
      <w:r w:rsidR="2A4EBCE9" w:rsidRPr="2A4EBCE9">
        <w:rPr>
          <w:rStyle w:val="pageno"/>
          <w:rFonts w:ascii="Times New Roman" w:eastAsia="Times New Roman" w:hAnsi="Times New Roman" w:cs="Times New Roman"/>
          <w:vertAlign w:val="superscript"/>
          <w:lang w:val="en"/>
        </w:rPr>
        <w:t>th</w:t>
      </w:r>
      <w:r w:rsidR="2A4EBCE9" w:rsidRPr="2A4EBCE9">
        <w:rPr>
          <w:rStyle w:val="pageno"/>
          <w:rFonts w:ascii="Times New Roman" w:eastAsia="Times New Roman" w:hAnsi="Times New Roman" w:cs="Times New Roman"/>
          <w:lang w:val="en"/>
        </w:rPr>
        <w:t xml:space="preserve"> sess, 73</w:t>
      </w:r>
      <w:r w:rsidR="2A4EBCE9" w:rsidRPr="2A4EBCE9">
        <w:rPr>
          <w:rStyle w:val="pageno"/>
          <w:rFonts w:ascii="Times New Roman" w:eastAsia="Times New Roman" w:hAnsi="Times New Roman" w:cs="Times New Roman"/>
          <w:vertAlign w:val="superscript"/>
          <w:lang w:val="en"/>
        </w:rPr>
        <w:t>rd</w:t>
      </w:r>
      <w:r w:rsidR="2A4EBCE9" w:rsidRPr="2A4EBCE9">
        <w:rPr>
          <w:rStyle w:val="pageno"/>
          <w:rFonts w:ascii="Times New Roman" w:eastAsia="Times New Roman" w:hAnsi="Times New Roman" w:cs="Times New Roman"/>
          <w:lang w:val="en"/>
        </w:rPr>
        <w:t xml:space="preserve"> plen mtg, Supp No 51, UN Doc A/RES/26/55 (25 November 1981) Art 6.</w:t>
      </w:r>
    </w:p>
  </w:footnote>
  <w:footnote w:id="9">
    <w:p w14:paraId="003E2333" w14:textId="39FE5AD6" w:rsidR="00316D8C" w:rsidRPr="00C71918" w:rsidRDefault="00316D8C" w:rsidP="2A4EBCE9">
      <w:pPr>
        <w:spacing w:after="0" w:line="240" w:lineRule="auto"/>
        <w:rPr>
          <w:rFonts w:ascii="Times New Roman" w:hAnsi="Times New Roman" w:cs="Times New Roman"/>
          <w:sz w:val="20"/>
          <w:szCs w:val="20"/>
        </w:rPr>
      </w:pPr>
      <w:r w:rsidRPr="00C71918">
        <w:rPr>
          <w:rStyle w:val="FootnoteReference"/>
          <w:rFonts w:ascii="Times New Roman" w:eastAsia="Times New Roman" w:hAnsi="Times New Roman" w:cs="Times New Roman"/>
          <w:sz w:val="20"/>
          <w:szCs w:val="20"/>
        </w:rPr>
        <w:footnoteRef/>
      </w:r>
      <w:r w:rsidR="2A4EBCE9" w:rsidRPr="00C71918">
        <w:rPr>
          <w:rFonts w:ascii="Times New Roman" w:eastAsia="Times New Roman" w:hAnsi="Times New Roman" w:cs="Times New Roman"/>
          <w:sz w:val="20"/>
          <w:szCs w:val="20"/>
        </w:rPr>
        <w:t xml:space="preserve"> </w:t>
      </w:r>
      <w:r w:rsidR="2A4EBCE9" w:rsidRPr="00C71918">
        <w:rPr>
          <w:rStyle w:val="pageno"/>
          <w:rFonts w:ascii="Times New Roman" w:eastAsia="Times New Roman" w:hAnsi="Times New Roman" w:cs="Times New Roman"/>
          <w:sz w:val="20"/>
          <w:szCs w:val="20"/>
          <w:lang w:val="en"/>
        </w:rPr>
        <w:t xml:space="preserve">Aroney (n </w:t>
      </w:r>
      <w:r w:rsidR="2A4EBCE9">
        <w:rPr>
          <w:rStyle w:val="pageno"/>
          <w:rFonts w:ascii="Times New Roman" w:eastAsia="Times New Roman" w:hAnsi="Times New Roman" w:cs="Times New Roman"/>
          <w:sz w:val="20"/>
          <w:szCs w:val="20"/>
          <w:lang w:val="en"/>
        </w:rPr>
        <w:t>8</w:t>
      </w:r>
      <w:r w:rsidR="2A4EBCE9" w:rsidRPr="00C71918">
        <w:rPr>
          <w:rStyle w:val="pageno"/>
          <w:rFonts w:ascii="Times New Roman" w:eastAsia="Times New Roman" w:hAnsi="Times New Roman" w:cs="Times New Roman"/>
          <w:sz w:val="20"/>
          <w:szCs w:val="20"/>
          <w:lang w:val="en"/>
        </w:rPr>
        <w:t xml:space="preserve">) 712; Manfred Nowak, </w:t>
      </w:r>
      <w:r w:rsidR="2A4EBCE9" w:rsidRPr="2A4EBCE9">
        <w:rPr>
          <w:rStyle w:val="pageno"/>
          <w:rFonts w:ascii="Times New Roman" w:eastAsia="Times New Roman" w:hAnsi="Times New Roman" w:cs="Times New Roman"/>
          <w:i/>
          <w:iCs/>
          <w:sz w:val="20"/>
          <w:szCs w:val="20"/>
          <w:lang w:val="en"/>
        </w:rPr>
        <w:t>CCPR Commentary</w:t>
      </w:r>
      <w:r w:rsidR="2A4EBCE9" w:rsidRPr="00C71918">
        <w:rPr>
          <w:rStyle w:val="pageno"/>
          <w:rFonts w:ascii="Times New Roman" w:eastAsia="Times New Roman" w:hAnsi="Times New Roman" w:cs="Times New Roman"/>
          <w:sz w:val="20"/>
          <w:szCs w:val="20"/>
          <w:lang w:val="en"/>
        </w:rPr>
        <w:t xml:space="preserve"> (Engel, Kehl am Rhein, 1993) 386-389; Julian Rivers, </w:t>
      </w:r>
      <w:r w:rsidR="2A4EBCE9" w:rsidRPr="2A4EBCE9">
        <w:rPr>
          <w:rStyle w:val="pageno"/>
          <w:rFonts w:ascii="Times New Roman" w:eastAsia="Times New Roman" w:hAnsi="Times New Roman" w:cs="Times New Roman"/>
          <w:i/>
          <w:iCs/>
          <w:sz w:val="20"/>
          <w:szCs w:val="20"/>
          <w:lang w:val="en"/>
        </w:rPr>
        <w:t>The Law of Organized Religions: Between Establishment and Secularism</w:t>
      </w:r>
      <w:r w:rsidR="2A4EBCE9" w:rsidRPr="00C71918">
        <w:rPr>
          <w:rStyle w:val="pageno"/>
          <w:rFonts w:ascii="Times New Roman" w:eastAsia="Times New Roman" w:hAnsi="Times New Roman" w:cs="Times New Roman"/>
          <w:sz w:val="20"/>
          <w:szCs w:val="20"/>
          <w:lang w:val="en"/>
        </w:rPr>
        <w:t xml:space="preserve"> (Oxford University Press, 2010) 34-38. </w:t>
      </w:r>
    </w:p>
  </w:footnote>
  <w:footnote w:id="10">
    <w:p w14:paraId="3E687EE6" w14:textId="77777777" w:rsidR="000F5996" w:rsidRPr="00C71918" w:rsidRDefault="000F5996"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Christopher McCrudden, </w:t>
      </w:r>
      <w:r w:rsidR="2A4EBCE9" w:rsidRPr="2A4EBCE9">
        <w:rPr>
          <w:rFonts w:ascii="Times New Roman" w:eastAsia="Times New Roman" w:hAnsi="Times New Roman" w:cs="Times New Roman"/>
          <w:i/>
          <w:iCs/>
        </w:rPr>
        <w:t>Litigating Religions: An Essay on Human Rights, Courts, and Beliefs</w:t>
      </w:r>
      <w:r w:rsidR="2A4EBCE9" w:rsidRPr="2A4EBCE9">
        <w:rPr>
          <w:rFonts w:ascii="Times New Roman" w:eastAsia="Times New Roman" w:hAnsi="Times New Roman" w:cs="Times New Roman"/>
        </w:rPr>
        <w:t xml:space="preserve"> (Oxford University Press, 2018) 64-65.</w:t>
      </w:r>
    </w:p>
  </w:footnote>
  <w:footnote w:id="11">
    <w:p w14:paraId="531C0D1E" w14:textId="77777777" w:rsidR="000F5996" w:rsidRPr="00C71918" w:rsidRDefault="000F5996"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Julian Rivers, </w:t>
      </w:r>
      <w:r w:rsidR="2A4EBCE9" w:rsidRPr="2A4EBCE9">
        <w:rPr>
          <w:rFonts w:ascii="Times New Roman" w:eastAsia="Times New Roman" w:hAnsi="Times New Roman" w:cs="Times New Roman"/>
          <w:i/>
          <w:iCs/>
        </w:rPr>
        <w:t>The Law of Organised Religions: Between Establishment and Secularism</w:t>
      </w:r>
      <w:r w:rsidR="2A4EBCE9" w:rsidRPr="2A4EBCE9">
        <w:rPr>
          <w:rFonts w:ascii="Times New Roman" w:eastAsia="Times New Roman" w:hAnsi="Times New Roman" w:cs="Times New Roman"/>
        </w:rPr>
        <w:t xml:space="preserve"> (Oxford University Press, 2010) 57-58, 70-71.</w:t>
      </w:r>
    </w:p>
  </w:footnote>
  <w:footnote w:id="12">
    <w:p w14:paraId="54B6B638" w14:textId="74C676B0"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Joel Harrison, </w:t>
      </w:r>
      <w:r w:rsidR="2A4EBCE9" w:rsidRPr="2A4EBCE9">
        <w:rPr>
          <w:rFonts w:ascii="Times New Roman" w:eastAsia="Times New Roman" w:hAnsi="Times New Roman" w:cs="Times New Roman"/>
          <w:i/>
          <w:iCs/>
        </w:rPr>
        <w:t>Post-Liberal Religious Liberty</w:t>
      </w:r>
      <w:r w:rsidR="2A4EBCE9" w:rsidRPr="2A4EBCE9">
        <w:rPr>
          <w:rFonts w:ascii="Times New Roman" w:eastAsia="Times New Roman" w:hAnsi="Times New Roman" w:cs="Times New Roman"/>
        </w:rPr>
        <w:t xml:space="preserve"> (Cambridge University Press, 2020) 138.</w:t>
      </w:r>
    </w:p>
  </w:footnote>
  <w:footnote w:id="13">
    <w:p w14:paraId="00797703" w14:textId="2CA8663A"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174-175.</w:t>
      </w:r>
    </w:p>
  </w:footnote>
  <w:footnote w:id="14">
    <w:p w14:paraId="4ED75A72" w14:textId="77777777"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Kokkinakis v Greece</w:t>
      </w:r>
      <w:r w:rsidR="2A4EBCE9" w:rsidRPr="2A4EBCE9">
        <w:rPr>
          <w:rFonts w:ascii="Times New Roman" w:eastAsia="Times New Roman" w:hAnsi="Times New Roman" w:cs="Times New Roman"/>
        </w:rPr>
        <w:t xml:space="preserve"> (1993) 17 EHRR397 [31].</w:t>
      </w:r>
    </w:p>
  </w:footnote>
  <w:footnote w:id="15">
    <w:p w14:paraId="36B5B5A3" w14:textId="3A063E07"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McCrudden, </w:t>
      </w:r>
      <w:r w:rsidR="2A4EBCE9" w:rsidRPr="2A4EBCE9">
        <w:rPr>
          <w:rFonts w:ascii="Times New Roman" w:eastAsia="Times New Roman" w:hAnsi="Times New Roman" w:cs="Times New Roman"/>
          <w:i/>
          <w:iCs/>
        </w:rPr>
        <w:t>Litigating Religions</w:t>
      </w:r>
      <w:r w:rsidR="2A4EBCE9" w:rsidRPr="2A4EBCE9">
        <w:rPr>
          <w:rFonts w:ascii="Times New Roman" w:eastAsia="Times New Roman" w:hAnsi="Times New Roman" w:cs="Times New Roman"/>
        </w:rPr>
        <w:t xml:space="preserve"> (n 10) 68-70.</w:t>
      </w:r>
    </w:p>
  </w:footnote>
  <w:footnote w:id="16">
    <w:p w14:paraId="7405F492" w14:textId="5595B178"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139.</w:t>
      </w:r>
    </w:p>
  </w:footnote>
  <w:footnote w:id="17">
    <w:p w14:paraId="23847462" w14:textId="681E27BD"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68-70.</w:t>
      </w:r>
    </w:p>
  </w:footnote>
  <w:footnote w:id="18">
    <w:p w14:paraId="40709BF8" w14:textId="2893D8FA"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77349DE2" w:rsidRPr="2A4EBCE9">
        <w:rPr>
          <w:rFonts w:ascii="Times New Roman" w:eastAsia="Times New Roman" w:hAnsi="Times New Roman" w:cs="Times New Roman"/>
        </w:rPr>
        <w:t xml:space="preserve"> Rex Ahdar and Ian Leigh, </w:t>
      </w:r>
      <w:r w:rsidR="77349DE2" w:rsidRPr="77349DE2">
        <w:rPr>
          <w:rFonts w:ascii="Times New Roman" w:eastAsia="Times New Roman" w:hAnsi="Times New Roman" w:cs="Times New Roman"/>
          <w:i/>
          <w:iCs/>
        </w:rPr>
        <w:t>Religious Freedom in the Liberal State</w:t>
      </w:r>
      <w:r w:rsidR="77349DE2" w:rsidRPr="2A4EBCE9">
        <w:rPr>
          <w:rFonts w:ascii="Times New Roman" w:eastAsia="Times New Roman" w:hAnsi="Times New Roman" w:cs="Times New Roman"/>
        </w:rPr>
        <w:t xml:space="preserve"> (Oxford University Press, 2011 2nd ed) 395.</w:t>
      </w:r>
    </w:p>
  </w:footnote>
  <w:footnote w:id="19">
    <w:p w14:paraId="46F4DD04" w14:textId="77777777" w:rsidR="00CC1CB6" w:rsidRPr="00C71918" w:rsidRDefault="00CC1CB6"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(2002) 34(6) EHRR 1339 [62].</w:t>
      </w:r>
    </w:p>
  </w:footnote>
  <w:footnote w:id="20">
    <w:p w14:paraId="3ACFCE5A" w14:textId="77777777" w:rsidR="00CC1CB6" w:rsidRPr="00C71918" w:rsidRDefault="00CC1CB6"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Pr="00C71918">
        <w:rPr>
          <w:rFonts w:ascii="Times New Roman" w:hAnsi="Times New Roman" w:cs="Times New Roman"/>
        </w:rPr>
        <w:fldChar w:fldCharType="begin"/>
      </w:r>
      <w:r w:rsidRPr="00C71918">
        <w:rPr>
          <w:rFonts w:ascii="Times New Roman" w:hAnsi="Times New Roman" w:cs="Times New Roman"/>
        </w:rPr>
        <w:instrText xml:space="preserve"> ADDIN EN.CITE &lt;EndNote&gt;&lt;Cite&gt;&lt;Year&gt;2014&lt;/Year&gt;&lt;RecNum&gt;775&lt;/RecNum&gt;&lt;Pages&gt;[127]&lt;/Pages&gt;&lt;DisplayText&gt;&lt;style face="italic"&gt;Fernández Martínez v Spain&lt;/style&gt; (2014) European Court of Human Rights, Grand Chamber, no 56030/07, [127] (&amp;apos;&lt;style face="italic"&gt;Fernández Martínez v Spain&lt;/style&gt;&amp;apos;).&lt;/DisplayText&gt;&lt;record&gt;&lt;rec-number&gt;775&lt;/rec-number&gt;&lt;foreign-keys&gt;&lt;key app="EN" db-id="dw5ve525idd92oe592v5ssdy2axarpap0zrp" timestamp="1541109402"&gt;775&lt;/key&gt;&lt;/foreign-keys&gt;&lt;ref-type name="Case (Reported)"&gt;7&lt;/ref-type&gt;&lt;contributors&gt;&lt;/contributors&gt;&lt;titles&gt;&lt;title&gt;&lt;style face="italic" font="default" size="100%"&gt;Fernández Martínez v Spain&lt;/style&gt;&lt;/title&gt;&lt;secondary-title&gt;European Court of Human Rights, Grand Chamber, no 56030/07&lt;/secondary-title&gt;&lt;/titles&gt;&lt;dates&gt;&lt;year&gt;2014&lt;/year&gt;&lt;/dates&gt;&lt;urls&gt;&lt;/urls&gt;&lt;/record&gt;&lt;/Cite&gt;&lt;/EndNote&gt;</w:instrText>
      </w:r>
      <w:r w:rsidRPr="00C71918">
        <w:rPr>
          <w:rFonts w:ascii="Times New Roman" w:hAnsi="Times New Roman" w:cs="Times New Roman"/>
        </w:rPr>
        <w:fldChar w:fldCharType="separate"/>
      </w:r>
      <w:r w:rsidR="2A4EBCE9" w:rsidRPr="2A4EBCE9">
        <w:rPr>
          <w:rFonts w:ascii="Times New Roman" w:eastAsia="Times New Roman" w:hAnsi="Times New Roman" w:cs="Times New Roman"/>
          <w:i/>
          <w:iCs/>
          <w:noProof/>
        </w:rPr>
        <w:t>Fernández Martínez v Spain</w:t>
      </w:r>
      <w:r w:rsidR="2A4EBCE9" w:rsidRPr="2A4EBCE9">
        <w:rPr>
          <w:rFonts w:ascii="Times New Roman" w:eastAsia="Times New Roman" w:hAnsi="Times New Roman" w:cs="Times New Roman"/>
          <w:noProof/>
        </w:rPr>
        <w:t xml:space="preserve"> (2014) European Court of Human Rights, Grand Chamber, no 56030/07, [127] ('</w:t>
      </w:r>
      <w:r w:rsidR="2A4EBCE9" w:rsidRPr="2A4EBCE9">
        <w:rPr>
          <w:rFonts w:ascii="Times New Roman" w:eastAsia="Times New Roman" w:hAnsi="Times New Roman" w:cs="Times New Roman"/>
          <w:i/>
          <w:iCs/>
          <w:noProof/>
        </w:rPr>
        <w:t>Fernández Martínez v Spain</w:t>
      </w:r>
      <w:r w:rsidR="2A4EBCE9" w:rsidRPr="2A4EBCE9">
        <w:rPr>
          <w:rFonts w:ascii="Times New Roman" w:eastAsia="Times New Roman" w:hAnsi="Times New Roman" w:cs="Times New Roman"/>
          <w:noProof/>
        </w:rPr>
        <w:t>').</w:t>
      </w:r>
      <w:r w:rsidRPr="00C71918">
        <w:rPr>
          <w:rFonts w:ascii="Times New Roman" w:hAnsi="Times New Roman" w:cs="Times New Roman"/>
        </w:rPr>
        <w:fldChar w:fldCharType="end"/>
      </w:r>
    </w:p>
  </w:footnote>
  <w:footnote w:id="21">
    <w:p w14:paraId="3B1C5EB2" w14:textId="66C8F856"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Ahdar and Leigh (n 18) 395.</w:t>
      </w:r>
    </w:p>
  </w:footnote>
  <w:footnote w:id="22">
    <w:p w14:paraId="4A69B831" w14:textId="77777777" w:rsidR="000E79DA" w:rsidRPr="00C71918" w:rsidRDefault="000E79DA"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396-399.</w:t>
      </w:r>
    </w:p>
  </w:footnote>
  <w:footnote w:id="23">
    <w:p w14:paraId="126115E1" w14:textId="537D2773" w:rsidR="00EC7F48" w:rsidRPr="00C71918" w:rsidRDefault="00EC7F48"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See Nicholas Aroney and Matthew Turnour, ‘Charities are the New Constitutional Law Frontier’ (2017) 41(2) </w:t>
      </w:r>
      <w:r w:rsidR="2A4EBCE9" w:rsidRPr="2A4EBCE9">
        <w:rPr>
          <w:rFonts w:ascii="Times New Roman" w:eastAsia="Times New Roman" w:hAnsi="Times New Roman" w:cs="Times New Roman"/>
          <w:i/>
          <w:iCs/>
        </w:rPr>
        <w:t>Melbourne University Law Review</w:t>
      </w:r>
      <w:r w:rsidR="2A4EBCE9" w:rsidRPr="2A4EBCE9">
        <w:rPr>
          <w:rFonts w:ascii="Times New Roman" w:eastAsia="Times New Roman" w:hAnsi="Times New Roman" w:cs="Times New Roman"/>
        </w:rPr>
        <w:t xml:space="preserve"> 446; Nicholas Aroney, ‘Federal Charities Law and the Taxation Power: Three Constitutional Problems’ (2023) 51(1) </w:t>
      </w:r>
      <w:r w:rsidR="2A4EBCE9" w:rsidRPr="2A4EBCE9">
        <w:rPr>
          <w:rFonts w:ascii="Times New Roman" w:eastAsia="Times New Roman" w:hAnsi="Times New Roman" w:cs="Times New Roman"/>
          <w:i/>
          <w:iCs/>
        </w:rPr>
        <w:t>Federal Law Review</w:t>
      </w:r>
      <w:r w:rsidR="2A4EBCE9" w:rsidRPr="2A4EBCE9">
        <w:rPr>
          <w:rFonts w:ascii="Times New Roman" w:eastAsia="Times New Roman" w:hAnsi="Times New Roman" w:cs="Times New Roman"/>
        </w:rPr>
        <w:t xml:space="preserve"> 78.</w:t>
      </w:r>
    </w:p>
  </w:footnote>
  <w:footnote w:id="24">
    <w:p w14:paraId="3B7E2190" w14:textId="77777777" w:rsidR="00D35370" w:rsidRPr="00C71918" w:rsidRDefault="00D35370" w:rsidP="2A4EBCE9">
      <w:pPr>
        <w:spacing w:after="0" w:line="240" w:lineRule="auto"/>
        <w:rPr>
          <w:rFonts w:ascii="Times New Roman" w:hAnsi="Times New Roman" w:cs="Times New Roman"/>
          <w:sz w:val="20"/>
          <w:szCs w:val="20"/>
        </w:rPr>
      </w:pPr>
      <w:r w:rsidRPr="00C71918">
        <w:rPr>
          <w:rStyle w:val="FootnoteReference"/>
          <w:rFonts w:ascii="Times New Roman" w:eastAsia="Times New Roman" w:hAnsi="Times New Roman" w:cs="Times New Roman"/>
          <w:sz w:val="20"/>
          <w:szCs w:val="20"/>
        </w:rPr>
        <w:footnoteRef/>
      </w:r>
      <w:r w:rsidR="2A4EBCE9" w:rsidRPr="00C71918">
        <w:rPr>
          <w:rFonts w:ascii="Times New Roman" w:eastAsia="Times New Roman" w:hAnsi="Times New Roman" w:cs="Times New Roman"/>
          <w:sz w:val="20"/>
          <w:szCs w:val="20"/>
        </w:rPr>
        <w:t xml:space="preserve"> </w:t>
      </w:r>
      <w:r w:rsidR="2A4EBCE9" w:rsidRPr="2A4EBCE9">
        <w:rPr>
          <w:rFonts w:ascii="Times New Roman" w:eastAsia="Times New Roman" w:hAnsi="Times New Roman" w:cs="Times New Roman"/>
          <w:i/>
          <w:iCs/>
          <w:sz w:val="20"/>
          <w:szCs w:val="20"/>
        </w:rPr>
        <w:t xml:space="preserve">Koowarta v Bjelke-Petersen </w:t>
      </w:r>
      <w:r w:rsidR="2A4EBCE9" w:rsidRPr="00C71918">
        <w:rPr>
          <w:rFonts w:ascii="Times New Roman" w:eastAsia="Times New Roman" w:hAnsi="Times New Roman" w:cs="Times New Roman"/>
          <w:sz w:val="20"/>
          <w:szCs w:val="20"/>
        </w:rPr>
        <w:t xml:space="preserve">(1982) 153 CLR 168. See Cheryl Saunders, ‘Articles of Faith or Lucky Breaks? The Constitutional Law of International Agreements in Australia’ (1995) 17(2) </w:t>
      </w:r>
      <w:r w:rsidR="2A4EBCE9" w:rsidRPr="2A4EBCE9">
        <w:rPr>
          <w:rFonts w:ascii="Times New Roman" w:eastAsia="Times New Roman" w:hAnsi="Times New Roman" w:cs="Times New Roman"/>
          <w:i/>
          <w:iCs/>
          <w:sz w:val="20"/>
          <w:szCs w:val="20"/>
        </w:rPr>
        <w:t>Sydney Law Review</w:t>
      </w:r>
      <w:r w:rsidR="2A4EBCE9" w:rsidRPr="00C71918">
        <w:rPr>
          <w:rFonts w:ascii="Times New Roman" w:eastAsia="Times New Roman" w:hAnsi="Times New Roman" w:cs="Times New Roman"/>
          <w:sz w:val="20"/>
          <w:szCs w:val="20"/>
        </w:rPr>
        <w:t xml:space="preserve"> 150, 159.</w:t>
      </w:r>
    </w:p>
  </w:footnote>
  <w:footnote w:id="25">
    <w:p w14:paraId="70DA6BF9" w14:textId="77777777" w:rsidR="00D35370" w:rsidRPr="00C71918" w:rsidRDefault="00D35370"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Industrial Relations</w:t>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lang w:val="en-US"/>
        </w:rPr>
        <w:t>(1996) 187 CLR 416, 486-487 (</w:t>
      </w:r>
      <w:r w:rsidR="2A4EBCE9" w:rsidRPr="2A4EBCE9">
        <w:rPr>
          <w:rFonts w:ascii="Times New Roman" w:eastAsia="Times New Roman" w:hAnsi="Times New Roman" w:cs="Times New Roman"/>
        </w:rPr>
        <w:t>Brennan CJ, Toohey, Gaudron, McHugh and Gummow JJ).</w:t>
      </w:r>
    </w:p>
  </w:footnote>
  <w:footnote w:id="26">
    <w:p w14:paraId="066D276C" w14:textId="77777777" w:rsidR="00D35370" w:rsidRPr="00C71918" w:rsidRDefault="00D35370"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487.</w:t>
      </w:r>
    </w:p>
  </w:footnote>
  <w:footnote w:id="27">
    <w:p w14:paraId="248E065F" w14:textId="77777777" w:rsidR="00D35370" w:rsidRPr="00C71918" w:rsidRDefault="00D35370"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486. Though the ‘absence of precision does not… mean any absence of international obligation.’ See </w:t>
      </w:r>
      <w:r w:rsidR="2A4EBCE9" w:rsidRPr="2A4EBCE9">
        <w:rPr>
          <w:rFonts w:ascii="Times New Roman" w:eastAsia="Times New Roman" w:hAnsi="Times New Roman" w:cs="Times New Roman"/>
          <w:i/>
          <w:iCs/>
        </w:rPr>
        <w:t xml:space="preserve">Tasmanian Dams </w:t>
      </w:r>
      <w:r w:rsidR="2A4EBCE9" w:rsidRPr="2A4EBCE9">
        <w:rPr>
          <w:rFonts w:ascii="Times New Roman" w:eastAsia="Times New Roman" w:hAnsi="Times New Roman" w:cs="Times New Roman"/>
        </w:rPr>
        <w:t>(1983) 158 CLR 1, 261-2 (Deane J).</w:t>
      </w:r>
    </w:p>
  </w:footnote>
  <w:footnote w:id="28">
    <w:p w14:paraId="3CDF1ECA" w14:textId="77777777"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For a recent detailed examination of the provision, see Luke Beck, </w:t>
      </w:r>
      <w:r w:rsidR="2A4EBCE9" w:rsidRPr="2A4EBCE9">
        <w:rPr>
          <w:rFonts w:ascii="Times New Roman" w:eastAsia="Times New Roman" w:hAnsi="Times New Roman" w:cs="Times New Roman"/>
          <w:i/>
          <w:iCs/>
        </w:rPr>
        <w:t>Religious Freedom and the Australian Constitution: Origins and Future</w:t>
      </w:r>
      <w:r w:rsidR="2A4EBCE9" w:rsidRPr="2A4EBCE9">
        <w:rPr>
          <w:rFonts w:ascii="Times New Roman" w:eastAsia="Times New Roman" w:hAnsi="Times New Roman" w:cs="Times New Roman"/>
        </w:rPr>
        <w:t xml:space="preserve"> (Routledge, 2018).</w:t>
      </w:r>
    </w:p>
  </w:footnote>
  <w:footnote w:id="29">
    <w:p w14:paraId="56AD0333" w14:textId="46EBF1B4"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See Nicholas Aroney, ‘Freedom of Religion as an Associational Right’ (2014) 33 </w:t>
      </w:r>
      <w:r w:rsidR="2A4EBCE9" w:rsidRPr="2A4EBCE9">
        <w:rPr>
          <w:rFonts w:ascii="Times New Roman" w:eastAsia="Times New Roman" w:hAnsi="Times New Roman" w:cs="Times New Roman"/>
          <w:i/>
          <w:iCs/>
        </w:rPr>
        <w:t>University of Queensland Law Journal</w:t>
      </w:r>
      <w:r w:rsidR="2A4EBCE9" w:rsidRPr="2A4EBCE9">
        <w:rPr>
          <w:rFonts w:ascii="Times New Roman" w:eastAsia="Times New Roman" w:hAnsi="Times New Roman" w:cs="Times New Roman"/>
        </w:rPr>
        <w:t xml:space="preserve"> 153, 155-156.</w:t>
      </w:r>
    </w:p>
  </w:footnote>
  <w:footnote w:id="30">
    <w:p w14:paraId="466090DF" w14:textId="77777777" w:rsidR="00A7461C" w:rsidRPr="00C71918" w:rsidRDefault="00A7461C" w:rsidP="2A4EBCE9">
      <w:pPr>
        <w:spacing w:after="0" w:line="240" w:lineRule="auto"/>
        <w:rPr>
          <w:rFonts w:ascii="Times New Roman" w:hAnsi="Times New Roman" w:cs="Times New Roman"/>
          <w:sz w:val="20"/>
          <w:szCs w:val="20"/>
        </w:rPr>
      </w:pPr>
      <w:r w:rsidRPr="00C71918">
        <w:rPr>
          <w:rStyle w:val="FootnoteReference"/>
          <w:rFonts w:ascii="Times New Roman" w:eastAsia="Times New Roman" w:hAnsi="Times New Roman" w:cs="Times New Roman"/>
          <w:sz w:val="20"/>
          <w:szCs w:val="20"/>
        </w:rPr>
        <w:footnoteRef/>
      </w:r>
      <w:r w:rsidR="2A4EBCE9" w:rsidRPr="00C71918">
        <w:rPr>
          <w:rFonts w:ascii="Times New Roman" w:eastAsia="Times New Roman" w:hAnsi="Times New Roman" w:cs="Times New Roman"/>
          <w:sz w:val="20"/>
          <w:szCs w:val="20"/>
        </w:rPr>
        <w:t xml:space="preserve"> </w:t>
      </w:r>
      <w:r w:rsidR="2A4EBCE9" w:rsidRPr="2A4EBCE9">
        <w:rPr>
          <w:rFonts w:ascii="Times New Roman" w:eastAsia="Times New Roman" w:hAnsi="Times New Roman" w:cs="Times New Roman"/>
          <w:i/>
          <w:iCs/>
          <w:sz w:val="20"/>
          <w:szCs w:val="20"/>
          <w:lang w:val="en-US"/>
        </w:rPr>
        <w:t xml:space="preserve">Minister for Immigration and Ethnic Affairs v Lebanese Moslem Association </w:t>
      </w:r>
      <w:r w:rsidR="2A4EBCE9" w:rsidRPr="00C71918">
        <w:rPr>
          <w:rFonts w:ascii="Times New Roman" w:eastAsia="Times New Roman" w:hAnsi="Times New Roman" w:cs="Times New Roman"/>
          <w:sz w:val="20"/>
          <w:szCs w:val="20"/>
          <w:lang w:val="en-US"/>
        </w:rPr>
        <w:t>(1987) 17 FCR 373.</w:t>
      </w:r>
    </w:p>
  </w:footnote>
  <w:footnote w:id="31">
    <w:p w14:paraId="01A29095" w14:textId="77777777"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Attorney-General (Vic); Ex rel Black v Commonwealth(DOGS Case)</w:t>
      </w:r>
      <w:r w:rsidR="2A4EBCE9" w:rsidRPr="2A4EBCE9">
        <w:rPr>
          <w:rFonts w:ascii="Times New Roman" w:eastAsia="Times New Roman" w:hAnsi="Times New Roman" w:cs="Times New Roman"/>
        </w:rPr>
        <w:t xml:space="preserve"> (1981) 146 CLR 559, 605 (Stephen J).</w:t>
      </w:r>
    </w:p>
  </w:footnote>
  <w:footnote w:id="32">
    <w:p w14:paraId="5491683D" w14:textId="77777777" w:rsidR="00A7461C" w:rsidRPr="00C71918" w:rsidRDefault="00A7461C" w:rsidP="2A4EBCE9">
      <w:pPr>
        <w:spacing w:after="0" w:line="240" w:lineRule="auto"/>
        <w:rPr>
          <w:rFonts w:ascii="Times New Roman" w:hAnsi="Times New Roman" w:cs="Times New Roman"/>
          <w:sz w:val="20"/>
          <w:szCs w:val="20"/>
        </w:rPr>
      </w:pPr>
      <w:r w:rsidRPr="00C71918">
        <w:rPr>
          <w:rStyle w:val="FootnoteReference"/>
          <w:rFonts w:ascii="Times New Roman" w:eastAsia="Times New Roman" w:hAnsi="Times New Roman" w:cs="Times New Roman"/>
          <w:sz w:val="20"/>
          <w:szCs w:val="20"/>
        </w:rPr>
        <w:footnoteRef/>
      </w:r>
      <w:r w:rsidR="2A4EBCE9" w:rsidRPr="00C71918">
        <w:rPr>
          <w:rFonts w:ascii="Times New Roman" w:eastAsia="Times New Roman" w:hAnsi="Times New Roman" w:cs="Times New Roman"/>
          <w:sz w:val="20"/>
          <w:szCs w:val="20"/>
        </w:rPr>
        <w:t xml:space="preserve"> </w:t>
      </w:r>
      <w:r w:rsidR="2A4EBCE9" w:rsidRPr="2A4EBCE9">
        <w:rPr>
          <w:rFonts w:ascii="Times New Roman" w:eastAsia="Times New Roman" w:hAnsi="Times New Roman" w:cs="Times New Roman"/>
          <w:i/>
          <w:iCs/>
          <w:sz w:val="20"/>
          <w:szCs w:val="20"/>
          <w:lang w:val="en-US"/>
        </w:rPr>
        <w:t xml:space="preserve">Grace Bible Church v Reedman </w:t>
      </w:r>
      <w:r w:rsidR="2A4EBCE9" w:rsidRPr="00C71918">
        <w:rPr>
          <w:rFonts w:ascii="Times New Roman" w:eastAsia="Times New Roman" w:hAnsi="Times New Roman" w:cs="Times New Roman"/>
          <w:sz w:val="20"/>
          <w:szCs w:val="20"/>
          <w:lang w:val="en-US"/>
        </w:rPr>
        <w:t>(1984) 36 SASR 376</w:t>
      </w:r>
    </w:p>
  </w:footnote>
  <w:footnote w:id="33">
    <w:p w14:paraId="0E54A3C5" w14:textId="124EDE34"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Adelaide Company of Jehovah’s Witnesses Inc v Commonwealth</w:t>
      </w:r>
      <w:r w:rsidR="2A4EBCE9" w:rsidRPr="2A4EBCE9">
        <w:rPr>
          <w:rFonts w:ascii="Times New Roman" w:eastAsia="Times New Roman" w:hAnsi="Times New Roman" w:cs="Times New Roman"/>
        </w:rPr>
        <w:t xml:space="preserve"> (1943) 67 CLR 116, 124-125.  </w:t>
      </w:r>
    </w:p>
  </w:footnote>
  <w:footnote w:id="34">
    <w:p w14:paraId="601B62DA" w14:textId="77777777"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Church of the New Faith v Commissioner of Pay-Roll Tax (Vic)</w:t>
      </w:r>
      <w:r w:rsidR="2A4EBCE9" w:rsidRPr="2A4EBCE9">
        <w:rPr>
          <w:rFonts w:ascii="Times New Roman" w:eastAsia="Times New Roman" w:hAnsi="Times New Roman" w:cs="Times New Roman"/>
        </w:rPr>
        <w:t xml:space="preserve"> (1983) 154 CLR 120, 136.</w:t>
      </w:r>
    </w:p>
  </w:footnote>
  <w:footnote w:id="35">
    <w:p w14:paraId="15AC3E6F" w14:textId="77777777"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135-136.</w:t>
      </w:r>
    </w:p>
  </w:footnote>
  <w:footnote w:id="36">
    <w:p w14:paraId="0ECA86EE" w14:textId="77777777"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 xml:space="preserve">Jehovah’s Witnesses </w:t>
      </w:r>
      <w:r w:rsidR="2A4EBCE9" w:rsidRPr="2A4EBCE9">
        <w:rPr>
          <w:rFonts w:ascii="Times New Roman" w:eastAsia="Times New Roman" w:hAnsi="Times New Roman" w:cs="Times New Roman"/>
        </w:rPr>
        <w:t>(1943) 67 CLR 116.</w:t>
      </w:r>
    </w:p>
  </w:footnote>
  <w:footnote w:id="37">
    <w:p w14:paraId="0AA6FE61" w14:textId="77777777"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126, 131, 155.</w:t>
      </w:r>
    </w:p>
  </w:footnote>
  <w:footnote w:id="38">
    <w:p w14:paraId="3AAE122A" w14:textId="695F5E7E"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Aroney (n 29) 154-155. See 169-171, 176-178 for the history.</w:t>
      </w:r>
    </w:p>
  </w:footnote>
  <w:footnote w:id="39">
    <w:p w14:paraId="42FB9E9D" w14:textId="77777777"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156-157.</w:t>
      </w:r>
    </w:p>
  </w:footnote>
  <w:footnote w:id="40">
    <w:p w14:paraId="4A00C035" w14:textId="77777777" w:rsidR="00A7461C" w:rsidRPr="00C71918" w:rsidRDefault="00A7461C" w:rsidP="2A4EBCE9">
      <w:pPr>
        <w:pStyle w:val="FootnoteText"/>
        <w:rPr>
          <w:rFonts w:ascii="Times New Roman" w:hAnsi="Times New Roman" w:cs="Times New Roman"/>
          <w:i/>
          <w:iCs/>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 xml:space="preserve">Jehovah’s Witnesses </w:t>
      </w:r>
      <w:r w:rsidR="2A4EBCE9" w:rsidRPr="2A4EBCE9">
        <w:rPr>
          <w:rFonts w:ascii="Times New Roman" w:eastAsia="Times New Roman" w:hAnsi="Times New Roman" w:cs="Times New Roman"/>
        </w:rPr>
        <w:t>(1943) 67 CLR 116, 149-150.</w:t>
      </w:r>
    </w:p>
  </w:footnote>
  <w:footnote w:id="41">
    <w:p w14:paraId="19DA7C8F" w14:textId="7E5EA101" w:rsidR="00A7461C" w:rsidRPr="00C71918" w:rsidRDefault="00A7461C"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Aroney, ‘Freedom of Religion’ (n 29) 159-161, 166. This is further reflected in </w:t>
      </w:r>
      <w:r w:rsidR="2A4EBCE9" w:rsidRPr="2A4EBCE9">
        <w:rPr>
          <w:rFonts w:ascii="Times New Roman" w:eastAsia="Times New Roman" w:hAnsi="Times New Roman" w:cs="Times New Roman"/>
          <w:i/>
          <w:iCs/>
        </w:rPr>
        <w:t>Minister for Immigration &amp; Ethnic Affairs v Lebanese Moslem Association</w:t>
      </w:r>
      <w:r w:rsidR="2A4EBCE9" w:rsidRPr="2A4EBCE9">
        <w:rPr>
          <w:rFonts w:ascii="Times New Roman" w:eastAsia="Times New Roman" w:hAnsi="Times New Roman" w:cs="Times New Roman"/>
        </w:rPr>
        <w:t xml:space="preserve"> (1987) 17 FCR 373, where it was ‘taken for granted’ that the LMA could bring the action as a group to protect its right to select its religious leaders.</w:t>
      </w:r>
    </w:p>
  </w:footnote>
  <w:footnote w:id="42">
    <w:p w14:paraId="747E9267" w14:textId="77777777" w:rsidR="00227A54" w:rsidRPr="00C71918" w:rsidRDefault="00227A54"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Church of the New Faith</w:t>
      </w:r>
      <w:r w:rsidR="2A4EBCE9" w:rsidRPr="2A4EBCE9">
        <w:rPr>
          <w:rFonts w:ascii="Times New Roman" w:eastAsia="Times New Roman" w:hAnsi="Times New Roman" w:cs="Times New Roman"/>
        </w:rPr>
        <w:t xml:space="preserve"> 135–36 (Mason ACJ and Brennan J).</w:t>
      </w:r>
    </w:p>
  </w:footnote>
  <w:footnote w:id="43">
    <w:p w14:paraId="36C36098" w14:textId="77777777" w:rsidR="00227A54" w:rsidRPr="00C71918" w:rsidRDefault="00227A54"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See generally </w:t>
      </w:r>
      <w:r w:rsidR="2A4EBCE9" w:rsidRPr="2A4EBCE9">
        <w:rPr>
          <w:rFonts w:ascii="Times New Roman" w:eastAsia="Times New Roman" w:hAnsi="Times New Roman" w:cs="Times New Roman"/>
          <w:i/>
          <w:iCs/>
        </w:rPr>
        <w:t>Adelaide Company of Jehovah’s Witnesses Inc. v Commonwealth</w:t>
      </w:r>
      <w:r w:rsidR="2A4EBCE9" w:rsidRPr="2A4EBCE9">
        <w:rPr>
          <w:rFonts w:ascii="Times New Roman" w:eastAsia="Times New Roman" w:hAnsi="Times New Roman" w:cs="Times New Roman"/>
        </w:rPr>
        <w:t xml:space="preserve"> (1943) 67 CLR 116.</w:t>
      </w:r>
    </w:p>
  </w:footnote>
  <w:footnote w:id="44">
    <w:p w14:paraId="005D85B5" w14:textId="77777777" w:rsidR="00227A54" w:rsidRPr="00C71918" w:rsidRDefault="00227A54"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126, 131 (Latham CJ), 155 (Starke J).</w:t>
      </w:r>
    </w:p>
  </w:footnote>
  <w:footnote w:id="45">
    <w:p w14:paraId="1EDF261B" w14:textId="77777777" w:rsidR="00227A54" w:rsidRPr="00C71918" w:rsidRDefault="00227A54"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149–50 (Rich J).</w:t>
      </w:r>
    </w:p>
  </w:footnote>
  <w:footnote w:id="46">
    <w:p w14:paraId="71C599DF" w14:textId="77777777" w:rsidR="00227A54" w:rsidRPr="00C71918" w:rsidRDefault="00227A54"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Ibid 124 (Latham CJ).</w:t>
      </w:r>
    </w:p>
  </w:footnote>
  <w:footnote w:id="47">
    <w:p w14:paraId="3A13C524" w14:textId="77777777" w:rsidR="00227A54" w:rsidRPr="00C71918" w:rsidRDefault="00227A54"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w:t>
      </w:r>
      <w:r w:rsidR="2A4EBCE9" w:rsidRPr="2A4EBCE9">
        <w:rPr>
          <w:rFonts w:ascii="Times New Roman" w:eastAsia="Times New Roman" w:hAnsi="Times New Roman" w:cs="Times New Roman"/>
          <w:i/>
          <w:iCs/>
        </w:rPr>
        <w:t>Kruger</w:t>
      </w:r>
      <w:r w:rsidR="2A4EBCE9" w:rsidRPr="2A4EBCE9">
        <w:rPr>
          <w:rFonts w:ascii="Times New Roman" w:eastAsia="Times New Roman" w:hAnsi="Times New Roman" w:cs="Times New Roman"/>
        </w:rPr>
        <w:t xml:space="preserve"> (1997) 190 CLR 1, 40, 161.</w:t>
      </w:r>
    </w:p>
  </w:footnote>
  <w:footnote w:id="48">
    <w:p w14:paraId="237ED2D7" w14:textId="4CB3345D" w:rsidR="00227A54" w:rsidRPr="00C71918" w:rsidRDefault="00227A54"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See </w:t>
      </w:r>
      <w:r w:rsidR="2A4EBCE9" w:rsidRPr="2A4EBCE9">
        <w:rPr>
          <w:rFonts w:ascii="Times New Roman" w:eastAsia="Times New Roman" w:hAnsi="Times New Roman" w:cs="Times New Roman"/>
          <w:i/>
          <w:iCs/>
        </w:rPr>
        <w:t>Adelaide Company of Jehovah’s Witnesses Inc. v Commonwealth</w:t>
      </w:r>
      <w:r w:rsidR="2A4EBCE9" w:rsidRPr="2A4EBCE9">
        <w:rPr>
          <w:rFonts w:ascii="Times New Roman" w:eastAsia="Times New Roman" w:hAnsi="Times New Roman" w:cs="Times New Roman"/>
        </w:rPr>
        <w:t xml:space="preserve"> (1943) 67 CLR 116; Nicholas Aroney, ‘Freedom of Religion as an Associational Right’ (2014) 33 </w:t>
      </w:r>
      <w:r w:rsidR="2A4EBCE9" w:rsidRPr="2A4EBCE9">
        <w:rPr>
          <w:rFonts w:ascii="Times New Roman" w:eastAsia="Times New Roman" w:hAnsi="Times New Roman" w:cs="Times New Roman"/>
          <w:i/>
          <w:iCs/>
        </w:rPr>
        <w:t>University of Queensland Law Journal</w:t>
      </w:r>
      <w:r w:rsidR="2A4EBCE9" w:rsidRPr="2A4EBCE9">
        <w:rPr>
          <w:rFonts w:ascii="Times New Roman" w:eastAsia="Times New Roman" w:hAnsi="Times New Roman" w:cs="Times New Roman"/>
        </w:rPr>
        <w:t xml:space="preserve"> 153.</w:t>
      </w:r>
    </w:p>
  </w:footnote>
  <w:footnote w:id="49">
    <w:p w14:paraId="709A34C4" w14:textId="01BF7640" w:rsidR="77349DE2" w:rsidRDefault="77349DE2" w:rsidP="77349DE2">
      <w:pPr>
        <w:rPr>
          <w:rFonts w:ascii="Calibri" w:eastAsia="Calibri" w:hAnsi="Calibri" w:cs="Calibri"/>
        </w:rPr>
      </w:pPr>
      <w:r w:rsidRPr="77349DE2">
        <w:rPr>
          <w:vertAlign w:val="superscript"/>
        </w:rPr>
        <w:footnoteRef/>
      </w:r>
      <w:r>
        <w:t xml:space="preserve"> </w:t>
      </w:r>
      <w:r w:rsidRPr="77349DE2">
        <w:rPr>
          <w:rFonts w:ascii="Times New Roman" w:eastAsia="Times New Roman" w:hAnsi="Times New Roman" w:cs="Times New Roman"/>
          <w:color w:val="000000" w:themeColor="text1"/>
          <w:sz w:val="20"/>
          <w:szCs w:val="20"/>
          <w:lang w:val="en-029"/>
        </w:rPr>
        <w:t xml:space="preserve">See eg </w:t>
      </w:r>
      <w:r w:rsidRPr="77349DE2">
        <w:rPr>
          <w:rFonts w:ascii="Times New Roman" w:eastAsia="Times New Roman" w:hAnsi="Times New Roman" w:cs="Times New Roman"/>
          <w:i/>
          <w:iCs/>
          <w:color w:val="000000" w:themeColor="text1"/>
          <w:sz w:val="20"/>
          <w:szCs w:val="20"/>
          <w:lang w:val="en-029"/>
        </w:rPr>
        <w:t xml:space="preserve">A-G (Vic) ex rel Black v Commonwealth </w:t>
      </w:r>
      <w:r w:rsidRPr="77349DE2">
        <w:rPr>
          <w:rFonts w:ascii="Times New Roman" w:eastAsia="Times New Roman" w:hAnsi="Times New Roman" w:cs="Times New Roman"/>
          <w:color w:val="000000" w:themeColor="text1"/>
          <w:sz w:val="20"/>
          <w:szCs w:val="20"/>
          <w:lang w:val="en-029"/>
        </w:rPr>
        <w:t xml:space="preserve">(1981) 146 CLR 559, 581 (Barwick CJ); </w:t>
      </w:r>
      <w:r w:rsidRPr="77349DE2">
        <w:rPr>
          <w:rFonts w:ascii="Times New Roman" w:eastAsia="Times New Roman" w:hAnsi="Times New Roman" w:cs="Times New Roman"/>
          <w:i/>
          <w:iCs/>
          <w:color w:val="000000" w:themeColor="text1"/>
          <w:sz w:val="20"/>
          <w:szCs w:val="20"/>
          <w:lang w:val="en-029"/>
        </w:rPr>
        <w:t>Kruger v Commonwealth</w:t>
      </w:r>
      <w:r w:rsidRPr="77349DE2">
        <w:rPr>
          <w:rFonts w:ascii="Times New Roman" w:eastAsia="Times New Roman" w:hAnsi="Times New Roman" w:cs="Times New Roman"/>
          <w:color w:val="000000" w:themeColor="text1"/>
          <w:sz w:val="20"/>
          <w:szCs w:val="20"/>
          <w:lang w:val="en-029"/>
        </w:rPr>
        <w:t xml:space="preserve"> (1997) 190 CLR 1, 86 (Toohey J), 131 (Gaudron J).</w:t>
      </w:r>
    </w:p>
  </w:footnote>
  <w:footnote w:id="50">
    <w:p w14:paraId="36C275E2" w14:textId="65E779D0" w:rsidR="003D36FF" w:rsidRPr="00C71918" w:rsidRDefault="003D36FF" w:rsidP="2A4EBCE9">
      <w:pPr>
        <w:pStyle w:val="FootnoteText"/>
        <w:rPr>
          <w:rFonts w:ascii="Times New Roman" w:hAnsi="Times New Roman" w:cs="Times New Roman"/>
        </w:rPr>
      </w:pPr>
      <w:r w:rsidRPr="2A4EBCE9">
        <w:rPr>
          <w:rStyle w:val="FootnoteReference"/>
          <w:rFonts w:ascii="Times New Roman" w:eastAsia="Times New Roman" w:hAnsi="Times New Roman" w:cs="Times New Roman"/>
        </w:rPr>
        <w:footnoteRef/>
      </w:r>
      <w:r w:rsidR="2A4EBCE9" w:rsidRPr="2A4EBCE9">
        <w:rPr>
          <w:rFonts w:ascii="Times New Roman" w:eastAsia="Times New Roman" w:hAnsi="Times New Roman" w:cs="Times New Roman"/>
        </w:rPr>
        <w:t xml:space="preserve"> See Aroney and Turnour (n 23) 481-487.</w:t>
      </w:r>
    </w:p>
  </w:footnote>
  <w:footnote w:id="51">
    <w:p w14:paraId="0F16BB75" w14:textId="1223A7B6" w:rsidR="2A4EBCE9" w:rsidRDefault="2A4EBCE9" w:rsidP="2A4EBCE9">
      <w:pPr>
        <w:spacing w:after="0" w:line="240" w:lineRule="auto"/>
        <w:rPr>
          <w:rFonts w:ascii="Calibri" w:eastAsia="Calibri" w:hAnsi="Calibri" w:cs="Calibri"/>
        </w:rPr>
      </w:pPr>
      <w:r w:rsidRPr="2A4EBCE9">
        <w:rPr>
          <w:rFonts w:ascii="Times New Roman" w:eastAsia="Times New Roman" w:hAnsi="Times New Roman" w:cs="Times New Roman"/>
          <w:sz w:val="20"/>
          <w:szCs w:val="20"/>
          <w:vertAlign w:val="superscript"/>
        </w:rPr>
        <w:footnoteRef/>
      </w:r>
      <w:r w:rsidRPr="2A4EBCE9">
        <w:rPr>
          <w:rFonts w:ascii="Times New Roman" w:eastAsia="Times New Roman" w:hAnsi="Times New Roman" w:cs="Times New Roman"/>
          <w:sz w:val="20"/>
          <w:szCs w:val="20"/>
        </w:rPr>
        <w:t xml:space="preserve"> See Nicholas Aroney and Mark Fowler, ’Freedom of Association in Australia’ </w:t>
      </w:r>
      <w:r w:rsidRPr="2A4EBCE9">
        <w:rPr>
          <w:rFonts w:ascii="Times New Roman" w:eastAsia="Times New Roman" w:hAnsi="Times New Roman" w:cs="Times New Roman"/>
          <w:color w:val="505050"/>
          <w:sz w:val="20"/>
          <w:szCs w:val="20"/>
        </w:rPr>
        <w:t xml:space="preserve">(September 28, 2023). Available at SSRN: </w:t>
      </w:r>
      <w:hyperlink r:id="rId2">
        <w:r w:rsidRPr="2A4EBCE9">
          <w:rPr>
            <w:rStyle w:val="Hyperlink"/>
            <w:rFonts w:ascii="Times New Roman" w:eastAsia="Times New Roman" w:hAnsi="Times New Roman" w:cs="Times New Roman"/>
            <w:color w:val="505050"/>
            <w:sz w:val="20"/>
            <w:szCs w:val="20"/>
          </w:rPr>
          <w:t>https://ssrn.com/abstract=4587217</w:t>
        </w:r>
      </w:hyperlink>
      <w:r w:rsidRPr="2A4EBCE9">
        <w:rPr>
          <w:rFonts w:ascii="Times New Roman" w:eastAsia="Times New Roman" w:hAnsi="Times New Roman" w:cs="Times New Roman"/>
          <w:color w:val="505050"/>
          <w:sz w:val="20"/>
          <w:szCs w:val="20"/>
        </w:rPr>
        <w:t xml:space="preserve"> or </w:t>
      </w:r>
      <w:hyperlink r:id="rId3">
        <w:r w:rsidRPr="2A4EBCE9">
          <w:rPr>
            <w:rStyle w:val="Hyperlink"/>
            <w:rFonts w:ascii="Times New Roman" w:eastAsia="Times New Roman" w:hAnsi="Times New Roman" w:cs="Times New Roman"/>
            <w:color w:val="505050"/>
            <w:sz w:val="20"/>
            <w:szCs w:val="20"/>
          </w:rPr>
          <w:t>http://dx.doi.org/10.2139/ssrn.4587217.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846BE"/>
    <w:multiLevelType w:val="hybridMultilevel"/>
    <w:tmpl w:val="364E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04687C"/>
    <w:multiLevelType w:val="multilevel"/>
    <w:tmpl w:val="312E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3206453">
    <w:abstractNumId w:val="0"/>
  </w:num>
  <w:num w:numId="2" w16cid:durableId="50463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D7"/>
    <w:rsid w:val="00006650"/>
    <w:rsid w:val="00014DDD"/>
    <w:rsid w:val="00043B3D"/>
    <w:rsid w:val="00060F16"/>
    <w:rsid w:val="00067884"/>
    <w:rsid w:val="00096E88"/>
    <w:rsid w:val="000E79DA"/>
    <w:rsid w:val="000F37F1"/>
    <w:rsid w:val="000F5996"/>
    <w:rsid w:val="00126674"/>
    <w:rsid w:val="00143299"/>
    <w:rsid w:val="00154FEE"/>
    <w:rsid w:val="00160FBA"/>
    <w:rsid w:val="0017595B"/>
    <w:rsid w:val="001D10C4"/>
    <w:rsid w:val="001E2887"/>
    <w:rsid w:val="00227A54"/>
    <w:rsid w:val="002335D4"/>
    <w:rsid w:val="00260F98"/>
    <w:rsid w:val="00270633"/>
    <w:rsid w:val="00272150"/>
    <w:rsid w:val="00281D88"/>
    <w:rsid w:val="0029257A"/>
    <w:rsid w:val="002A2F98"/>
    <w:rsid w:val="002B1FC6"/>
    <w:rsid w:val="002C4F30"/>
    <w:rsid w:val="002E1916"/>
    <w:rsid w:val="003163F1"/>
    <w:rsid w:val="00316D8C"/>
    <w:rsid w:val="00365C87"/>
    <w:rsid w:val="003C4179"/>
    <w:rsid w:val="003D36FF"/>
    <w:rsid w:val="003E7130"/>
    <w:rsid w:val="00404393"/>
    <w:rsid w:val="00431CCB"/>
    <w:rsid w:val="00477D36"/>
    <w:rsid w:val="00481B41"/>
    <w:rsid w:val="0050228F"/>
    <w:rsid w:val="005130C9"/>
    <w:rsid w:val="00565684"/>
    <w:rsid w:val="00593497"/>
    <w:rsid w:val="005C1548"/>
    <w:rsid w:val="005D4A46"/>
    <w:rsid w:val="00637F25"/>
    <w:rsid w:val="00651BC8"/>
    <w:rsid w:val="006F2280"/>
    <w:rsid w:val="007911AE"/>
    <w:rsid w:val="00801A8A"/>
    <w:rsid w:val="00831999"/>
    <w:rsid w:val="008812F3"/>
    <w:rsid w:val="008A2994"/>
    <w:rsid w:val="008E0989"/>
    <w:rsid w:val="008E231F"/>
    <w:rsid w:val="008E7608"/>
    <w:rsid w:val="008F3426"/>
    <w:rsid w:val="00917738"/>
    <w:rsid w:val="00946361"/>
    <w:rsid w:val="00947B8F"/>
    <w:rsid w:val="009528D6"/>
    <w:rsid w:val="00961426"/>
    <w:rsid w:val="00986E14"/>
    <w:rsid w:val="00993B23"/>
    <w:rsid w:val="009B329E"/>
    <w:rsid w:val="009C54BC"/>
    <w:rsid w:val="009D16D9"/>
    <w:rsid w:val="009E0FF7"/>
    <w:rsid w:val="00A17788"/>
    <w:rsid w:val="00A3133D"/>
    <w:rsid w:val="00A6192D"/>
    <w:rsid w:val="00A7461C"/>
    <w:rsid w:val="00A77F38"/>
    <w:rsid w:val="00A93C2E"/>
    <w:rsid w:val="00AB5A53"/>
    <w:rsid w:val="00AC2BAE"/>
    <w:rsid w:val="00AD4360"/>
    <w:rsid w:val="00AF7A2D"/>
    <w:rsid w:val="00B2147D"/>
    <w:rsid w:val="00B43DF9"/>
    <w:rsid w:val="00B47D1B"/>
    <w:rsid w:val="00B50A4A"/>
    <w:rsid w:val="00B6076A"/>
    <w:rsid w:val="00BA77D6"/>
    <w:rsid w:val="00BE2408"/>
    <w:rsid w:val="00BF449F"/>
    <w:rsid w:val="00C5473B"/>
    <w:rsid w:val="00C71918"/>
    <w:rsid w:val="00C802D2"/>
    <w:rsid w:val="00C86569"/>
    <w:rsid w:val="00CA5D04"/>
    <w:rsid w:val="00CB35C9"/>
    <w:rsid w:val="00CC1CB6"/>
    <w:rsid w:val="00CF5ED7"/>
    <w:rsid w:val="00D34D2C"/>
    <w:rsid w:val="00D35370"/>
    <w:rsid w:val="00D46093"/>
    <w:rsid w:val="00D5773E"/>
    <w:rsid w:val="00D81E26"/>
    <w:rsid w:val="00DA3866"/>
    <w:rsid w:val="00DB7B0C"/>
    <w:rsid w:val="00DC1403"/>
    <w:rsid w:val="00DE3B11"/>
    <w:rsid w:val="00DF3377"/>
    <w:rsid w:val="00E11E31"/>
    <w:rsid w:val="00E3651C"/>
    <w:rsid w:val="00E41627"/>
    <w:rsid w:val="00E4414A"/>
    <w:rsid w:val="00E55F54"/>
    <w:rsid w:val="00EA437A"/>
    <w:rsid w:val="00EC7F48"/>
    <w:rsid w:val="00EF5CC7"/>
    <w:rsid w:val="00F1365B"/>
    <w:rsid w:val="00F4303D"/>
    <w:rsid w:val="00F87F03"/>
    <w:rsid w:val="00FB3689"/>
    <w:rsid w:val="00FD657A"/>
    <w:rsid w:val="0289B1F0"/>
    <w:rsid w:val="065CC51E"/>
    <w:rsid w:val="08F8F374"/>
    <w:rsid w:val="0B30D8F5"/>
    <w:rsid w:val="0E5D079A"/>
    <w:rsid w:val="10EFE32C"/>
    <w:rsid w:val="11133D37"/>
    <w:rsid w:val="1196718F"/>
    <w:rsid w:val="157A7274"/>
    <w:rsid w:val="1BE108D8"/>
    <w:rsid w:val="21433C6A"/>
    <w:rsid w:val="233B66D4"/>
    <w:rsid w:val="23CCA9C5"/>
    <w:rsid w:val="284ADCE0"/>
    <w:rsid w:val="298A5558"/>
    <w:rsid w:val="2A4EBCE9"/>
    <w:rsid w:val="2B827DA2"/>
    <w:rsid w:val="3055EEC5"/>
    <w:rsid w:val="3371CA3E"/>
    <w:rsid w:val="36CB4DAE"/>
    <w:rsid w:val="3C302C49"/>
    <w:rsid w:val="3E6A9D5B"/>
    <w:rsid w:val="3F6ED7DB"/>
    <w:rsid w:val="40FA04DD"/>
    <w:rsid w:val="4295D53E"/>
    <w:rsid w:val="433BEA6C"/>
    <w:rsid w:val="444C2661"/>
    <w:rsid w:val="45CD7600"/>
    <w:rsid w:val="463BB027"/>
    <w:rsid w:val="48249CFB"/>
    <w:rsid w:val="4841AC5B"/>
    <w:rsid w:val="4AA0E723"/>
    <w:rsid w:val="4AB61E09"/>
    <w:rsid w:val="4F4B8048"/>
    <w:rsid w:val="500FE7D9"/>
    <w:rsid w:val="508F1B29"/>
    <w:rsid w:val="51ABB83A"/>
    <w:rsid w:val="526E5805"/>
    <w:rsid w:val="561EB8CC"/>
    <w:rsid w:val="567F295D"/>
    <w:rsid w:val="5797FB10"/>
    <w:rsid w:val="57D3FFF9"/>
    <w:rsid w:val="5CA7711C"/>
    <w:rsid w:val="5D3C23A6"/>
    <w:rsid w:val="5D5C47F1"/>
    <w:rsid w:val="5FD49DFE"/>
    <w:rsid w:val="61667F8C"/>
    <w:rsid w:val="62C0A1D5"/>
    <w:rsid w:val="655118AE"/>
    <w:rsid w:val="66ECE90F"/>
    <w:rsid w:val="68390B0E"/>
    <w:rsid w:val="6888B970"/>
    <w:rsid w:val="69D4DB6F"/>
    <w:rsid w:val="6BC05A32"/>
    <w:rsid w:val="6D0C7C31"/>
    <w:rsid w:val="6EF7FAF4"/>
    <w:rsid w:val="721EF857"/>
    <w:rsid w:val="72E889C2"/>
    <w:rsid w:val="74F4DAFF"/>
    <w:rsid w:val="75569919"/>
    <w:rsid w:val="76F2697A"/>
    <w:rsid w:val="77349DE2"/>
    <w:rsid w:val="7A01323E"/>
    <w:rsid w:val="7A3F4122"/>
    <w:rsid w:val="7C014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8D03"/>
  <w15:chartTrackingRefBased/>
  <w15:docId w15:val="{61AFFDFB-B295-449D-B1AE-D4CB3D21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0C4"/>
    <w:rPr>
      <w:color w:val="0563C1" w:themeColor="hyperlink"/>
      <w:u w:val="single"/>
    </w:rPr>
  </w:style>
  <w:style w:type="paragraph" w:styleId="ListParagraph">
    <w:name w:val="List Paragraph"/>
    <w:basedOn w:val="Normal"/>
    <w:uiPriority w:val="34"/>
    <w:qFormat/>
    <w:rsid w:val="001D10C4"/>
    <w:pPr>
      <w:ind w:left="720"/>
      <w:contextualSpacing/>
    </w:pPr>
    <w:rPr>
      <w:kern w:val="0"/>
      <w14:ligatures w14:val="none"/>
    </w:rPr>
  </w:style>
  <w:style w:type="character" w:styleId="UnresolvedMention">
    <w:name w:val="Unresolved Mention"/>
    <w:basedOn w:val="DefaultParagraphFont"/>
    <w:uiPriority w:val="99"/>
    <w:semiHidden/>
    <w:unhideWhenUsed/>
    <w:rsid w:val="009C54BC"/>
    <w:rPr>
      <w:color w:val="605E5C"/>
      <w:shd w:val="clear" w:color="auto" w:fill="E1DFDD"/>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ft,5_G, Char"/>
    <w:basedOn w:val="Normal"/>
    <w:link w:val="FootnoteTextChar"/>
    <w:uiPriority w:val="99"/>
    <w:unhideWhenUsed/>
    <w:qFormat/>
    <w:rsid w:val="00227A54"/>
    <w:pPr>
      <w:spacing w:after="0" w:line="240" w:lineRule="auto"/>
    </w:pPr>
    <w:rPr>
      <w:kern w:val="0"/>
      <w:sz w:val="20"/>
      <w:szCs w:val="20"/>
      <w14:ligatures w14:val="none"/>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227A54"/>
    <w:rPr>
      <w:kern w:val="0"/>
      <w:sz w:val="20"/>
      <w:szCs w:val="20"/>
      <w14:ligatures w14:val="none"/>
    </w:rPr>
  </w:style>
  <w:style w:type="character" w:styleId="FootnoteReference">
    <w:name w:val="footnote reference"/>
    <w:aliases w:val="16 Point,Superscript 6 Point,Footnotemark,Footnotemark1,FR,Footnotemark2,FR1,Footnotemark3,FR2,Footnotemark4,FR3,Footnotemark5,FR4,Footnotemark6,Footnotemark7,Footnotemark8,FR5,Footnotemark11,Footnotemark21,FR11,Footnotemark31,FR21"/>
    <w:basedOn w:val="DefaultParagraphFont"/>
    <w:uiPriority w:val="99"/>
    <w:unhideWhenUsed/>
    <w:qFormat/>
    <w:rsid w:val="00227A54"/>
    <w:rPr>
      <w:vertAlign w:val="superscript"/>
    </w:rPr>
  </w:style>
  <w:style w:type="paragraph" w:styleId="NormalWeb">
    <w:name w:val="Normal (Web)"/>
    <w:basedOn w:val="Normal"/>
    <w:uiPriority w:val="99"/>
    <w:unhideWhenUsed/>
    <w:rsid w:val="00A7461C"/>
    <w:pPr>
      <w:spacing w:before="100" w:beforeAutospacing="1" w:after="100" w:afterAutospacing="1" w:line="360" w:lineRule="auto"/>
    </w:pPr>
    <w:rPr>
      <w:rFonts w:ascii="Times New Roman" w:eastAsia="Times New Roman" w:hAnsi="Times New Roman" w:cs="Times New Roman"/>
      <w:kern w:val="0"/>
      <w:sz w:val="24"/>
      <w:szCs w:val="24"/>
      <w:lang w:eastAsia="en-AU"/>
      <w14:ligatures w14:val="none"/>
    </w:rPr>
  </w:style>
  <w:style w:type="paragraph" w:customStyle="1" w:styleId="FLRbodytext">
    <w:name w:val="FLR body text"/>
    <w:basedOn w:val="Normal"/>
    <w:uiPriority w:val="99"/>
    <w:qFormat/>
    <w:rsid w:val="00A7461C"/>
    <w:pPr>
      <w:spacing w:after="60" w:line="220" w:lineRule="exact"/>
      <w:ind w:firstLine="289"/>
      <w:jc w:val="both"/>
    </w:pPr>
    <w:rPr>
      <w:rFonts w:ascii="Book Antiqua" w:hAnsi="Book Antiqua"/>
      <w:kern w:val="0"/>
      <w:sz w:val="20"/>
      <w14:ligatures w14:val="none"/>
    </w:rPr>
  </w:style>
  <w:style w:type="character" w:customStyle="1" w:styleId="verdana">
    <w:name w:val="verdana"/>
    <w:basedOn w:val="DefaultParagraphFont"/>
    <w:rsid w:val="00A7461C"/>
  </w:style>
  <w:style w:type="character" w:customStyle="1" w:styleId="pageno">
    <w:name w:val="pageno"/>
    <w:basedOn w:val="DefaultParagraphFont"/>
    <w:rsid w:val="0031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ff.qut.edu.au/staff/alex.deag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x.doi.org/10.2139/ssrn.4587217" TargetMode="External"/><Relationship Id="rId2" Type="http://schemas.openxmlformats.org/officeDocument/2006/relationships/hyperlink" Target="https://ssrn.com/abstract=4587217" TargetMode="External"/><Relationship Id="rId1" Type="http://schemas.openxmlformats.org/officeDocument/2006/relationships/hyperlink" Target="https://www.uio.no/studier/emner/jus/humanrights/HUMR5503/h09/undervisningsmateriale/Siracusa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b56fe4f298e82dbac912c9a11d0d307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1650fb1cf0caabcfe76e11c98c21d0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2BD5-0D6E-4BFF-9A5A-CB3D66C7B5F9}">
  <ds:schemaRefs>
    <ds:schemaRef ds:uri="http://schemas.microsoft.com/sharepoint/events"/>
  </ds:schemaRefs>
</ds:datastoreItem>
</file>

<file path=customXml/itemProps2.xml><?xml version="1.0" encoding="utf-8"?>
<ds:datastoreItem xmlns:ds="http://schemas.openxmlformats.org/officeDocument/2006/customXml" ds:itemID="{13C351CC-B4B5-489E-8E0F-C1160F72D475}">
  <ds:schemaRefs>
    <ds:schemaRef ds:uri="http://schemas.microsoft.com/office/2006/metadata/properties"/>
    <ds:schemaRef ds:uri="http://purl.org/dc/elements/1.1/"/>
    <ds:schemaRef ds:uri="3d385984-9344-419b-a80b-49c06a2bdab8"/>
    <ds:schemaRef ds:uri="http://schemas.microsoft.com/office/2006/documentManagement/types"/>
    <ds:schemaRef ds:uri="20393cdf-440a-4521-8f19-00ba43423d00"/>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62D7C4B-F1E7-4016-AA4D-3E2AF8990D23}">
  <ds:schemaRefs>
    <ds:schemaRef ds:uri="http://schemas.microsoft.com/sharepoint/v3/contenttype/forms"/>
  </ds:schemaRefs>
</ds:datastoreItem>
</file>

<file path=customXml/itemProps4.xml><?xml version="1.0" encoding="utf-8"?>
<ds:datastoreItem xmlns:ds="http://schemas.openxmlformats.org/officeDocument/2006/customXml" ds:itemID="{89C9652A-E192-4D13-AE60-B4AE1EBF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B23C72-17DE-4E90-8367-26E796E7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5808</Words>
  <Characters>33106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Submission 276 - Associate Professor Dr Alex Deagon; Associate Professor Dr Mark Fowler - Philanthropy - Public inquiry</vt:lpstr>
    </vt:vector>
  </TitlesOfParts>
  <Company>Associate Professor Dr Alex Deagon; Associate Professor Dr Mark Fowler</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276 - Associate Professor Dr Alex Deagon; Associate Professor Dr Mark Fowler - Philanthropy - Public inquiry</dc:title>
  <dc:subject/>
  <dc:creator>Associate Professor Dr Alex Deagon; Associate Professor Dr Mark Fowler</dc:creator>
  <cp:keywords/>
  <dc:description/>
  <cp:lastModifiedBy>Chris Alston</cp:lastModifiedBy>
  <cp:revision>119</cp:revision>
  <dcterms:created xsi:type="dcterms:W3CDTF">2023-12-07T05:07:00Z</dcterms:created>
  <dcterms:modified xsi:type="dcterms:W3CDTF">2024-01-04T23:12:00Z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