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6B87A" w14:textId="7501BE44" w:rsidR="00E90546" w:rsidRPr="009A47B4" w:rsidRDefault="00906B4F" w:rsidP="00904EC8">
      <w:pPr>
        <w:pBdr>
          <w:top w:val="single" w:sz="4" w:space="0" w:color="auto"/>
          <w:left w:val="single" w:sz="4" w:space="4" w:color="auto"/>
          <w:bottom w:val="single" w:sz="4" w:space="1" w:color="auto"/>
          <w:right w:val="single" w:sz="4" w:space="4" w:color="auto"/>
        </w:pBdr>
        <w:shd w:val="clear" w:color="auto" w:fill="A8D08D" w:themeFill="accent6" w:themeFillTint="99"/>
        <w:rPr>
          <w:rFonts w:asciiTheme="minorHAnsi" w:hAnsiTheme="minorHAnsi" w:cstheme="minorHAnsi"/>
          <w:b/>
          <w:bCs/>
          <w:sz w:val="24"/>
          <w:szCs w:val="24"/>
        </w:rPr>
      </w:pPr>
      <w:r w:rsidRPr="009A47B4">
        <w:rPr>
          <w:rFonts w:asciiTheme="minorHAnsi" w:hAnsiTheme="minorHAnsi" w:cstheme="minorHAnsi"/>
          <w:b/>
          <w:bCs/>
          <w:sz w:val="24"/>
          <w:szCs w:val="24"/>
        </w:rPr>
        <w:t>Executive Summary</w:t>
      </w:r>
    </w:p>
    <w:p w14:paraId="339EE973" w14:textId="77777777" w:rsidR="00BD6094" w:rsidRDefault="00BD6094" w:rsidP="00DE2DB0"/>
    <w:p w14:paraId="33F213B0" w14:textId="43506C76" w:rsidR="00A11048" w:rsidRDefault="0040141C" w:rsidP="00DE2DB0">
      <w:r>
        <w:t xml:space="preserve">This submission is </w:t>
      </w:r>
      <w:r w:rsidR="00497DD7">
        <w:t xml:space="preserve">made by </w:t>
      </w:r>
      <w:r w:rsidR="00E90546">
        <w:t xml:space="preserve">Educate Plus </w:t>
      </w:r>
      <w:r w:rsidR="00497DD7">
        <w:t>on behalf of</w:t>
      </w:r>
      <w:r w:rsidR="00A11048">
        <w:t xml:space="preserve"> our membership of</w:t>
      </w:r>
      <w:r w:rsidR="00497DD7">
        <w:t xml:space="preserve"> over 2,000 fundraising and </w:t>
      </w:r>
      <w:r w:rsidR="009A47B4">
        <w:t>A</w:t>
      </w:r>
      <w:r w:rsidR="00497DD7">
        <w:t xml:space="preserve">dvancement professionals working </w:t>
      </w:r>
      <w:r w:rsidR="00A11048">
        <w:t xml:space="preserve">in </w:t>
      </w:r>
      <w:r w:rsidR="0094563B">
        <w:t>educational</w:t>
      </w:r>
      <w:r w:rsidR="00A11048">
        <w:t xml:space="preserve"> </w:t>
      </w:r>
      <w:r w:rsidR="009A47B4">
        <w:t>A</w:t>
      </w:r>
      <w:r w:rsidR="00A11048">
        <w:t>dvancement across the education sector.</w:t>
      </w:r>
      <w:r w:rsidR="006B21E8">
        <w:t xml:space="preserve"> </w:t>
      </w:r>
    </w:p>
    <w:p w14:paraId="54B1D20D" w14:textId="44D420C1" w:rsidR="0082462A" w:rsidRDefault="0082462A" w:rsidP="00DE2DB0"/>
    <w:p w14:paraId="443F8D96" w14:textId="222BFCF6" w:rsidR="00DF00E0" w:rsidRDefault="005732DF" w:rsidP="007E57CE">
      <w:r>
        <w:t>The</w:t>
      </w:r>
      <w:r w:rsidR="007E57CE">
        <w:t xml:space="preserve"> Terms of Reference</w:t>
      </w:r>
      <w:r>
        <w:t xml:space="preserve"> for this Inquiry</w:t>
      </w:r>
      <w:r w:rsidR="007E57CE">
        <w:t xml:space="preserve"> emphasis</w:t>
      </w:r>
      <w:r>
        <w:t>e</w:t>
      </w:r>
      <w:r w:rsidR="007E57CE">
        <w:t xml:space="preserve"> technical matters</w:t>
      </w:r>
      <w:r w:rsidR="00363CB8">
        <w:t>,</w:t>
      </w:r>
      <w:r w:rsidR="007E57CE">
        <w:t xml:space="preserve"> such as tax and regulatory frameworks</w:t>
      </w:r>
      <w:r w:rsidR="00140F39">
        <w:t xml:space="preserve">. </w:t>
      </w:r>
      <w:r w:rsidR="00363CB8">
        <w:t>D</w:t>
      </w:r>
      <w:r w:rsidR="00A6551A">
        <w:t>oubtless</w:t>
      </w:r>
      <w:r w:rsidR="009A47B4">
        <w:t>,</w:t>
      </w:r>
      <w:r w:rsidR="00A6551A">
        <w:t xml:space="preserve"> there will be </w:t>
      </w:r>
      <w:r w:rsidR="00B301F7">
        <w:t>ma</w:t>
      </w:r>
      <w:r w:rsidR="00A6551A">
        <w:t xml:space="preserve">ny other submissions highlighting opportunities to </w:t>
      </w:r>
      <w:r w:rsidR="00B301F7">
        <w:t>make</w:t>
      </w:r>
      <w:r w:rsidR="00C95D36">
        <w:t xml:space="preserve"> </w:t>
      </w:r>
      <w:r w:rsidR="00BB2845">
        <w:t>changes of this type</w:t>
      </w:r>
      <w:r w:rsidR="00140F39">
        <w:t>, to make</w:t>
      </w:r>
      <w:r w:rsidR="00B301F7">
        <w:t xml:space="preserve"> fundraising and giving easier and more efficient. </w:t>
      </w:r>
      <w:r w:rsidR="007E57CE">
        <w:t xml:space="preserve"> </w:t>
      </w:r>
      <w:r w:rsidR="00870DE9">
        <w:t xml:space="preserve">However, to achieve </w:t>
      </w:r>
      <w:r w:rsidR="00A6699D">
        <w:t>change on the scale envisaged – a doubling of giving by 2030</w:t>
      </w:r>
      <w:r w:rsidR="00A25E4D">
        <w:t xml:space="preserve"> – </w:t>
      </w:r>
      <w:r w:rsidR="000E4601">
        <w:t xml:space="preserve">our view is that </w:t>
      </w:r>
      <w:r w:rsidR="009E7260">
        <w:t>three</w:t>
      </w:r>
      <w:r w:rsidR="00BE1C52">
        <w:t xml:space="preserve"> strategic </w:t>
      </w:r>
      <w:r w:rsidR="008425E3">
        <w:t>need</w:t>
      </w:r>
      <w:r w:rsidR="00BE1C52">
        <w:t>s must also be addressed</w:t>
      </w:r>
      <w:r w:rsidR="00036591">
        <w:t>:</w:t>
      </w:r>
    </w:p>
    <w:p w14:paraId="55CAF9DA" w14:textId="66E00532" w:rsidR="00B3058B" w:rsidRDefault="00B3058B" w:rsidP="007E57CE"/>
    <w:p w14:paraId="3B3449AC" w14:textId="0C944130" w:rsidR="00B3058B" w:rsidRDefault="001F3EDF" w:rsidP="00821BE4">
      <w:pPr>
        <w:pStyle w:val="ListParagraph"/>
        <w:numPr>
          <w:ilvl w:val="0"/>
          <w:numId w:val="12"/>
        </w:numPr>
        <w:spacing w:after="60"/>
        <w:ind w:left="714" w:hanging="357"/>
      </w:pPr>
      <w:r>
        <w:t>Rapid growth in fundraising capacity</w:t>
      </w:r>
      <w:r w:rsidR="000B14B0">
        <w:t xml:space="preserve"> across the not-for-profit</w:t>
      </w:r>
      <w:r w:rsidR="00E76336">
        <w:t xml:space="preserve"> (</w:t>
      </w:r>
      <w:proofErr w:type="spellStart"/>
      <w:r w:rsidR="00E76336">
        <w:t>NFP</w:t>
      </w:r>
      <w:proofErr w:type="spellEnd"/>
      <w:r w:rsidR="00E76336">
        <w:t>)</w:t>
      </w:r>
      <w:r w:rsidR="000B14B0">
        <w:t xml:space="preserve"> sector</w:t>
      </w:r>
    </w:p>
    <w:p w14:paraId="6D1DAD5E" w14:textId="2E957D6B" w:rsidR="00D10E8C" w:rsidRDefault="005F7AE1" w:rsidP="00821BE4">
      <w:pPr>
        <w:pStyle w:val="ListParagraph"/>
        <w:numPr>
          <w:ilvl w:val="0"/>
          <w:numId w:val="12"/>
        </w:numPr>
        <w:spacing w:after="60"/>
        <w:ind w:left="714" w:hanging="357"/>
      </w:pPr>
      <w:r>
        <w:t xml:space="preserve">Establishing giving </w:t>
      </w:r>
      <w:r w:rsidR="00320963">
        <w:t>attitudes earlier in life</w:t>
      </w:r>
    </w:p>
    <w:p w14:paraId="3DF9CA4E" w14:textId="37F94771" w:rsidR="00C70F79" w:rsidRDefault="00A74650" w:rsidP="00821BE4">
      <w:pPr>
        <w:pStyle w:val="ListParagraph"/>
        <w:numPr>
          <w:ilvl w:val="0"/>
          <w:numId w:val="12"/>
        </w:numPr>
        <w:spacing w:after="60"/>
        <w:ind w:left="714" w:hanging="357"/>
      </w:pPr>
      <w:r>
        <w:t>Re</w:t>
      </w:r>
      <w:r w:rsidR="009E7260">
        <w:t xml:space="preserve">cognition </w:t>
      </w:r>
      <w:r w:rsidR="003D1DC9">
        <w:t xml:space="preserve">of </w:t>
      </w:r>
      <w:r w:rsidR="00DE0B92">
        <w:t>primary and secondary education as inherently good for society</w:t>
      </w:r>
      <w:r w:rsidR="008E738D">
        <w:t xml:space="preserve"> and deserving of </w:t>
      </w:r>
      <w:proofErr w:type="spellStart"/>
      <w:r w:rsidR="008E738D">
        <w:t>DGR</w:t>
      </w:r>
      <w:proofErr w:type="spellEnd"/>
      <w:r w:rsidR="008E738D">
        <w:t xml:space="preserve"> status</w:t>
      </w:r>
    </w:p>
    <w:p w14:paraId="7876C4F0" w14:textId="6243F585" w:rsidR="00C70F79" w:rsidRDefault="00C70F79" w:rsidP="00DE2DB0"/>
    <w:p w14:paraId="60ED09CB" w14:textId="77777777" w:rsidR="00EF0B1C" w:rsidRDefault="00446E86" w:rsidP="00821BE4">
      <w:pPr>
        <w:spacing w:after="60"/>
      </w:pPr>
      <w:r>
        <w:t>We make a number of recommendations, including</w:t>
      </w:r>
      <w:r w:rsidR="00EF0B1C">
        <w:t>:</w:t>
      </w:r>
    </w:p>
    <w:p w14:paraId="642ECF26" w14:textId="3A2E1168" w:rsidR="00446E86" w:rsidRDefault="004B1183" w:rsidP="009A47B4">
      <w:pPr>
        <w:pStyle w:val="ListParagraph"/>
        <w:numPr>
          <w:ilvl w:val="0"/>
          <w:numId w:val="20"/>
        </w:numPr>
        <w:spacing w:after="60"/>
      </w:pPr>
      <w:r>
        <w:t>C</w:t>
      </w:r>
      <w:r w:rsidR="005521DF">
        <w:t xml:space="preserve">reation of a </w:t>
      </w:r>
      <w:r>
        <w:t xml:space="preserve">professional development </w:t>
      </w:r>
      <w:r w:rsidR="005521DF">
        <w:t xml:space="preserve">fund </w:t>
      </w:r>
      <w:r w:rsidR="00F72012">
        <w:t xml:space="preserve">to </w:t>
      </w:r>
      <w:r w:rsidR="00816984">
        <w:t>accelerate the recruitment and training of fundraisers,</w:t>
      </w:r>
      <w:r w:rsidR="00A05A2E">
        <w:t xml:space="preserve"> especially specialists in major gifts and bequests</w:t>
      </w:r>
    </w:p>
    <w:p w14:paraId="498D0C0B" w14:textId="145E8B8A" w:rsidR="00A05A2E" w:rsidRDefault="00B8039B" w:rsidP="009A47B4">
      <w:pPr>
        <w:pStyle w:val="ListParagraph"/>
        <w:numPr>
          <w:ilvl w:val="0"/>
          <w:numId w:val="20"/>
        </w:numPr>
        <w:spacing w:after="60"/>
      </w:pPr>
      <w:r>
        <w:t>Government grants</w:t>
      </w:r>
      <w:r w:rsidR="00C429DB">
        <w:t xml:space="preserve"> specifically</w:t>
      </w:r>
      <w:r>
        <w:t xml:space="preserve"> to assist and incentivise cross-sectoral collaboration </w:t>
      </w:r>
      <w:r w:rsidR="00BD71B4">
        <w:t>on professional development</w:t>
      </w:r>
    </w:p>
    <w:p w14:paraId="5D3F1616" w14:textId="0A1BEEEC" w:rsidR="00C429DB" w:rsidRDefault="002155E6" w:rsidP="009A47B4">
      <w:pPr>
        <w:pStyle w:val="ListParagraph"/>
        <w:numPr>
          <w:ilvl w:val="0"/>
          <w:numId w:val="20"/>
        </w:numPr>
        <w:spacing w:after="60"/>
      </w:pPr>
      <w:r>
        <w:t xml:space="preserve">Support for </w:t>
      </w:r>
      <w:r w:rsidR="0009779B">
        <w:t xml:space="preserve">regular </w:t>
      </w:r>
      <w:r>
        <w:t xml:space="preserve">data benchmarking to </w:t>
      </w:r>
      <w:r w:rsidR="0009779B">
        <w:t xml:space="preserve">encourage sharing of best practise and to enable evaluation of the impact of any </w:t>
      </w:r>
      <w:r w:rsidR="00AD712E">
        <w:t>Government initiatives introduced to support the sector</w:t>
      </w:r>
    </w:p>
    <w:p w14:paraId="032415D4" w14:textId="6CA999A4" w:rsidR="00AD712E" w:rsidRDefault="002D4E1F" w:rsidP="009A47B4">
      <w:pPr>
        <w:pStyle w:val="ListParagraph"/>
        <w:numPr>
          <w:ilvl w:val="0"/>
          <w:numId w:val="20"/>
        </w:numPr>
        <w:spacing w:after="60"/>
      </w:pPr>
      <w:r>
        <w:t xml:space="preserve">Government support for initiatives to encourage </w:t>
      </w:r>
      <w:r w:rsidR="00B246CA">
        <w:t>young people to engage in philanthropy</w:t>
      </w:r>
    </w:p>
    <w:p w14:paraId="48943946" w14:textId="6D26AB87" w:rsidR="003C3D31" w:rsidRDefault="002A2037" w:rsidP="009A47B4">
      <w:pPr>
        <w:pStyle w:val="ListParagraph"/>
        <w:numPr>
          <w:ilvl w:val="0"/>
          <w:numId w:val="20"/>
        </w:numPr>
        <w:spacing w:after="60"/>
      </w:pPr>
      <w:r>
        <w:t xml:space="preserve">Automatic conferral of full </w:t>
      </w:r>
      <w:proofErr w:type="spellStart"/>
      <w:r>
        <w:t>DGR</w:t>
      </w:r>
      <w:proofErr w:type="spellEnd"/>
      <w:r>
        <w:t xml:space="preserve"> </w:t>
      </w:r>
      <w:r w:rsidR="004F4667">
        <w:t xml:space="preserve">‘as a whole’ </w:t>
      </w:r>
      <w:r>
        <w:t xml:space="preserve">status to </w:t>
      </w:r>
      <w:r w:rsidR="00B357A5">
        <w:t xml:space="preserve">all Government and </w:t>
      </w:r>
      <w:proofErr w:type="spellStart"/>
      <w:r w:rsidR="00B357A5">
        <w:t>NFP</w:t>
      </w:r>
      <w:proofErr w:type="spellEnd"/>
      <w:r w:rsidR="00B357A5">
        <w:t xml:space="preserve"> schools</w:t>
      </w:r>
      <w:r w:rsidR="00AE3A34">
        <w:t>, to significantly increase</w:t>
      </w:r>
      <w:r w:rsidR="00A74650">
        <w:t xml:space="preserve"> philanthropic support for the education sector.</w:t>
      </w:r>
    </w:p>
    <w:p w14:paraId="065EC4BA" w14:textId="3CD93576" w:rsidR="003C3D31" w:rsidRDefault="003C3D31" w:rsidP="00B246CA">
      <w:pPr>
        <w:pStyle w:val="ListParagraph"/>
        <w:spacing w:after="60"/>
        <w:ind w:left="770"/>
      </w:pPr>
    </w:p>
    <w:p w14:paraId="418502F7" w14:textId="77777777" w:rsidR="003C3D31" w:rsidRDefault="003C3D31" w:rsidP="008D4259"/>
    <w:p w14:paraId="4A48E497" w14:textId="4C1E9EB9" w:rsidR="00552066" w:rsidRPr="009A47B4" w:rsidRDefault="00552066" w:rsidP="009A47B4">
      <w:pPr>
        <w:pBdr>
          <w:top w:val="single" w:sz="4" w:space="1" w:color="auto"/>
          <w:left w:val="single" w:sz="4" w:space="4" w:color="auto"/>
          <w:bottom w:val="single" w:sz="4" w:space="1" w:color="auto"/>
          <w:right w:val="single" w:sz="4" w:space="4" w:color="auto"/>
        </w:pBdr>
        <w:shd w:val="clear" w:color="auto" w:fill="A8D08D" w:themeFill="accent6" w:themeFillTint="99"/>
        <w:rPr>
          <w:rFonts w:asciiTheme="minorHAnsi" w:hAnsiTheme="minorHAnsi" w:cstheme="minorHAnsi"/>
          <w:b/>
          <w:bCs/>
          <w:sz w:val="24"/>
          <w:szCs w:val="24"/>
        </w:rPr>
      </w:pPr>
      <w:r w:rsidRPr="009A47B4">
        <w:rPr>
          <w:rFonts w:asciiTheme="minorHAnsi" w:hAnsiTheme="minorHAnsi" w:cstheme="minorHAnsi"/>
          <w:b/>
          <w:bCs/>
          <w:sz w:val="24"/>
          <w:szCs w:val="24"/>
        </w:rPr>
        <w:t>Increased Fundraising Capacity</w:t>
      </w:r>
    </w:p>
    <w:p w14:paraId="4DBC0136" w14:textId="77777777" w:rsidR="008D4259" w:rsidRPr="008D4259" w:rsidRDefault="008D4259" w:rsidP="008D4259"/>
    <w:p w14:paraId="08D4B183" w14:textId="1C4D71B5" w:rsidR="00065E0B" w:rsidRDefault="00EF5C9D" w:rsidP="00065E0B">
      <w:r>
        <w:t>Donations are rarely spontaneous and a</w:t>
      </w:r>
      <w:r w:rsidR="00870607">
        <w:t xml:space="preserve"> </w:t>
      </w:r>
      <w:r w:rsidR="002B7E0B">
        <w:t xml:space="preserve">wealth of </w:t>
      </w:r>
      <w:r w:rsidR="002B7E0B" w:rsidRPr="00595E51">
        <w:t>d</w:t>
      </w:r>
      <w:r w:rsidR="00556978" w:rsidRPr="00595E51">
        <w:t>ata</w:t>
      </w:r>
      <w:r w:rsidR="00556978">
        <w:t xml:space="preserve"> </w:t>
      </w:r>
      <w:r w:rsidR="00556978" w:rsidRPr="00595E51">
        <w:t>consistently</w:t>
      </w:r>
      <w:r w:rsidR="00556978">
        <w:t xml:space="preserve"> supports the </w:t>
      </w:r>
      <w:r w:rsidR="00A90754">
        <w:t xml:space="preserve">expectation that the more </w:t>
      </w:r>
      <w:r w:rsidR="00983DD6">
        <w:t>a</w:t>
      </w:r>
      <w:r w:rsidR="00180B6A">
        <w:t xml:space="preserve">n </w:t>
      </w:r>
      <w:proofErr w:type="spellStart"/>
      <w:r w:rsidR="00180B6A">
        <w:t>NFP</w:t>
      </w:r>
      <w:proofErr w:type="spellEnd"/>
      <w:r w:rsidR="00A90754">
        <w:t xml:space="preserve"> invest</w:t>
      </w:r>
      <w:r w:rsidR="00180B6A">
        <w:t>s</w:t>
      </w:r>
      <w:r w:rsidR="00A90754">
        <w:t xml:space="preserve"> in fundraising</w:t>
      </w:r>
      <w:r w:rsidR="003B67B0">
        <w:t>,</w:t>
      </w:r>
      <w:r w:rsidR="00A90754">
        <w:t xml:space="preserve"> </w:t>
      </w:r>
      <w:r w:rsidR="007943C2">
        <w:t xml:space="preserve">the more voluntary income it is likely to raise. </w:t>
      </w:r>
      <w:r w:rsidR="00983DD6">
        <w:t xml:space="preserve"> </w:t>
      </w:r>
      <w:r w:rsidR="002C2F0B">
        <w:t xml:space="preserve">Skilled and experienced staff are the single most important </w:t>
      </w:r>
      <w:r w:rsidR="00552066">
        <w:t>aspect of that investment</w:t>
      </w:r>
      <w:r w:rsidR="00065E0B" w:rsidRPr="007446F0">
        <w:t>.</w:t>
      </w:r>
      <w:r w:rsidR="003F7025">
        <w:t xml:space="preserve"> </w:t>
      </w:r>
      <w:r w:rsidR="0092355C">
        <w:t>O</w:t>
      </w:r>
      <w:r w:rsidR="00065E0B">
        <w:t xml:space="preserve">rganisations such as Educate Plus, CASE, FIA and </w:t>
      </w:r>
      <w:proofErr w:type="spellStart"/>
      <w:r w:rsidR="00065E0B">
        <w:t>IDPE</w:t>
      </w:r>
      <w:proofErr w:type="spellEnd"/>
      <w:r w:rsidR="00065E0B">
        <w:t xml:space="preserve"> are experienced in delivering </w:t>
      </w:r>
      <w:r w:rsidR="003F7025">
        <w:t xml:space="preserve">professional development programmes, </w:t>
      </w:r>
      <w:r w:rsidR="006E0CF8">
        <w:t>but t</w:t>
      </w:r>
      <w:r w:rsidR="00065E0B">
        <w:t>o achieve the</w:t>
      </w:r>
      <w:r w:rsidR="00F504C6">
        <w:t xml:space="preserve"> necessary</w:t>
      </w:r>
      <w:r w:rsidR="00065E0B">
        <w:t xml:space="preserve"> scale and pace of capacity growth, we will need Government support and investment. </w:t>
      </w:r>
    </w:p>
    <w:p w14:paraId="36A6E399" w14:textId="3B7643D1" w:rsidR="00652D9C" w:rsidRDefault="00652D9C" w:rsidP="00065E0B"/>
    <w:p w14:paraId="508C1977" w14:textId="532757EE" w:rsidR="00954823" w:rsidRDefault="003101C7" w:rsidP="005553F2">
      <w:r>
        <w:t xml:space="preserve">Increased major giving from a relatively small number of the wealthiest individuals and organisations </w:t>
      </w:r>
      <w:r w:rsidR="003F0C32">
        <w:t>presents the biggest opportunity for Australia</w:t>
      </w:r>
      <w:r w:rsidR="009F4DD8">
        <w:t xml:space="preserve">. In the US, </w:t>
      </w:r>
      <w:r w:rsidR="00765F20">
        <w:t xml:space="preserve">for example, </w:t>
      </w:r>
      <w:r w:rsidR="009F4DD8">
        <w:t xml:space="preserve">approximately </w:t>
      </w:r>
      <w:hyperlink r:id="rId11" w:history="1">
        <w:r w:rsidR="009F4DD8" w:rsidRPr="009541D3">
          <w:rPr>
            <w:rStyle w:val="Hyperlink"/>
          </w:rPr>
          <w:t>90% of fundraising dollars comes from around 12% of donors</w:t>
        </w:r>
      </w:hyperlink>
      <w:r w:rsidR="00765F20">
        <w:t xml:space="preserve">. </w:t>
      </w:r>
      <w:r w:rsidR="00F33137">
        <w:t xml:space="preserve">The </w:t>
      </w:r>
      <w:hyperlink r:id="rId12" w:history="1">
        <w:r w:rsidR="00017F27" w:rsidRPr="009541D3">
          <w:rPr>
            <w:rStyle w:val="Hyperlink"/>
          </w:rPr>
          <w:t>global trend</w:t>
        </w:r>
      </w:hyperlink>
      <w:r w:rsidR="00017F27">
        <w:t xml:space="preserve"> is towards fewer donors giving more.</w:t>
      </w:r>
      <w:r w:rsidR="006B6B54">
        <w:t xml:space="preserve"> </w:t>
      </w:r>
      <w:r w:rsidR="00D54347">
        <w:t>Here in Australia,</w:t>
      </w:r>
      <w:r w:rsidR="00954823">
        <w:t xml:space="preserve"> </w:t>
      </w:r>
      <w:r w:rsidR="002B1765">
        <w:t xml:space="preserve">there is a similar expectation that the great majority of funds </w:t>
      </w:r>
      <w:r w:rsidR="009C4DD5">
        <w:t xml:space="preserve">raised in support of a campaign by a museum, gallery, university or school </w:t>
      </w:r>
      <w:r w:rsidR="00113E84">
        <w:t>will come from a handful of major gifts. For example,</w:t>
      </w:r>
      <w:r w:rsidR="00D54347">
        <w:t xml:space="preserve"> </w:t>
      </w:r>
      <w:r w:rsidR="00113E84">
        <w:t xml:space="preserve">it has been reported that </w:t>
      </w:r>
      <w:r w:rsidR="00D54347">
        <w:t xml:space="preserve">the success of the </w:t>
      </w:r>
      <w:r w:rsidR="000029EC">
        <w:t>University of Sydney</w:t>
      </w:r>
      <w:r w:rsidR="00D54347">
        <w:t>’s $</w:t>
      </w:r>
      <w:proofErr w:type="spellStart"/>
      <w:r w:rsidR="000029EC">
        <w:t>1</w:t>
      </w:r>
      <w:r w:rsidR="00C75B15">
        <w:t>B</w:t>
      </w:r>
      <w:proofErr w:type="spellEnd"/>
      <w:r w:rsidR="00C75B15">
        <w:t xml:space="preserve"> fundraising campaign </w:t>
      </w:r>
      <w:r w:rsidR="00D54347">
        <w:t xml:space="preserve">was largely due to fewer than 20 donors.  </w:t>
      </w:r>
    </w:p>
    <w:p w14:paraId="577B4E83" w14:textId="77777777" w:rsidR="00954823" w:rsidRDefault="00954823" w:rsidP="005553F2"/>
    <w:p w14:paraId="3F1D567E" w14:textId="77777777" w:rsidR="005A5F7B" w:rsidRDefault="006B6B54" w:rsidP="00E90546">
      <w:r>
        <w:t xml:space="preserve">Whilst initiatives to </w:t>
      </w:r>
      <w:r w:rsidR="005966C5">
        <w:t xml:space="preserve">widen participation and to incentivise and simplify public giving are welcome, </w:t>
      </w:r>
      <w:r w:rsidR="0031015E">
        <w:t xml:space="preserve">they are unlikely to deliver </w:t>
      </w:r>
      <w:r w:rsidR="00A45EBA">
        <w:t>the scale of impact being sought</w:t>
      </w:r>
      <w:r w:rsidR="00950BEF">
        <w:t xml:space="preserve">. </w:t>
      </w:r>
      <w:r w:rsidR="00842069">
        <w:t>I</w:t>
      </w:r>
      <w:r w:rsidR="007740BB">
        <w:t>f</w:t>
      </w:r>
      <w:r w:rsidR="00842069">
        <w:t xml:space="preserve"> giving is to be </w:t>
      </w:r>
      <w:r w:rsidR="007740BB">
        <w:t>d</w:t>
      </w:r>
      <w:r w:rsidR="00842069">
        <w:t xml:space="preserve">oubled in Australia by </w:t>
      </w:r>
      <w:r w:rsidR="00842069">
        <w:lastRenderedPageBreak/>
        <w:t>2030</w:t>
      </w:r>
      <w:r w:rsidR="007740BB">
        <w:t>,</w:t>
      </w:r>
      <w:r w:rsidR="002C2A1D">
        <w:t xml:space="preserve"> </w:t>
      </w:r>
      <w:proofErr w:type="spellStart"/>
      <w:r w:rsidR="002C2A1D">
        <w:t>NFPs</w:t>
      </w:r>
      <w:proofErr w:type="spellEnd"/>
      <w:r w:rsidR="002C2A1D">
        <w:t xml:space="preserve"> must </w:t>
      </w:r>
      <w:r w:rsidR="00842069">
        <w:t>rapidly increase their skills and capacity for</w:t>
      </w:r>
      <w:r w:rsidR="007740BB">
        <w:t xml:space="preserve"> fundraising, and in particular their </w:t>
      </w:r>
      <w:r w:rsidR="007C4017">
        <w:t>ability to</w:t>
      </w:r>
      <w:r w:rsidR="00842069">
        <w:t xml:space="preserve"> secur</w:t>
      </w:r>
      <w:r w:rsidR="007C4017">
        <w:t>e</w:t>
      </w:r>
      <w:r w:rsidR="00842069">
        <w:t xml:space="preserve"> major gifts</w:t>
      </w:r>
      <w:r w:rsidR="00E16B9E">
        <w:t xml:space="preserve"> and bequests.  </w:t>
      </w:r>
    </w:p>
    <w:p w14:paraId="093C2D02" w14:textId="77777777" w:rsidR="005A5F7B" w:rsidRDefault="005A5F7B" w:rsidP="00E90546"/>
    <w:p w14:paraId="3F64779D" w14:textId="4D33460E" w:rsidR="00E1311A" w:rsidRDefault="00E16B9E" w:rsidP="00E90546">
      <w:r>
        <w:t>These types of donation</w:t>
      </w:r>
      <w:r w:rsidR="00BF223B">
        <w:t>s</w:t>
      </w:r>
      <w:r w:rsidR="005F4590">
        <w:t xml:space="preserve"> </w:t>
      </w:r>
      <w:r w:rsidR="005553F2">
        <w:t>require a chain of actions which are all driven by human endeavour</w:t>
      </w:r>
      <w:r w:rsidR="008372F2">
        <w:t>:</w:t>
      </w:r>
      <w:r w:rsidR="005553F2">
        <w:t xml:space="preserve"> the detailed preparatory work that goes into prospect research and formalising a proposal</w:t>
      </w:r>
      <w:r w:rsidR="008372F2">
        <w:t>;</w:t>
      </w:r>
      <w:r w:rsidR="005553F2">
        <w:t xml:space="preserve"> the</w:t>
      </w:r>
      <w:r w:rsidR="001E0CDD">
        <w:t xml:space="preserve"> </w:t>
      </w:r>
      <w:r w:rsidR="008372F2">
        <w:t>relationship and trust building over months and often years; the</w:t>
      </w:r>
      <w:r w:rsidR="005553F2">
        <w:t xml:space="preserve"> physical ask of the donor and the time that takes to conclude is then followed by manag</w:t>
      </w:r>
      <w:r w:rsidR="008372F2">
        <w:t>ement of</w:t>
      </w:r>
      <w:r w:rsidR="005553F2">
        <w:t xml:space="preserve"> the donation and stewarding the relationship with the donor afterwards</w:t>
      </w:r>
      <w:r w:rsidR="00C552E1">
        <w:t xml:space="preserve">. </w:t>
      </w:r>
      <w:r w:rsidR="008372F2">
        <w:t xml:space="preserve"> </w:t>
      </w:r>
      <w:r w:rsidR="004C31B1">
        <w:t>These require specialist skills</w:t>
      </w:r>
      <w:r w:rsidR="0033337E">
        <w:t xml:space="preserve"> that are currently in short supply</w:t>
      </w:r>
      <w:r w:rsidR="00AE6802">
        <w:t xml:space="preserve">. </w:t>
      </w:r>
      <w:r w:rsidR="008C088E">
        <w:t>T</w:t>
      </w:r>
      <w:r w:rsidR="0033337E">
        <w:t xml:space="preserve">he </w:t>
      </w:r>
      <w:r w:rsidR="00574A8F">
        <w:t>primary restriction on</w:t>
      </w:r>
      <w:r w:rsidR="008C088E">
        <w:t xml:space="preserve"> growth in voluntary giving</w:t>
      </w:r>
      <w:r w:rsidR="00521AFC">
        <w:t>,</w:t>
      </w:r>
      <w:r w:rsidR="008C088E">
        <w:t xml:space="preserve"> therefore</w:t>
      </w:r>
      <w:r w:rsidR="00521AFC">
        <w:t>,</w:t>
      </w:r>
      <w:r w:rsidR="008C088E">
        <w:t xml:space="preserve"> lies with Australia’s </w:t>
      </w:r>
      <w:r w:rsidR="00E90546">
        <w:t>ability to recruit and retain talented, skilled fundraising professionals</w:t>
      </w:r>
      <w:r w:rsidR="008C088E">
        <w:t xml:space="preserve"> – not with the </w:t>
      </w:r>
      <w:r w:rsidR="00E1311A">
        <w:t xml:space="preserve">number of </w:t>
      </w:r>
      <w:r w:rsidR="00574A8F">
        <w:t>potential donors with the capacity</w:t>
      </w:r>
      <w:r w:rsidR="00E1311A">
        <w:t xml:space="preserve"> to make big gifts</w:t>
      </w:r>
      <w:r w:rsidR="00E90546">
        <w:t xml:space="preserve">. </w:t>
      </w:r>
    </w:p>
    <w:p w14:paraId="15ACF138" w14:textId="77777777" w:rsidR="00E1311A" w:rsidRDefault="00E1311A" w:rsidP="00E90546"/>
    <w:p w14:paraId="4E89E8B6" w14:textId="6497589A" w:rsidR="00E90546" w:rsidRDefault="00EB54E6" w:rsidP="00E90546">
      <w:r>
        <w:t>We are not the only country to be experiencing this and, in fact, has been a systemic problem for many countries</w:t>
      </w:r>
      <w:r w:rsidR="00676ADF">
        <w:t>.</w:t>
      </w:r>
      <w:r w:rsidR="005A5F7B">
        <w:t xml:space="preserve"> </w:t>
      </w:r>
      <w:r w:rsidR="00E90546">
        <w:t xml:space="preserve">This was noted in a series of reports commissioned in the UK by HEFCE (the Higher Education Funding Council for England) that considered how to achieve substantial growth in philanthropic income to universities, starting with the </w:t>
      </w:r>
      <w:r>
        <w:t xml:space="preserve">2004 </w:t>
      </w:r>
      <w:r w:rsidR="00E90546">
        <w:t>Thomas Report, the 2012 Pearce Report (“Review of Philanthropy in UK Higher Education: 2012 status report and challenges for the next decade”), and then “</w:t>
      </w:r>
      <w:hyperlink r:id="rId13" w:history="1">
        <w:r w:rsidR="00E90546">
          <w:rPr>
            <w:rStyle w:val="Hyperlink"/>
          </w:rPr>
          <w:t>An emerging profession: The Higher Education Philanthropy Workforce</w:t>
        </w:r>
      </w:hyperlink>
      <w:r w:rsidR="00E90546">
        <w:t>”. </w:t>
      </w:r>
    </w:p>
    <w:p w14:paraId="764C08EB" w14:textId="77777777" w:rsidR="00692243" w:rsidRDefault="00692243" w:rsidP="00E90546"/>
    <w:p w14:paraId="7E3BE733" w14:textId="7BAEA710" w:rsidR="00E90546" w:rsidRDefault="00E90546" w:rsidP="00E90546">
      <w:r>
        <w:t>In 2008, the UK Government implemented a highly effective £</w:t>
      </w:r>
      <w:proofErr w:type="spellStart"/>
      <w:r>
        <w:t>200M</w:t>
      </w:r>
      <w:proofErr w:type="spellEnd"/>
      <w:r>
        <w:t xml:space="preserve"> matched funding scheme for universities to incentivise investment in fundraising. CASE Europe successfully applied for some of that $</w:t>
      </w:r>
      <w:proofErr w:type="spellStart"/>
      <w:r>
        <w:t>200M</w:t>
      </w:r>
      <w:proofErr w:type="spellEnd"/>
      <w:r>
        <w:t xml:space="preserve"> budget to be utilised to initiate a suite of training and development initiatives, to attract, upskill and retain fundraising professionals in the sector. That funding ‘top slice’ was specifically in recognition that the universities couldn’t grow their fundraising revenue without suitably trained staff to do that work. </w:t>
      </w:r>
      <w:r w:rsidR="008D33C0">
        <w:t>I</w:t>
      </w:r>
      <w:r>
        <w:t>t was a condition of the scheme that the universities had to participate in an annual benchmarking survey so that the impact of the Government’s investment could be measured.</w:t>
      </w:r>
    </w:p>
    <w:p w14:paraId="5B2197BF" w14:textId="77777777" w:rsidR="00E90546" w:rsidRDefault="00E90546" w:rsidP="00E90546">
      <w:r>
        <w:t> </w:t>
      </w:r>
    </w:p>
    <w:p w14:paraId="32C75CEB" w14:textId="3E07FC6F" w:rsidR="00E90546" w:rsidRDefault="0097700B" w:rsidP="00E90546">
      <w:r>
        <w:t>A</w:t>
      </w:r>
      <w:r w:rsidR="00E90546">
        <w:t xml:space="preserve">nnual fundraising benchmarking </w:t>
      </w:r>
      <w:r w:rsidR="00BF2261">
        <w:t xml:space="preserve">run </w:t>
      </w:r>
      <w:r w:rsidR="00E90546">
        <w:t xml:space="preserve">for the Colleges of the University of Oxford </w:t>
      </w:r>
      <w:r w:rsidR="001A5FF7">
        <w:t>unearthed an interesting outcome. A</w:t>
      </w:r>
      <w:r w:rsidR="00E90546">
        <w:t>lthough they all operated within the same context</w:t>
      </w:r>
      <w:r w:rsidR="00177F5B">
        <w:t xml:space="preserve"> and same</w:t>
      </w:r>
      <w:r w:rsidR="00E90546">
        <w:t xml:space="preserve"> regulatory framework etc there were huge differences in the philanthropic income each College was receiving. What was the number one reason for those differences? The biggest factor impacting </w:t>
      </w:r>
      <w:r w:rsidR="00194CC9">
        <w:t>the outcome</w:t>
      </w:r>
      <w:r w:rsidR="00E90546">
        <w:t xml:space="preserve"> was whether the College had recruited a professional fundraising team to go out and build relationships with potential donors and ask for gifts (especially major gifts).  </w:t>
      </w:r>
    </w:p>
    <w:p w14:paraId="254477BE" w14:textId="77777777" w:rsidR="00E90546" w:rsidRDefault="00E90546" w:rsidP="00E90546"/>
    <w:p w14:paraId="3EDE8593" w14:textId="77777777" w:rsidR="00AB1939" w:rsidRDefault="00E90546" w:rsidP="00E90546">
      <w:r>
        <w:t xml:space="preserve">Other benchmarking in the school and university sectors consistently shows a powerful correlation between philanthropic income and the scale of investment in fundraising (usually reflecting the number and/or level of experience of </w:t>
      </w:r>
      <w:r w:rsidR="001A5FF7">
        <w:t>A</w:t>
      </w:r>
      <w:r>
        <w:t>dvancement staff employed)</w:t>
      </w:r>
      <w:r w:rsidR="00AB1939">
        <w:t>:</w:t>
      </w:r>
      <w:r>
        <w:t xml:space="preserve"> </w:t>
      </w:r>
    </w:p>
    <w:p w14:paraId="02D5F44C" w14:textId="77777777" w:rsidR="00AB1939" w:rsidRDefault="00AB1939" w:rsidP="00E90546"/>
    <w:p w14:paraId="4EB27BBB" w14:textId="470C3D0F" w:rsidR="00E90546" w:rsidRDefault="00AB1939" w:rsidP="009A47B4">
      <w:pPr>
        <w:pStyle w:val="ListParagraph"/>
        <w:numPr>
          <w:ilvl w:val="0"/>
          <w:numId w:val="18"/>
        </w:numPr>
      </w:pPr>
      <w:r>
        <w:t>A</w:t>
      </w:r>
      <w:r w:rsidR="00E90546">
        <w:t xml:space="preserve">n </w:t>
      </w:r>
      <w:hyperlink r:id="rId14" w:history="1">
        <w:proofErr w:type="spellStart"/>
        <w:r w:rsidR="00E90546">
          <w:rPr>
            <w:rStyle w:val="Hyperlink"/>
          </w:rPr>
          <w:t>IDPE</w:t>
        </w:r>
        <w:proofErr w:type="spellEnd"/>
      </w:hyperlink>
      <w:r w:rsidR="00E90546">
        <w:t xml:space="preserve"> study from the UK</w:t>
      </w:r>
      <w:r w:rsidR="00C900C6">
        <w:t xml:space="preserve"> </w:t>
      </w:r>
      <w:r w:rsidR="00E90546">
        <w:t>show</w:t>
      </w:r>
      <w:r w:rsidR="00C900C6">
        <w:t>ed</w:t>
      </w:r>
      <w:r w:rsidR="00E90546">
        <w:t xml:space="preserve"> how schools with newer </w:t>
      </w:r>
      <w:r w:rsidR="001A5FF7">
        <w:t>D</w:t>
      </w:r>
      <w:r w:rsidR="00E90546">
        <w:t xml:space="preserve">evelopment </w:t>
      </w:r>
      <w:r w:rsidR="001A5FF7">
        <w:t>O</w:t>
      </w:r>
      <w:r w:rsidR="00E90546">
        <w:t xml:space="preserve">ffices with an average of </w:t>
      </w:r>
      <w:proofErr w:type="spellStart"/>
      <w:r w:rsidR="00E90546">
        <w:t>c.1.4</w:t>
      </w:r>
      <w:proofErr w:type="spellEnd"/>
      <w:r w:rsidR="00E90546">
        <w:t xml:space="preserve"> </w:t>
      </w:r>
      <w:r w:rsidR="00F87403">
        <w:t xml:space="preserve">FTE </w:t>
      </w:r>
      <w:r w:rsidR="00C900C6">
        <w:t xml:space="preserve">fundraising staff </w:t>
      </w:r>
      <w:r w:rsidR="00E90546">
        <w:t xml:space="preserve">were generating </w:t>
      </w:r>
      <w:r w:rsidR="00F87403">
        <w:t>c.</w:t>
      </w:r>
      <w:r w:rsidR="00E90546">
        <w:t>£</w:t>
      </w:r>
      <w:proofErr w:type="spellStart"/>
      <w:r w:rsidR="00E90546">
        <w:t>140k</w:t>
      </w:r>
      <w:proofErr w:type="spellEnd"/>
      <w:r w:rsidR="00E90546">
        <w:t xml:space="preserve"> per annum whereas older offices with bigger teams (average 3.6 FTEs) were raising an average of £</w:t>
      </w:r>
      <w:proofErr w:type="spellStart"/>
      <w:r w:rsidR="00E90546">
        <w:t>835k</w:t>
      </w:r>
      <w:proofErr w:type="spellEnd"/>
      <w:r w:rsidR="00E90546">
        <w:t xml:space="preserve">. Tripling the number of staff paired with increased experience was associated with philanthropic income rising </w:t>
      </w:r>
      <w:r w:rsidR="00D911A2">
        <w:t>6 times.</w:t>
      </w:r>
      <w:r w:rsidR="00E90546">
        <w:t xml:space="preserve"> </w:t>
      </w:r>
    </w:p>
    <w:p w14:paraId="5D14FEDA" w14:textId="3583A857" w:rsidR="00E90546" w:rsidRDefault="00E90546" w:rsidP="00E90546"/>
    <w:p w14:paraId="470B8C38" w14:textId="08825DC9" w:rsidR="00E90546" w:rsidRDefault="0064055F" w:rsidP="009A47B4">
      <w:pPr>
        <w:pStyle w:val="ListParagraph"/>
        <w:numPr>
          <w:ilvl w:val="0"/>
          <w:numId w:val="18"/>
        </w:numPr>
      </w:pPr>
      <w:r>
        <w:t>R</w:t>
      </w:r>
      <w:r w:rsidR="00034FB9">
        <w:t>esearch conducted by CASE for t</w:t>
      </w:r>
      <w:r w:rsidR="00E90546">
        <w:t xml:space="preserve">he </w:t>
      </w:r>
      <w:r w:rsidR="00E90546" w:rsidRPr="00885660">
        <w:t>university</w:t>
      </w:r>
      <w:r w:rsidR="00E90546">
        <w:t xml:space="preserve"> sector</w:t>
      </w:r>
      <w:r w:rsidR="00A57D4B">
        <w:t xml:space="preserve"> (see </w:t>
      </w:r>
      <w:hyperlink r:id="rId15" w:history="1">
        <w:r w:rsidR="00A57D4B" w:rsidRPr="00885660">
          <w:rPr>
            <w:rStyle w:val="Hyperlink"/>
          </w:rPr>
          <w:t xml:space="preserve">chart on </w:t>
        </w:r>
        <w:proofErr w:type="spellStart"/>
        <w:r w:rsidR="00A57D4B" w:rsidRPr="00885660">
          <w:rPr>
            <w:rStyle w:val="Hyperlink"/>
          </w:rPr>
          <w:t>p31</w:t>
        </w:r>
        <w:proofErr w:type="spellEnd"/>
      </w:hyperlink>
      <w:r w:rsidR="00A57D4B">
        <w:t>)</w:t>
      </w:r>
      <w:r w:rsidR="00E90546">
        <w:t xml:space="preserve"> </w:t>
      </w:r>
      <w:r w:rsidR="00885660">
        <w:t xml:space="preserve">also </w:t>
      </w:r>
      <w:r w:rsidR="00DF3FA8">
        <w:t>shows a powerful correlation between the number of fundraisers and the funds being raised</w:t>
      </w:r>
      <w:r>
        <w:t xml:space="preserve"> </w:t>
      </w:r>
      <w:r w:rsidR="00146F97">
        <w:t>in</w:t>
      </w:r>
      <w:r w:rsidR="00E90546">
        <w:t xml:space="preserve"> Australia</w:t>
      </w:r>
      <w:r w:rsidR="00146F97">
        <w:t>, New Zealand and the UK</w:t>
      </w:r>
      <w:r w:rsidR="00A57D4B">
        <w:t>.</w:t>
      </w:r>
      <w:r w:rsidR="00E90546">
        <w:t xml:space="preserve"> </w:t>
      </w:r>
    </w:p>
    <w:p w14:paraId="210F1936" w14:textId="77777777" w:rsidR="00E90546" w:rsidRDefault="00E90546" w:rsidP="00E90546"/>
    <w:p w14:paraId="29884BEA" w14:textId="3AB05D2D" w:rsidR="003419A4" w:rsidRDefault="002B1891" w:rsidP="00E90546">
      <w:r>
        <w:lastRenderedPageBreak/>
        <w:t xml:space="preserve">Although these examples are from the education sector, this correlation can also be borne out in the charity sector and other </w:t>
      </w:r>
      <w:proofErr w:type="spellStart"/>
      <w:r>
        <w:t>NFP</w:t>
      </w:r>
      <w:proofErr w:type="spellEnd"/>
      <w:r>
        <w:t xml:space="preserve"> organisations. Reports produced by the </w:t>
      </w:r>
      <w:proofErr w:type="spellStart"/>
      <w:r>
        <w:t>ACNC’s</w:t>
      </w:r>
      <w:proofErr w:type="spellEnd"/>
      <w:r>
        <w:t xml:space="preserve"> </w:t>
      </w:r>
      <w:hyperlink r:id="rId16" w:history="1">
        <w:r w:rsidRPr="001A5FF7">
          <w:rPr>
            <w:rStyle w:val="Hyperlink"/>
          </w:rPr>
          <w:t>Australian Charities Report</w:t>
        </w:r>
      </w:hyperlink>
      <w:r w:rsidR="00154453">
        <w:rPr>
          <w:rStyle w:val="Hyperlink"/>
        </w:rPr>
        <w:t xml:space="preserve">, </w:t>
      </w:r>
      <w:r>
        <w:t xml:space="preserve"> </w:t>
      </w:r>
      <w:hyperlink r:id="rId17" w:history="1">
        <w:r w:rsidRPr="00D37340">
          <w:rPr>
            <w:rStyle w:val="Hyperlink"/>
          </w:rPr>
          <w:t>FIA</w:t>
        </w:r>
      </w:hyperlink>
      <w:r>
        <w:t xml:space="preserve"> </w:t>
      </w:r>
      <w:r w:rsidR="00154453">
        <w:t xml:space="preserve">and </w:t>
      </w:r>
      <w:hyperlink r:id="rId18" w:history="1">
        <w:r w:rsidR="000F3C41" w:rsidRPr="00F96E28">
          <w:rPr>
            <w:rStyle w:val="Hyperlink"/>
          </w:rPr>
          <w:t>Philanthropy &amp; Fundraising International</w:t>
        </w:r>
      </w:hyperlink>
      <w:r w:rsidR="000F3C41">
        <w:t xml:space="preserve"> </w:t>
      </w:r>
      <w:r>
        <w:t xml:space="preserve">have the necessary supporting evidence from the mainstream charities. </w:t>
      </w:r>
      <w:r w:rsidR="00E90546">
        <w:t xml:space="preserve">These studies support the </w:t>
      </w:r>
      <w:r w:rsidR="0097700B">
        <w:t>logical</w:t>
      </w:r>
      <w:r w:rsidR="00E90546">
        <w:t xml:space="preserve"> </w:t>
      </w:r>
      <w:r w:rsidR="001A5FF7">
        <w:t>notion</w:t>
      </w:r>
      <w:r w:rsidR="00E90546">
        <w:t xml:space="preserve"> that more fundraisers lead to more funds raised, but if you delve into the data</w:t>
      </w:r>
      <w:r w:rsidR="009A47B4">
        <w:t>,</w:t>
      </w:r>
      <w:r w:rsidR="00E90546">
        <w:t xml:space="preserve"> they also show the importance of major gifts in maximising philanthropic income.  This type of fundraising requires a very specialist and relatively rare set of skills</w:t>
      </w:r>
      <w:r w:rsidR="001A5FF7">
        <w:t xml:space="preserve"> that can, however, be </w:t>
      </w:r>
      <w:r w:rsidR="00E90546">
        <w:t>taught by organisations like CASE, Educate Plus and the FIA.</w:t>
      </w:r>
    </w:p>
    <w:p w14:paraId="74637E3F" w14:textId="77777777" w:rsidR="00BD6094" w:rsidRDefault="00BD6094" w:rsidP="00E90546"/>
    <w:p w14:paraId="5AB98656" w14:textId="494C3767" w:rsidR="00E27AB9" w:rsidRPr="00904EC8" w:rsidRDefault="0097700B" w:rsidP="00C17CFA">
      <w:pPr>
        <w:spacing w:after="120"/>
        <w:rPr>
          <w:b/>
          <w:bCs/>
        </w:rPr>
      </w:pPr>
      <w:r w:rsidRPr="00904EC8">
        <w:rPr>
          <w:b/>
          <w:bCs/>
        </w:rPr>
        <w:t>Recommendations</w:t>
      </w:r>
    </w:p>
    <w:p w14:paraId="7FB93F06" w14:textId="7E5E5557" w:rsidR="002957CE" w:rsidRDefault="0097700B" w:rsidP="00BB2818">
      <w:pPr>
        <w:pStyle w:val="ListParagraph"/>
        <w:numPr>
          <w:ilvl w:val="0"/>
          <w:numId w:val="5"/>
        </w:numPr>
        <w:spacing w:after="120"/>
      </w:pPr>
      <w:r>
        <w:t>T</w:t>
      </w:r>
      <w:r w:rsidR="00E90546">
        <w:t xml:space="preserve">he Inquiry specifically </w:t>
      </w:r>
      <w:r w:rsidR="00DD7CE8" w:rsidRPr="00B84EAB">
        <w:t>prioritise</w:t>
      </w:r>
      <w:r w:rsidR="00E90546" w:rsidRPr="00B84EAB">
        <w:t xml:space="preserve"> the scale and suitability of the fundraising workforce</w:t>
      </w:r>
      <w:r w:rsidR="00E90546">
        <w:t xml:space="preserve"> as a crucial factor that will impact on the growth of philanthropic giving in Australia</w:t>
      </w:r>
      <w:r w:rsidR="00E41CE5">
        <w:t xml:space="preserve">.  </w:t>
      </w:r>
      <w:r w:rsidR="009738CC">
        <w:t xml:space="preserve">It is </w:t>
      </w:r>
      <w:r w:rsidR="00E41CE5">
        <w:t>propose</w:t>
      </w:r>
      <w:r w:rsidR="009738CC">
        <w:t>d</w:t>
      </w:r>
      <w:r w:rsidR="00E41CE5">
        <w:t xml:space="preserve"> that a </w:t>
      </w:r>
      <w:r w:rsidR="00E90546" w:rsidRPr="00E41CE5">
        <w:rPr>
          <w:b/>
          <w:bCs/>
        </w:rPr>
        <w:t>substantial Government fund</w:t>
      </w:r>
      <w:r w:rsidR="00E90546">
        <w:t xml:space="preserve"> be made available to large </w:t>
      </w:r>
      <w:proofErr w:type="spellStart"/>
      <w:r w:rsidR="00E90546">
        <w:t>NFP</w:t>
      </w:r>
      <w:proofErr w:type="spellEnd"/>
      <w:r w:rsidR="00E90546">
        <w:t xml:space="preserve"> training and professional development organisations</w:t>
      </w:r>
      <w:r>
        <w:t>,</w:t>
      </w:r>
      <w:r w:rsidR="00E90546">
        <w:t xml:space="preserve"> to rapidly develop </w:t>
      </w:r>
      <w:r w:rsidR="004041E8">
        <w:t xml:space="preserve">build capacity, implement </w:t>
      </w:r>
      <w:r w:rsidR="00E90546">
        <w:t>new initiatives and significantly scale up existing programmes</w:t>
      </w:r>
      <w:r w:rsidR="002957CE">
        <w:t xml:space="preserve">. </w:t>
      </w:r>
      <w:r w:rsidR="00E90546">
        <w:t>Eligible activities might include</w:t>
      </w:r>
      <w:r w:rsidR="002957CE">
        <w:t>:</w:t>
      </w:r>
    </w:p>
    <w:p w14:paraId="63071F2E" w14:textId="6E3E1124" w:rsidR="0097700B" w:rsidRDefault="002957CE" w:rsidP="009A47B4">
      <w:pPr>
        <w:pStyle w:val="ListParagraph"/>
        <w:numPr>
          <w:ilvl w:val="1"/>
          <w:numId w:val="19"/>
        </w:numPr>
        <w:spacing w:after="120"/>
      </w:pPr>
      <w:r>
        <w:t>G</w:t>
      </w:r>
      <w:r w:rsidR="00E90546">
        <w:t>raduate trainee programs; training and</w:t>
      </w:r>
      <w:r w:rsidR="000B418F">
        <w:t xml:space="preserve"> </w:t>
      </w:r>
      <w:r w:rsidR="00082656">
        <w:t xml:space="preserve">professional </w:t>
      </w:r>
      <w:r w:rsidR="000B418F">
        <w:t>development</w:t>
      </w:r>
      <w:r w:rsidR="00E90546">
        <w:t xml:space="preserve"> programs specifically to help attract more experienced people from other sectors and assist them in moving sideways into the sector</w:t>
      </w:r>
    </w:p>
    <w:p w14:paraId="7AD791A6" w14:textId="77777777" w:rsidR="009738CC" w:rsidRDefault="0097700B" w:rsidP="009A47B4">
      <w:pPr>
        <w:pStyle w:val="ListParagraph"/>
        <w:numPr>
          <w:ilvl w:val="1"/>
          <w:numId w:val="19"/>
        </w:numPr>
        <w:spacing w:after="120"/>
      </w:pPr>
      <w:r>
        <w:t>O</w:t>
      </w:r>
      <w:r w:rsidR="00E90546">
        <w:t>ther training and mentoring activities (</w:t>
      </w:r>
      <w:proofErr w:type="spellStart"/>
      <w:r w:rsidR="00E90546">
        <w:t>eg</w:t>
      </w:r>
      <w:proofErr w:type="spellEnd"/>
      <w:r w:rsidR="00E90546">
        <w:t xml:space="preserve"> expansion of resources to help public schools become more effective in attracting philanthropic support) </w:t>
      </w:r>
    </w:p>
    <w:p w14:paraId="7F00E66C" w14:textId="0BF6218A" w:rsidR="0097700B" w:rsidRDefault="00E90546" w:rsidP="009A47B4">
      <w:pPr>
        <w:spacing w:after="120"/>
        <w:ind w:left="360"/>
      </w:pPr>
      <w:r>
        <w:t>Ideally</w:t>
      </w:r>
      <w:r w:rsidR="0097700B">
        <w:t>,</w:t>
      </w:r>
      <w:r>
        <w:t xml:space="preserve"> this would be dealt with through a single strategic submission, rather than having to make lots of small</w:t>
      </w:r>
      <w:r w:rsidR="009A47B4">
        <w:t>,</w:t>
      </w:r>
      <w:r>
        <w:t xml:space="preserve"> detailed requests for each activity</w:t>
      </w:r>
      <w:r w:rsidR="0097700B">
        <w:t>. In a resource strapped industry, efficiency in accessing such funds will be crucial to faster capacity building</w:t>
      </w:r>
    </w:p>
    <w:p w14:paraId="51CF5339" w14:textId="3E2B7E2E" w:rsidR="00EE30AB" w:rsidRDefault="00EE30AB" w:rsidP="00EE30AB">
      <w:pPr>
        <w:pStyle w:val="ListParagraph"/>
        <w:numPr>
          <w:ilvl w:val="0"/>
          <w:numId w:val="5"/>
        </w:numPr>
        <w:spacing w:after="120"/>
      </w:pPr>
      <w:r w:rsidRPr="004041E8">
        <w:rPr>
          <w:b/>
          <w:bCs/>
        </w:rPr>
        <w:t>Collaboration initiated and incentivised by government</w:t>
      </w:r>
      <w:r>
        <w:t xml:space="preserve">. As current partners, CASE, FIA, </w:t>
      </w:r>
      <w:proofErr w:type="spellStart"/>
      <w:r>
        <w:t>IDPE</w:t>
      </w:r>
      <w:proofErr w:type="spellEnd"/>
      <w:r>
        <w:t xml:space="preserve"> and Educate Plus collaborate where possible to generally build and support philanthropy and very specifically, build capacity across our sectors – tertiary, charities and </w:t>
      </w:r>
      <w:proofErr w:type="spellStart"/>
      <w:r>
        <w:t>NFPs</w:t>
      </w:r>
      <w:proofErr w:type="spellEnd"/>
      <w:r>
        <w:t xml:space="preserve"> and schools. This partnership is a positive one and assists all our institutions to raise their capacity. If such collaborations could be supported by government and incentivised through access to a different suite of grants, the efficacy and impact could be vastly amplified</w:t>
      </w:r>
    </w:p>
    <w:p w14:paraId="32288351" w14:textId="4FAD8FE0" w:rsidR="00E90546" w:rsidRDefault="00E90546" w:rsidP="002A3EA2">
      <w:pPr>
        <w:pStyle w:val="ListParagraph"/>
        <w:numPr>
          <w:ilvl w:val="0"/>
          <w:numId w:val="5"/>
        </w:numPr>
        <w:spacing w:after="120"/>
      </w:pPr>
      <w:r>
        <w:t xml:space="preserve">As the UK did when it introduced the match funding program for universities, we advocate for support for </w:t>
      </w:r>
      <w:r w:rsidRPr="009738CC">
        <w:rPr>
          <w:b/>
          <w:bCs/>
        </w:rPr>
        <w:t>recognised sector benchmarking initiatives</w:t>
      </w:r>
      <w:r>
        <w:t xml:space="preserve"> to help capture insights into changes occurring before, during and after </w:t>
      </w:r>
      <w:r w:rsidR="0097700B">
        <w:t xml:space="preserve">such </w:t>
      </w:r>
      <w:r>
        <w:t xml:space="preserve">the Government </w:t>
      </w:r>
      <w:r w:rsidR="005A17E4">
        <w:t>initiatives</w:t>
      </w:r>
      <w:r>
        <w:t xml:space="preserve">. </w:t>
      </w:r>
    </w:p>
    <w:p w14:paraId="0158155B" w14:textId="77777777" w:rsidR="00E90546" w:rsidRDefault="00E90546" w:rsidP="00E90546"/>
    <w:p w14:paraId="542B8DE6" w14:textId="23C73FAC" w:rsidR="009C3585" w:rsidRDefault="009C3585" w:rsidP="00B87A74">
      <w:pPr>
        <w:rPr>
          <w:rFonts w:asciiTheme="minorHAnsi" w:hAnsiTheme="minorHAnsi" w:cstheme="minorHAnsi"/>
        </w:rPr>
      </w:pPr>
      <w:r>
        <w:t>In the 2012 Review of Philanthropy in UK Higher Education report, the conclusion looks to the landscape in 10 years’ time:</w:t>
      </w:r>
      <w:r w:rsidR="00C718FD">
        <w:t xml:space="preserve"> </w:t>
      </w:r>
      <w:r>
        <w:rPr>
          <w:rFonts w:asciiTheme="minorHAnsi" w:hAnsiTheme="minorHAnsi" w:cstheme="minorHAnsi"/>
        </w:rPr>
        <w:t>“</w:t>
      </w:r>
      <w:r w:rsidRPr="00B87A74">
        <w:rPr>
          <w:rFonts w:asciiTheme="minorHAnsi" w:hAnsiTheme="minorHAnsi" w:cstheme="minorHAnsi"/>
          <w:i/>
          <w:iCs/>
        </w:rPr>
        <w:t>The shortage of skilled fundraising professionals remains a bottleneck, however, and</w:t>
      </w:r>
      <w:r w:rsidR="00B87A74" w:rsidRPr="00B87A74">
        <w:rPr>
          <w:rFonts w:asciiTheme="minorHAnsi" w:hAnsiTheme="minorHAnsi" w:cstheme="minorHAnsi"/>
          <w:i/>
          <w:iCs/>
        </w:rPr>
        <w:t xml:space="preserve"> </w:t>
      </w:r>
      <w:r w:rsidRPr="00B87A74">
        <w:rPr>
          <w:rFonts w:asciiTheme="minorHAnsi" w:hAnsiTheme="minorHAnsi" w:cstheme="minorHAnsi"/>
          <w:i/>
          <w:iCs/>
        </w:rPr>
        <w:t>must be addressed, making workforce development a matter of priority</w:t>
      </w:r>
      <w:r>
        <w:rPr>
          <w:rFonts w:asciiTheme="minorHAnsi" w:hAnsiTheme="minorHAnsi" w:cstheme="minorHAnsi"/>
        </w:rPr>
        <w:t>”</w:t>
      </w:r>
      <w:r w:rsidR="00B87A74">
        <w:rPr>
          <w:rFonts w:asciiTheme="minorHAnsi" w:hAnsiTheme="minorHAnsi" w:cstheme="minorHAnsi"/>
        </w:rPr>
        <w:t>. U</w:t>
      </w:r>
      <w:r>
        <w:rPr>
          <w:rFonts w:asciiTheme="minorHAnsi" w:hAnsiTheme="minorHAnsi" w:cstheme="minorHAnsi"/>
        </w:rPr>
        <w:t xml:space="preserve">nfortunately, not much has changed in this </w:t>
      </w:r>
      <w:r w:rsidR="00D74A20">
        <w:rPr>
          <w:rFonts w:asciiTheme="minorHAnsi" w:hAnsiTheme="minorHAnsi" w:cstheme="minorHAnsi"/>
        </w:rPr>
        <w:t>res</w:t>
      </w:r>
      <w:r>
        <w:rPr>
          <w:rFonts w:asciiTheme="minorHAnsi" w:hAnsiTheme="minorHAnsi" w:cstheme="minorHAnsi"/>
        </w:rPr>
        <w:t xml:space="preserve">pect </w:t>
      </w:r>
      <w:r w:rsidR="00DE6154">
        <w:rPr>
          <w:rFonts w:asciiTheme="minorHAnsi" w:hAnsiTheme="minorHAnsi" w:cstheme="minorHAnsi"/>
        </w:rPr>
        <w:t xml:space="preserve">(certainly in Australia and in the current recruitment environment) </w:t>
      </w:r>
      <w:r>
        <w:rPr>
          <w:rFonts w:asciiTheme="minorHAnsi" w:hAnsiTheme="minorHAnsi" w:cstheme="minorHAnsi"/>
        </w:rPr>
        <w:t>and we are hopeful that this Inquiry can elevate this fundamental building block to enable greater output in fundraising across all sectors.</w:t>
      </w:r>
      <w:r w:rsidR="009A47B4">
        <w:rPr>
          <w:rFonts w:asciiTheme="minorHAnsi" w:hAnsiTheme="minorHAnsi" w:cstheme="minorHAnsi"/>
        </w:rPr>
        <w:t xml:space="preserve"> </w:t>
      </w:r>
    </w:p>
    <w:p w14:paraId="169C8DDA" w14:textId="0EFA9461" w:rsidR="008D4259" w:rsidRDefault="008D4259" w:rsidP="00B87A74">
      <w:pPr>
        <w:rPr>
          <w:rFonts w:asciiTheme="minorHAnsi" w:hAnsiTheme="minorHAnsi" w:cstheme="minorHAnsi"/>
        </w:rPr>
      </w:pPr>
    </w:p>
    <w:p w14:paraId="6D7455D7" w14:textId="24F6C5CC" w:rsidR="00DE6154" w:rsidRDefault="00DE6154" w:rsidP="009C3585">
      <w:pPr>
        <w:autoSpaceDE w:val="0"/>
        <w:autoSpaceDN w:val="0"/>
        <w:adjustRightInd w:val="0"/>
        <w:rPr>
          <w:rFonts w:asciiTheme="minorHAnsi" w:hAnsiTheme="minorHAnsi" w:cstheme="minorHAnsi"/>
        </w:rPr>
      </w:pPr>
    </w:p>
    <w:p w14:paraId="6F4E4844" w14:textId="77777777" w:rsidR="00304EC1" w:rsidRPr="009A47B4" w:rsidRDefault="00304EC1" w:rsidP="009A47B4">
      <w:pPr>
        <w:pBdr>
          <w:top w:val="single" w:sz="4" w:space="1" w:color="auto"/>
          <w:left w:val="single" w:sz="4" w:space="4" w:color="auto"/>
          <w:bottom w:val="single" w:sz="4" w:space="1" w:color="auto"/>
          <w:right w:val="single" w:sz="4" w:space="4" w:color="auto"/>
        </w:pBdr>
        <w:shd w:val="clear" w:color="auto" w:fill="A8D08D" w:themeFill="accent6" w:themeFillTint="99"/>
        <w:rPr>
          <w:rFonts w:asciiTheme="minorHAnsi" w:hAnsiTheme="minorHAnsi" w:cstheme="minorHAnsi"/>
          <w:b/>
          <w:bCs/>
          <w:sz w:val="24"/>
          <w:szCs w:val="24"/>
        </w:rPr>
      </w:pPr>
      <w:r w:rsidRPr="009A47B4">
        <w:rPr>
          <w:rFonts w:asciiTheme="minorHAnsi" w:hAnsiTheme="minorHAnsi" w:cstheme="minorHAnsi"/>
          <w:b/>
          <w:bCs/>
          <w:sz w:val="24"/>
          <w:szCs w:val="24"/>
        </w:rPr>
        <w:t>Establishing giving attitudes earlier in life</w:t>
      </w:r>
    </w:p>
    <w:p w14:paraId="478EF9BD" w14:textId="77777777" w:rsidR="00304EC1" w:rsidRPr="00304EC1" w:rsidRDefault="00304EC1" w:rsidP="00304EC1">
      <w:pPr>
        <w:autoSpaceDE w:val="0"/>
        <w:autoSpaceDN w:val="0"/>
        <w:adjustRightInd w:val="0"/>
      </w:pPr>
    </w:p>
    <w:p w14:paraId="31136C55" w14:textId="79C90773" w:rsidR="008F0D63" w:rsidRPr="00C94AFC" w:rsidRDefault="003F4A2E" w:rsidP="00C94AFC">
      <w:pPr>
        <w:autoSpaceDE w:val="0"/>
        <w:autoSpaceDN w:val="0"/>
        <w:adjustRightInd w:val="0"/>
      </w:pPr>
      <w:r>
        <w:t>Helping Australians to better understand why it is important to give and how to give, far earlier in their lifetimes can</w:t>
      </w:r>
      <w:r w:rsidR="00A30BFF">
        <w:t>,</w:t>
      </w:r>
      <w:r>
        <w:t xml:space="preserve"> over time, significantly increase the overall philanthropy in our country.</w:t>
      </w:r>
      <w:r w:rsidR="00C94AFC">
        <w:t xml:space="preserve"> </w:t>
      </w:r>
      <w:r w:rsidR="008F0D63" w:rsidRPr="00E8142E">
        <w:rPr>
          <w:rFonts w:asciiTheme="minorHAnsi" w:hAnsiTheme="minorHAnsi" w:cstheme="minorHAnsi"/>
          <w:color w:val="000000"/>
        </w:rPr>
        <w:t>As Robert Slonim, Professor at the School of Economics at the University of Sydney described: “</w:t>
      </w:r>
      <w:r w:rsidR="008F0D63" w:rsidRPr="00C94AFC">
        <w:rPr>
          <w:rFonts w:asciiTheme="minorHAnsi" w:hAnsiTheme="minorHAnsi" w:cstheme="minorHAnsi"/>
          <w:i/>
          <w:iCs/>
          <w:color w:val="000000"/>
        </w:rPr>
        <w:t xml:space="preserve">Status quo bias is one of the most important behavioural insights in the last 40 years that can be applied to </w:t>
      </w:r>
      <w:r w:rsidR="008F0D63" w:rsidRPr="00C94AFC">
        <w:rPr>
          <w:rFonts w:asciiTheme="minorHAnsi" w:hAnsiTheme="minorHAnsi" w:cstheme="minorHAnsi"/>
          <w:i/>
          <w:iCs/>
          <w:color w:val="000000"/>
        </w:rPr>
        <w:lastRenderedPageBreak/>
        <w:t>philanthropy. It suggests that if you have donated or volunteered in the past, you’re more likely to donate later, as it’s an established part of your identity. If someone has not given before, it will be harder to convince them to start.</w:t>
      </w:r>
      <w:r w:rsidR="008F0D63" w:rsidRPr="00E8142E">
        <w:rPr>
          <w:rFonts w:asciiTheme="minorHAnsi" w:hAnsiTheme="minorHAnsi" w:cstheme="minorHAnsi"/>
          <w:color w:val="000000"/>
        </w:rPr>
        <w:t>”</w:t>
      </w:r>
    </w:p>
    <w:p w14:paraId="62731B56" w14:textId="0DEDA2D6" w:rsidR="00E3450B" w:rsidRDefault="00E3450B" w:rsidP="00E90546"/>
    <w:p w14:paraId="366E5C40" w14:textId="7DDE1197" w:rsidR="007B0D6E" w:rsidRDefault="00E3450B" w:rsidP="007B0D6E">
      <w:pPr>
        <w:rPr>
          <w:rFonts w:asciiTheme="minorHAnsi" w:hAnsiTheme="minorHAnsi" w:cstheme="minorHAnsi"/>
          <w:color w:val="000000"/>
        </w:rPr>
      </w:pPr>
      <w:r w:rsidRPr="00E8142E">
        <w:rPr>
          <w:rFonts w:asciiTheme="minorHAnsi" w:hAnsiTheme="minorHAnsi" w:cstheme="minorHAnsi"/>
          <w:color w:val="000000"/>
        </w:rPr>
        <w:t>This points to the significance of influencing a person to give earlier in their lifetime.</w:t>
      </w:r>
      <w:r>
        <w:rPr>
          <w:rFonts w:asciiTheme="minorHAnsi" w:hAnsiTheme="minorHAnsi" w:cstheme="minorHAnsi"/>
          <w:color w:val="000000"/>
        </w:rPr>
        <w:t xml:space="preserve"> </w:t>
      </w:r>
      <w:r w:rsidRPr="00E8142E">
        <w:rPr>
          <w:rFonts w:asciiTheme="minorHAnsi" w:hAnsiTheme="minorHAnsi" w:cstheme="minorHAnsi"/>
          <w:color w:val="000000"/>
        </w:rPr>
        <w:t>While an individual’s financial capacity to give early in their life may be low, experiences that raise awareness about community needs and the benefits of giving can strengthen the propensity to give over time.</w:t>
      </w:r>
      <w:r w:rsidR="00AC3F1A">
        <w:rPr>
          <w:rFonts w:asciiTheme="minorHAnsi" w:hAnsiTheme="minorHAnsi" w:cstheme="minorHAnsi"/>
          <w:color w:val="000000"/>
        </w:rPr>
        <w:t xml:space="preserve"> </w:t>
      </w:r>
      <w:r w:rsidR="00A30BFF">
        <w:t xml:space="preserve">A 2019 report by the </w:t>
      </w:r>
      <w:proofErr w:type="spellStart"/>
      <w:r w:rsidR="00A30BFF">
        <w:t>ACNC</w:t>
      </w:r>
      <w:proofErr w:type="spellEnd"/>
      <w:r w:rsidR="00A30BFF">
        <w:t xml:space="preserve"> reported that 59% of Australians did not understand the meaning of the word ‘philanthropy’ nor did they understand the importance of supporting charities and </w:t>
      </w:r>
      <w:proofErr w:type="spellStart"/>
      <w:r w:rsidR="00A30BFF">
        <w:t>NFPs</w:t>
      </w:r>
      <w:proofErr w:type="spellEnd"/>
      <w:r w:rsidR="00A30BFF">
        <w:t xml:space="preserve"> or have knowledge about effective giving. </w:t>
      </w:r>
      <w:r w:rsidRPr="00E8142E">
        <w:rPr>
          <w:rFonts w:asciiTheme="minorHAnsi" w:hAnsiTheme="minorHAnsi" w:cstheme="minorHAnsi"/>
          <w:color w:val="000000"/>
        </w:rPr>
        <w:t>If younger generations can be engaged early in a culture of giving</w:t>
      </w:r>
      <w:r w:rsidR="00C0415B">
        <w:rPr>
          <w:rFonts w:asciiTheme="minorHAnsi" w:hAnsiTheme="minorHAnsi" w:cstheme="minorHAnsi"/>
          <w:color w:val="000000"/>
        </w:rPr>
        <w:t>,</w:t>
      </w:r>
      <w:r w:rsidRPr="00E8142E">
        <w:rPr>
          <w:rFonts w:asciiTheme="minorHAnsi" w:hAnsiTheme="minorHAnsi" w:cstheme="minorHAnsi"/>
          <w:color w:val="000000"/>
        </w:rPr>
        <w:t xml:space="preserve"> this is likely to build a stronger pipeline of future philanthropists.</w:t>
      </w:r>
      <w:r w:rsidR="007B0D6E">
        <w:rPr>
          <w:rFonts w:asciiTheme="minorHAnsi" w:hAnsiTheme="minorHAnsi" w:cstheme="minorHAnsi"/>
          <w:color w:val="000000"/>
        </w:rPr>
        <w:t xml:space="preserve"> </w:t>
      </w:r>
    </w:p>
    <w:p w14:paraId="088672B8" w14:textId="77777777" w:rsidR="00BD6094" w:rsidRDefault="00BD6094" w:rsidP="007B0D6E"/>
    <w:p w14:paraId="3A575667" w14:textId="691147FC" w:rsidR="00E3450B" w:rsidRDefault="00E3450B" w:rsidP="00E3450B">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E8142E">
        <w:rPr>
          <w:rFonts w:asciiTheme="minorHAnsi" w:hAnsiTheme="minorHAnsi" w:cstheme="minorHAnsi"/>
          <w:color w:val="000000"/>
          <w:sz w:val="22"/>
          <w:szCs w:val="22"/>
        </w:rPr>
        <w:t>Efforts to encourage giving could start as early as school</w:t>
      </w:r>
      <w:r w:rsidR="00BF3ECB">
        <w:rPr>
          <w:rFonts w:asciiTheme="minorHAnsi" w:hAnsiTheme="minorHAnsi" w:cstheme="minorHAnsi"/>
          <w:color w:val="000000"/>
          <w:sz w:val="22"/>
          <w:szCs w:val="22"/>
        </w:rPr>
        <w:t>, and t</w:t>
      </w:r>
      <w:r w:rsidRPr="00E8142E">
        <w:rPr>
          <w:rFonts w:asciiTheme="minorHAnsi" w:hAnsiTheme="minorHAnsi" w:cstheme="minorHAnsi"/>
          <w:color w:val="000000"/>
          <w:sz w:val="22"/>
          <w:szCs w:val="22"/>
        </w:rPr>
        <w:t>here are a number of programs already running in Australia that address the value of building a culture of philanthropy in school-aged children</w:t>
      </w:r>
      <w:r w:rsidR="00CE2AAF">
        <w:rPr>
          <w:rFonts w:asciiTheme="minorHAnsi" w:hAnsiTheme="minorHAnsi" w:cstheme="minorHAnsi"/>
          <w:color w:val="000000"/>
          <w:sz w:val="22"/>
          <w:szCs w:val="22"/>
        </w:rPr>
        <w:t xml:space="preserve">, such as the Youth in Philanthropy </w:t>
      </w:r>
      <w:r w:rsidR="00992E09">
        <w:rPr>
          <w:rFonts w:asciiTheme="minorHAnsi" w:hAnsiTheme="minorHAnsi" w:cstheme="minorHAnsi"/>
          <w:color w:val="000000"/>
          <w:sz w:val="22"/>
          <w:szCs w:val="22"/>
        </w:rPr>
        <w:t>initiative founded by the Lord Mayor’s Charitable Foundation in Melbourne</w:t>
      </w:r>
      <w:r w:rsidRPr="00E8142E">
        <w:rPr>
          <w:rFonts w:asciiTheme="minorHAnsi" w:hAnsiTheme="minorHAnsi" w:cstheme="minorHAnsi"/>
          <w:color w:val="000000"/>
          <w:sz w:val="22"/>
          <w:szCs w:val="22"/>
        </w:rPr>
        <w:t>.</w:t>
      </w:r>
      <w:r w:rsidR="002132B9" w:rsidRPr="00E8142E">
        <w:rPr>
          <w:rFonts w:asciiTheme="minorHAnsi" w:hAnsiTheme="minorHAnsi" w:cstheme="minorHAnsi"/>
          <w:color w:val="000000"/>
          <w:sz w:val="22"/>
          <w:szCs w:val="22"/>
        </w:rPr>
        <w:t xml:space="preserve"> </w:t>
      </w:r>
      <w:r w:rsidR="002B407F">
        <w:rPr>
          <w:rFonts w:asciiTheme="minorHAnsi" w:hAnsiTheme="minorHAnsi" w:cstheme="minorHAnsi"/>
          <w:color w:val="000000"/>
          <w:sz w:val="22"/>
          <w:szCs w:val="22"/>
        </w:rPr>
        <w:t>Our membership base of schools, provide</w:t>
      </w:r>
      <w:r w:rsidR="00FA1BF1">
        <w:rPr>
          <w:rFonts w:asciiTheme="minorHAnsi" w:hAnsiTheme="minorHAnsi" w:cstheme="minorHAnsi"/>
          <w:color w:val="000000"/>
          <w:sz w:val="22"/>
          <w:szCs w:val="22"/>
        </w:rPr>
        <w:t>s</w:t>
      </w:r>
      <w:r w:rsidR="002B407F">
        <w:rPr>
          <w:rFonts w:asciiTheme="minorHAnsi" w:hAnsiTheme="minorHAnsi" w:cstheme="minorHAnsi"/>
          <w:color w:val="000000"/>
          <w:sz w:val="22"/>
          <w:szCs w:val="22"/>
        </w:rPr>
        <w:t xml:space="preserve"> the perfect launching pad for </w:t>
      </w:r>
      <w:r w:rsidR="00936602">
        <w:rPr>
          <w:rFonts w:asciiTheme="minorHAnsi" w:hAnsiTheme="minorHAnsi" w:cstheme="minorHAnsi"/>
          <w:color w:val="000000"/>
          <w:sz w:val="22"/>
          <w:szCs w:val="22"/>
        </w:rPr>
        <w:t xml:space="preserve">initiating earlier giving habits. </w:t>
      </w:r>
      <w:r w:rsidR="002132B9">
        <w:rPr>
          <w:rFonts w:asciiTheme="minorHAnsi" w:hAnsiTheme="minorHAnsi" w:cstheme="minorHAnsi"/>
          <w:color w:val="000000"/>
          <w:sz w:val="22"/>
          <w:szCs w:val="22"/>
        </w:rPr>
        <w:t xml:space="preserve">Many </w:t>
      </w:r>
      <w:r w:rsidR="00FA1BF1">
        <w:rPr>
          <w:rFonts w:asciiTheme="minorHAnsi" w:hAnsiTheme="minorHAnsi" w:cstheme="minorHAnsi"/>
          <w:color w:val="000000"/>
          <w:sz w:val="22"/>
          <w:szCs w:val="22"/>
        </w:rPr>
        <w:t xml:space="preserve">such programs </w:t>
      </w:r>
      <w:r w:rsidRPr="00E8142E">
        <w:rPr>
          <w:rFonts w:asciiTheme="minorHAnsi" w:hAnsiTheme="minorHAnsi" w:cstheme="minorHAnsi"/>
          <w:color w:val="000000"/>
          <w:sz w:val="22"/>
          <w:szCs w:val="22"/>
        </w:rPr>
        <w:t>are currently at a small scale, but evaluations have found them to be successful in fostering a culture of giving in school communities.</w:t>
      </w:r>
      <w:r w:rsidR="002132B9" w:rsidRPr="002132B9">
        <w:t xml:space="preserve"> </w:t>
      </w:r>
      <w:r w:rsidR="002132B9">
        <w:rPr>
          <w:rFonts w:asciiTheme="minorHAnsi" w:hAnsiTheme="minorHAnsi" w:cstheme="minorHAnsi"/>
          <w:color w:val="000000"/>
          <w:sz w:val="22"/>
          <w:szCs w:val="22"/>
        </w:rPr>
        <w:t>With</w:t>
      </w:r>
      <w:r w:rsidR="00213190">
        <w:rPr>
          <w:rFonts w:asciiTheme="minorHAnsi" w:hAnsiTheme="minorHAnsi" w:cstheme="minorHAnsi"/>
          <w:color w:val="000000"/>
          <w:sz w:val="22"/>
          <w:szCs w:val="22"/>
        </w:rPr>
        <w:t xml:space="preserve"> additional</w:t>
      </w:r>
      <w:r w:rsidR="002132B9">
        <w:rPr>
          <w:rFonts w:asciiTheme="minorHAnsi" w:hAnsiTheme="minorHAnsi" w:cstheme="minorHAnsi"/>
          <w:color w:val="000000"/>
          <w:sz w:val="22"/>
          <w:szCs w:val="22"/>
        </w:rPr>
        <w:t xml:space="preserve"> </w:t>
      </w:r>
      <w:r w:rsidR="00213190">
        <w:rPr>
          <w:rFonts w:asciiTheme="minorHAnsi" w:hAnsiTheme="minorHAnsi" w:cstheme="minorHAnsi"/>
          <w:color w:val="000000"/>
          <w:sz w:val="22"/>
          <w:szCs w:val="22"/>
        </w:rPr>
        <w:t xml:space="preserve">Government support, the best of these could be scaled up and adopted nationally, </w:t>
      </w:r>
      <w:r w:rsidR="000A134D">
        <w:rPr>
          <w:rFonts w:asciiTheme="minorHAnsi" w:hAnsiTheme="minorHAnsi" w:cstheme="minorHAnsi"/>
          <w:color w:val="000000"/>
          <w:sz w:val="22"/>
          <w:szCs w:val="22"/>
        </w:rPr>
        <w:t>to the benefit of Australia as a whole.</w:t>
      </w:r>
    </w:p>
    <w:p w14:paraId="1967F13A" w14:textId="77777777" w:rsidR="008A3CF5" w:rsidRPr="008A3CF5" w:rsidRDefault="008A3CF5" w:rsidP="008A3CF5">
      <w:pPr>
        <w:rPr>
          <w:vanish/>
        </w:rPr>
      </w:pPr>
      <w:r w:rsidRPr="008A3CF5">
        <w:rPr>
          <w:vanish/>
        </w:rPr>
        <w:t>Top of Form</w:t>
      </w:r>
    </w:p>
    <w:p w14:paraId="1D5C78A1" w14:textId="77777777" w:rsidR="008A3CF5" w:rsidRPr="008A3CF5" w:rsidRDefault="008A3CF5" w:rsidP="008A3CF5">
      <w:pPr>
        <w:rPr>
          <w:vanish/>
        </w:rPr>
      </w:pPr>
      <w:r w:rsidRPr="008A3CF5">
        <w:rPr>
          <w:vanish/>
        </w:rPr>
        <w:t>Bottom of Form</w:t>
      </w:r>
    </w:p>
    <w:p w14:paraId="323917D5" w14:textId="77777777" w:rsidR="00C97BAF" w:rsidRDefault="00C97BAF" w:rsidP="00596706"/>
    <w:p w14:paraId="241BAEE1" w14:textId="1BE25E3C" w:rsidR="004E3643" w:rsidRPr="00BC0388" w:rsidRDefault="00596706" w:rsidP="00821BE4">
      <w:pPr>
        <w:spacing w:after="120"/>
        <w:rPr>
          <w:b/>
          <w:bCs/>
        </w:rPr>
      </w:pPr>
      <w:r w:rsidRPr="00BC0388">
        <w:rPr>
          <w:b/>
          <w:bCs/>
        </w:rPr>
        <w:t>Recommendations</w:t>
      </w:r>
    </w:p>
    <w:p w14:paraId="62C97DE5" w14:textId="77777777" w:rsidR="00E81C73" w:rsidRDefault="002F0BF6" w:rsidP="00065DCF">
      <w:pPr>
        <w:pStyle w:val="ListParagraph"/>
        <w:numPr>
          <w:ilvl w:val="0"/>
          <w:numId w:val="5"/>
        </w:numPr>
        <w:spacing w:after="120"/>
      </w:pPr>
      <w:r>
        <w:t>Creation of a G</w:t>
      </w:r>
      <w:r w:rsidR="005E6311">
        <w:t xml:space="preserve">overnment </w:t>
      </w:r>
      <w:r>
        <w:t>grant program to support</w:t>
      </w:r>
      <w:r w:rsidR="00E81C73">
        <w:t>:</w:t>
      </w:r>
    </w:p>
    <w:p w14:paraId="4F6589E8" w14:textId="0568697E" w:rsidR="00E81C73" w:rsidRDefault="008269A5" w:rsidP="00E81C73">
      <w:pPr>
        <w:pStyle w:val="ListParagraph"/>
        <w:numPr>
          <w:ilvl w:val="2"/>
          <w:numId w:val="19"/>
        </w:numPr>
        <w:spacing w:after="120"/>
        <w:ind w:left="851" w:hanging="425"/>
      </w:pPr>
      <w:r>
        <w:t>pilot initiatives aiming to encourage young people to engage in philanthropy</w:t>
      </w:r>
      <w:r w:rsidR="005E6311">
        <w:t xml:space="preserve"> </w:t>
      </w:r>
      <w:r>
        <w:t xml:space="preserve">and </w:t>
      </w:r>
    </w:p>
    <w:p w14:paraId="215086EE" w14:textId="7AC80207" w:rsidR="00596706" w:rsidRDefault="008269A5" w:rsidP="00E81C73">
      <w:pPr>
        <w:pStyle w:val="ListParagraph"/>
        <w:numPr>
          <w:ilvl w:val="2"/>
          <w:numId w:val="19"/>
        </w:numPr>
        <w:spacing w:after="120"/>
        <w:ind w:left="851" w:hanging="425"/>
      </w:pPr>
      <w:r>
        <w:t xml:space="preserve"> </w:t>
      </w:r>
      <w:r w:rsidR="00821BE4">
        <w:t xml:space="preserve">the </w:t>
      </w:r>
      <w:r w:rsidR="003E50F1">
        <w:t xml:space="preserve">roll out of the most successful initiatives, for adoption at a regional or national level </w:t>
      </w:r>
    </w:p>
    <w:p w14:paraId="71237FFF" w14:textId="7FA46235" w:rsidR="00505379" w:rsidRDefault="009518EC" w:rsidP="00065DCF">
      <w:pPr>
        <w:pStyle w:val="ListParagraph"/>
        <w:numPr>
          <w:ilvl w:val="0"/>
          <w:numId w:val="5"/>
        </w:numPr>
        <w:spacing w:after="120"/>
      </w:pPr>
      <w:r>
        <w:t>Funding for</w:t>
      </w:r>
      <w:r w:rsidR="00505379">
        <w:t xml:space="preserve"> education programs around the benefits of philanthropy </w:t>
      </w:r>
      <w:r w:rsidR="00BC0388">
        <w:t xml:space="preserve">amongst younger people (both students and </w:t>
      </w:r>
      <w:r w:rsidR="00E81C73">
        <w:t xml:space="preserve">younger </w:t>
      </w:r>
      <w:r w:rsidR="00BC0388">
        <w:t>parents)</w:t>
      </w:r>
    </w:p>
    <w:p w14:paraId="595F664B" w14:textId="28EBB711" w:rsidR="00237C9A" w:rsidRDefault="00237C9A" w:rsidP="00237C9A"/>
    <w:p w14:paraId="042F7023" w14:textId="5358248A" w:rsidR="00832CE5" w:rsidRDefault="00832CE5" w:rsidP="00EC2567"/>
    <w:p w14:paraId="706DFB3A" w14:textId="10D2F069" w:rsidR="00692243" w:rsidRPr="009A47B4" w:rsidRDefault="00800A44" w:rsidP="009A47B4">
      <w:pPr>
        <w:pBdr>
          <w:top w:val="single" w:sz="4" w:space="0" w:color="auto"/>
          <w:left w:val="single" w:sz="4" w:space="4" w:color="auto"/>
          <w:bottom w:val="single" w:sz="4" w:space="1" w:color="auto"/>
          <w:right w:val="single" w:sz="4" w:space="4" w:color="auto"/>
        </w:pBdr>
        <w:shd w:val="clear" w:color="auto" w:fill="A8D08D" w:themeFill="accent6" w:themeFillTint="99"/>
        <w:rPr>
          <w:rFonts w:asciiTheme="minorHAnsi" w:hAnsiTheme="minorHAnsi" w:cstheme="minorHAnsi"/>
          <w:b/>
          <w:bCs/>
          <w:sz w:val="24"/>
          <w:szCs w:val="24"/>
        </w:rPr>
      </w:pPr>
      <w:r w:rsidRPr="009A47B4">
        <w:rPr>
          <w:rFonts w:asciiTheme="minorHAnsi" w:hAnsiTheme="minorHAnsi" w:cstheme="minorHAnsi"/>
          <w:b/>
          <w:bCs/>
          <w:sz w:val="24"/>
          <w:szCs w:val="24"/>
        </w:rPr>
        <w:t xml:space="preserve">Awarding </w:t>
      </w:r>
      <w:proofErr w:type="spellStart"/>
      <w:r w:rsidRPr="009A47B4">
        <w:rPr>
          <w:rFonts w:asciiTheme="minorHAnsi" w:hAnsiTheme="minorHAnsi" w:cstheme="minorHAnsi"/>
          <w:b/>
          <w:bCs/>
          <w:sz w:val="24"/>
          <w:szCs w:val="24"/>
        </w:rPr>
        <w:t>DGR</w:t>
      </w:r>
      <w:proofErr w:type="spellEnd"/>
      <w:r w:rsidRPr="009A47B4">
        <w:rPr>
          <w:rFonts w:asciiTheme="minorHAnsi" w:hAnsiTheme="minorHAnsi" w:cstheme="minorHAnsi"/>
          <w:b/>
          <w:bCs/>
          <w:sz w:val="24"/>
          <w:szCs w:val="24"/>
        </w:rPr>
        <w:t xml:space="preserve"> status to schools</w:t>
      </w:r>
    </w:p>
    <w:p w14:paraId="67945300" w14:textId="77777777" w:rsidR="00692243" w:rsidRDefault="00692243" w:rsidP="00EC2567"/>
    <w:p w14:paraId="4B86CF82" w14:textId="05472458" w:rsidR="00BA5A88" w:rsidRDefault="00D57F4F" w:rsidP="004F2397">
      <w:r>
        <w:t>In the US, education is the second biggest rec</w:t>
      </w:r>
      <w:r w:rsidR="00680FE5">
        <w:t>i</w:t>
      </w:r>
      <w:r>
        <w:t xml:space="preserve">pient of </w:t>
      </w:r>
      <w:r w:rsidR="00680FE5">
        <w:t>voluntary donations</w:t>
      </w:r>
      <w:r w:rsidR="00150A20">
        <w:t xml:space="preserve"> </w:t>
      </w:r>
      <w:hyperlink r:id="rId19" w:history="1">
        <w:r w:rsidR="00150A20" w:rsidRPr="00E64E89">
          <w:rPr>
            <w:rStyle w:val="Hyperlink"/>
          </w:rPr>
          <w:t>(14%),</w:t>
        </w:r>
      </w:hyperlink>
      <w:r w:rsidR="00680FE5">
        <w:t xml:space="preserve"> after religion</w:t>
      </w:r>
      <w:r w:rsidR="00391C61">
        <w:t xml:space="preserve">. </w:t>
      </w:r>
      <w:r w:rsidR="00F7212B">
        <w:t>I</w:t>
      </w:r>
      <w:r w:rsidR="007516C0">
        <w:t>n Australia</w:t>
      </w:r>
      <w:r w:rsidR="00391C61">
        <w:t xml:space="preserve">, </w:t>
      </w:r>
      <w:r w:rsidR="001467D7">
        <w:t>education only receive</w:t>
      </w:r>
      <w:r w:rsidR="007516C0">
        <w:t>s</w:t>
      </w:r>
      <w:r w:rsidR="00667DA8">
        <w:t xml:space="preserve"> half of that,</w:t>
      </w:r>
      <w:r w:rsidR="007516C0">
        <w:t xml:space="preserve"> </w:t>
      </w:r>
      <w:r w:rsidR="00667DA8">
        <w:t xml:space="preserve">about </w:t>
      </w:r>
      <w:hyperlink r:id="rId20" w:history="1">
        <w:r w:rsidR="00667DA8" w:rsidRPr="00667DA8">
          <w:rPr>
            <w:rStyle w:val="Hyperlink"/>
          </w:rPr>
          <w:t>7%</w:t>
        </w:r>
      </w:hyperlink>
      <w:r w:rsidR="00667DA8">
        <w:t xml:space="preserve"> of</w:t>
      </w:r>
      <w:r w:rsidR="001467D7">
        <w:t xml:space="preserve"> the total.</w:t>
      </w:r>
      <w:r w:rsidR="00057FF2">
        <w:t xml:space="preserve"> One factor that we believe inhibits </w:t>
      </w:r>
      <w:r w:rsidR="00AA0BB9">
        <w:t xml:space="preserve">philanthropic support for Australian schools is the restriction of </w:t>
      </w:r>
      <w:proofErr w:type="spellStart"/>
      <w:r w:rsidR="00C504AC">
        <w:t>DGR</w:t>
      </w:r>
      <w:proofErr w:type="spellEnd"/>
      <w:r w:rsidR="00C504AC">
        <w:t xml:space="preserve"> status to a limited set of funds</w:t>
      </w:r>
      <w:r w:rsidR="00B70930">
        <w:t xml:space="preserve"> (Scholarships, Libraries, Buildings)</w:t>
      </w:r>
      <w:r w:rsidR="00C504AC">
        <w:t xml:space="preserve">. </w:t>
      </w:r>
    </w:p>
    <w:p w14:paraId="0A060419" w14:textId="77777777" w:rsidR="00BA5A88" w:rsidRDefault="00BA5A88" w:rsidP="004F2397"/>
    <w:p w14:paraId="2AF94D72" w14:textId="110A204F" w:rsidR="00B80D21" w:rsidRDefault="0021247A" w:rsidP="00B80D21">
      <w:r>
        <w:t xml:space="preserve">The absence of </w:t>
      </w:r>
      <w:proofErr w:type="spellStart"/>
      <w:r>
        <w:t>DGR</w:t>
      </w:r>
      <w:proofErr w:type="spellEnd"/>
      <w:r>
        <w:t xml:space="preserve"> status for an activity </w:t>
      </w:r>
      <w:r w:rsidR="001B2F12">
        <w:t>dis</w:t>
      </w:r>
      <w:r w:rsidR="00401EE0">
        <w:t>inc</w:t>
      </w:r>
      <w:r w:rsidR="001B2F12">
        <w:t>entivises giving</w:t>
      </w:r>
      <w:r w:rsidR="0063468D">
        <w:t>,</w:t>
      </w:r>
      <w:r w:rsidR="00401EE0">
        <w:t xml:space="preserve"> both through the </w:t>
      </w:r>
      <w:r w:rsidR="005F1EED">
        <w:t>loss</w:t>
      </w:r>
      <w:r w:rsidR="00401EE0">
        <w:t xml:space="preserve"> of the tax benefit to the donor, </w:t>
      </w:r>
      <w:r w:rsidR="0063468D">
        <w:t>but also</w:t>
      </w:r>
      <w:r w:rsidR="008144F5">
        <w:t xml:space="preserve"> through the</w:t>
      </w:r>
      <w:r w:rsidR="0063468D">
        <w:t xml:space="preserve"> impl</w:t>
      </w:r>
      <w:r w:rsidR="008144F5">
        <w:t xml:space="preserve">ication </w:t>
      </w:r>
      <w:r w:rsidR="0063468D">
        <w:t>that the activity is not</w:t>
      </w:r>
      <w:r w:rsidR="001B2F12">
        <w:t xml:space="preserve"> deemed</w:t>
      </w:r>
      <w:r w:rsidR="0063468D">
        <w:t xml:space="preserve"> socially desirable</w:t>
      </w:r>
      <w:r w:rsidR="001B2F12">
        <w:t xml:space="preserve"> and worthy of </w:t>
      </w:r>
      <w:r w:rsidR="008144F5">
        <w:t xml:space="preserve">charitable status. </w:t>
      </w:r>
      <w:r w:rsidR="008704F3">
        <w:t>It seems arbitrary to</w:t>
      </w:r>
      <w:r w:rsidR="00B82C9F">
        <w:t xml:space="preserve"> completely</w:t>
      </w:r>
      <w:r w:rsidR="008704F3">
        <w:t xml:space="preserve"> exclude school sports, </w:t>
      </w:r>
      <w:r w:rsidR="0057316D">
        <w:t xml:space="preserve">mental health and </w:t>
      </w:r>
      <w:r w:rsidR="008704F3">
        <w:t>wellbein</w:t>
      </w:r>
      <w:r w:rsidR="00B82C9F">
        <w:t>g</w:t>
      </w:r>
      <w:r w:rsidR="008704F3">
        <w:t xml:space="preserve"> initiatives, arts</w:t>
      </w:r>
      <w:r w:rsidR="00B82C9F">
        <w:t xml:space="preserve"> and cultural</w:t>
      </w:r>
      <w:r w:rsidR="008704F3">
        <w:t xml:space="preserve"> programmes</w:t>
      </w:r>
      <w:r w:rsidR="0057316D">
        <w:t>. T</w:t>
      </w:r>
      <w:r w:rsidR="00965EAA">
        <w:t>he requirement to establish and maintain</w:t>
      </w:r>
      <w:r w:rsidR="00A32901">
        <w:t xml:space="preserve"> multiple </w:t>
      </w:r>
      <w:proofErr w:type="spellStart"/>
      <w:r w:rsidR="00A32901">
        <w:t>DGR</w:t>
      </w:r>
      <w:proofErr w:type="spellEnd"/>
      <w:r w:rsidR="00A32901">
        <w:t xml:space="preserve"> Funds</w:t>
      </w:r>
      <w:r w:rsidR="00B82C9F">
        <w:t xml:space="preserve"> for </w:t>
      </w:r>
      <w:r w:rsidR="00217743">
        <w:t>activities that are currently deemed permissible</w:t>
      </w:r>
      <w:r w:rsidR="00A32901">
        <w:t xml:space="preserve"> also places an </w:t>
      </w:r>
      <w:r w:rsidR="00217743">
        <w:t xml:space="preserve">unwelcome </w:t>
      </w:r>
      <w:r w:rsidR="00A32901">
        <w:t xml:space="preserve">additional </w:t>
      </w:r>
      <w:r w:rsidR="009A5C99">
        <w:t xml:space="preserve">administrative burden </w:t>
      </w:r>
      <w:r w:rsidR="00217743">
        <w:t>on schools and can create confusion for potential donors.</w:t>
      </w:r>
      <w:r w:rsidR="00B80D21" w:rsidRPr="00B80D21">
        <w:t xml:space="preserve"> </w:t>
      </w:r>
      <w:r w:rsidR="00B80D21">
        <w:t xml:space="preserve">This contrasts with the tertiary sector, where public universities hold ‘whole of organisation’ </w:t>
      </w:r>
      <w:proofErr w:type="spellStart"/>
      <w:r w:rsidR="00B80D21">
        <w:t>DGR</w:t>
      </w:r>
      <w:proofErr w:type="spellEnd"/>
      <w:r w:rsidR="00B80D21">
        <w:t xml:space="preserve"> status.  </w:t>
      </w:r>
    </w:p>
    <w:p w14:paraId="55CD386F" w14:textId="77777777" w:rsidR="00965EAA" w:rsidRDefault="00965EAA" w:rsidP="004F2397"/>
    <w:p w14:paraId="0BC7F142" w14:textId="31D129F2" w:rsidR="00150A20" w:rsidRDefault="00B33841" w:rsidP="004F2397">
      <w:r>
        <w:t>To elevate giving to p</w:t>
      </w:r>
      <w:r w:rsidR="002628B6">
        <w:t xml:space="preserve">rimary and </w:t>
      </w:r>
      <w:r>
        <w:t>s</w:t>
      </w:r>
      <w:r w:rsidR="002628B6">
        <w:t xml:space="preserve">econdary </w:t>
      </w:r>
      <w:r>
        <w:t>e</w:t>
      </w:r>
      <w:r w:rsidR="002628B6">
        <w:t>ducation</w:t>
      </w:r>
      <w:r>
        <w:t xml:space="preserve">, </w:t>
      </w:r>
      <w:r w:rsidR="00683829">
        <w:t>and signal that society values our schools</w:t>
      </w:r>
      <w:r w:rsidR="00850390">
        <w:t xml:space="preserve"> (and our educational industry) </w:t>
      </w:r>
      <w:r w:rsidR="00683829">
        <w:t xml:space="preserve">, we ask </w:t>
      </w:r>
      <w:r w:rsidR="002B29E3">
        <w:t xml:space="preserve">that whole of organisation </w:t>
      </w:r>
      <w:proofErr w:type="spellStart"/>
      <w:r w:rsidR="002B29E3">
        <w:t>DGR</w:t>
      </w:r>
      <w:proofErr w:type="spellEnd"/>
      <w:r w:rsidR="002B29E3">
        <w:t xml:space="preserve"> status be automatically </w:t>
      </w:r>
      <w:r w:rsidR="00683829">
        <w:t xml:space="preserve">given </w:t>
      </w:r>
      <w:r w:rsidR="00683829">
        <w:lastRenderedPageBreak/>
        <w:t xml:space="preserve">to </w:t>
      </w:r>
      <w:r w:rsidR="00B54B67">
        <w:t xml:space="preserve">all </w:t>
      </w:r>
      <w:proofErr w:type="spellStart"/>
      <w:r w:rsidR="00B54B67">
        <w:t>NFP</w:t>
      </w:r>
      <w:proofErr w:type="spellEnd"/>
      <w:r w:rsidR="00B54B67">
        <w:t xml:space="preserve"> schools</w:t>
      </w:r>
      <w:r w:rsidR="00B21E88">
        <w:t>, and that consideration also be given to</w:t>
      </w:r>
      <w:r w:rsidR="00077097">
        <w:t xml:space="preserve"> create a mechanism for</w:t>
      </w:r>
      <w:r w:rsidR="00B21E88">
        <w:t xml:space="preserve"> extending this to Government schools, to enable them to receive donations directly</w:t>
      </w:r>
      <w:r w:rsidR="00A71426">
        <w:t xml:space="preserve">. </w:t>
      </w:r>
    </w:p>
    <w:p w14:paraId="0436BD9D" w14:textId="0971CE6D" w:rsidR="00B83F8D" w:rsidRDefault="00B83F8D" w:rsidP="00EC2567"/>
    <w:p w14:paraId="0DF6D502" w14:textId="5AC37815" w:rsidR="00144226" w:rsidRPr="00BC0388" w:rsidRDefault="00144226" w:rsidP="00144226">
      <w:pPr>
        <w:spacing w:after="120"/>
        <w:rPr>
          <w:b/>
          <w:bCs/>
        </w:rPr>
      </w:pPr>
      <w:r w:rsidRPr="00BC0388">
        <w:rPr>
          <w:b/>
          <w:bCs/>
        </w:rPr>
        <w:t>Recommendations</w:t>
      </w:r>
    </w:p>
    <w:p w14:paraId="6E08E18B" w14:textId="5E4F76BD" w:rsidR="00B83F8D" w:rsidRDefault="003C2D08" w:rsidP="00065DCF">
      <w:pPr>
        <w:pStyle w:val="ListParagraph"/>
        <w:numPr>
          <w:ilvl w:val="0"/>
          <w:numId w:val="5"/>
        </w:numPr>
      </w:pPr>
      <w:r>
        <w:t xml:space="preserve">Adjust </w:t>
      </w:r>
      <w:proofErr w:type="spellStart"/>
      <w:r>
        <w:t>DGR</w:t>
      </w:r>
      <w:proofErr w:type="spellEnd"/>
      <w:r>
        <w:t xml:space="preserve"> regulations so that </w:t>
      </w:r>
      <w:proofErr w:type="spellStart"/>
      <w:r>
        <w:t>NFP</w:t>
      </w:r>
      <w:proofErr w:type="spellEnd"/>
      <w:r>
        <w:t xml:space="preserve"> schools </w:t>
      </w:r>
      <w:r w:rsidR="00B70930">
        <w:t xml:space="preserve">hold full </w:t>
      </w:r>
      <w:proofErr w:type="spellStart"/>
      <w:r w:rsidR="00B70930">
        <w:t>DGR</w:t>
      </w:r>
      <w:proofErr w:type="spellEnd"/>
      <w:r w:rsidR="00B70930">
        <w:t xml:space="preserve"> status by default</w:t>
      </w:r>
    </w:p>
    <w:p w14:paraId="4CBD6042" w14:textId="1F885CDF" w:rsidR="00B83F8D" w:rsidRDefault="00B83F8D" w:rsidP="00EC2567"/>
    <w:p w14:paraId="797CA315" w14:textId="77777777" w:rsidR="00832CE5" w:rsidRDefault="00832CE5" w:rsidP="00EC2567"/>
    <w:p w14:paraId="57CF9F2A" w14:textId="185F4799" w:rsidR="00832CE5" w:rsidRPr="009A47B4" w:rsidRDefault="00832CE5" w:rsidP="009A47B4">
      <w:pPr>
        <w:pBdr>
          <w:top w:val="single" w:sz="4" w:space="0" w:color="auto"/>
          <w:left w:val="single" w:sz="4" w:space="4" w:color="auto"/>
          <w:bottom w:val="single" w:sz="4" w:space="1" w:color="auto"/>
          <w:right w:val="single" w:sz="4" w:space="4" w:color="auto"/>
        </w:pBdr>
        <w:shd w:val="clear" w:color="auto" w:fill="A8D08D" w:themeFill="accent6" w:themeFillTint="99"/>
        <w:rPr>
          <w:rFonts w:asciiTheme="minorHAnsi" w:hAnsiTheme="minorHAnsi" w:cstheme="minorHAnsi"/>
          <w:b/>
          <w:bCs/>
          <w:sz w:val="24"/>
          <w:szCs w:val="24"/>
        </w:rPr>
      </w:pPr>
      <w:r w:rsidRPr="009A47B4">
        <w:rPr>
          <w:rFonts w:asciiTheme="minorHAnsi" w:hAnsiTheme="minorHAnsi" w:cstheme="minorHAnsi"/>
          <w:b/>
          <w:bCs/>
          <w:sz w:val="24"/>
          <w:szCs w:val="24"/>
        </w:rPr>
        <w:t>About Educate Plus</w:t>
      </w:r>
    </w:p>
    <w:p w14:paraId="28590665" w14:textId="77777777" w:rsidR="00903353" w:rsidRDefault="00903353" w:rsidP="00EC2567"/>
    <w:p w14:paraId="123CACF6" w14:textId="12229DFB" w:rsidR="00EC2567" w:rsidRDefault="00056D7E" w:rsidP="00EC2567">
      <w:hyperlink r:id="rId21" w:history="1">
        <w:r w:rsidR="00EC2567" w:rsidRPr="00060A9E">
          <w:rPr>
            <w:rStyle w:val="Hyperlink"/>
          </w:rPr>
          <w:t>Educate Plus</w:t>
        </w:r>
      </w:hyperlink>
      <w:r w:rsidR="00EC2567">
        <w:t xml:space="preserve"> is a membership organisation of 2,080 members who work in the Advancement sector. These are non-teaching staff who work in Fundraising, Admissions, Alumni Development and Marketing and Communication in public, independent and faith based schools, a few universities and residential Colleges. They are spread across every state in Australia in metro and regional areas and institutions vary hugely in size and scale.</w:t>
      </w:r>
    </w:p>
    <w:p w14:paraId="3CC407E6" w14:textId="77777777" w:rsidR="00EC2567" w:rsidRDefault="00EC2567" w:rsidP="00EC2567"/>
    <w:p w14:paraId="476FD4AD" w14:textId="77777777" w:rsidR="00EC2567" w:rsidRDefault="00EC2567" w:rsidP="00EC2567">
      <w:r>
        <w:t xml:space="preserve">In educational institutions, Advancement teams are generally lean and work closely together to progress and develop their institutions’ growth. The past 20 years has seen a huge increase in Philanthropy as a major driver of that growth for new facilities, scholarships and library funds. Most Heads of Schools now have dedicated key performance indicators attributed to fundraising and sophisticated programs with multi $ million targets are being achieved. All aspects of philanthropy are being employed from Giving Days, Annual Giving programs, Capital campaigns and Bequest programs, often with small teams on limited budgets. </w:t>
      </w:r>
    </w:p>
    <w:p w14:paraId="283ECDB0" w14:textId="77777777" w:rsidR="00EC2567" w:rsidRDefault="00EC2567" w:rsidP="00EC2567"/>
    <w:p w14:paraId="0C658E71" w14:textId="77777777" w:rsidR="00EC2567" w:rsidRDefault="00EC2567" w:rsidP="00EC2567">
      <w:r>
        <w:t>Of our total membership, 787 members (38%) have indicated that they are responsible for fundraising in their institutions but, interestingly, 211 of those also indicated that they had other areas of responsibility so were only managing fundraising as a part-time role. This goes to the crux of our submission – there are too few skilled fundraisers working in this area to significantly change the philanthropy landscape in the educational sector, let alone in Australia.</w:t>
      </w:r>
    </w:p>
    <w:p w14:paraId="2F162CB0" w14:textId="77777777" w:rsidR="00EC2567" w:rsidRDefault="00EC2567" w:rsidP="00EC2567"/>
    <w:p w14:paraId="548B4CD1" w14:textId="15DCE005" w:rsidR="00832CE5" w:rsidRDefault="00EC2567" w:rsidP="00BE0B50">
      <w:r>
        <w:t>Most of our member institutions are registered as Not For Profit organisations and operate very much as For Purpose organisations in terms of their fundraising approaches and focus.</w:t>
      </w:r>
      <w:r w:rsidR="00BE0B50">
        <w:t xml:space="preserve"> </w:t>
      </w:r>
      <w:r w:rsidR="00832CE5">
        <w:t xml:space="preserve">The majority of our members are from schools </w:t>
      </w:r>
      <w:r w:rsidR="00832CE5" w:rsidRPr="000902CF">
        <w:t>in Australia</w:t>
      </w:r>
      <w:r w:rsidR="00832CE5">
        <w:t xml:space="preserve"> who </w:t>
      </w:r>
      <w:r w:rsidR="00832CE5" w:rsidRPr="000902CF">
        <w:t>are playing an increasingly important role in the philanthropy landscape, both as recipients of philanthropic support and as drivers of giving:</w:t>
      </w:r>
    </w:p>
    <w:p w14:paraId="558AEF17" w14:textId="77777777" w:rsidR="00BE0B50" w:rsidRPr="000902CF" w:rsidRDefault="00BE0B50" w:rsidP="00BE0B50"/>
    <w:p w14:paraId="7F0ECC2F" w14:textId="77777777" w:rsidR="00832CE5" w:rsidRPr="00D80329" w:rsidRDefault="00832CE5" w:rsidP="00904EC8">
      <w:pPr>
        <w:numPr>
          <w:ilvl w:val="0"/>
          <w:numId w:val="21"/>
        </w:numPr>
        <w:spacing w:after="160" w:line="259" w:lineRule="auto"/>
        <w:rPr>
          <w:b/>
          <w:bCs/>
        </w:rPr>
      </w:pPr>
      <w:r w:rsidRPr="000902CF">
        <w:rPr>
          <w:b/>
          <w:bCs/>
        </w:rPr>
        <w:t xml:space="preserve">Increasing philanthropic support for education </w:t>
      </w:r>
    </w:p>
    <w:p w14:paraId="75BC143E" w14:textId="77777777" w:rsidR="00832CE5" w:rsidRPr="000902CF" w:rsidRDefault="00832CE5" w:rsidP="00904EC8">
      <w:pPr>
        <w:spacing w:after="160" w:line="259" w:lineRule="auto"/>
        <w:ind w:left="720"/>
      </w:pPr>
      <w:r w:rsidRPr="000902CF">
        <w:t xml:space="preserve">Schools are a natural beneficiary of philanthropic support, particularly those in advantaged areas </w:t>
      </w:r>
      <w:r>
        <w:t>with access to further funds to invest in philanthropy in other areas such as health</w:t>
      </w:r>
      <w:r w:rsidRPr="000902CF">
        <w:t xml:space="preserve">. </w:t>
      </w:r>
      <w:r>
        <w:t>M</w:t>
      </w:r>
      <w:r w:rsidRPr="000902CF">
        <w:t>any schools are actively seeking donations from individuals, businesses, and foundations to fund projects such as new facilities, technology upgrades, and scholarships.</w:t>
      </w:r>
      <w:r>
        <w:t xml:space="preserve"> </w:t>
      </w:r>
    </w:p>
    <w:p w14:paraId="4B618163" w14:textId="77777777" w:rsidR="00832CE5" w:rsidRPr="00D80329" w:rsidRDefault="00832CE5" w:rsidP="00904EC8">
      <w:pPr>
        <w:numPr>
          <w:ilvl w:val="0"/>
          <w:numId w:val="21"/>
        </w:numPr>
        <w:spacing w:after="160" w:line="259" w:lineRule="auto"/>
        <w:rPr>
          <w:b/>
          <w:bCs/>
        </w:rPr>
      </w:pPr>
      <w:r w:rsidRPr="000902CF">
        <w:rPr>
          <w:b/>
          <w:bCs/>
        </w:rPr>
        <w:t>Encouraging student philanthropy</w:t>
      </w:r>
      <w:r w:rsidRPr="00D80329">
        <w:rPr>
          <w:b/>
          <w:bCs/>
        </w:rPr>
        <w:t xml:space="preserve"> (early start)</w:t>
      </w:r>
    </w:p>
    <w:p w14:paraId="76AD9E56" w14:textId="77777777" w:rsidR="00832CE5" w:rsidRDefault="00832CE5" w:rsidP="00904EC8">
      <w:pPr>
        <w:spacing w:after="160" w:line="259" w:lineRule="auto"/>
        <w:ind w:left="720"/>
      </w:pPr>
      <w:r>
        <w:t>Crucial to this point of the early start in activating a culture of philanthropy, are the many</w:t>
      </w:r>
      <w:r w:rsidRPr="000902CF">
        <w:t xml:space="preserve"> schools </w:t>
      </w:r>
      <w:r>
        <w:t xml:space="preserve">who </w:t>
      </w:r>
      <w:r w:rsidRPr="000902CF">
        <w:t xml:space="preserve">are </w:t>
      </w:r>
      <w:r>
        <w:t>successfully</w:t>
      </w:r>
      <w:r w:rsidRPr="000902CF">
        <w:t xml:space="preserve"> encouraging their students to engage in philanthropy by participating in charitable activities or starting their own fundraising initiatives. By teaching students about the importance of giving back, schools are helping to create a new generation of philanthropists.</w:t>
      </w:r>
    </w:p>
    <w:p w14:paraId="7A2B08EB" w14:textId="77777777" w:rsidR="00060A9E" w:rsidRPr="000902CF" w:rsidRDefault="00060A9E" w:rsidP="00904EC8">
      <w:pPr>
        <w:spacing w:after="160" w:line="259" w:lineRule="auto"/>
        <w:ind w:left="720"/>
      </w:pPr>
    </w:p>
    <w:p w14:paraId="7DA02E3E" w14:textId="77777777" w:rsidR="00832CE5" w:rsidRPr="00D80329" w:rsidRDefault="00832CE5" w:rsidP="00904EC8">
      <w:pPr>
        <w:numPr>
          <w:ilvl w:val="0"/>
          <w:numId w:val="21"/>
        </w:numPr>
        <w:spacing w:after="160" w:line="259" w:lineRule="auto"/>
        <w:rPr>
          <w:b/>
          <w:bCs/>
        </w:rPr>
      </w:pPr>
      <w:r w:rsidRPr="000902CF">
        <w:rPr>
          <w:b/>
          <w:bCs/>
        </w:rPr>
        <w:lastRenderedPageBreak/>
        <w:t>Fostering partnerships with businesses and foundations</w:t>
      </w:r>
    </w:p>
    <w:p w14:paraId="051AFB09" w14:textId="77777777" w:rsidR="00832CE5" w:rsidRPr="000902CF" w:rsidRDefault="00832CE5" w:rsidP="00904EC8">
      <w:pPr>
        <w:spacing w:after="160" w:line="259" w:lineRule="auto"/>
        <w:ind w:left="720"/>
      </w:pPr>
      <w:r w:rsidRPr="000902CF">
        <w:t>Schools are also forming partnerships with businesses and foundations to support their philanthropic efforts</w:t>
      </w:r>
      <w:r>
        <w:t xml:space="preserve"> which again broadens the scope of how philanthropy flows on from one recipient to another and by collaborating, the outcomes are far more beneficial to both parties</w:t>
      </w:r>
      <w:r w:rsidRPr="000902CF">
        <w:t xml:space="preserve">. </w:t>
      </w:r>
    </w:p>
    <w:p w14:paraId="771D3B25" w14:textId="77777777" w:rsidR="00832CE5" w:rsidRPr="00D80329" w:rsidRDefault="00832CE5" w:rsidP="00904EC8">
      <w:pPr>
        <w:numPr>
          <w:ilvl w:val="0"/>
          <w:numId w:val="21"/>
        </w:numPr>
        <w:spacing w:after="160" w:line="259" w:lineRule="auto"/>
        <w:rPr>
          <w:b/>
          <w:bCs/>
        </w:rPr>
      </w:pPr>
      <w:r w:rsidRPr="000902CF">
        <w:rPr>
          <w:b/>
          <w:bCs/>
        </w:rPr>
        <w:t>Embracing new technologies</w:t>
      </w:r>
    </w:p>
    <w:p w14:paraId="3772E118" w14:textId="77777777" w:rsidR="00832CE5" w:rsidRPr="000902CF" w:rsidRDefault="00832CE5" w:rsidP="00832CE5">
      <w:pPr>
        <w:spacing w:after="160" w:line="259" w:lineRule="auto"/>
        <w:ind w:left="720"/>
      </w:pPr>
      <w:r>
        <w:t>Schools</w:t>
      </w:r>
      <w:r w:rsidRPr="000902CF">
        <w:t xml:space="preserve"> are embracing new technologies to facilitate philanthropy such as online fundraising platforms, crowdfunding campaigns, and social media outreach. These tools make it easier for schools to connect with donors and encourage giving</w:t>
      </w:r>
      <w:r>
        <w:t xml:space="preserve"> and they are exposing their communities to what it means to give, what the impact is and how making regular and increasing gifts, a collective community can achieve its goals</w:t>
      </w:r>
      <w:r w:rsidRPr="000902CF">
        <w:t>.</w:t>
      </w:r>
    </w:p>
    <w:p w14:paraId="7A5D88B9" w14:textId="3F053596" w:rsidR="00AD712E" w:rsidRPr="00AD712E" w:rsidRDefault="00832CE5" w:rsidP="00AD712E">
      <w:pPr>
        <w:spacing w:after="160" w:line="259" w:lineRule="auto"/>
        <w:rPr>
          <w:rFonts w:asciiTheme="minorHAnsi" w:hAnsiTheme="minorHAnsi" w:cstheme="minorHAnsi"/>
          <w:color w:val="000000"/>
        </w:rPr>
      </w:pPr>
      <w:r w:rsidRPr="000902CF">
        <w:t>Overall, schools are helping to create a more vibrant and effective philanthropic sector in Australia</w:t>
      </w:r>
      <w:r>
        <w:t xml:space="preserve"> and they are significantly shifting the dial on embracing philanthropy.</w:t>
      </w:r>
      <w:r w:rsidR="00AD712E">
        <w:t xml:space="preserve"> </w:t>
      </w:r>
      <w:r w:rsidR="00AD712E" w:rsidRPr="00E8142E">
        <w:rPr>
          <w:rFonts w:asciiTheme="minorHAnsi" w:hAnsiTheme="minorHAnsi" w:cstheme="minorHAnsi"/>
          <w:color w:val="000000"/>
        </w:rPr>
        <w:t>So</w:t>
      </w:r>
      <w:r w:rsidR="00AD712E">
        <w:rPr>
          <w:rFonts w:asciiTheme="minorHAnsi" w:hAnsiTheme="minorHAnsi" w:cstheme="minorHAnsi"/>
          <w:color w:val="000000"/>
        </w:rPr>
        <w:t>,</w:t>
      </w:r>
      <w:r w:rsidR="00AD712E" w:rsidRPr="00E8142E">
        <w:rPr>
          <w:rFonts w:asciiTheme="minorHAnsi" w:hAnsiTheme="minorHAnsi" w:cstheme="minorHAnsi"/>
          <w:color w:val="000000"/>
        </w:rPr>
        <w:t xml:space="preserve"> for </w:t>
      </w:r>
      <w:r w:rsidR="00BD22B1">
        <w:rPr>
          <w:rFonts w:asciiTheme="minorHAnsi" w:hAnsiTheme="minorHAnsi" w:cstheme="minorHAnsi"/>
          <w:color w:val="000000"/>
        </w:rPr>
        <w:t xml:space="preserve">these </w:t>
      </w:r>
      <w:r w:rsidR="005D246E">
        <w:rPr>
          <w:rFonts w:asciiTheme="minorHAnsi" w:hAnsiTheme="minorHAnsi" w:cstheme="minorHAnsi"/>
          <w:color w:val="000000"/>
        </w:rPr>
        <w:t>schools</w:t>
      </w:r>
      <w:r w:rsidR="00AD712E" w:rsidRPr="00E8142E">
        <w:rPr>
          <w:rFonts w:asciiTheme="minorHAnsi" w:hAnsiTheme="minorHAnsi" w:cstheme="minorHAnsi"/>
          <w:color w:val="000000"/>
        </w:rPr>
        <w:t xml:space="preserve"> looking to fundraise</w:t>
      </w:r>
      <w:r w:rsidR="00904EC8">
        <w:rPr>
          <w:rFonts w:asciiTheme="minorHAnsi" w:hAnsiTheme="minorHAnsi" w:cstheme="minorHAnsi"/>
          <w:color w:val="000000"/>
        </w:rPr>
        <w:t>,</w:t>
      </w:r>
      <w:r w:rsidR="00AD712E" w:rsidRPr="00E8142E">
        <w:rPr>
          <w:rFonts w:asciiTheme="minorHAnsi" w:hAnsiTheme="minorHAnsi" w:cstheme="minorHAnsi"/>
          <w:color w:val="000000"/>
        </w:rPr>
        <w:t xml:space="preserve"> engaging early and for the long haul may well pay dividends. Engag</w:t>
      </w:r>
      <w:r w:rsidR="00904EC8">
        <w:rPr>
          <w:rFonts w:asciiTheme="minorHAnsi" w:hAnsiTheme="minorHAnsi" w:cstheme="minorHAnsi"/>
          <w:color w:val="000000"/>
        </w:rPr>
        <w:t>ing</w:t>
      </w:r>
      <w:r w:rsidR="00AD712E" w:rsidRPr="00E8142E">
        <w:rPr>
          <w:rFonts w:asciiTheme="minorHAnsi" w:hAnsiTheme="minorHAnsi" w:cstheme="minorHAnsi"/>
          <w:color w:val="000000"/>
        </w:rPr>
        <w:t xml:space="preserve"> with local schools to build awareness, and with workplace initiatives to encourage employee giving and volunteering</w:t>
      </w:r>
      <w:r w:rsidR="00904EC8">
        <w:rPr>
          <w:rFonts w:asciiTheme="minorHAnsi" w:hAnsiTheme="minorHAnsi" w:cstheme="minorHAnsi"/>
          <w:color w:val="000000"/>
        </w:rPr>
        <w:t xml:space="preserve"> are activities already actively embraced in educational philanthropy</w:t>
      </w:r>
      <w:r w:rsidR="00AD712E" w:rsidRPr="00E8142E">
        <w:rPr>
          <w:rFonts w:asciiTheme="minorHAnsi" w:hAnsiTheme="minorHAnsi" w:cstheme="minorHAnsi"/>
          <w:color w:val="000000"/>
        </w:rPr>
        <w:t>. Small donations or volunteering earlier in a donor’s life plant</w:t>
      </w:r>
      <w:r w:rsidR="00904EC8">
        <w:rPr>
          <w:rFonts w:asciiTheme="minorHAnsi" w:hAnsiTheme="minorHAnsi" w:cstheme="minorHAnsi"/>
          <w:color w:val="000000"/>
        </w:rPr>
        <w:t>s</w:t>
      </w:r>
      <w:r w:rsidR="00AD712E" w:rsidRPr="00E8142E">
        <w:rPr>
          <w:rFonts w:asciiTheme="minorHAnsi" w:hAnsiTheme="minorHAnsi" w:cstheme="minorHAnsi"/>
          <w:color w:val="000000"/>
        </w:rPr>
        <w:t xml:space="preserve"> the seed for bigger donations to come.</w:t>
      </w:r>
    </w:p>
    <w:p w14:paraId="71530B3A" w14:textId="77777777" w:rsidR="00AD712E" w:rsidRPr="008A3CF5" w:rsidRDefault="00AD712E" w:rsidP="00AD712E">
      <w:r w:rsidRPr="008A3CF5">
        <w:t>Philanthropy</w:t>
      </w:r>
      <w:r>
        <w:t>, as we know, can</w:t>
      </w:r>
      <w:r w:rsidRPr="008A3CF5">
        <w:t xml:space="preserve"> make a significant impact on society, but this potential can only be realized with increased human resources</w:t>
      </w:r>
      <w:r>
        <w:t xml:space="preserve">, </w:t>
      </w:r>
      <w:r w:rsidRPr="008A3CF5">
        <w:t>effective training programs</w:t>
      </w:r>
      <w:r>
        <w:t xml:space="preserve"> and an early start to establish a pattern and culture of giving</w:t>
      </w:r>
      <w:r w:rsidRPr="008A3CF5">
        <w:t>.</w:t>
      </w:r>
      <w:r>
        <w:t xml:space="preserve"> R</w:t>
      </w:r>
      <w:r w:rsidRPr="008A3CF5">
        <w:t xml:space="preserve">esearch </w:t>
      </w:r>
      <w:r>
        <w:t xml:space="preserve">and ongoing assessment </w:t>
      </w:r>
      <w:r w:rsidRPr="008A3CF5">
        <w:t>can help to guide the development of effective human resources and training programs and ensure that philanthropy realizes its full potential to create a better world for all.</w:t>
      </w:r>
    </w:p>
    <w:p w14:paraId="77840C0C" w14:textId="1FCF3201" w:rsidR="00EC2567" w:rsidRDefault="00EC2567" w:rsidP="00237C9A"/>
    <w:p w14:paraId="6ABE1DC3" w14:textId="39567887" w:rsidR="00EC2567" w:rsidRDefault="005D246E" w:rsidP="00237C9A">
      <w:r>
        <w:t>________________</w:t>
      </w:r>
    </w:p>
    <w:p w14:paraId="4367C31C" w14:textId="77777777" w:rsidR="005D246E" w:rsidRDefault="005D246E" w:rsidP="00237C9A"/>
    <w:p w14:paraId="03A35A8B" w14:textId="57F5DF9F" w:rsidR="00237C9A" w:rsidRPr="00237C9A" w:rsidRDefault="00237C9A" w:rsidP="00237C9A">
      <w:pPr>
        <w:rPr>
          <w:b/>
          <w:bCs/>
        </w:rPr>
      </w:pPr>
      <w:r w:rsidRPr="00237C9A">
        <w:rPr>
          <w:b/>
          <w:bCs/>
        </w:rPr>
        <w:t>Glossary of Terms</w:t>
      </w:r>
    </w:p>
    <w:p w14:paraId="0B85527A" w14:textId="4B7CF759" w:rsidR="00237C9A" w:rsidRDefault="00056D7E" w:rsidP="00237C9A">
      <w:hyperlink r:id="rId22" w:history="1">
        <w:r w:rsidR="00237C9A" w:rsidRPr="00E966D2">
          <w:rPr>
            <w:rStyle w:val="Hyperlink"/>
          </w:rPr>
          <w:t>CASE</w:t>
        </w:r>
      </w:hyperlink>
      <w:r w:rsidR="00237C9A">
        <w:t xml:space="preserve"> – Council for the Advancement and Support of Education</w:t>
      </w:r>
    </w:p>
    <w:p w14:paraId="57085D66" w14:textId="120FCF40" w:rsidR="0005230C" w:rsidRDefault="0005230C" w:rsidP="00237C9A">
      <w:proofErr w:type="spellStart"/>
      <w:r>
        <w:t>DGR</w:t>
      </w:r>
      <w:proofErr w:type="spellEnd"/>
      <w:r>
        <w:t xml:space="preserve"> – Deductible Gift Recipient</w:t>
      </w:r>
    </w:p>
    <w:p w14:paraId="20A15ED8" w14:textId="7B72F94E" w:rsidR="00AD712E" w:rsidRDefault="00056D7E" w:rsidP="00AD712E">
      <w:hyperlink r:id="rId23" w:history="1">
        <w:r w:rsidR="00AD712E" w:rsidRPr="002B3EC1">
          <w:rPr>
            <w:rStyle w:val="Hyperlink"/>
          </w:rPr>
          <w:t>FIA</w:t>
        </w:r>
      </w:hyperlink>
      <w:r w:rsidR="00AD712E">
        <w:t xml:space="preserve"> – Fundraising Institute of Australia</w:t>
      </w:r>
    </w:p>
    <w:p w14:paraId="07E27892" w14:textId="0F032342" w:rsidR="00237C9A" w:rsidRDefault="00056D7E" w:rsidP="00237C9A">
      <w:hyperlink r:id="rId24" w:history="1">
        <w:proofErr w:type="spellStart"/>
        <w:r w:rsidR="00237C9A" w:rsidRPr="00D44812">
          <w:rPr>
            <w:rStyle w:val="Hyperlink"/>
          </w:rPr>
          <w:t>IDPE</w:t>
        </w:r>
        <w:proofErr w:type="spellEnd"/>
      </w:hyperlink>
      <w:r w:rsidR="00237C9A">
        <w:t xml:space="preserve"> – Institute of Development Professionals in Education</w:t>
      </w:r>
    </w:p>
    <w:p w14:paraId="4F51D676" w14:textId="28C25FC4" w:rsidR="00AD712E" w:rsidRDefault="00AD712E" w:rsidP="00237C9A">
      <w:proofErr w:type="spellStart"/>
      <w:r>
        <w:t>NFP</w:t>
      </w:r>
      <w:proofErr w:type="spellEnd"/>
      <w:r>
        <w:t xml:space="preserve"> – Not for Profit</w:t>
      </w:r>
    </w:p>
    <w:p w14:paraId="43E0A3EA" w14:textId="77777777" w:rsidR="00AD712E" w:rsidRDefault="00AD712E" w:rsidP="00237C9A"/>
    <w:p w14:paraId="1BC46AA1" w14:textId="1DADB237" w:rsidR="004F79A1" w:rsidRPr="00F83FF8" w:rsidRDefault="004216CE" w:rsidP="00237C9A">
      <w:pPr>
        <w:rPr>
          <w:b/>
          <w:bCs/>
        </w:rPr>
      </w:pPr>
      <w:r w:rsidRPr="00F83FF8">
        <w:rPr>
          <w:b/>
          <w:bCs/>
        </w:rPr>
        <w:t>Supplementary Material</w:t>
      </w:r>
    </w:p>
    <w:p w14:paraId="39FC2C70" w14:textId="300E4E1D" w:rsidR="008F0D3A" w:rsidRDefault="008F0D3A" w:rsidP="00237C9A">
      <w:r>
        <w:t xml:space="preserve">Civil Society </w:t>
      </w:r>
      <w:hyperlink r:id="rId25" w:history="1">
        <w:proofErr w:type="spellStart"/>
        <w:r w:rsidRPr="00086C85">
          <w:rPr>
            <w:rStyle w:val="Hyperlink"/>
          </w:rPr>
          <w:t>www.civilsociety.co.uk</w:t>
        </w:r>
        <w:proofErr w:type="spellEnd"/>
      </w:hyperlink>
    </w:p>
    <w:p w14:paraId="744D9803" w14:textId="17F227C3" w:rsidR="00F83FF8" w:rsidRDefault="00F83FF8" w:rsidP="00237C9A">
      <w:r>
        <w:t xml:space="preserve">Free Will </w:t>
      </w:r>
      <w:hyperlink r:id="rId26" w:history="1">
        <w:proofErr w:type="spellStart"/>
        <w:r w:rsidRPr="00086C85">
          <w:rPr>
            <w:rStyle w:val="Hyperlink"/>
          </w:rPr>
          <w:t>www.freewill.com</w:t>
        </w:r>
        <w:proofErr w:type="spellEnd"/>
      </w:hyperlink>
    </w:p>
    <w:p w14:paraId="3E64EDD7" w14:textId="4D28E4B2" w:rsidR="00F83FF8" w:rsidRDefault="00870A5A" w:rsidP="00237C9A">
      <w:r>
        <w:t xml:space="preserve">Philanthropy </w:t>
      </w:r>
      <w:r w:rsidR="000F3C41">
        <w:t>&amp;</w:t>
      </w:r>
      <w:r w:rsidR="00BD7589">
        <w:t xml:space="preserve"> Fundraising International</w:t>
      </w:r>
      <w:r w:rsidR="00CA524B">
        <w:t xml:space="preserve"> (UK)</w:t>
      </w:r>
      <w:r w:rsidR="00BD7589">
        <w:t xml:space="preserve"> </w:t>
      </w:r>
      <w:r w:rsidR="004A5C60" w:rsidRPr="004A5C60">
        <w:rPr>
          <w:i/>
          <w:iCs/>
        </w:rPr>
        <w:t>Great Fundraising Report</w:t>
      </w:r>
      <w:r w:rsidR="004A5C60">
        <w:t>, 2019</w:t>
      </w:r>
    </w:p>
    <w:p w14:paraId="6C9A1EA6" w14:textId="3B0213AE" w:rsidR="00CA524B" w:rsidRDefault="00CA524B" w:rsidP="00CA524B">
      <w:r>
        <w:t xml:space="preserve">Philanthropy </w:t>
      </w:r>
      <w:r w:rsidR="000F3C41">
        <w:t>&amp;</w:t>
      </w:r>
      <w:r>
        <w:t xml:space="preserve"> Fundraising International (USA) </w:t>
      </w:r>
      <w:r>
        <w:rPr>
          <w:i/>
          <w:iCs/>
        </w:rPr>
        <w:t>What makes fundraisers tick?</w:t>
      </w:r>
      <w:r>
        <w:t xml:space="preserve"> </w:t>
      </w:r>
      <w:r w:rsidR="000B6418">
        <w:t>2022</w:t>
      </w:r>
    </w:p>
    <w:p w14:paraId="04E8A8A3" w14:textId="77777777" w:rsidR="00CA524B" w:rsidRDefault="00CA524B" w:rsidP="00237C9A"/>
    <w:p w14:paraId="56352131" w14:textId="77777777" w:rsidR="004F79A1" w:rsidRDefault="004F79A1" w:rsidP="00237C9A"/>
    <w:p w14:paraId="7AF742AD" w14:textId="5FEE40DC" w:rsidR="004F79A1" w:rsidRPr="004F79A1" w:rsidRDefault="004F79A1" w:rsidP="00237C9A">
      <w:pPr>
        <w:rPr>
          <w:b/>
          <w:bCs/>
        </w:rPr>
      </w:pPr>
      <w:r w:rsidRPr="004F79A1">
        <w:rPr>
          <w:b/>
          <w:bCs/>
        </w:rPr>
        <w:t>Submitted by:</w:t>
      </w:r>
    </w:p>
    <w:p w14:paraId="41F996EC" w14:textId="0C6D2F6F" w:rsidR="004F79A1" w:rsidRDefault="004F79A1" w:rsidP="00237C9A">
      <w:r>
        <w:t>Mandy McFarland</w:t>
      </w:r>
    </w:p>
    <w:p w14:paraId="3D00FC1A" w14:textId="6C40FD6B" w:rsidR="004F79A1" w:rsidRDefault="004F79A1" w:rsidP="00237C9A">
      <w:r>
        <w:t>CEO: Educate Plus</w:t>
      </w:r>
    </w:p>
    <w:p w14:paraId="16956477" w14:textId="2F629FED" w:rsidR="00060A9E" w:rsidRDefault="00060A9E" w:rsidP="00237C9A"/>
    <w:p w14:paraId="6958DCD5" w14:textId="687F343D" w:rsidR="00060A9E" w:rsidRDefault="00060A9E" w:rsidP="00237C9A">
      <w:r>
        <w:t>ABN: 48 294 772 460</w:t>
      </w:r>
    </w:p>
    <w:p w14:paraId="7CB3E368" w14:textId="78DCDE26" w:rsidR="004F79A1" w:rsidRPr="004E3643" w:rsidRDefault="004F79A1" w:rsidP="00237C9A">
      <w:r>
        <w:t>5 May 2023</w:t>
      </w:r>
    </w:p>
    <w:sectPr w:rsidR="004F79A1" w:rsidRPr="004E3643" w:rsidSect="00904EC8">
      <w:headerReference w:type="default" r:id="rId27"/>
      <w:pgSz w:w="11906" w:h="16838"/>
      <w:pgMar w:top="226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D7218" w14:textId="77777777" w:rsidR="00903353" w:rsidRDefault="00903353" w:rsidP="00903353">
      <w:r>
        <w:separator/>
      </w:r>
    </w:p>
  </w:endnote>
  <w:endnote w:type="continuationSeparator" w:id="0">
    <w:p w14:paraId="604D569D" w14:textId="77777777" w:rsidR="00903353" w:rsidRDefault="00903353" w:rsidP="0090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C579" w14:textId="77777777" w:rsidR="00903353" w:rsidRDefault="00903353" w:rsidP="00903353">
      <w:r>
        <w:separator/>
      </w:r>
    </w:p>
  </w:footnote>
  <w:footnote w:type="continuationSeparator" w:id="0">
    <w:p w14:paraId="0030E7A0" w14:textId="77777777" w:rsidR="00903353" w:rsidRDefault="00903353" w:rsidP="00903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910F" w14:textId="6360ABF6" w:rsidR="00904EC8" w:rsidRDefault="00904EC8">
    <w:pPr>
      <w:pStyle w:val="Header"/>
    </w:pPr>
    <w:r>
      <w:rPr>
        <w:noProof/>
      </w:rPr>
      <w:drawing>
        <wp:anchor distT="0" distB="0" distL="114300" distR="114300" simplePos="0" relativeHeight="251659264" behindDoc="1" locked="0" layoutInCell="1" allowOverlap="1" wp14:anchorId="0EB1E68B" wp14:editId="4D89D62A">
          <wp:simplePos x="0" y="0"/>
          <wp:positionH relativeFrom="column">
            <wp:posOffset>4229100</wp:posOffset>
          </wp:positionH>
          <wp:positionV relativeFrom="paragraph">
            <wp:posOffset>-335280</wp:posOffset>
          </wp:positionV>
          <wp:extent cx="2286000" cy="1004570"/>
          <wp:effectExtent l="0" t="0" r="0" b="5080"/>
          <wp:wrapTight wrapText="bothSides">
            <wp:wrapPolygon edited="0">
              <wp:start x="0" y="0"/>
              <wp:lineTo x="0" y="21300"/>
              <wp:lineTo x="21420" y="21300"/>
              <wp:lineTo x="21420" y="0"/>
              <wp:lineTo x="0" y="0"/>
            </wp:wrapPolygon>
          </wp:wrapTight>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0045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31D86"/>
    <w:multiLevelType w:val="hybridMultilevel"/>
    <w:tmpl w:val="2814CC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EC686E"/>
    <w:multiLevelType w:val="hybridMultilevel"/>
    <w:tmpl w:val="E35E4220"/>
    <w:lvl w:ilvl="0" w:tplc="E40AF99E">
      <w:start w:val="1"/>
      <w:numFmt w:val="bullet"/>
      <w:lvlText w:val=""/>
      <w:lvlJc w:val="left"/>
      <w:pPr>
        <w:ind w:left="770" w:hanging="360"/>
      </w:pPr>
      <w:rPr>
        <w:rFonts w:ascii="Wingdings" w:hAnsi="Wingdings" w:hint="default"/>
        <w:color w:val="6AA343"/>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2" w15:restartNumberingAfterBreak="0">
    <w:nsid w:val="28F21744"/>
    <w:multiLevelType w:val="hybridMultilevel"/>
    <w:tmpl w:val="36AA875A"/>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3" w15:restartNumberingAfterBreak="0">
    <w:nsid w:val="2C295E31"/>
    <w:multiLevelType w:val="hybridMultilevel"/>
    <w:tmpl w:val="413AA6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DEB521B"/>
    <w:multiLevelType w:val="hybridMultilevel"/>
    <w:tmpl w:val="5E44E55C"/>
    <w:lvl w:ilvl="0" w:tplc="E40AF99E">
      <w:start w:val="1"/>
      <w:numFmt w:val="bullet"/>
      <w:lvlText w:val=""/>
      <w:lvlJc w:val="left"/>
      <w:pPr>
        <w:ind w:left="720" w:hanging="360"/>
      </w:pPr>
      <w:rPr>
        <w:rFonts w:ascii="Wingdings" w:hAnsi="Wingdings" w:hint="default"/>
        <w:color w:val="6AA34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ED5239"/>
    <w:multiLevelType w:val="multilevel"/>
    <w:tmpl w:val="5B52C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BB70AA"/>
    <w:multiLevelType w:val="hybridMultilevel"/>
    <w:tmpl w:val="BEC658B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6B2580C"/>
    <w:multiLevelType w:val="hybridMultilevel"/>
    <w:tmpl w:val="FBEE69E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76A6C54"/>
    <w:multiLevelType w:val="hybridMultilevel"/>
    <w:tmpl w:val="618823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37D1B2C"/>
    <w:multiLevelType w:val="hybridMultilevel"/>
    <w:tmpl w:val="5128E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5FF5404"/>
    <w:multiLevelType w:val="hybridMultilevel"/>
    <w:tmpl w:val="DCA068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63596B"/>
    <w:multiLevelType w:val="hybridMultilevel"/>
    <w:tmpl w:val="9C5AD9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D332C06"/>
    <w:multiLevelType w:val="hybridMultilevel"/>
    <w:tmpl w:val="4828AD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D6D5C87"/>
    <w:multiLevelType w:val="hybridMultilevel"/>
    <w:tmpl w:val="EC227C8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15:restartNumberingAfterBreak="0">
    <w:nsid w:val="622D244F"/>
    <w:multiLevelType w:val="hybridMultilevel"/>
    <w:tmpl w:val="2E861E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7DC3FC6"/>
    <w:multiLevelType w:val="hybridMultilevel"/>
    <w:tmpl w:val="E294F67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FA3962"/>
    <w:multiLevelType w:val="hybridMultilevel"/>
    <w:tmpl w:val="413AA6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5E9474F"/>
    <w:multiLevelType w:val="hybridMultilevel"/>
    <w:tmpl w:val="6078622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69216D2"/>
    <w:multiLevelType w:val="hybridMultilevel"/>
    <w:tmpl w:val="2AD801DC"/>
    <w:lvl w:ilvl="0" w:tplc="FFFFFFFF">
      <w:start w:val="1"/>
      <w:numFmt w:val="decimal"/>
      <w:lvlText w:val="%1."/>
      <w:lvlJc w:val="left"/>
      <w:pPr>
        <w:ind w:left="360" w:hanging="360"/>
      </w:pPr>
      <w:rPr>
        <w:rFonts w:hint="default"/>
      </w:rPr>
    </w:lvl>
    <w:lvl w:ilvl="1" w:tplc="E40AF99E">
      <w:start w:val="1"/>
      <w:numFmt w:val="bullet"/>
      <w:lvlText w:val=""/>
      <w:lvlJc w:val="left"/>
      <w:pPr>
        <w:ind w:left="720" w:hanging="360"/>
      </w:pPr>
      <w:rPr>
        <w:rFonts w:ascii="Wingdings" w:hAnsi="Wingdings" w:hint="default"/>
        <w:color w:val="6AA343"/>
      </w:rPr>
    </w:lvl>
    <w:lvl w:ilvl="2" w:tplc="A322FEB0">
      <w:start w:val="1"/>
      <w:numFmt w:val="lowerRoman"/>
      <w:lvlText w:val="(%3)"/>
      <w:lvlJc w:val="left"/>
      <w:pPr>
        <w:ind w:left="2160" w:hanging="720"/>
      </w:pPr>
      <w:rPr>
        <w:rFont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D46421C"/>
    <w:multiLevelType w:val="hybridMultilevel"/>
    <w:tmpl w:val="8DC411D8"/>
    <w:lvl w:ilvl="0" w:tplc="E40AF99E">
      <w:start w:val="1"/>
      <w:numFmt w:val="bullet"/>
      <w:lvlText w:val=""/>
      <w:lvlJc w:val="left"/>
      <w:pPr>
        <w:ind w:left="720" w:hanging="360"/>
      </w:pPr>
      <w:rPr>
        <w:rFonts w:ascii="Wingdings" w:hAnsi="Wingdings" w:hint="default"/>
        <w:color w:val="6AA34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FC73BEC"/>
    <w:multiLevelType w:val="hybridMultilevel"/>
    <w:tmpl w:val="90AE09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624243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7595319">
    <w:abstractNumId w:val="10"/>
  </w:num>
  <w:num w:numId="3" w16cid:durableId="389690104">
    <w:abstractNumId w:val="3"/>
  </w:num>
  <w:num w:numId="4" w16cid:durableId="330524523">
    <w:abstractNumId w:val="16"/>
  </w:num>
  <w:num w:numId="5" w16cid:durableId="1384058724">
    <w:abstractNumId w:val="6"/>
  </w:num>
  <w:num w:numId="6" w16cid:durableId="1143734444">
    <w:abstractNumId w:val="15"/>
  </w:num>
  <w:num w:numId="7" w16cid:durableId="1187328818">
    <w:abstractNumId w:val="20"/>
  </w:num>
  <w:num w:numId="8" w16cid:durableId="1543903466">
    <w:abstractNumId w:val="5"/>
  </w:num>
  <w:num w:numId="9" w16cid:durableId="476413908">
    <w:abstractNumId w:val="8"/>
  </w:num>
  <w:num w:numId="10" w16cid:durableId="172109406">
    <w:abstractNumId w:val="0"/>
  </w:num>
  <w:num w:numId="11" w16cid:durableId="1147012928">
    <w:abstractNumId w:val="11"/>
  </w:num>
  <w:num w:numId="12" w16cid:durableId="836849144">
    <w:abstractNumId w:val="14"/>
  </w:num>
  <w:num w:numId="13" w16cid:durableId="1045375156">
    <w:abstractNumId w:val="17"/>
  </w:num>
  <w:num w:numId="14" w16cid:durableId="1069503498">
    <w:abstractNumId w:val="9"/>
  </w:num>
  <w:num w:numId="15" w16cid:durableId="79836082">
    <w:abstractNumId w:val="7"/>
  </w:num>
  <w:num w:numId="16" w16cid:durableId="2042825777">
    <w:abstractNumId w:val="13"/>
  </w:num>
  <w:num w:numId="17" w16cid:durableId="1117530363">
    <w:abstractNumId w:val="12"/>
  </w:num>
  <w:num w:numId="18" w16cid:durableId="2091921859">
    <w:abstractNumId w:val="19"/>
  </w:num>
  <w:num w:numId="19" w16cid:durableId="663896453">
    <w:abstractNumId w:val="18"/>
  </w:num>
  <w:num w:numId="20" w16cid:durableId="308362943">
    <w:abstractNumId w:val="1"/>
  </w:num>
  <w:num w:numId="21" w16cid:durableId="906455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546"/>
    <w:rsid w:val="000029EC"/>
    <w:rsid w:val="00003534"/>
    <w:rsid w:val="00004A96"/>
    <w:rsid w:val="00005486"/>
    <w:rsid w:val="00010ABE"/>
    <w:rsid w:val="00014E32"/>
    <w:rsid w:val="00017F27"/>
    <w:rsid w:val="00026F64"/>
    <w:rsid w:val="0002703B"/>
    <w:rsid w:val="00034FB9"/>
    <w:rsid w:val="00036591"/>
    <w:rsid w:val="0004505E"/>
    <w:rsid w:val="0005230C"/>
    <w:rsid w:val="00057FF2"/>
    <w:rsid w:val="00060A9E"/>
    <w:rsid w:val="00065DCF"/>
    <w:rsid w:val="00065E0B"/>
    <w:rsid w:val="00077097"/>
    <w:rsid w:val="00081FA6"/>
    <w:rsid w:val="00082656"/>
    <w:rsid w:val="00082B6F"/>
    <w:rsid w:val="000875C2"/>
    <w:rsid w:val="0009496E"/>
    <w:rsid w:val="0009779B"/>
    <w:rsid w:val="000A134D"/>
    <w:rsid w:val="000B14B0"/>
    <w:rsid w:val="000B1C6F"/>
    <w:rsid w:val="000B38F0"/>
    <w:rsid w:val="000B418F"/>
    <w:rsid w:val="000B5317"/>
    <w:rsid w:val="000B6418"/>
    <w:rsid w:val="000C3E31"/>
    <w:rsid w:val="000C5747"/>
    <w:rsid w:val="000C650C"/>
    <w:rsid w:val="000D0890"/>
    <w:rsid w:val="000E4601"/>
    <w:rsid w:val="000F3C41"/>
    <w:rsid w:val="00113E84"/>
    <w:rsid w:val="00140F39"/>
    <w:rsid w:val="00144226"/>
    <w:rsid w:val="001467D7"/>
    <w:rsid w:val="00146F97"/>
    <w:rsid w:val="00150A20"/>
    <w:rsid w:val="00154453"/>
    <w:rsid w:val="00156057"/>
    <w:rsid w:val="00167F20"/>
    <w:rsid w:val="00177F5B"/>
    <w:rsid w:val="00180B6A"/>
    <w:rsid w:val="00183EC3"/>
    <w:rsid w:val="00186839"/>
    <w:rsid w:val="00194CC9"/>
    <w:rsid w:val="001A5FF7"/>
    <w:rsid w:val="001B2F12"/>
    <w:rsid w:val="001B6264"/>
    <w:rsid w:val="001C2D45"/>
    <w:rsid w:val="001E0CDD"/>
    <w:rsid w:val="001E3627"/>
    <w:rsid w:val="001F3EDF"/>
    <w:rsid w:val="0021247A"/>
    <w:rsid w:val="00213190"/>
    <w:rsid w:val="002132B9"/>
    <w:rsid w:val="002155E6"/>
    <w:rsid w:val="00217743"/>
    <w:rsid w:val="00233003"/>
    <w:rsid w:val="002362D6"/>
    <w:rsid w:val="00237C9A"/>
    <w:rsid w:val="00256A15"/>
    <w:rsid w:val="002628B6"/>
    <w:rsid w:val="0027747E"/>
    <w:rsid w:val="00286BAF"/>
    <w:rsid w:val="002957CE"/>
    <w:rsid w:val="002A2037"/>
    <w:rsid w:val="002A3EA2"/>
    <w:rsid w:val="002B1765"/>
    <w:rsid w:val="002B1891"/>
    <w:rsid w:val="002B29E3"/>
    <w:rsid w:val="002B3EC1"/>
    <w:rsid w:val="002B407F"/>
    <w:rsid w:val="002B40AC"/>
    <w:rsid w:val="002B4815"/>
    <w:rsid w:val="002B7E0B"/>
    <w:rsid w:val="002C1790"/>
    <w:rsid w:val="002C2A1D"/>
    <w:rsid w:val="002C2F0B"/>
    <w:rsid w:val="002C3E62"/>
    <w:rsid w:val="002C542E"/>
    <w:rsid w:val="002C7169"/>
    <w:rsid w:val="002D4E1F"/>
    <w:rsid w:val="002E4AF2"/>
    <w:rsid w:val="002F0BF6"/>
    <w:rsid w:val="00304EC1"/>
    <w:rsid w:val="00307568"/>
    <w:rsid w:val="0031015E"/>
    <w:rsid w:val="003101C6"/>
    <w:rsid w:val="003101C7"/>
    <w:rsid w:val="00320963"/>
    <w:rsid w:val="00332622"/>
    <w:rsid w:val="0033337E"/>
    <w:rsid w:val="003343F7"/>
    <w:rsid w:val="003419A4"/>
    <w:rsid w:val="00363423"/>
    <w:rsid w:val="00363CB8"/>
    <w:rsid w:val="0036500E"/>
    <w:rsid w:val="00391AF9"/>
    <w:rsid w:val="00391C61"/>
    <w:rsid w:val="003A312E"/>
    <w:rsid w:val="003B1574"/>
    <w:rsid w:val="003B67B0"/>
    <w:rsid w:val="003B7F33"/>
    <w:rsid w:val="003C2D08"/>
    <w:rsid w:val="003C3D31"/>
    <w:rsid w:val="003D0EF0"/>
    <w:rsid w:val="003D1DC9"/>
    <w:rsid w:val="003D6BA2"/>
    <w:rsid w:val="003E50F1"/>
    <w:rsid w:val="003F0C32"/>
    <w:rsid w:val="003F4A2E"/>
    <w:rsid w:val="003F7025"/>
    <w:rsid w:val="0040141C"/>
    <w:rsid w:val="00401EE0"/>
    <w:rsid w:val="004041E8"/>
    <w:rsid w:val="00406475"/>
    <w:rsid w:val="0040655F"/>
    <w:rsid w:val="00407CF1"/>
    <w:rsid w:val="004216CE"/>
    <w:rsid w:val="00426CC9"/>
    <w:rsid w:val="00446E86"/>
    <w:rsid w:val="004475CB"/>
    <w:rsid w:val="00492AF1"/>
    <w:rsid w:val="00497919"/>
    <w:rsid w:val="00497DD7"/>
    <w:rsid w:val="004A5C60"/>
    <w:rsid w:val="004B1183"/>
    <w:rsid w:val="004C23ED"/>
    <w:rsid w:val="004C31B1"/>
    <w:rsid w:val="004D01C7"/>
    <w:rsid w:val="004D6E25"/>
    <w:rsid w:val="004E3643"/>
    <w:rsid w:val="004E4862"/>
    <w:rsid w:val="004F2397"/>
    <w:rsid w:val="004F4667"/>
    <w:rsid w:val="004F79A1"/>
    <w:rsid w:val="00502266"/>
    <w:rsid w:val="00505379"/>
    <w:rsid w:val="005112FA"/>
    <w:rsid w:val="00517C2D"/>
    <w:rsid w:val="00520CD9"/>
    <w:rsid w:val="00521AFC"/>
    <w:rsid w:val="005234FC"/>
    <w:rsid w:val="00537551"/>
    <w:rsid w:val="005409EF"/>
    <w:rsid w:val="00542A19"/>
    <w:rsid w:val="00547633"/>
    <w:rsid w:val="0054776C"/>
    <w:rsid w:val="005503D4"/>
    <w:rsid w:val="00552066"/>
    <w:rsid w:val="005521DF"/>
    <w:rsid w:val="005553F2"/>
    <w:rsid w:val="00556978"/>
    <w:rsid w:val="005726FB"/>
    <w:rsid w:val="0057316D"/>
    <w:rsid w:val="005732DF"/>
    <w:rsid w:val="00574A8F"/>
    <w:rsid w:val="005801AA"/>
    <w:rsid w:val="00582D07"/>
    <w:rsid w:val="00583940"/>
    <w:rsid w:val="005952E6"/>
    <w:rsid w:val="005957C0"/>
    <w:rsid w:val="00595E51"/>
    <w:rsid w:val="005966C5"/>
    <w:rsid w:val="00596706"/>
    <w:rsid w:val="005A17E4"/>
    <w:rsid w:val="005A5F7B"/>
    <w:rsid w:val="005A7D0B"/>
    <w:rsid w:val="005B1EBC"/>
    <w:rsid w:val="005B6BC6"/>
    <w:rsid w:val="005D246E"/>
    <w:rsid w:val="005D27B0"/>
    <w:rsid w:val="005E6311"/>
    <w:rsid w:val="005F1EED"/>
    <w:rsid w:val="005F40A5"/>
    <w:rsid w:val="005F4590"/>
    <w:rsid w:val="005F7AE1"/>
    <w:rsid w:val="00624D99"/>
    <w:rsid w:val="0063468D"/>
    <w:rsid w:val="0064055F"/>
    <w:rsid w:val="006467C0"/>
    <w:rsid w:val="00652D9C"/>
    <w:rsid w:val="00667DA8"/>
    <w:rsid w:val="00676ADF"/>
    <w:rsid w:val="0068016E"/>
    <w:rsid w:val="00680FE5"/>
    <w:rsid w:val="00683829"/>
    <w:rsid w:val="00692243"/>
    <w:rsid w:val="006B21E8"/>
    <w:rsid w:val="006B6B54"/>
    <w:rsid w:val="006E0CF8"/>
    <w:rsid w:val="006F449A"/>
    <w:rsid w:val="00717EF3"/>
    <w:rsid w:val="00726C7D"/>
    <w:rsid w:val="00732ED6"/>
    <w:rsid w:val="007446F0"/>
    <w:rsid w:val="007516C0"/>
    <w:rsid w:val="007534A8"/>
    <w:rsid w:val="00765F20"/>
    <w:rsid w:val="00767286"/>
    <w:rsid w:val="00771CC7"/>
    <w:rsid w:val="007740BB"/>
    <w:rsid w:val="0077428E"/>
    <w:rsid w:val="007812DD"/>
    <w:rsid w:val="0078581F"/>
    <w:rsid w:val="007943C2"/>
    <w:rsid w:val="00794A41"/>
    <w:rsid w:val="007B0621"/>
    <w:rsid w:val="007B0D6E"/>
    <w:rsid w:val="007C4017"/>
    <w:rsid w:val="007E57CE"/>
    <w:rsid w:val="00800A44"/>
    <w:rsid w:val="0081063B"/>
    <w:rsid w:val="0081179F"/>
    <w:rsid w:val="008144F5"/>
    <w:rsid w:val="00816984"/>
    <w:rsid w:val="00821BE4"/>
    <w:rsid w:val="0082462A"/>
    <w:rsid w:val="008269A5"/>
    <w:rsid w:val="00832CE5"/>
    <w:rsid w:val="008372F2"/>
    <w:rsid w:val="00842069"/>
    <w:rsid w:val="008425E3"/>
    <w:rsid w:val="00850390"/>
    <w:rsid w:val="008704F3"/>
    <w:rsid w:val="00870607"/>
    <w:rsid w:val="00870A5A"/>
    <w:rsid w:val="00870DE9"/>
    <w:rsid w:val="008776DA"/>
    <w:rsid w:val="00885660"/>
    <w:rsid w:val="008A3CF5"/>
    <w:rsid w:val="008C088E"/>
    <w:rsid w:val="008D33C0"/>
    <w:rsid w:val="008D4259"/>
    <w:rsid w:val="008E5918"/>
    <w:rsid w:val="008E738D"/>
    <w:rsid w:val="008F0D3A"/>
    <w:rsid w:val="008F0D63"/>
    <w:rsid w:val="00903353"/>
    <w:rsid w:val="00904EC8"/>
    <w:rsid w:val="00906B4F"/>
    <w:rsid w:val="009229FF"/>
    <w:rsid w:val="0092355C"/>
    <w:rsid w:val="00924990"/>
    <w:rsid w:val="00936602"/>
    <w:rsid w:val="0094563B"/>
    <w:rsid w:val="00950BEF"/>
    <w:rsid w:val="009518EC"/>
    <w:rsid w:val="009541D3"/>
    <w:rsid w:val="00954823"/>
    <w:rsid w:val="00965EAA"/>
    <w:rsid w:val="0097037F"/>
    <w:rsid w:val="009738CC"/>
    <w:rsid w:val="0097508A"/>
    <w:rsid w:val="0097700B"/>
    <w:rsid w:val="00983DD6"/>
    <w:rsid w:val="009846AB"/>
    <w:rsid w:val="00992E09"/>
    <w:rsid w:val="009A47B4"/>
    <w:rsid w:val="009A5C99"/>
    <w:rsid w:val="009C3310"/>
    <w:rsid w:val="009C3585"/>
    <w:rsid w:val="009C4DD5"/>
    <w:rsid w:val="009E7260"/>
    <w:rsid w:val="009F4DD8"/>
    <w:rsid w:val="00A05A2E"/>
    <w:rsid w:val="00A11048"/>
    <w:rsid w:val="00A11A6E"/>
    <w:rsid w:val="00A16FF0"/>
    <w:rsid w:val="00A25E4D"/>
    <w:rsid w:val="00A26294"/>
    <w:rsid w:val="00A27D53"/>
    <w:rsid w:val="00A30BFF"/>
    <w:rsid w:val="00A32901"/>
    <w:rsid w:val="00A40D2A"/>
    <w:rsid w:val="00A45EBA"/>
    <w:rsid w:val="00A57D4B"/>
    <w:rsid w:val="00A62676"/>
    <w:rsid w:val="00A6551A"/>
    <w:rsid w:val="00A6699D"/>
    <w:rsid w:val="00A71426"/>
    <w:rsid w:val="00A728C1"/>
    <w:rsid w:val="00A74650"/>
    <w:rsid w:val="00A90754"/>
    <w:rsid w:val="00A91E34"/>
    <w:rsid w:val="00A93D40"/>
    <w:rsid w:val="00A96C32"/>
    <w:rsid w:val="00AA0BB9"/>
    <w:rsid w:val="00AA2434"/>
    <w:rsid w:val="00AB1939"/>
    <w:rsid w:val="00AC3F1A"/>
    <w:rsid w:val="00AC7BF4"/>
    <w:rsid w:val="00AD3AE3"/>
    <w:rsid w:val="00AD712E"/>
    <w:rsid w:val="00AE3A34"/>
    <w:rsid w:val="00AE6802"/>
    <w:rsid w:val="00B01F59"/>
    <w:rsid w:val="00B20E2E"/>
    <w:rsid w:val="00B21E88"/>
    <w:rsid w:val="00B246CA"/>
    <w:rsid w:val="00B301F7"/>
    <w:rsid w:val="00B3058B"/>
    <w:rsid w:val="00B33841"/>
    <w:rsid w:val="00B357A5"/>
    <w:rsid w:val="00B3590F"/>
    <w:rsid w:val="00B37192"/>
    <w:rsid w:val="00B375BC"/>
    <w:rsid w:val="00B54B67"/>
    <w:rsid w:val="00B574F5"/>
    <w:rsid w:val="00B70930"/>
    <w:rsid w:val="00B74E78"/>
    <w:rsid w:val="00B8039B"/>
    <w:rsid w:val="00B80D21"/>
    <w:rsid w:val="00B82C9F"/>
    <w:rsid w:val="00B83F8D"/>
    <w:rsid w:val="00B84EAB"/>
    <w:rsid w:val="00B87A74"/>
    <w:rsid w:val="00BA5A88"/>
    <w:rsid w:val="00BB2845"/>
    <w:rsid w:val="00BC0388"/>
    <w:rsid w:val="00BD1915"/>
    <w:rsid w:val="00BD22B1"/>
    <w:rsid w:val="00BD6094"/>
    <w:rsid w:val="00BD71B4"/>
    <w:rsid w:val="00BD7589"/>
    <w:rsid w:val="00BE0B50"/>
    <w:rsid w:val="00BE186D"/>
    <w:rsid w:val="00BE1C52"/>
    <w:rsid w:val="00BF223B"/>
    <w:rsid w:val="00BF2261"/>
    <w:rsid w:val="00BF3ECB"/>
    <w:rsid w:val="00C0415B"/>
    <w:rsid w:val="00C06960"/>
    <w:rsid w:val="00C17CFA"/>
    <w:rsid w:val="00C429DB"/>
    <w:rsid w:val="00C504AC"/>
    <w:rsid w:val="00C505DA"/>
    <w:rsid w:val="00C52F74"/>
    <w:rsid w:val="00C52FF5"/>
    <w:rsid w:val="00C552E1"/>
    <w:rsid w:val="00C7092D"/>
    <w:rsid w:val="00C70F79"/>
    <w:rsid w:val="00C718FD"/>
    <w:rsid w:val="00C74F86"/>
    <w:rsid w:val="00C75B15"/>
    <w:rsid w:val="00C900C6"/>
    <w:rsid w:val="00C94AFC"/>
    <w:rsid w:val="00C95D36"/>
    <w:rsid w:val="00C97BAF"/>
    <w:rsid w:val="00CA524B"/>
    <w:rsid w:val="00CB5CDB"/>
    <w:rsid w:val="00CC0D9D"/>
    <w:rsid w:val="00CE2AAF"/>
    <w:rsid w:val="00CE3953"/>
    <w:rsid w:val="00CF0BC0"/>
    <w:rsid w:val="00D06CE5"/>
    <w:rsid w:val="00D10E8C"/>
    <w:rsid w:val="00D37340"/>
    <w:rsid w:val="00D44812"/>
    <w:rsid w:val="00D54347"/>
    <w:rsid w:val="00D563AE"/>
    <w:rsid w:val="00D57F4F"/>
    <w:rsid w:val="00D74A20"/>
    <w:rsid w:val="00D74CC2"/>
    <w:rsid w:val="00D80329"/>
    <w:rsid w:val="00D86870"/>
    <w:rsid w:val="00D911A2"/>
    <w:rsid w:val="00D9727A"/>
    <w:rsid w:val="00DC13F5"/>
    <w:rsid w:val="00DD7CE8"/>
    <w:rsid w:val="00DE0B92"/>
    <w:rsid w:val="00DE2DB0"/>
    <w:rsid w:val="00DE6154"/>
    <w:rsid w:val="00DF00E0"/>
    <w:rsid w:val="00DF3FA8"/>
    <w:rsid w:val="00DF708C"/>
    <w:rsid w:val="00E0319C"/>
    <w:rsid w:val="00E034E6"/>
    <w:rsid w:val="00E1311A"/>
    <w:rsid w:val="00E153A6"/>
    <w:rsid w:val="00E16B9E"/>
    <w:rsid w:val="00E27AB9"/>
    <w:rsid w:val="00E3450B"/>
    <w:rsid w:val="00E377BB"/>
    <w:rsid w:val="00E41CE5"/>
    <w:rsid w:val="00E527B9"/>
    <w:rsid w:val="00E5307E"/>
    <w:rsid w:val="00E55FA5"/>
    <w:rsid w:val="00E64E89"/>
    <w:rsid w:val="00E76336"/>
    <w:rsid w:val="00E8142E"/>
    <w:rsid w:val="00E81C73"/>
    <w:rsid w:val="00E90546"/>
    <w:rsid w:val="00E9338D"/>
    <w:rsid w:val="00E966D2"/>
    <w:rsid w:val="00EB079D"/>
    <w:rsid w:val="00EB54E6"/>
    <w:rsid w:val="00EC2567"/>
    <w:rsid w:val="00EE30AB"/>
    <w:rsid w:val="00EF0B1C"/>
    <w:rsid w:val="00EF5C9D"/>
    <w:rsid w:val="00F32205"/>
    <w:rsid w:val="00F33137"/>
    <w:rsid w:val="00F426EC"/>
    <w:rsid w:val="00F504C6"/>
    <w:rsid w:val="00F56EB0"/>
    <w:rsid w:val="00F621AE"/>
    <w:rsid w:val="00F654A0"/>
    <w:rsid w:val="00F72012"/>
    <w:rsid w:val="00F7212B"/>
    <w:rsid w:val="00F8002D"/>
    <w:rsid w:val="00F829A7"/>
    <w:rsid w:val="00F83FF8"/>
    <w:rsid w:val="00F87403"/>
    <w:rsid w:val="00F96E28"/>
    <w:rsid w:val="00FA1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7E36"/>
  <w15:chartTrackingRefBased/>
  <w15:docId w15:val="{013EAEF1-B44C-4AFF-911B-6E16BF5D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546"/>
    <w:pPr>
      <w:spacing w:after="0" w:line="240" w:lineRule="auto"/>
    </w:pPr>
    <w:rPr>
      <w:rFonts w:ascii="Calibri" w:hAnsi="Calibri" w:cs="Calibri"/>
    </w:rPr>
  </w:style>
  <w:style w:type="paragraph" w:styleId="Heading1">
    <w:name w:val="heading 1"/>
    <w:basedOn w:val="Normal"/>
    <w:next w:val="Normal"/>
    <w:link w:val="Heading1Char"/>
    <w:uiPriority w:val="9"/>
    <w:qFormat/>
    <w:rsid w:val="00304EC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04EC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0546"/>
    <w:rPr>
      <w:color w:val="0563C1"/>
      <w:u w:val="single"/>
    </w:rPr>
  </w:style>
  <w:style w:type="paragraph" w:styleId="ListParagraph">
    <w:name w:val="List Paragraph"/>
    <w:basedOn w:val="Normal"/>
    <w:uiPriority w:val="34"/>
    <w:qFormat/>
    <w:rsid w:val="00E90546"/>
    <w:pPr>
      <w:ind w:left="720"/>
    </w:pPr>
    <w:rPr>
      <w:lang w:eastAsia="en-AU"/>
    </w:rPr>
  </w:style>
  <w:style w:type="character" w:styleId="UnresolvedMention">
    <w:name w:val="Unresolved Mention"/>
    <w:basedOn w:val="DefaultParagraphFont"/>
    <w:uiPriority w:val="99"/>
    <w:semiHidden/>
    <w:unhideWhenUsed/>
    <w:rsid w:val="001A5FF7"/>
    <w:rPr>
      <w:color w:val="605E5C"/>
      <w:shd w:val="clear" w:color="auto" w:fill="E1DFDD"/>
    </w:rPr>
  </w:style>
  <w:style w:type="paragraph" w:styleId="NormalWeb">
    <w:name w:val="Normal (Web)"/>
    <w:basedOn w:val="Normal"/>
    <w:uiPriority w:val="99"/>
    <w:semiHidden/>
    <w:unhideWhenUsed/>
    <w:rsid w:val="00E8142E"/>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9541D3"/>
    <w:rPr>
      <w:color w:val="954F72" w:themeColor="followedHyperlink"/>
      <w:u w:val="single"/>
    </w:rPr>
  </w:style>
  <w:style w:type="character" w:customStyle="1" w:styleId="Heading2Char">
    <w:name w:val="Heading 2 Char"/>
    <w:basedOn w:val="DefaultParagraphFont"/>
    <w:link w:val="Heading2"/>
    <w:uiPriority w:val="9"/>
    <w:rsid w:val="00304EC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04EC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03353"/>
    <w:pPr>
      <w:tabs>
        <w:tab w:val="center" w:pos="4513"/>
        <w:tab w:val="right" w:pos="9026"/>
      </w:tabs>
    </w:pPr>
  </w:style>
  <w:style w:type="character" w:customStyle="1" w:styleId="HeaderChar">
    <w:name w:val="Header Char"/>
    <w:basedOn w:val="DefaultParagraphFont"/>
    <w:link w:val="Header"/>
    <w:uiPriority w:val="99"/>
    <w:rsid w:val="00903353"/>
    <w:rPr>
      <w:rFonts w:ascii="Calibri" w:hAnsi="Calibri" w:cs="Calibri"/>
    </w:rPr>
  </w:style>
  <w:style w:type="paragraph" w:styleId="Footer">
    <w:name w:val="footer"/>
    <w:basedOn w:val="Normal"/>
    <w:link w:val="FooterChar"/>
    <w:uiPriority w:val="99"/>
    <w:unhideWhenUsed/>
    <w:rsid w:val="00903353"/>
    <w:pPr>
      <w:tabs>
        <w:tab w:val="center" w:pos="4513"/>
        <w:tab w:val="right" w:pos="9026"/>
      </w:tabs>
    </w:pPr>
  </w:style>
  <w:style w:type="character" w:customStyle="1" w:styleId="FooterChar">
    <w:name w:val="Footer Char"/>
    <w:basedOn w:val="DefaultParagraphFont"/>
    <w:link w:val="Footer"/>
    <w:uiPriority w:val="99"/>
    <w:rsid w:val="0090335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16291">
      <w:bodyDiv w:val="1"/>
      <w:marLeft w:val="0"/>
      <w:marRight w:val="0"/>
      <w:marTop w:val="0"/>
      <w:marBottom w:val="0"/>
      <w:divBdr>
        <w:top w:val="none" w:sz="0" w:space="0" w:color="auto"/>
        <w:left w:val="none" w:sz="0" w:space="0" w:color="auto"/>
        <w:bottom w:val="none" w:sz="0" w:space="0" w:color="auto"/>
        <w:right w:val="none" w:sz="0" w:space="0" w:color="auto"/>
      </w:divBdr>
    </w:div>
    <w:div w:id="1016688141">
      <w:bodyDiv w:val="1"/>
      <w:marLeft w:val="0"/>
      <w:marRight w:val="0"/>
      <w:marTop w:val="0"/>
      <w:marBottom w:val="0"/>
      <w:divBdr>
        <w:top w:val="none" w:sz="0" w:space="0" w:color="auto"/>
        <w:left w:val="none" w:sz="0" w:space="0" w:color="auto"/>
        <w:bottom w:val="none" w:sz="0" w:space="0" w:color="auto"/>
        <w:right w:val="none" w:sz="0" w:space="0" w:color="auto"/>
      </w:divBdr>
      <w:divsChild>
        <w:div w:id="153381584">
          <w:marLeft w:val="0"/>
          <w:marRight w:val="0"/>
          <w:marTop w:val="0"/>
          <w:marBottom w:val="0"/>
          <w:divBdr>
            <w:top w:val="single" w:sz="2" w:space="0" w:color="D9D9E3"/>
            <w:left w:val="single" w:sz="2" w:space="0" w:color="D9D9E3"/>
            <w:bottom w:val="single" w:sz="2" w:space="0" w:color="D9D9E3"/>
            <w:right w:val="single" w:sz="2" w:space="0" w:color="D9D9E3"/>
          </w:divBdr>
          <w:divsChild>
            <w:div w:id="886573163">
              <w:marLeft w:val="0"/>
              <w:marRight w:val="0"/>
              <w:marTop w:val="0"/>
              <w:marBottom w:val="0"/>
              <w:divBdr>
                <w:top w:val="single" w:sz="2" w:space="0" w:color="D9D9E3"/>
                <w:left w:val="single" w:sz="2" w:space="0" w:color="D9D9E3"/>
                <w:bottom w:val="single" w:sz="2" w:space="0" w:color="D9D9E3"/>
                <w:right w:val="single" w:sz="2" w:space="0" w:color="D9D9E3"/>
              </w:divBdr>
              <w:divsChild>
                <w:div w:id="2074892672">
                  <w:marLeft w:val="0"/>
                  <w:marRight w:val="0"/>
                  <w:marTop w:val="0"/>
                  <w:marBottom w:val="0"/>
                  <w:divBdr>
                    <w:top w:val="single" w:sz="2" w:space="0" w:color="D9D9E3"/>
                    <w:left w:val="single" w:sz="2" w:space="0" w:color="D9D9E3"/>
                    <w:bottom w:val="single" w:sz="2" w:space="0" w:color="D9D9E3"/>
                    <w:right w:val="single" w:sz="2" w:space="0" w:color="D9D9E3"/>
                  </w:divBdr>
                  <w:divsChild>
                    <w:div w:id="1338465813">
                      <w:marLeft w:val="0"/>
                      <w:marRight w:val="0"/>
                      <w:marTop w:val="0"/>
                      <w:marBottom w:val="0"/>
                      <w:divBdr>
                        <w:top w:val="single" w:sz="2" w:space="0" w:color="D9D9E3"/>
                        <w:left w:val="single" w:sz="2" w:space="0" w:color="D9D9E3"/>
                        <w:bottom w:val="single" w:sz="2" w:space="0" w:color="D9D9E3"/>
                        <w:right w:val="single" w:sz="2" w:space="0" w:color="D9D9E3"/>
                      </w:divBdr>
                      <w:divsChild>
                        <w:div w:id="1350369782">
                          <w:marLeft w:val="0"/>
                          <w:marRight w:val="0"/>
                          <w:marTop w:val="0"/>
                          <w:marBottom w:val="0"/>
                          <w:divBdr>
                            <w:top w:val="single" w:sz="2" w:space="0" w:color="auto"/>
                            <w:left w:val="single" w:sz="2" w:space="0" w:color="auto"/>
                            <w:bottom w:val="single" w:sz="6" w:space="0" w:color="auto"/>
                            <w:right w:val="single" w:sz="2" w:space="0" w:color="auto"/>
                          </w:divBdr>
                          <w:divsChild>
                            <w:div w:id="430392867">
                              <w:marLeft w:val="0"/>
                              <w:marRight w:val="0"/>
                              <w:marTop w:val="100"/>
                              <w:marBottom w:val="100"/>
                              <w:divBdr>
                                <w:top w:val="single" w:sz="2" w:space="0" w:color="D9D9E3"/>
                                <w:left w:val="single" w:sz="2" w:space="0" w:color="D9D9E3"/>
                                <w:bottom w:val="single" w:sz="2" w:space="0" w:color="D9D9E3"/>
                                <w:right w:val="single" w:sz="2" w:space="0" w:color="D9D9E3"/>
                              </w:divBdr>
                              <w:divsChild>
                                <w:div w:id="38017323">
                                  <w:marLeft w:val="0"/>
                                  <w:marRight w:val="0"/>
                                  <w:marTop w:val="0"/>
                                  <w:marBottom w:val="0"/>
                                  <w:divBdr>
                                    <w:top w:val="single" w:sz="2" w:space="0" w:color="D9D9E3"/>
                                    <w:left w:val="single" w:sz="2" w:space="0" w:color="D9D9E3"/>
                                    <w:bottom w:val="single" w:sz="2" w:space="0" w:color="D9D9E3"/>
                                    <w:right w:val="single" w:sz="2" w:space="0" w:color="D9D9E3"/>
                                  </w:divBdr>
                                  <w:divsChild>
                                    <w:div w:id="284121398">
                                      <w:marLeft w:val="0"/>
                                      <w:marRight w:val="0"/>
                                      <w:marTop w:val="0"/>
                                      <w:marBottom w:val="0"/>
                                      <w:divBdr>
                                        <w:top w:val="single" w:sz="2" w:space="0" w:color="D9D9E3"/>
                                        <w:left w:val="single" w:sz="2" w:space="0" w:color="D9D9E3"/>
                                        <w:bottom w:val="single" w:sz="2" w:space="0" w:color="D9D9E3"/>
                                        <w:right w:val="single" w:sz="2" w:space="0" w:color="D9D9E3"/>
                                      </w:divBdr>
                                      <w:divsChild>
                                        <w:div w:id="1671374951">
                                          <w:marLeft w:val="0"/>
                                          <w:marRight w:val="0"/>
                                          <w:marTop w:val="0"/>
                                          <w:marBottom w:val="0"/>
                                          <w:divBdr>
                                            <w:top w:val="single" w:sz="2" w:space="0" w:color="D9D9E3"/>
                                            <w:left w:val="single" w:sz="2" w:space="0" w:color="D9D9E3"/>
                                            <w:bottom w:val="single" w:sz="2" w:space="0" w:color="D9D9E3"/>
                                            <w:right w:val="single" w:sz="2" w:space="0" w:color="D9D9E3"/>
                                          </w:divBdr>
                                          <w:divsChild>
                                            <w:div w:id="1004180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0301504">
          <w:marLeft w:val="0"/>
          <w:marRight w:val="0"/>
          <w:marTop w:val="0"/>
          <w:marBottom w:val="0"/>
          <w:divBdr>
            <w:top w:val="none" w:sz="0" w:space="0" w:color="auto"/>
            <w:left w:val="none" w:sz="0" w:space="0" w:color="auto"/>
            <w:bottom w:val="none" w:sz="0" w:space="0" w:color="auto"/>
            <w:right w:val="none" w:sz="0" w:space="0" w:color="auto"/>
          </w:divBdr>
          <w:divsChild>
            <w:div w:id="76756535">
              <w:marLeft w:val="0"/>
              <w:marRight w:val="0"/>
              <w:marTop w:val="0"/>
              <w:marBottom w:val="0"/>
              <w:divBdr>
                <w:top w:val="single" w:sz="2" w:space="0" w:color="D9D9E3"/>
                <w:left w:val="single" w:sz="2" w:space="0" w:color="D9D9E3"/>
                <w:bottom w:val="single" w:sz="2" w:space="0" w:color="D9D9E3"/>
                <w:right w:val="single" w:sz="2" w:space="0" w:color="D9D9E3"/>
              </w:divBdr>
              <w:divsChild>
                <w:div w:id="289016149">
                  <w:marLeft w:val="0"/>
                  <w:marRight w:val="0"/>
                  <w:marTop w:val="0"/>
                  <w:marBottom w:val="0"/>
                  <w:divBdr>
                    <w:top w:val="single" w:sz="2" w:space="0" w:color="D9D9E3"/>
                    <w:left w:val="single" w:sz="2" w:space="0" w:color="D9D9E3"/>
                    <w:bottom w:val="single" w:sz="2" w:space="0" w:color="D9D9E3"/>
                    <w:right w:val="single" w:sz="2" w:space="0" w:color="D9D9E3"/>
                  </w:divBdr>
                  <w:divsChild>
                    <w:div w:id="1646155232">
                      <w:marLeft w:val="0"/>
                      <w:marRight w:val="0"/>
                      <w:marTop w:val="0"/>
                      <w:marBottom w:val="0"/>
                      <w:divBdr>
                        <w:top w:val="single" w:sz="2" w:space="0" w:color="D9D9E3"/>
                        <w:left w:val="single" w:sz="2" w:space="0" w:color="D9D9E3"/>
                        <w:bottom w:val="single" w:sz="2" w:space="0" w:color="D9D9E3"/>
                        <w:right w:val="single" w:sz="2" w:space="0" w:color="D9D9E3"/>
                      </w:divBdr>
                      <w:divsChild>
                        <w:div w:id="1267225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4010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orepartnership.com/library/An_Emerging_Profession_-_30.04.14.pdf" TargetMode="External"/><Relationship Id="rId18" Type="http://schemas.openxmlformats.org/officeDocument/2006/relationships/hyperlink" Target="https://www.philanthropyfundraising.com.au/" TargetMode="External"/><Relationship Id="rId26" Type="http://schemas.openxmlformats.org/officeDocument/2006/relationships/hyperlink" Target="http://www.freewill.com" TargetMode="External"/><Relationship Id="rId3" Type="http://schemas.openxmlformats.org/officeDocument/2006/relationships/customXml" Target="../customXml/item3.xml"/><Relationship Id="rId21" Type="http://schemas.openxmlformats.org/officeDocument/2006/relationships/hyperlink" Target="https://www.educateplus.edu.au/" TargetMode="External"/><Relationship Id="rId7" Type="http://schemas.openxmlformats.org/officeDocument/2006/relationships/settings" Target="settings.xml"/><Relationship Id="rId12" Type="http://schemas.openxmlformats.org/officeDocument/2006/relationships/hyperlink" Target="https://www.civilsociety.co.uk/news/charities-are-increasingly-dependent-on-a-smaller-number-of-donors-says-philanthropy-professor.html" TargetMode="External"/><Relationship Id="rId17" Type="http://schemas.openxmlformats.org/officeDocument/2006/relationships/hyperlink" Target="https://fia.org.au/fia-research-hub/fia-research-centre/" TargetMode="External"/><Relationship Id="rId25" Type="http://schemas.openxmlformats.org/officeDocument/2006/relationships/hyperlink" Target="http://www.civilsociety.co.uk" TargetMode="External"/><Relationship Id="rId2" Type="http://schemas.openxmlformats.org/officeDocument/2006/relationships/customXml" Target="../customXml/item2.xml"/><Relationship Id="rId16" Type="http://schemas.openxmlformats.org/officeDocument/2006/relationships/hyperlink" Target="file:///C:\Users\uprd\AppData\Local\Microsoft\Windows\INetCache\Content.Outlook\3A2VYNQT\Australian%20Charities%20Report%20-%208th%20edition%20|%20ACNC" TargetMode="External"/><Relationship Id="rId20" Type="http://schemas.openxmlformats.org/officeDocument/2006/relationships/hyperlink" Target="https://www.ourcommunity.com.au/files/GivingAustraliaSummary.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ources.freewill.com/major-gifts-guide-for-fundraising-success" TargetMode="External"/><Relationship Id="rId24" Type="http://schemas.openxmlformats.org/officeDocument/2006/relationships/hyperlink" Target="https://idpe.org.uk/" TargetMode="External"/><Relationship Id="rId5" Type="http://schemas.openxmlformats.org/officeDocument/2006/relationships/numbering" Target="numbering.xml"/><Relationship Id="rId15" Type="http://schemas.openxmlformats.org/officeDocument/2006/relationships/hyperlink" Target="https://www.case.org/system/files/media/file/CASE-Support-of-Education-Survey-Australia-and-New-Zealand-2022-Report.pdf" TargetMode="External"/><Relationship Id="rId23" Type="http://schemas.openxmlformats.org/officeDocument/2006/relationships/hyperlink" Target="https://fia.org.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ptrust.org/philanthropic-resources/charitable-giving-statist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dpe.org.uk/uk/idpe/uploads/Schools%20Fundraising%20and%20Engagement%20Benchmarking%20Report%202018.pdf" TargetMode="External"/><Relationship Id="rId22" Type="http://schemas.openxmlformats.org/officeDocument/2006/relationships/hyperlink" Target="https://www.case.org/"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98515d3-35d1-48c7-98b0-9361f3d04ddf">
      <Value>1</Value>
    </TaxCatchAll>
    <i0f84bba906045b4af568ee102a52dcb xmlns="e98515d3-35d1-48c7-98b0-9361f3d04dd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1643EB437E814B9F804656CD4347FE" ma:contentTypeVersion="7" ma:contentTypeDescription="Create a new document." ma:contentTypeScope="" ma:versionID="4ca7f4aff708645f101fc44aaea8412a">
  <xsd:schema xmlns:xsd="http://www.w3.org/2001/XMLSchema" xmlns:xs="http://www.w3.org/2001/XMLSchema" xmlns:p="http://schemas.microsoft.com/office/2006/metadata/properties" xmlns:ns2="e98515d3-35d1-48c7-98b0-9361f3d04ddf" xmlns:ns3="bef64c59-a3ef-40a9-ab00-88fd54a78ca7" targetNamespace="http://schemas.microsoft.com/office/2006/metadata/properties" ma:root="true" ma:fieldsID="ef1afcff678fe0c3642503642d31c4e3" ns2:_="" ns3:_="">
    <xsd:import namespace="e98515d3-35d1-48c7-98b0-9361f3d04ddf"/>
    <xsd:import namespace="bef64c59-a3ef-40a9-ab00-88fd54a78ca7"/>
    <xsd:element name="properties">
      <xsd:complexType>
        <xsd:sequence>
          <xsd:element name="documentManagement">
            <xsd:complexType>
              <xsd:all>
                <xsd:element ref="ns2:i0f84bba906045b4af568ee102a52dcb" minOccurs="0"/>
                <xsd:element ref="ns2:TaxCatchAl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515d3-35d1-48c7-98b0-9361f3d04ddf" elementFormDefault="qualified">
    <xsd:import namespace="http://schemas.microsoft.com/office/2006/documentManagement/types"/>
    <xsd:import namespace="http://schemas.microsoft.com/office/infopath/2007/PartnerControls"/>
    <xsd:element name="i0f84bba906045b4af568ee102a52dcb" ma:index="9"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563a658-abd6-46d7-b4a3-873de00d7536}" ma:internalName="TaxCatchAll" ma:showField="CatchAllData" ma:web="e98515d3-35d1-48c7-98b0-9361f3d04ddf">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64c59-a3ef-40a9-ab00-88fd54a78c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C3644B-6522-4E59-B0E5-F0FCF31EB6A8}">
  <ds:schemaRefs>
    <ds:schemaRef ds:uri="http://purl.org/dc/terms/"/>
    <ds:schemaRef ds:uri="http://schemas.microsoft.com/office/2006/metadata/properties"/>
    <ds:schemaRef ds:uri="bef64c59-a3ef-40a9-ab00-88fd54a78ca7"/>
    <ds:schemaRef ds:uri="e98515d3-35d1-48c7-98b0-9361f3d04ddf"/>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C3439A1-D9E7-4EE5-A4C7-EDC0F6A3168B}">
  <ds:schemaRefs>
    <ds:schemaRef ds:uri="http://schemas.openxmlformats.org/officeDocument/2006/bibliography"/>
  </ds:schemaRefs>
</ds:datastoreItem>
</file>

<file path=customXml/itemProps3.xml><?xml version="1.0" encoding="utf-8"?>
<ds:datastoreItem xmlns:ds="http://schemas.openxmlformats.org/officeDocument/2006/customXml" ds:itemID="{6506BEFC-DBA0-49AE-9272-6C8DB9A1C6E8}">
  <ds:schemaRefs>
    <ds:schemaRef ds:uri="http://schemas.microsoft.com/sharepoint/v3/contenttype/forms"/>
  </ds:schemaRefs>
</ds:datastoreItem>
</file>

<file path=customXml/itemProps4.xml><?xml version="1.0" encoding="utf-8"?>
<ds:datastoreItem xmlns:ds="http://schemas.openxmlformats.org/officeDocument/2006/customXml" ds:itemID="{30BD7556-688F-4ABD-9A04-F84C809DD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515d3-35d1-48c7-98b0-9361f3d04ddf"/>
    <ds:schemaRef ds:uri="bef64c59-a3ef-40a9-ab00-88fd54a78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1431</TotalTime>
  <Pages>6</Pages>
  <Words>3012</Words>
  <Characters>17173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Submission 133 - Educate Plus Ltd - Philanthropy - Public inquiry</vt:lpstr>
    </vt:vector>
  </TitlesOfParts>
  <Company>Educate Plus Ltd</Company>
  <LinksUpToDate>false</LinksUpToDate>
  <CharactersWithSpaces>20145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133 - Educate Plus Ltd - Philanthropy - Public inquiry</dc:title>
  <dc:subject/>
  <dc:creator>Educate Plus Ltd</dc:creator>
  <cp:keywords/>
  <dc:description/>
  <cp:lastModifiedBy>Alexandra Dazey</cp:lastModifiedBy>
  <cp:revision>43</cp:revision>
  <cp:lastPrinted>2023-05-02T05:35:00Z</cp:lastPrinted>
  <dcterms:created xsi:type="dcterms:W3CDTF">2023-05-03T05:17:00Z</dcterms:created>
  <dcterms:modified xsi:type="dcterms:W3CDTF">2023-05-12T05:10:00Z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0x010100701643EB437E814B9F804656CD4347FE</vt:lpwstr>
  </property>
  <property fmtid="{D5CDD505-2E9C-101B-9397-08002B2CF9AE}" pid="3" name="RevIMBCS">
    <vt:lpwstr>1;#Unclassified|3955eeb1-2d18-4582-aeb2-00144ec3aaf5</vt:lpwstr>
  </property>
</Properties>
</file>