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18CD0" w14:textId="3E816657" w:rsidR="00467EFD" w:rsidRDefault="00467EFD" w:rsidP="009900B8">
      <w:pPr>
        <w:tabs>
          <w:tab w:val="center" w:pos="4510"/>
          <w:tab w:val="center" w:pos="4680"/>
          <w:tab w:val="left" w:pos="6868"/>
          <w:tab w:val="right" w:pos="9360"/>
        </w:tabs>
        <w:rPr>
          <w:rFonts w:ascii="Calibri" w:eastAsia="Calibri" w:hAnsi="Calibri"/>
          <w:sz w:val="20"/>
          <w:szCs w:val="20"/>
          <w:lang w:val="en-AU"/>
        </w:rPr>
      </w:pPr>
    </w:p>
    <w:p w14:paraId="7C492E67" w14:textId="2FD5C7CE" w:rsidR="005C3919" w:rsidRDefault="005C3919" w:rsidP="005C3919">
      <w:pPr>
        <w:pStyle w:val="Heading1"/>
        <w:rPr>
          <w:rFonts w:eastAsia="Aptos"/>
          <w:lang w:val="en-AU"/>
        </w:rPr>
      </w:pPr>
      <w:r>
        <w:rPr>
          <w:rFonts w:eastAsia="Aptos"/>
          <w:lang w:val="en-AU"/>
        </w:rPr>
        <w:t xml:space="preserve">Submission to the Australian Government Inquiry into </w:t>
      </w:r>
      <w:r w:rsidRPr="005C3919">
        <w:rPr>
          <w:rFonts w:eastAsia="Aptos"/>
          <w:lang w:val="en-AU"/>
        </w:rPr>
        <w:t>Opportunities in the circular economy</w:t>
      </w:r>
      <w:r>
        <w:rPr>
          <w:rFonts w:eastAsia="Aptos"/>
          <w:lang w:val="en-AU"/>
        </w:rPr>
        <w:t xml:space="preserve"> by Gippsland Climate Change Network. </w:t>
      </w:r>
    </w:p>
    <w:p w14:paraId="190271AB" w14:textId="77777777" w:rsidR="005C3919" w:rsidRDefault="005C3919" w:rsidP="005C3919">
      <w:pPr>
        <w:spacing w:after="160" w:line="259" w:lineRule="auto"/>
        <w:rPr>
          <w:rFonts w:ascii="Aptos" w:eastAsia="Aptos" w:hAnsi="Aptos"/>
          <w:kern w:val="2"/>
          <w:sz w:val="22"/>
          <w:szCs w:val="22"/>
          <w:lang w:val="en-AU"/>
          <w14:ligatures w14:val="standardContextual"/>
        </w:rPr>
      </w:pPr>
    </w:p>
    <w:p w14:paraId="6F9777B0" w14:textId="77777777" w:rsidR="005C3919" w:rsidRPr="00E736E7" w:rsidRDefault="005C3919" w:rsidP="005C3919">
      <w:pPr>
        <w:spacing w:after="160" w:line="259" w:lineRule="auto"/>
        <w:rPr>
          <w:rFonts w:ascii="Aptos" w:eastAsia="Aptos" w:hAnsi="Aptos"/>
          <w:kern w:val="2"/>
          <w14:ligatures w14:val="standardContextual"/>
        </w:rPr>
      </w:pPr>
      <w:r w:rsidRPr="00E736E7">
        <w:rPr>
          <w:rFonts w:ascii="Aptos" w:eastAsia="Aptos" w:hAnsi="Aptos"/>
          <w:kern w:val="2"/>
          <w14:ligatures w14:val="standardContextual"/>
        </w:rPr>
        <w:t xml:space="preserve">Gippsland is undergoing a profound economic transition. The 2017 closure of the Hazelwood mine and power station resulted in the displacement of approximately 750 workers. In 2021, Energy Australia announced that it will cease electricity production at </w:t>
      </w:r>
      <w:proofErr w:type="spellStart"/>
      <w:r w:rsidRPr="00E736E7">
        <w:rPr>
          <w:rFonts w:ascii="Aptos" w:eastAsia="Aptos" w:hAnsi="Aptos"/>
          <w:kern w:val="2"/>
          <w14:ligatures w14:val="standardContextual"/>
        </w:rPr>
        <w:t>Yallourn</w:t>
      </w:r>
      <w:proofErr w:type="spellEnd"/>
      <w:r w:rsidRPr="00E736E7">
        <w:rPr>
          <w:rFonts w:ascii="Aptos" w:eastAsia="Aptos" w:hAnsi="Aptos"/>
          <w:kern w:val="2"/>
          <w14:ligatures w14:val="standardContextual"/>
        </w:rPr>
        <w:t xml:space="preserve"> by 2028, affecting around 500 workers. AGL has stated that the Loy Yang A power station will close in 2035, with the Loy Yang mine—supplying both Loy Yang A and Loy Yang B—licensed to continue production until 2048. The power sector alone supports thousands of local jobs, which will be impacted over the next decade. In 2023, Opal at Maryvale ceased white paper production at its Paper Manufacturing Plant, leading to the loss of approximately 200 jobs. The mill continues to operate three paper machines producing packaging paper grades. Additionally, the native timber harvesting industry has closed, prompting a transition to plantation timber, impacting several hundred workers in the forestry sector.</w:t>
      </w:r>
    </w:p>
    <w:p w14:paraId="3E87AF1C" w14:textId="0F80D33A" w:rsidR="005C3919" w:rsidRPr="005C3919" w:rsidRDefault="005C3919" w:rsidP="005C3919">
      <w:pPr>
        <w:spacing w:after="160" w:line="259" w:lineRule="auto"/>
        <w:rPr>
          <w:rFonts w:ascii="Aptos" w:eastAsia="Aptos" w:hAnsi="Aptos"/>
          <w:kern w:val="2"/>
          <w:lang w:val="en-AU"/>
          <w14:ligatures w14:val="standardContextual"/>
        </w:rPr>
      </w:pPr>
      <w:r w:rsidRPr="005C3919">
        <w:rPr>
          <w:rFonts w:ascii="Aptos" w:eastAsia="Aptos" w:hAnsi="Aptos"/>
          <w:kern w:val="2"/>
          <w:lang w:val="en-AU"/>
          <w14:ligatures w14:val="standardContextual"/>
        </w:rPr>
        <w:t xml:space="preserve">However despite this dramatic </w:t>
      </w:r>
      <w:proofErr w:type="gramStart"/>
      <w:r w:rsidRPr="005C3919">
        <w:rPr>
          <w:rFonts w:ascii="Aptos" w:eastAsia="Aptos" w:hAnsi="Aptos"/>
          <w:kern w:val="2"/>
          <w:lang w:val="en-AU"/>
          <w14:ligatures w14:val="standardContextual"/>
        </w:rPr>
        <w:t>disruption,  the</w:t>
      </w:r>
      <w:proofErr w:type="gramEnd"/>
      <w:r w:rsidRPr="005C3919">
        <w:rPr>
          <w:rFonts w:ascii="Aptos" w:eastAsia="Aptos" w:hAnsi="Aptos"/>
          <w:kern w:val="2"/>
          <w:lang w:val="en-AU"/>
          <w14:ligatures w14:val="standardContextual"/>
        </w:rPr>
        <w:t xml:space="preserve"> future of Gippsland is very much looking to seize and have a prominent role in the move to a low emissions clean economy that is happening internationally, nationally and Victoria.  But when we talk about or hear the term clean economy, it is not only about generating, storing and sharing renewable energy.  It is also about the circular economy and how to get better and smarter in designing, making and using materials, products and services, that leads to reduction in the generation of waste.  </w:t>
      </w:r>
      <w:r w:rsidR="00E736E7">
        <w:rPr>
          <w:rFonts w:ascii="Aptos" w:eastAsia="Aptos" w:hAnsi="Aptos"/>
          <w:kern w:val="2"/>
          <w:lang w:val="en-AU"/>
          <w14:ligatures w14:val="standardContextual"/>
        </w:rPr>
        <w:t xml:space="preserve">We also believe that these new technologies can replace job losses in traditional industries as mentioned above. </w:t>
      </w:r>
    </w:p>
    <w:p w14:paraId="0A9E2372" w14:textId="77777777" w:rsidR="005C3919" w:rsidRPr="00E736E7" w:rsidRDefault="005C3919" w:rsidP="005C3919">
      <w:pPr>
        <w:spacing w:after="160" w:line="259" w:lineRule="auto"/>
        <w:rPr>
          <w:rFonts w:ascii="Aptos" w:eastAsia="Aptos" w:hAnsi="Aptos"/>
          <w:kern w:val="2"/>
          <w:lang w:val="en-AU"/>
          <w14:ligatures w14:val="standardContextual"/>
        </w:rPr>
      </w:pPr>
      <w:r w:rsidRPr="005C3919">
        <w:rPr>
          <w:rFonts w:ascii="Aptos" w:eastAsia="Aptos" w:hAnsi="Aptos"/>
          <w:kern w:val="2"/>
          <w:lang w:val="en-AU"/>
          <w14:ligatures w14:val="standardContextual"/>
        </w:rPr>
        <w:t xml:space="preserve">Governments and Regions around the world are making the shift to a more circular global economy, and many Gippsland organisations and communities are employing circular economy principles. Examples of this can be seen at </w:t>
      </w:r>
      <w:hyperlink r:id="rId11" w:history="1">
        <w:r w:rsidRPr="005C3919">
          <w:rPr>
            <w:rFonts w:ascii="Aptos" w:eastAsia="Aptos" w:hAnsi="Aptos"/>
            <w:color w:val="467886"/>
            <w:kern w:val="2"/>
            <w:u w:val="single"/>
            <w:lang w:val="en-AU"/>
            <w14:ligatures w14:val="standardContextual"/>
          </w:rPr>
          <w:t>https://static1.squarespace.com/static/6010bb8bcba0327f522f48cd/t/66fcc64d84020023ae2153a8/1727841871770/Gippsland-Cirrcular-Economy-Initiatives-2-pager-Jan22-Jun24.pdf</w:t>
        </w:r>
      </w:hyperlink>
      <w:r w:rsidRPr="005C3919">
        <w:rPr>
          <w:rFonts w:ascii="Aptos" w:eastAsia="Aptos" w:hAnsi="Aptos"/>
          <w:kern w:val="2"/>
          <w:lang w:val="en-AU"/>
          <w14:ligatures w14:val="standardContextual"/>
        </w:rPr>
        <w:t xml:space="preserve"> </w:t>
      </w:r>
    </w:p>
    <w:p w14:paraId="7655A4C7" w14:textId="20D79C91" w:rsidR="005C3919" w:rsidRPr="005C3919" w:rsidRDefault="005C3919" w:rsidP="005C3919">
      <w:pPr>
        <w:spacing w:after="160" w:line="259" w:lineRule="auto"/>
        <w:rPr>
          <w:rFonts w:ascii="Aptos" w:eastAsia="Aptos" w:hAnsi="Aptos"/>
          <w:kern w:val="2"/>
          <w:lang w:val="en-AU"/>
          <w14:ligatures w14:val="standardContextual"/>
        </w:rPr>
      </w:pPr>
      <w:r w:rsidRPr="005C3919">
        <w:rPr>
          <w:rFonts w:ascii="Aptos" w:eastAsia="Aptos" w:hAnsi="Aptos"/>
          <w:kern w:val="2"/>
          <w:lang w:val="en-AU"/>
          <w14:ligatures w14:val="standardContextual"/>
        </w:rPr>
        <w:t>Recognising and responding to this shift is important for Victoria’s international competitiveness.  The GCCN want to make sure the Gippsland likewise are part of this opportunity.</w:t>
      </w:r>
    </w:p>
    <w:p w14:paraId="4E9F5DCE" w14:textId="157A2AF1" w:rsidR="005C3919" w:rsidRPr="005C3919" w:rsidRDefault="005C3919" w:rsidP="005C3919">
      <w:pPr>
        <w:spacing w:after="160" w:line="259" w:lineRule="auto"/>
        <w:rPr>
          <w:rFonts w:ascii="Aptos" w:eastAsia="Aptos" w:hAnsi="Aptos"/>
          <w:kern w:val="2"/>
          <w:lang w:val="en-AU"/>
          <w14:ligatures w14:val="standardContextual"/>
        </w:rPr>
      </w:pPr>
      <w:r w:rsidRPr="005C3919">
        <w:rPr>
          <w:rFonts w:ascii="Aptos" w:eastAsia="Aptos" w:hAnsi="Aptos"/>
          <w:kern w:val="2"/>
          <w:lang w:val="en-AU"/>
          <w14:ligatures w14:val="standardContextual"/>
        </w:rPr>
        <w:t xml:space="preserve">GCCN is actively involved and supportive of the Circular Economy in Gippsland because it </w:t>
      </w:r>
      <w:proofErr w:type="gramStart"/>
      <w:r w:rsidRPr="005C3919">
        <w:rPr>
          <w:rFonts w:ascii="Aptos" w:eastAsia="Aptos" w:hAnsi="Aptos"/>
          <w:kern w:val="2"/>
          <w:lang w:val="en-AU"/>
          <w14:ligatures w14:val="standardContextual"/>
        </w:rPr>
        <w:t>has  been</w:t>
      </w:r>
      <w:proofErr w:type="gramEnd"/>
      <w:r w:rsidRPr="005C3919">
        <w:rPr>
          <w:rFonts w:ascii="Aptos" w:eastAsia="Aptos" w:hAnsi="Aptos"/>
          <w:kern w:val="2"/>
          <w:lang w:val="en-AU"/>
          <w14:ligatures w14:val="standardContextual"/>
        </w:rPr>
        <w:t xml:space="preserve"> shown internationally and in Australia </w:t>
      </w:r>
      <w:r w:rsidRPr="00E736E7">
        <w:rPr>
          <w:rFonts w:ascii="Aptos" w:eastAsia="Aptos" w:hAnsi="Aptos"/>
          <w:kern w:val="2"/>
          <w:lang w:val="en-AU"/>
          <w14:ligatures w14:val="standardContextual"/>
        </w:rPr>
        <w:t>to.</w:t>
      </w:r>
    </w:p>
    <w:p w14:paraId="52DE76E2" w14:textId="77777777" w:rsidR="005C3919" w:rsidRPr="005C3919" w:rsidRDefault="005C3919" w:rsidP="005C3919">
      <w:pPr>
        <w:numPr>
          <w:ilvl w:val="0"/>
          <w:numId w:val="1"/>
        </w:numPr>
        <w:spacing w:after="160" w:line="259" w:lineRule="auto"/>
        <w:rPr>
          <w:rFonts w:ascii="Aptos" w:eastAsia="Aptos" w:hAnsi="Aptos"/>
          <w:kern w:val="2"/>
          <w:lang w:val="en-AU"/>
          <w14:ligatures w14:val="standardContextual"/>
        </w:rPr>
      </w:pPr>
      <w:r w:rsidRPr="005C3919">
        <w:rPr>
          <w:rFonts w:ascii="Aptos" w:eastAsia="Aptos" w:hAnsi="Aptos"/>
          <w:kern w:val="2"/>
          <w:lang w:val="en-AU"/>
          <w14:ligatures w14:val="standardContextual"/>
        </w:rPr>
        <w:t xml:space="preserve">create jobs and contribute to economic growth </w:t>
      </w:r>
    </w:p>
    <w:p w14:paraId="3B83AE25" w14:textId="77777777" w:rsidR="005C3919" w:rsidRPr="005C3919" w:rsidRDefault="005C3919" w:rsidP="005C3919">
      <w:pPr>
        <w:numPr>
          <w:ilvl w:val="0"/>
          <w:numId w:val="1"/>
        </w:numPr>
        <w:spacing w:after="160" w:line="259" w:lineRule="auto"/>
        <w:rPr>
          <w:rFonts w:ascii="Aptos" w:eastAsia="Aptos" w:hAnsi="Aptos"/>
          <w:kern w:val="2"/>
          <w:lang w:val="en-AU"/>
          <w14:ligatures w14:val="standardContextual"/>
        </w:rPr>
      </w:pPr>
      <w:r w:rsidRPr="005C3919">
        <w:rPr>
          <w:rFonts w:ascii="Aptos" w:eastAsia="Aptos" w:hAnsi="Aptos"/>
          <w:kern w:val="2"/>
          <w:lang w:val="en-AU"/>
          <w14:ligatures w14:val="standardContextual"/>
        </w:rPr>
        <w:lastRenderedPageBreak/>
        <w:t>Improve productivity and get more value from recovered resources</w:t>
      </w:r>
    </w:p>
    <w:p w14:paraId="45BC8673" w14:textId="77777777" w:rsidR="005C3919" w:rsidRPr="005C3919" w:rsidRDefault="005C3919" w:rsidP="005C3919">
      <w:pPr>
        <w:numPr>
          <w:ilvl w:val="0"/>
          <w:numId w:val="1"/>
        </w:numPr>
        <w:spacing w:after="160" w:line="259" w:lineRule="auto"/>
        <w:rPr>
          <w:rFonts w:ascii="Aptos" w:eastAsia="Aptos" w:hAnsi="Aptos"/>
          <w:kern w:val="2"/>
          <w:lang w:val="en-AU"/>
          <w14:ligatures w14:val="standardContextual"/>
        </w:rPr>
      </w:pPr>
      <w:r w:rsidRPr="005C3919">
        <w:rPr>
          <w:rFonts w:ascii="Aptos" w:eastAsia="Aptos" w:hAnsi="Aptos"/>
          <w:kern w:val="2"/>
          <w:lang w:val="en-AU"/>
          <w14:ligatures w14:val="standardContextual"/>
        </w:rPr>
        <w:t>Decarbonise the economy</w:t>
      </w:r>
    </w:p>
    <w:p w14:paraId="6C7ECEC7" w14:textId="761FA968" w:rsidR="005C3919" w:rsidRPr="005C3919" w:rsidRDefault="005C3919" w:rsidP="005C3919">
      <w:pPr>
        <w:spacing w:after="160" w:line="259" w:lineRule="auto"/>
        <w:rPr>
          <w:rFonts w:ascii="Aptos" w:eastAsia="Aptos" w:hAnsi="Aptos"/>
          <w:kern w:val="2"/>
          <w:lang w:val="en-AU"/>
          <w14:ligatures w14:val="standardContextual"/>
        </w:rPr>
      </w:pPr>
      <w:r w:rsidRPr="005C3919">
        <w:rPr>
          <w:rFonts w:ascii="Aptos" w:eastAsia="Aptos" w:hAnsi="Aptos"/>
          <w:kern w:val="2"/>
          <w:lang w:val="en-AU"/>
          <w14:ligatures w14:val="standardContextual"/>
        </w:rPr>
        <w:t xml:space="preserve">2021 Analysis by the Clean Energy Finance Corporation (CEFC) found that circular economy practices like using waste products as concrete supplement was one of the </w:t>
      </w:r>
      <w:r w:rsidRPr="00E736E7">
        <w:rPr>
          <w:rFonts w:ascii="Aptos" w:eastAsia="Aptos" w:hAnsi="Aptos"/>
          <w:kern w:val="2"/>
          <w:lang w:val="en-AU"/>
          <w14:ligatures w14:val="standardContextual"/>
        </w:rPr>
        <w:t>“</w:t>
      </w:r>
      <w:r w:rsidRPr="005C3919">
        <w:rPr>
          <w:rFonts w:ascii="Aptos" w:eastAsia="Aptos" w:hAnsi="Aptos"/>
          <w:kern w:val="2"/>
          <w:lang w:val="en-AU"/>
          <w14:ligatures w14:val="standardContextual"/>
        </w:rPr>
        <w:t xml:space="preserve">most cost efficient and effective abatement options in the built environment” </w:t>
      </w:r>
    </w:p>
    <w:p w14:paraId="57CFA2CD" w14:textId="77777777" w:rsidR="005C3919" w:rsidRPr="005C3919" w:rsidRDefault="005C3919" w:rsidP="005C3919">
      <w:pPr>
        <w:spacing w:after="160" w:line="259" w:lineRule="auto"/>
        <w:rPr>
          <w:rFonts w:ascii="Aptos" w:eastAsia="Aptos" w:hAnsi="Aptos"/>
          <w:kern w:val="2"/>
          <w:lang w:val="en-AU"/>
          <w14:ligatures w14:val="standardContextual"/>
        </w:rPr>
      </w:pPr>
      <w:hyperlink r:id="rId12" w:history="1">
        <w:r w:rsidRPr="005C3919">
          <w:rPr>
            <w:rFonts w:ascii="Aptos" w:eastAsia="Aptos" w:hAnsi="Aptos"/>
            <w:color w:val="467886"/>
            <w:kern w:val="2"/>
            <w:u w:val="single"/>
            <w:lang w:val="en-AU"/>
            <w14:ligatures w14:val="standardContextual"/>
          </w:rPr>
          <w:t>https://www.cefc.com.au/media/ovrkk5l3/australian-buildings-and-infrastructure-opportunities-for-cutting-embodied-carbon.pdf</w:t>
        </w:r>
      </w:hyperlink>
      <w:r w:rsidRPr="005C3919">
        <w:rPr>
          <w:rFonts w:ascii="Aptos" w:eastAsia="Aptos" w:hAnsi="Aptos"/>
          <w:kern w:val="2"/>
          <w:lang w:val="en-AU"/>
          <w14:ligatures w14:val="standardContextual"/>
        </w:rPr>
        <w:t xml:space="preserve">   </w:t>
      </w:r>
    </w:p>
    <w:p w14:paraId="53A56BB6" w14:textId="77777777" w:rsidR="005C3919" w:rsidRPr="005C3919" w:rsidRDefault="005C3919" w:rsidP="005C3919">
      <w:pPr>
        <w:spacing w:after="160" w:line="259" w:lineRule="auto"/>
        <w:rPr>
          <w:rFonts w:ascii="Aptos" w:eastAsia="Aptos" w:hAnsi="Aptos"/>
          <w:kern w:val="2"/>
          <w:lang w:val="en-AU"/>
          <w14:ligatures w14:val="standardContextual"/>
        </w:rPr>
      </w:pPr>
    </w:p>
    <w:p w14:paraId="0C220BC6" w14:textId="77777777" w:rsidR="005C3919" w:rsidRPr="005C3919" w:rsidRDefault="005C3919" w:rsidP="005C3919">
      <w:pPr>
        <w:spacing w:after="160" w:line="259" w:lineRule="auto"/>
        <w:rPr>
          <w:rFonts w:ascii="Aptos" w:eastAsia="Aptos" w:hAnsi="Aptos"/>
          <w:kern w:val="2"/>
          <w:lang w:val="en-AU"/>
          <w14:ligatures w14:val="standardContextual"/>
        </w:rPr>
      </w:pPr>
      <w:r w:rsidRPr="005C3919">
        <w:rPr>
          <w:rFonts w:ascii="Aptos" w:eastAsia="Aptos" w:hAnsi="Aptos"/>
          <w:noProof/>
          <w:kern w:val="2"/>
          <w:lang w:val="en-AU"/>
          <w14:ligatures w14:val="standardContextual"/>
        </w:rPr>
        <mc:AlternateContent>
          <mc:Choice Requires="wps">
            <w:drawing>
              <wp:anchor distT="0" distB="0" distL="114300" distR="114300" simplePos="0" relativeHeight="251658240" behindDoc="0" locked="0" layoutInCell="1" allowOverlap="1" wp14:anchorId="47A73E1A" wp14:editId="7606486E">
                <wp:simplePos x="0" y="0"/>
                <wp:positionH relativeFrom="margin">
                  <wp:posOffset>3232150</wp:posOffset>
                </wp:positionH>
                <wp:positionV relativeFrom="paragraph">
                  <wp:posOffset>2318385</wp:posOffset>
                </wp:positionV>
                <wp:extent cx="2825393" cy="292100"/>
                <wp:effectExtent l="0" t="0" r="0" b="0"/>
                <wp:wrapNone/>
                <wp:docPr id="10" name="TextBox 9">
                  <a:extLst xmlns:a="http://schemas.openxmlformats.org/drawingml/2006/main">
                    <a:ext uri="{FF2B5EF4-FFF2-40B4-BE49-F238E27FC236}">
                      <a16:creationId xmlns:a16="http://schemas.microsoft.com/office/drawing/2014/main" id="{F2F33E8F-1FE7-E16A-326D-6A075260D5BA}"/>
                    </a:ext>
                  </a:extLst>
                </wp:docPr>
                <wp:cNvGraphicFramePr/>
                <a:graphic xmlns:a="http://schemas.openxmlformats.org/drawingml/2006/main">
                  <a:graphicData uri="http://schemas.microsoft.com/office/word/2010/wordprocessingShape">
                    <wps:wsp>
                      <wps:cNvSpPr txBox="1"/>
                      <wps:spPr>
                        <a:xfrm>
                          <a:off x="0" y="0"/>
                          <a:ext cx="2825393" cy="292100"/>
                        </a:xfrm>
                        <a:prstGeom prst="rect">
                          <a:avLst/>
                        </a:prstGeom>
                        <a:noFill/>
                      </wps:spPr>
                      <wps:txbx>
                        <w:txbxContent>
                          <w:p w14:paraId="7BEC6EB5" w14:textId="77777777" w:rsidR="005C3919" w:rsidRPr="005C3919" w:rsidRDefault="005C3919" w:rsidP="005C3919">
                            <w:pPr>
                              <w:rPr>
                                <w:rFonts w:hAnsi="Aptos"/>
                                <w:color w:val="000000"/>
                                <w:kern w:val="24"/>
                                <w:sz w:val="20"/>
                                <w:szCs w:val="20"/>
                              </w:rPr>
                            </w:pPr>
                            <w:r w:rsidRPr="005C3919">
                              <w:rPr>
                                <w:rFonts w:hAnsi="Aptos"/>
                                <w:color w:val="000000"/>
                                <w:kern w:val="24"/>
                                <w:sz w:val="20"/>
                                <w:szCs w:val="20"/>
                              </w:rPr>
                              <w:t>Source: Sustainability Victoria 2024 unpublished</w:t>
                            </w:r>
                          </w:p>
                        </w:txbxContent>
                      </wps:txbx>
                      <wps:bodyPr wrap="square" lIns="0" tIns="0" rIns="0" bIns="0" rtlCol="0">
                        <a:noAutofit/>
                      </wps:bodyPr>
                    </wps:wsp>
                  </a:graphicData>
                </a:graphic>
                <wp14:sizeRelV relativeFrom="margin">
                  <wp14:pctHeight>0</wp14:pctHeight>
                </wp14:sizeRelV>
              </wp:anchor>
            </w:drawing>
          </mc:Choice>
          <mc:Fallback>
            <w:pict>
              <v:shapetype w14:anchorId="47A73E1A" id="_x0000_t202" coordsize="21600,21600" o:spt="202" path="m,l,21600r21600,l21600,xe">
                <v:stroke joinstyle="miter"/>
                <v:path gradientshapeok="t" o:connecttype="rect"/>
              </v:shapetype>
              <v:shape id="TextBox 9" o:spid="_x0000_s1026" type="#_x0000_t202" style="position:absolute;margin-left:254.5pt;margin-top:182.55pt;width:222.45pt;height:23pt;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" filled="f" stroked="f">
                <v:textbox inset="0,0,0,0">
                  <w:txbxContent>
                    <w:p w14:paraId="7BEC6EB5" w14:textId="77777777" w:rsidR="005C3919" w:rsidRPr="005C3919" w:rsidRDefault="005C3919" w:rsidP="005C3919">
                      <w:pPr>
                        <w:rPr>
                          <w:rFonts w:hAnsi="Aptos"/>
                          <w:color w:val="000000"/>
                          <w:kern w:val="24"/>
                          <w:sz w:val="20"/>
                          <w:szCs w:val="20"/>
                        </w:rPr>
                      </w:pPr>
                      <w:r w:rsidRPr="005C3919">
                        <w:rPr>
                          <w:rFonts w:hAnsi="Aptos"/>
                          <w:color w:val="000000"/>
                          <w:kern w:val="24"/>
                          <w:sz w:val="20"/>
                          <w:szCs w:val="20"/>
                        </w:rPr>
                        <w:t>Source: Sustainability Victoria 2024 unpublished</w:t>
                      </w:r>
                    </w:p>
                  </w:txbxContent>
                </v:textbox>
                <w10:wrap anchorx="margin"/>
              </v:shape>
            </w:pict>
          </mc:Fallback>
        </mc:AlternateContent>
      </w:r>
      <w:r w:rsidRPr="005C3919">
        <w:rPr>
          <w:rFonts w:ascii="Aptos" w:eastAsia="Aptos" w:hAnsi="Aptos"/>
          <w:noProof/>
          <w:kern w:val="2"/>
          <w:lang w:val="en-AU"/>
          <w14:ligatures w14:val="standardContextual"/>
        </w:rPr>
        <w:drawing>
          <wp:inline distT="0" distB="0" distL="0" distR="0" wp14:anchorId="6A158DC2" wp14:editId="57EC3799">
            <wp:extent cx="5731510" cy="2535555"/>
            <wp:effectExtent l="0" t="0" r="2540" b="0"/>
            <wp:docPr id="9" name="Content Placeholder 8">
              <a:extLst xmlns:a="http://schemas.openxmlformats.org/drawingml/2006/main">
                <a:ext uri="{FF2B5EF4-FFF2-40B4-BE49-F238E27FC236}">
                  <a16:creationId xmlns:a16="http://schemas.microsoft.com/office/drawing/2014/main" id="{F7BFEA8C-41E1-2848-4FF5-930BB21FB501}"/>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9" name="Content Placeholder 8">
                      <a:extLst>
                        <a:ext uri="{FF2B5EF4-FFF2-40B4-BE49-F238E27FC236}">
                          <a16:creationId xmlns:a16="http://schemas.microsoft.com/office/drawing/2014/main" id="{F7BFEA8C-41E1-2848-4FF5-930BB21FB501}"/>
                        </a:ext>
                      </a:extLst>
                    </pic:cNvPr>
                    <pic:cNvPicPr>
                      <a:picLocks noGrp="1" noChangeAspect="1"/>
                    </pic:cNvPicPr>
                  </pic:nvPicPr>
                  <pic:blipFill>
                    <a:blip r:embed="rId13"/>
                    <a:stretch>
                      <a:fillRect/>
                    </a:stretch>
                  </pic:blipFill>
                  <pic:spPr>
                    <a:xfrm>
                      <a:off x="0" y="0"/>
                      <a:ext cx="5731510" cy="2535555"/>
                    </a:xfrm>
                    <a:prstGeom prst="rect">
                      <a:avLst/>
                    </a:prstGeom>
                  </pic:spPr>
                </pic:pic>
              </a:graphicData>
            </a:graphic>
          </wp:inline>
        </w:drawing>
      </w:r>
    </w:p>
    <w:p w14:paraId="112A5890" w14:textId="77777777" w:rsidR="005C3919" w:rsidRPr="005C3919" w:rsidRDefault="005C3919" w:rsidP="005C3919">
      <w:pPr>
        <w:spacing w:after="160" w:line="259" w:lineRule="auto"/>
        <w:rPr>
          <w:rFonts w:ascii="Aptos" w:eastAsia="Aptos" w:hAnsi="Aptos"/>
          <w:b/>
          <w:bCs/>
          <w:kern w:val="2"/>
          <w:lang w:val="en-AU"/>
          <w14:ligatures w14:val="standardContextual"/>
        </w:rPr>
      </w:pPr>
      <w:r w:rsidRPr="005C3919">
        <w:rPr>
          <w:rFonts w:ascii="Aptos" w:eastAsia="Aptos" w:hAnsi="Aptos"/>
          <w:b/>
          <w:bCs/>
          <w:kern w:val="2"/>
          <w:lang w:val="en-AU"/>
          <w14:ligatures w14:val="standardContextual"/>
        </w:rPr>
        <w:t xml:space="preserve">The GCCN sees the Circular Economy as providing benefits </w:t>
      </w:r>
      <w:proofErr w:type="gramStart"/>
      <w:r w:rsidRPr="005C3919">
        <w:rPr>
          <w:rFonts w:ascii="Aptos" w:eastAsia="Aptos" w:hAnsi="Aptos"/>
          <w:b/>
          <w:bCs/>
          <w:kern w:val="2"/>
          <w:lang w:val="en-AU"/>
          <w14:ligatures w14:val="standardContextual"/>
        </w:rPr>
        <w:t>to;</w:t>
      </w:r>
      <w:proofErr w:type="gramEnd"/>
    </w:p>
    <w:p w14:paraId="2094578B" w14:textId="77777777" w:rsidR="005C3919" w:rsidRPr="005C3919" w:rsidRDefault="005C3919" w:rsidP="005C3919">
      <w:pPr>
        <w:spacing w:after="160" w:line="259" w:lineRule="auto"/>
        <w:ind w:left="720"/>
        <w:rPr>
          <w:rFonts w:ascii="Aptos" w:eastAsia="Aptos" w:hAnsi="Aptos"/>
          <w:kern w:val="2"/>
          <w:lang w:val="en-AU"/>
          <w14:ligatures w14:val="standardContextual"/>
        </w:rPr>
      </w:pPr>
      <w:r w:rsidRPr="005C3919">
        <w:rPr>
          <w:rFonts w:ascii="Aptos" w:eastAsia="Aptos" w:hAnsi="Aptos"/>
          <w:b/>
          <w:bCs/>
          <w:kern w:val="2"/>
          <w:lang w:val="en-AU"/>
          <w14:ligatures w14:val="standardContextual"/>
        </w:rPr>
        <w:t>Business</w:t>
      </w:r>
      <w:r w:rsidRPr="005C3919">
        <w:rPr>
          <w:rFonts w:ascii="Aptos" w:eastAsia="Aptos" w:hAnsi="Aptos"/>
          <w:kern w:val="2"/>
          <w:lang w:val="en-AU"/>
          <w14:ligatures w14:val="standardContextual"/>
        </w:rPr>
        <w:t>: Cost savings, supply chain resilience and simplification, improved brand, drives innovation</w:t>
      </w:r>
    </w:p>
    <w:p w14:paraId="75EF310E" w14:textId="77777777" w:rsidR="005C3919" w:rsidRPr="005C3919" w:rsidRDefault="005C3919" w:rsidP="005C3919">
      <w:pPr>
        <w:spacing w:after="160" w:line="259" w:lineRule="auto"/>
        <w:ind w:left="720"/>
        <w:rPr>
          <w:rFonts w:ascii="Aptos" w:eastAsia="Aptos" w:hAnsi="Aptos"/>
          <w:kern w:val="2"/>
          <w:lang w:val="en-AU"/>
          <w14:ligatures w14:val="standardContextual"/>
        </w:rPr>
      </w:pPr>
      <w:proofErr w:type="gramStart"/>
      <w:r w:rsidRPr="005C3919">
        <w:rPr>
          <w:rFonts w:ascii="Aptos" w:eastAsia="Aptos" w:hAnsi="Aptos"/>
          <w:b/>
          <w:bCs/>
          <w:kern w:val="2"/>
          <w:lang w:val="en-AU"/>
          <w14:ligatures w14:val="standardContextual"/>
        </w:rPr>
        <w:t>Government</w:t>
      </w:r>
      <w:r w:rsidRPr="005C3919">
        <w:rPr>
          <w:rFonts w:ascii="Aptos" w:eastAsia="Aptos" w:hAnsi="Aptos"/>
          <w:kern w:val="2"/>
          <w:lang w:val="en-AU"/>
          <w14:ligatures w14:val="standardContextual"/>
        </w:rPr>
        <w:t>;</w:t>
      </w:r>
      <w:proofErr w:type="gramEnd"/>
      <w:r w:rsidRPr="005C3919">
        <w:rPr>
          <w:rFonts w:ascii="Aptos" w:eastAsia="Aptos" w:hAnsi="Aptos"/>
          <w:kern w:val="2"/>
          <w:lang w:val="en-AU"/>
          <w14:ligatures w14:val="standardContextual"/>
        </w:rPr>
        <w:t xml:space="preserve"> reduced human health risks, economic resilience, reduce import dependency, reduced climate change liability, improved ecologic services and resource security.</w:t>
      </w:r>
    </w:p>
    <w:p w14:paraId="7439E3D0" w14:textId="77777777" w:rsidR="005C3919" w:rsidRPr="005C3919" w:rsidRDefault="005C3919" w:rsidP="005C3919">
      <w:pPr>
        <w:spacing w:after="160" w:line="259" w:lineRule="auto"/>
        <w:ind w:left="720"/>
        <w:rPr>
          <w:rFonts w:ascii="Aptos" w:eastAsia="Aptos" w:hAnsi="Aptos"/>
          <w:kern w:val="2"/>
          <w:lang w:val="en-AU"/>
          <w14:ligatures w14:val="standardContextual"/>
        </w:rPr>
      </w:pPr>
      <w:proofErr w:type="gramStart"/>
      <w:r w:rsidRPr="005C3919">
        <w:rPr>
          <w:rFonts w:ascii="Aptos" w:eastAsia="Aptos" w:hAnsi="Aptos"/>
          <w:b/>
          <w:bCs/>
          <w:kern w:val="2"/>
          <w:lang w:val="en-AU"/>
          <w14:ligatures w14:val="standardContextual"/>
        </w:rPr>
        <w:t>Community;</w:t>
      </w:r>
      <w:proofErr w:type="gramEnd"/>
      <w:r w:rsidRPr="005C3919">
        <w:rPr>
          <w:rFonts w:ascii="Aptos" w:eastAsia="Aptos" w:hAnsi="Aptos"/>
          <w:b/>
          <w:bCs/>
          <w:kern w:val="2"/>
          <w:lang w:val="en-AU"/>
          <w14:ligatures w14:val="standardContextual"/>
        </w:rPr>
        <w:t xml:space="preserve"> </w:t>
      </w:r>
      <w:r w:rsidRPr="005C3919">
        <w:rPr>
          <w:rFonts w:ascii="Aptos" w:eastAsia="Aptos" w:hAnsi="Aptos"/>
          <w:kern w:val="2"/>
          <w:lang w:val="en-AU"/>
          <w14:ligatures w14:val="standardContextual"/>
        </w:rPr>
        <w:t>increase jobs, reduced health risks, lower household costs, increase job security</w:t>
      </w:r>
    </w:p>
    <w:p w14:paraId="6E3439B3" w14:textId="549A60CC" w:rsidR="00E736E7" w:rsidRDefault="005C3919" w:rsidP="005C3919">
      <w:pPr>
        <w:spacing w:after="160" w:line="259" w:lineRule="auto"/>
        <w:rPr>
          <w:rFonts w:ascii="Aptos" w:eastAsia="Aptos" w:hAnsi="Aptos"/>
          <w:kern w:val="2"/>
          <w:lang w:val="en-AU"/>
          <w14:ligatures w14:val="standardContextual"/>
        </w:rPr>
      </w:pPr>
      <w:r w:rsidRPr="005C3919">
        <w:rPr>
          <w:rFonts w:ascii="Aptos" w:eastAsia="Aptos" w:hAnsi="Aptos"/>
          <w:kern w:val="2"/>
          <w:lang w:val="en-AU"/>
          <w14:ligatures w14:val="standardContextual"/>
        </w:rPr>
        <w:t xml:space="preserve">Gippsland is an Agricultural </w:t>
      </w:r>
      <w:r w:rsidR="00E736E7" w:rsidRPr="005C3919">
        <w:rPr>
          <w:rFonts w:ascii="Aptos" w:eastAsia="Aptos" w:hAnsi="Aptos"/>
          <w:kern w:val="2"/>
          <w:lang w:val="en-AU"/>
          <w14:ligatures w14:val="standardContextual"/>
        </w:rPr>
        <w:t>Powerhouse</w:t>
      </w:r>
      <w:r w:rsidRPr="005C3919">
        <w:rPr>
          <w:rFonts w:ascii="Aptos" w:eastAsia="Aptos" w:hAnsi="Aptos"/>
          <w:kern w:val="2"/>
          <w:lang w:val="en-AU"/>
          <w14:ligatures w14:val="standardContextual"/>
        </w:rPr>
        <w:t xml:space="preserve"> in Victoria with 22% of the national footprint, and nearly a third of the Victoria’s Horticultural product coming from the region.  However over 70% of that product is exported raw out the of the region for processing.  If the region could build processing capacity in the region adopting circular principles around material and resource use, this would not only add value to the Region’s regional product value, but also strengthen its reputation as a region embracing the change to a clean economy.  </w:t>
      </w:r>
    </w:p>
    <w:p w14:paraId="6BE59AF8" w14:textId="532C8697" w:rsidR="005C3919" w:rsidRPr="005C3919" w:rsidRDefault="005C3919" w:rsidP="005C3919">
      <w:pPr>
        <w:spacing w:after="160" w:line="259" w:lineRule="auto"/>
        <w:rPr>
          <w:rFonts w:ascii="Aptos" w:eastAsia="Aptos" w:hAnsi="Aptos"/>
          <w:kern w:val="2"/>
          <w:lang w:val="en-AU"/>
          <w14:ligatures w14:val="standardContextual"/>
        </w:rPr>
      </w:pPr>
      <w:r w:rsidRPr="005C3919">
        <w:rPr>
          <w:rFonts w:ascii="Aptos" w:eastAsia="Aptos" w:hAnsi="Aptos"/>
          <w:kern w:val="2"/>
          <w:lang w:val="en-AU"/>
          <w14:ligatures w14:val="standardContextual"/>
        </w:rPr>
        <w:t xml:space="preserve">Several circular </w:t>
      </w:r>
      <w:proofErr w:type="gramStart"/>
      <w:r w:rsidRPr="005C3919">
        <w:rPr>
          <w:rFonts w:ascii="Aptos" w:eastAsia="Aptos" w:hAnsi="Aptos"/>
          <w:kern w:val="2"/>
          <w:lang w:val="en-AU"/>
          <w14:ligatures w14:val="standardContextual"/>
        </w:rPr>
        <w:t>economy</w:t>
      </w:r>
      <w:proofErr w:type="gramEnd"/>
      <w:r w:rsidRPr="005C3919">
        <w:rPr>
          <w:rFonts w:ascii="Aptos" w:eastAsia="Aptos" w:hAnsi="Aptos"/>
          <w:kern w:val="2"/>
          <w:lang w:val="en-AU"/>
          <w14:ligatures w14:val="standardContextual"/>
        </w:rPr>
        <w:t xml:space="preserve"> related initiatives have looked to build on this such as industry led investigations into advanced vegetable processing, seaweed, vertical </w:t>
      </w:r>
      <w:r w:rsidRPr="005C3919">
        <w:rPr>
          <w:rFonts w:ascii="Aptos" w:eastAsia="Aptos" w:hAnsi="Aptos"/>
          <w:kern w:val="2"/>
          <w:lang w:val="en-AU"/>
          <w14:ligatures w14:val="standardContextual"/>
        </w:rPr>
        <w:lastRenderedPageBreak/>
        <w:t>farming and industrial hemp using.  These require resourcing and seed funding to move beyond feasibility to business case and commercialisation stages.</w:t>
      </w:r>
    </w:p>
    <w:p w14:paraId="5EE0C079" w14:textId="77777777" w:rsidR="005C3919" w:rsidRPr="00E736E7" w:rsidRDefault="005C3919" w:rsidP="005C3919">
      <w:pPr>
        <w:spacing w:after="160" w:line="259" w:lineRule="auto"/>
        <w:rPr>
          <w:rFonts w:ascii="Aptos" w:eastAsia="Aptos" w:hAnsi="Aptos"/>
          <w:kern w:val="2"/>
          <w:lang w:val="en-AU"/>
          <w14:ligatures w14:val="standardContextual"/>
        </w:rPr>
      </w:pPr>
      <w:r w:rsidRPr="005C3919">
        <w:rPr>
          <w:rFonts w:ascii="Aptos" w:eastAsia="Aptos" w:hAnsi="Aptos"/>
          <w:kern w:val="2"/>
          <w:lang w:val="en-AU"/>
          <w14:ligatures w14:val="standardContextual"/>
        </w:rPr>
        <w:t xml:space="preserve">With the significant Gippsland pipeline of clean energy infrastructure planned for the region (offshore wind, transmission, storage, onshore wind and solar), there is a significant opportunity to adopt circularity principles in the design, construction, operation and maintenance, and decommissioning.  There is precedent in the approach occurring in Northern Europe and Asia.  </w:t>
      </w:r>
    </w:p>
    <w:p w14:paraId="62771866" w14:textId="5F5EA3A5" w:rsidR="005C3919" w:rsidRPr="005C3919" w:rsidRDefault="005C3919" w:rsidP="005C3919">
      <w:pPr>
        <w:spacing w:after="160" w:line="259" w:lineRule="auto"/>
        <w:rPr>
          <w:rFonts w:ascii="Aptos" w:eastAsia="Aptos" w:hAnsi="Aptos"/>
          <w:kern w:val="2"/>
          <w:lang w:val="en-AU"/>
          <w14:ligatures w14:val="standardContextual"/>
        </w:rPr>
      </w:pPr>
      <w:r w:rsidRPr="00E736E7">
        <w:rPr>
          <w:rFonts w:ascii="Aptos" w:eastAsia="Aptos" w:hAnsi="Aptos"/>
          <w:kern w:val="2"/>
          <w:lang w:val="en-AU"/>
          <w14:ligatures w14:val="standardContextual"/>
        </w:rPr>
        <w:t>In our opinion, t</w:t>
      </w:r>
      <w:r w:rsidRPr="005C3919">
        <w:rPr>
          <w:rFonts w:ascii="Aptos" w:eastAsia="Aptos" w:hAnsi="Aptos"/>
          <w:kern w:val="2"/>
          <w:lang w:val="en-AU"/>
          <w14:ligatures w14:val="standardContextual"/>
        </w:rPr>
        <w:t xml:space="preserve">here needs to be a </w:t>
      </w:r>
      <w:r w:rsidRPr="00E736E7">
        <w:rPr>
          <w:rFonts w:ascii="Aptos" w:eastAsia="Aptos" w:hAnsi="Aptos"/>
          <w:kern w:val="2"/>
          <w:u w:val="single"/>
          <w:lang w:val="en-AU"/>
          <w14:ligatures w14:val="standardContextual"/>
        </w:rPr>
        <w:t xml:space="preserve">national </w:t>
      </w:r>
      <w:r w:rsidRPr="005C3919">
        <w:rPr>
          <w:rFonts w:ascii="Aptos" w:eastAsia="Aptos" w:hAnsi="Aptos"/>
          <w:kern w:val="2"/>
          <w:u w:val="single"/>
          <w:lang w:val="en-AU"/>
          <w14:ligatures w14:val="standardContextual"/>
        </w:rPr>
        <w:t>mandate for circular procurement</w:t>
      </w:r>
      <w:r w:rsidRPr="005C3919">
        <w:rPr>
          <w:rFonts w:ascii="Aptos" w:eastAsia="Aptos" w:hAnsi="Aptos"/>
          <w:kern w:val="2"/>
          <w:lang w:val="en-AU"/>
          <w14:ligatures w14:val="standardContextual"/>
        </w:rPr>
        <w:t>, as well as local procurement principles.  We have local manufacturers (</w:t>
      </w:r>
      <w:proofErr w:type="spellStart"/>
      <w:r w:rsidRPr="005C3919">
        <w:rPr>
          <w:rFonts w:ascii="Aptos" w:eastAsia="Aptos" w:hAnsi="Aptos"/>
          <w:kern w:val="2"/>
          <w:lang w:val="en-AU"/>
          <w14:ligatures w14:val="standardContextual"/>
        </w:rPr>
        <w:t>eg</w:t>
      </w:r>
      <w:proofErr w:type="spellEnd"/>
      <w:r w:rsidRPr="005C3919">
        <w:rPr>
          <w:rFonts w:ascii="Aptos" w:eastAsia="Aptos" w:hAnsi="Aptos"/>
          <w:kern w:val="2"/>
          <w:lang w:val="en-AU"/>
          <w14:ligatures w14:val="standardContextual"/>
        </w:rPr>
        <w:t xml:space="preserve"> </w:t>
      </w:r>
      <w:proofErr w:type="spellStart"/>
      <w:r w:rsidRPr="005C3919">
        <w:rPr>
          <w:rFonts w:ascii="Aptos" w:eastAsia="Aptos" w:hAnsi="Aptos"/>
          <w:kern w:val="2"/>
          <w:lang w:val="en-AU"/>
          <w14:ligatures w14:val="standardContextual"/>
        </w:rPr>
        <w:t>Plasgain</w:t>
      </w:r>
      <w:proofErr w:type="spellEnd"/>
      <w:r w:rsidRPr="005C3919">
        <w:rPr>
          <w:rFonts w:ascii="Aptos" w:eastAsia="Aptos" w:hAnsi="Aptos"/>
          <w:kern w:val="2"/>
          <w:lang w:val="en-AU"/>
          <w14:ligatures w14:val="standardContextual"/>
        </w:rPr>
        <w:t xml:space="preserve"> in Drouin and </w:t>
      </w:r>
      <w:proofErr w:type="spellStart"/>
      <w:r w:rsidRPr="005C3919">
        <w:rPr>
          <w:rFonts w:ascii="Aptos" w:eastAsia="Aptos" w:hAnsi="Aptos"/>
          <w:kern w:val="2"/>
          <w:lang w:val="en-AU"/>
          <w14:ligatures w14:val="standardContextual"/>
        </w:rPr>
        <w:t>Elecsome’s</w:t>
      </w:r>
      <w:proofErr w:type="spellEnd"/>
      <w:r w:rsidRPr="005C3919">
        <w:rPr>
          <w:rFonts w:ascii="Aptos" w:eastAsia="Aptos" w:hAnsi="Aptos"/>
          <w:kern w:val="2"/>
          <w:lang w:val="en-AU"/>
          <w14:ligatures w14:val="standardContextual"/>
        </w:rPr>
        <w:t xml:space="preserve"> </w:t>
      </w:r>
      <w:proofErr w:type="spellStart"/>
      <w:r w:rsidRPr="005C3919">
        <w:rPr>
          <w:rFonts w:ascii="Aptos" w:eastAsia="Aptos" w:hAnsi="Aptos"/>
          <w:kern w:val="2"/>
          <w:lang w:val="en-AU"/>
          <w14:ligatures w14:val="standardContextual"/>
        </w:rPr>
        <w:t>SolarCrete</w:t>
      </w:r>
      <w:proofErr w:type="spellEnd"/>
      <w:r w:rsidRPr="005C3919">
        <w:rPr>
          <w:rFonts w:ascii="Aptos" w:eastAsia="Aptos" w:hAnsi="Aptos"/>
          <w:kern w:val="2"/>
          <w:lang w:val="en-AU"/>
          <w14:ligatures w14:val="standardContextual"/>
        </w:rPr>
        <w:t xml:space="preserve"> in Kilmany) of products suitable for this infrastructure using circularity (such as recycled content), that </w:t>
      </w:r>
      <w:proofErr w:type="gramStart"/>
      <w:r w:rsidRPr="005C3919">
        <w:rPr>
          <w:rFonts w:ascii="Aptos" w:eastAsia="Aptos" w:hAnsi="Aptos"/>
          <w:kern w:val="2"/>
          <w:lang w:val="en-AU"/>
          <w14:ligatures w14:val="standardContextual"/>
        </w:rPr>
        <w:t>result  by</w:t>
      </w:r>
      <w:proofErr w:type="gramEnd"/>
      <w:r w:rsidRPr="005C3919">
        <w:rPr>
          <w:rFonts w:ascii="Aptos" w:eastAsia="Aptos" w:hAnsi="Aptos"/>
          <w:kern w:val="2"/>
          <w:lang w:val="en-AU"/>
          <w14:ligatures w14:val="standardContextual"/>
        </w:rPr>
        <w:t xml:space="preserve"> contractors (not only 1</w:t>
      </w:r>
      <w:r w:rsidRPr="005C3919">
        <w:rPr>
          <w:rFonts w:ascii="Aptos" w:eastAsia="Aptos" w:hAnsi="Aptos"/>
          <w:kern w:val="2"/>
          <w:vertAlign w:val="superscript"/>
          <w:lang w:val="en-AU"/>
          <w14:ligatures w14:val="standardContextual"/>
        </w:rPr>
        <w:t>st</w:t>
      </w:r>
      <w:r w:rsidRPr="005C3919">
        <w:rPr>
          <w:rFonts w:ascii="Aptos" w:eastAsia="Aptos" w:hAnsi="Aptos"/>
          <w:kern w:val="2"/>
          <w:lang w:val="en-AU"/>
          <w14:ligatures w14:val="standardContextual"/>
        </w:rPr>
        <w:t xml:space="preserve"> tier,  but 2</w:t>
      </w:r>
      <w:r w:rsidRPr="005C3919">
        <w:rPr>
          <w:rFonts w:ascii="Aptos" w:eastAsia="Aptos" w:hAnsi="Aptos"/>
          <w:kern w:val="2"/>
          <w:vertAlign w:val="superscript"/>
          <w:lang w:val="en-AU"/>
          <w14:ligatures w14:val="standardContextual"/>
        </w:rPr>
        <w:t>nd</w:t>
      </w:r>
      <w:r w:rsidRPr="005C3919">
        <w:rPr>
          <w:rFonts w:ascii="Aptos" w:eastAsia="Aptos" w:hAnsi="Aptos"/>
          <w:kern w:val="2"/>
          <w:lang w:val="en-AU"/>
          <w14:ligatures w14:val="standardContextual"/>
        </w:rPr>
        <w:t xml:space="preserve"> and 3</w:t>
      </w:r>
      <w:r w:rsidRPr="005C3919">
        <w:rPr>
          <w:rFonts w:ascii="Aptos" w:eastAsia="Aptos" w:hAnsi="Aptos"/>
          <w:kern w:val="2"/>
          <w:vertAlign w:val="superscript"/>
          <w:lang w:val="en-AU"/>
          <w14:ligatures w14:val="standardContextual"/>
        </w:rPr>
        <w:t>rd</w:t>
      </w:r>
      <w:r w:rsidRPr="005C3919">
        <w:rPr>
          <w:rFonts w:ascii="Aptos" w:eastAsia="Aptos" w:hAnsi="Aptos"/>
          <w:kern w:val="2"/>
          <w:lang w:val="en-AU"/>
          <w14:ligatures w14:val="standardContextual"/>
        </w:rPr>
        <w:t xml:space="preserve"> tier) going for product from out of the region.  In the case of </w:t>
      </w:r>
      <w:proofErr w:type="spellStart"/>
      <w:r w:rsidRPr="005C3919">
        <w:rPr>
          <w:rFonts w:ascii="Aptos" w:eastAsia="Aptos" w:hAnsi="Aptos"/>
          <w:kern w:val="2"/>
          <w:lang w:val="en-AU"/>
          <w14:ligatures w14:val="standardContextual"/>
        </w:rPr>
        <w:t>Plasgain</w:t>
      </w:r>
      <w:proofErr w:type="spellEnd"/>
      <w:r w:rsidRPr="005C3919">
        <w:rPr>
          <w:rFonts w:ascii="Aptos" w:eastAsia="Aptos" w:hAnsi="Aptos"/>
          <w:kern w:val="2"/>
          <w:lang w:val="en-AU"/>
          <w14:ligatures w14:val="standardContextual"/>
        </w:rPr>
        <w:t xml:space="preserve"> this was a wind farm contracting virgin plastic High voltage cable covers from Thailand, rather than recycled content product made in Drouin.  The multinational windfarm companies like Orsted and Vestas are already embedding and reporting on Circularity in their projects overseas, but </w:t>
      </w:r>
      <w:r w:rsidRPr="00E736E7">
        <w:rPr>
          <w:rFonts w:ascii="Aptos" w:eastAsia="Aptos" w:hAnsi="Aptos"/>
          <w:kern w:val="2"/>
          <w:lang w:val="en-AU"/>
          <w14:ligatures w14:val="standardContextual"/>
        </w:rPr>
        <w:t>without</w:t>
      </w:r>
      <w:r w:rsidRPr="005C3919">
        <w:rPr>
          <w:rFonts w:ascii="Aptos" w:eastAsia="Aptos" w:hAnsi="Aptos"/>
          <w:kern w:val="2"/>
          <w:lang w:val="en-AU"/>
          <w14:ligatures w14:val="standardContextual"/>
        </w:rPr>
        <w:t xml:space="preserve"> a requirement here in Australia, there is a risk of it being an afterthought, and not even a consideration by sub-contractors.</w:t>
      </w:r>
    </w:p>
    <w:p w14:paraId="5157487D" w14:textId="77777777" w:rsidR="005C3919" w:rsidRPr="00E736E7" w:rsidRDefault="005C3919" w:rsidP="005C3919">
      <w:pPr>
        <w:spacing w:after="160" w:line="259" w:lineRule="auto"/>
        <w:rPr>
          <w:rFonts w:ascii="Aptos" w:eastAsia="Aptos" w:hAnsi="Aptos"/>
          <w:kern w:val="2"/>
          <w:lang w:val="en-AU"/>
          <w14:ligatures w14:val="standardContextual"/>
        </w:rPr>
      </w:pPr>
      <w:r w:rsidRPr="005C3919">
        <w:rPr>
          <w:rFonts w:ascii="Aptos" w:eastAsia="Aptos" w:hAnsi="Aptos"/>
          <w:kern w:val="2"/>
          <w:lang w:val="en-AU"/>
          <w14:ligatures w14:val="standardContextual"/>
        </w:rPr>
        <w:t xml:space="preserve">GCCN is a supporter of the Gippsland Circular Economy Hub.  </w:t>
      </w:r>
      <w:r w:rsidRPr="00E736E7">
        <w:rPr>
          <w:rFonts w:ascii="Aptos" w:eastAsia="Aptos" w:hAnsi="Aptos"/>
          <w:kern w:val="2"/>
          <w:lang w:val="en-AU"/>
          <w14:ligatures w14:val="standardContextual"/>
        </w:rPr>
        <w:t>It’s</w:t>
      </w:r>
      <w:r w:rsidRPr="005C3919">
        <w:rPr>
          <w:rFonts w:ascii="Aptos" w:eastAsia="Aptos" w:hAnsi="Aptos"/>
          <w:kern w:val="2"/>
          <w:lang w:val="en-AU"/>
          <w14:ligatures w14:val="standardContextual"/>
        </w:rPr>
        <w:t xml:space="preserve"> a collaborative network of organisations looking to develop understanding and adoption of circularity and facilitate new opportunities as the region transition to a cleaner economy</w:t>
      </w:r>
      <w:r w:rsidRPr="00E736E7">
        <w:rPr>
          <w:rFonts w:ascii="Aptos" w:eastAsia="Aptos" w:hAnsi="Aptos"/>
          <w:kern w:val="2"/>
          <w:lang w:val="en-AU"/>
          <w14:ligatures w14:val="standardContextual"/>
        </w:rPr>
        <w:t xml:space="preserve"> with further details at </w:t>
      </w:r>
      <w:hyperlink r:id="rId14" w:history="1">
        <w:r w:rsidRPr="005C3919">
          <w:rPr>
            <w:rStyle w:val="Hyperlink"/>
            <w:rFonts w:ascii="Aptos" w:eastAsia="Aptos" w:hAnsi="Aptos"/>
            <w:kern w:val="2"/>
            <w:lang w:val="en-AU"/>
            <w14:ligatures w14:val="standardContextual"/>
          </w:rPr>
          <w:t>https://www.foodandfibregippsland.com.au/gippsland-circular-economy-hub</w:t>
        </w:r>
      </w:hyperlink>
      <w:r w:rsidRPr="005C3919">
        <w:rPr>
          <w:rFonts w:ascii="Aptos" w:eastAsia="Aptos" w:hAnsi="Aptos"/>
          <w:kern w:val="2"/>
          <w:lang w:val="en-AU"/>
          <w14:ligatures w14:val="standardContextual"/>
        </w:rPr>
        <w:t xml:space="preserve"> </w:t>
      </w:r>
    </w:p>
    <w:p w14:paraId="0DEFE816" w14:textId="1FF94D85" w:rsidR="005C3919" w:rsidRPr="00E736E7" w:rsidRDefault="005C3919" w:rsidP="005C3919">
      <w:pPr>
        <w:spacing w:after="160" w:line="259" w:lineRule="auto"/>
        <w:rPr>
          <w:rFonts w:ascii="Aptos" w:eastAsia="Aptos" w:hAnsi="Aptos"/>
          <w:kern w:val="2"/>
          <w:lang w:val="en-AU"/>
          <w14:ligatures w14:val="standardContextual"/>
        </w:rPr>
      </w:pPr>
      <w:r w:rsidRPr="005C3919">
        <w:rPr>
          <w:rFonts w:ascii="Aptos" w:eastAsia="Aptos" w:hAnsi="Aptos"/>
          <w:kern w:val="2"/>
          <w:lang w:val="en-AU"/>
          <w14:ligatures w14:val="standardContextual"/>
        </w:rPr>
        <w:t xml:space="preserve">It operates through </w:t>
      </w:r>
      <w:proofErr w:type="spellStart"/>
      <w:r w:rsidRPr="005C3919">
        <w:rPr>
          <w:rFonts w:ascii="Aptos" w:eastAsia="Aptos" w:hAnsi="Aptos"/>
          <w:kern w:val="2"/>
          <w:lang w:val="en-AU"/>
          <w14:ligatures w14:val="standardContextual"/>
        </w:rPr>
        <w:t>inkind</w:t>
      </w:r>
      <w:proofErr w:type="spellEnd"/>
      <w:r w:rsidRPr="005C3919">
        <w:rPr>
          <w:rFonts w:ascii="Aptos" w:eastAsia="Aptos" w:hAnsi="Aptos"/>
          <w:kern w:val="2"/>
          <w:lang w:val="en-AU"/>
          <w14:ligatures w14:val="standardContextual"/>
        </w:rPr>
        <w:t xml:space="preserve"> staff time and focuses on facilitating local priorities related to the Circular Economy.  One example of this the GCCN program- Gippsland Circular Futures supporting SMEs in Gippsland to understand what CE is and how they can take steps to be involved </w:t>
      </w:r>
      <w:hyperlink r:id="rId15" w:history="1">
        <w:r w:rsidRPr="005C3919">
          <w:rPr>
            <w:rFonts w:ascii="Aptos" w:eastAsia="Aptos" w:hAnsi="Aptos"/>
            <w:color w:val="467886"/>
            <w:kern w:val="2"/>
            <w:u w:val="single"/>
            <w:lang w:val="en-AU"/>
            <w14:ligatures w14:val="standardContextual"/>
          </w:rPr>
          <w:t>https://www.gccn.org.au/news/gippsland-circular-futures-initiative</w:t>
        </w:r>
      </w:hyperlink>
      <w:r w:rsidRPr="005C3919">
        <w:rPr>
          <w:rFonts w:ascii="Aptos" w:eastAsia="Aptos" w:hAnsi="Aptos"/>
          <w:kern w:val="2"/>
          <w:lang w:val="en-AU"/>
          <w14:ligatures w14:val="standardContextual"/>
        </w:rPr>
        <w:t xml:space="preserve"> </w:t>
      </w:r>
    </w:p>
    <w:p w14:paraId="053FEC0E" w14:textId="5273BFEC" w:rsidR="009900B8" w:rsidRPr="00E736E7" w:rsidRDefault="00E736E7" w:rsidP="009900B8">
      <w:pPr>
        <w:tabs>
          <w:tab w:val="center" w:pos="4510"/>
          <w:tab w:val="center" w:pos="4680"/>
          <w:tab w:val="left" w:pos="6868"/>
          <w:tab w:val="right" w:pos="9360"/>
        </w:tabs>
        <w:rPr>
          <w:rFonts w:ascii="Aptos" w:eastAsia="Aptos" w:hAnsi="Aptos"/>
          <w:kern w:val="2"/>
          <w:lang w:val="en-AU"/>
          <w14:ligatures w14:val="standardContextual"/>
        </w:rPr>
      </w:pPr>
      <w:r w:rsidRPr="00E736E7">
        <w:rPr>
          <w:rFonts w:ascii="Aptos" w:eastAsia="Aptos" w:hAnsi="Aptos"/>
          <w:kern w:val="2"/>
          <w:lang w:val="en-AU"/>
          <w14:ligatures w14:val="standardContextual"/>
        </w:rPr>
        <w:t>The Gippsland Climate Change Network strongly supports the development of circularity networks, where local capacity is built through the presence of positive role models and the sharing of expertise among participants. With targeted concessions and clear Federal leadership, these businesses have the potential to expand and create sustainable circular economy opportunities, both within our region and across Australia.</w:t>
      </w:r>
    </w:p>
    <w:p w14:paraId="048A8142" w14:textId="508D743A" w:rsidR="009900B8" w:rsidRDefault="009900B8" w:rsidP="009900B8">
      <w:pPr>
        <w:tabs>
          <w:tab w:val="center" w:pos="4510"/>
          <w:tab w:val="center" w:pos="4680"/>
          <w:tab w:val="left" w:pos="6868"/>
          <w:tab w:val="right" w:pos="9360"/>
        </w:tabs>
        <w:rPr>
          <w:rFonts w:ascii="Calibri" w:eastAsia="Calibri" w:hAnsi="Calibri"/>
          <w:sz w:val="20"/>
          <w:szCs w:val="20"/>
          <w:lang w:val="en-AU"/>
        </w:rPr>
      </w:pPr>
    </w:p>
    <w:p w14:paraId="7596BB0B" w14:textId="77777777" w:rsidR="00E736E7" w:rsidRDefault="00E736E7" w:rsidP="009900B8">
      <w:pPr>
        <w:tabs>
          <w:tab w:val="center" w:pos="4510"/>
          <w:tab w:val="center" w:pos="4680"/>
          <w:tab w:val="left" w:pos="6868"/>
          <w:tab w:val="right" w:pos="9360"/>
        </w:tabs>
        <w:rPr>
          <w:rFonts w:ascii="Calibri" w:eastAsia="Calibri" w:hAnsi="Calibri"/>
          <w:sz w:val="20"/>
          <w:szCs w:val="20"/>
          <w:lang w:val="en-AU"/>
        </w:rPr>
      </w:pPr>
    </w:p>
    <w:p w14:paraId="3ADA69A4" w14:textId="77777777" w:rsidR="00E736E7" w:rsidRDefault="00E736E7" w:rsidP="009900B8">
      <w:pPr>
        <w:tabs>
          <w:tab w:val="center" w:pos="4510"/>
          <w:tab w:val="center" w:pos="4680"/>
          <w:tab w:val="left" w:pos="6868"/>
          <w:tab w:val="right" w:pos="9360"/>
        </w:tabs>
        <w:rPr>
          <w:rFonts w:ascii="Calibri" w:eastAsia="Calibri" w:hAnsi="Calibri"/>
          <w:sz w:val="20"/>
          <w:szCs w:val="20"/>
          <w:lang w:val="en-AU"/>
        </w:rPr>
      </w:pPr>
    </w:p>
    <w:p w14:paraId="6F26E6F5" w14:textId="77777777" w:rsidR="00E736E7" w:rsidRPr="00E736E7" w:rsidRDefault="00E736E7" w:rsidP="00E736E7">
      <w:pPr>
        <w:tabs>
          <w:tab w:val="center" w:pos="4510"/>
          <w:tab w:val="center" w:pos="4680"/>
          <w:tab w:val="left" w:pos="6868"/>
          <w:tab w:val="right" w:pos="9360"/>
        </w:tabs>
        <w:rPr>
          <w:rFonts w:ascii="Calibri" w:eastAsia="Calibri" w:hAnsi="Calibri"/>
          <w:lang w:val="en-AU"/>
        </w:rPr>
      </w:pPr>
      <w:r w:rsidRPr="00E736E7">
        <w:rPr>
          <w:rFonts w:ascii="Calibri" w:eastAsia="Calibri" w:hAnsi="Calibri"/>
          <w:b/>
          <w:bCs/>
          <w:u w:val="single"/>
          <w:lang w:val="en-AU"/>
        </w:rPr>
        <w:t>Darren McCubbin</w:t>
      </w:r>
      <w:r w:rsidRPr="00E736E7">
        <w:rPr>
          <w:rFonts w:ascii="Calibri" w:eastAsia="Calibri" w:hAnsi="Calibri"/>
          <w:b/>
          <w:bCs/>
          <w:u w:val="single"/>
          <w:lang w:val="en-AU"/>
        </w:rPr>
        <w:br/>
      </w:r>
      <w:r w:rsidRPr="00E736E7">
        <w:rPr>
          <w:rFonts w:ascii="Calibri" w:eastAsia="Calibri" w:hAnsi="Calibri"/>
          <w:i/>
          <w:iCs/>
          <w:lang w:val="en-AU"/>
        </w:rPr>
        <w:t>CEO</w:t>
      </w:r>
    </w:p>
    <w:p w14:paraId="42774821" w14:textId="77777777" w:rsidR="00E736E7" w:rsidRPr="00E736E7" w:rsidRDefault="00E736E7" w:rsidP="00E736E7">
      <w:pPr>
        <w:tabs>
          <w:tab w:val="center" w:pos="4510"/>
          <w:tab w:val="center" w:pos="4680"/>
          <w:tab w:val="left" w:pos="6868"/>
          <w:tab w:val="right" w:pos="9360"/>
        </w:tabs>
        <w:rPr>
          <w:rFonts w:ascii="Calibri" w:eastAsia="Calibri" w:hAnsi="Calibri"/>
          <w:lang w:val="en-AU"/>
        </w:rPr>
      </w:pPr>
      <w:r w:rsidRPr="00E736E7">
        <w:rPr>
          <w:rFonts w:ascii="Calibri" w:eastAsia="Calibri" w:hAnsi="Calibri"/>
          <w:lang w:val="en-AU"/>
        </w:rPr>
        <w:t>Gippsland Climate Change Network (GCCN)</w:t>
      </w:r>
    </w:p>
    <w:p w14:paraId="7516EF07" w14:textId="21DF1D39" w:rsidR="00E736E7" w:rsidRPr="00E736E7" w:rsidRDefault="00E736E7" w:rsidP="00E736E7">
      <w:pPr>
        <w:tabs>
          <w:tab w:val="center" w:pos="4510"/>
          <w:tab w:val="center" w:pos="4680"/>
          <w:tab w:val="left" w:pos="6868"/>
          <w:tab w:val="right" w:pos="9360"/>
        </w:tabs>
        <w:rPr>
          <w:rFonts w:ascii="Calibri" w:eastAsia="Calibri" w:hAnsi="Calibri"/>
          <w:lang w:val="en-AU"/>
        </w:rPr>
      </w:pPr>
    </w:p>
    <w:p w14:paraId="7E11CFE2" w14:textId="77777777" w:rsidR="00E736E7" w:rsidRPr="002A3E39" w:rsidRDefault="00E736E7" w:rsidP="009900B8">
      <w:pPr>
        <w:tabs>
          <w:tab w:val="center" w:pos="4510"/>
          <w:tab w:val="center" w:pos="4680"/>
          <w:tab w:val="left" w:pos="6868"/>
          <w:tab w:val="right" w:pos="9360"/>
        </w:tabs>
        <w:rPr>
          <w:rFonts w:ascii="Calibri" w:eastAsia="Calibri" w:hAnsi="Calibri"/>
          <w:sz w:val="20"/>
          <w:szCs w:val="20"/>
          <w:lang w:val="en-AU"/>
        </w:rPr>
      </w:pPr>
    </w:p>
    <w:sectPr w:rsidR="00E736E7" w:rsidRPr="002A3E39" w:rsidSect="00774865">
      <w:headerReference w:type="even" r:id="rId16"/>
      <w:headerReference w:type="default" r:id="rId17"/>
      <w:headerReference w:type="first" r:id="rId18"/>
      <w:footerReference w:type="first" r:id="rId19"/>
      <w:pgSz w:w="11900" w:h="16840"/>
      <w:pgMar w:top="1440" w:right="1440" w:bottom="1440" w:left="1440" w:header="737"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096CD6" w14:textId="77777777" w:rsidR="00EE38CA" w:rsidRDefault="00EE38CA" w:rsidP="00242FD3">
      <w:r>
        <w:separator/>
      </w:r>
    </w:p>
  </w:endnote>
  <w:endnote w:type="continuationSeparator" w:id="0">
    <w:p w14:paraId="510C71CB" w14:textId="77777777" w:rsidR="00EE38CA" w:rsidRDefault="00EE38CA" w:rsidP="00242FD3">
      <w:r>
        <w:continuationSeparator/>
      </w:r>
    </w:p>
  </w:endnote>
  <w:endnote w:type="continuationNotice" w:id="1">
    <w:p w14:paraId="552C1215" w14:textId="77777777" w:rsidR="00690BC7" w:rsidRDefault="00690B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CB96C" w14:textId="3B00B63E" w:rsidR="00467EFD" w:rsidRPr="00467EFD" w:rsidRDefault="008E5498" w:rsidP="009900B8">
    <w:pPr>
      <w:tabs>
        <w:tab w:val="center" w:pos="4510"/>
        <w:tab w:val="center" w:pos="4680"/>
        <w:tab w:val="left" w:pos="6868"/>
        <w:tab w:val="right" w:pos="9360"/>
      </w:tabs>
      <w:jc w:val="center"/>
      <w:rPr>
        <w:rFonts w:ascii="Calibri" w:eastAsia="Calibri" w:hAnsi="Calibri"/>
        <w:sz w:val="20"/>
        <w:szCs w:val="20"/>
        <w:lang w:val="en-AU"/>
      </w:rPr>
    </w:pPr>
    <w:r>
      <w:rPr>
        <w:rFonts w:ascii="Calibri" w:eastAsia="Calibri" w:hAnsi="Calibri"/>
        <w:noProof/>
        <w:sz w:val="20"/>
        <w:szCs w:val="20"/>
        <w:lang w:val="en-AU"/>
      </w:rPr>
      <mc:AlternateContent>
        <mc:Choice Requires="wps">
          <w:drawing>
            <wp:anchor distT="0" distB="0" distL="114300" distR="114300" simplePos="0" relativeHeight="251658241" behindDoc="0" locked="0" layoutInCell="1" allowOverlap="1" wp14:anchorId="7EE782EB" wp14:editId="30ED039C">
              <wp:simplePos x="0" y="0"/>
              <wp:positionH relativeFrom="page">
                <wp:posOffset>-38056</wp:posOffset>
              </wp:positionH>
              <wp:positionV relativeFrom="paragraph">
                <wp:posOffset>-199390</wp:posOffset>
              </wp:positionV>
              <wp:extent cx="7590159" cy="0"/>
              <wp:effectExtent l="19050" t="19050" r="10795" b="19050"/>
              <wp:wrapNone/>
              <wp:docPr id="4" name="Straight Connector 4"/>
              <wp:cNvGraphicFramePr/>
              <a:graphic xmlns:a="http://schemas.openxmlformats.org/drawingml/2006/main">
                <a:graphicData uri="http://schemas.microsoft.com/office/word/2010/wordprocessingShape">
                  <wps:wsp>
                    <wps:cNvCnPr/>
                    <wps:spPr>
                      <a:xfrm flipH="1">
                        <a:off x="0" y="0"/>
                        <a:ext cx="7590159" cy="0"/>
                      </a:xfrm>
                      <a:prstGeom prst="line">
                        <a:avLst/>
                      </a:prstGeom>
                      <a:ln w="38100">
                        <a:solidFill>
                          <a:srgbClr val="92D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A834ED" id="Straight Connector 4" o:spid="_x0000_s1026" style="position:absolute;flip:x;z-index:251660288;visibility:visible;mso-wrap-style:square;mso-wrap-distance-left:9pt;mso-wrap-distance-top:0;mso-wrap-distance-right:9pt;mso-wrap-distance-bottom:0;mso-position-horizontal:absolute;mso-position-horizontal-relative:page;mso-position-vertical:absolute;mso-position-vertical-relative:text" from="-3pt,-15.7pt" to="594.6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" strokecolor="#92d050" strokeweight="3pt">
              <w10:wrap anchorx="page"/>
            </v:line>
          </w:pict>
        </mc:Fallback>
      </mc:AlternateContent>
    </w:r>
    <w:r w:rsidR="00467EFD">
      <w:rPr>
        <w:rFonts w:ascii="Calibri" w:eastAsia="Calibri" w:hAnsi="Calibri"/>
        <w:sz w:val="20"/>
        <w:szCs w:val="20"/>
        <w:lang w:val="en-AU"/>
      </w:rPr>
      <w:t>G</w:t>
    </w:r>
    <w:r w:rsidR="00467EFD" w:rsidRPr="00467EFD">
      <w:rPr>
        <w:rFonts w:ascii="Calibri" w:eastAsia="Calibri" w:hAnsi="Calibri"/>
        <w:sz w:val="20"/>
        <w:szCs w:val="20"/>
        <w:lang w:val="en-AU"/>
      </w:rPr>
      <w:t>ippsland Climate Change Network Incorporated | ABN 45 791 072 676</w:t>
    </w:r>
  </w:p>
  <w:p w14:paraId="5C9C278C" w14:textId="2ED3D092" w:rsidR="00242FD3" w:rsidRPr="008C6290" w:rsidRDefault="00467EFD" w:rsidP="009900B8">
    <w:pPr>
      <w:jc w:val="center"/>
    </w:pPr>
    <w:r w:rsidRPr="00460F24">
      <w:rPr>
        <w:rFonts w:ascii="Calibri" w:eastAsia="Calibri" w:hAnsi="Calibri"/>
        <w:sz w:val="20"/>
        <w:szCs w:val="20"/>
        <w:lang w:val="en-AU"/>
      </w:rPr>
      <w:t>www.gccn.org.au | 1800 839 007 | Morwell Innovation Centre, 1 Monash Way, Morwell Vic</w:t>
    </w:r>
    <w:r>
      <w:rPr>
        <w:rFonts w:ascii="Calibri" w:eastAsia="Calibri" w:hAnsi="Calibri"/>
        <w:sz w:val="20"/>
        <w:szCs w:val="20"/>
        <w:lang w:val="en-AU"/>
      </w:rPr>
      <w:t>. 3840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FEAE9A" w14:textId="77777777" w:rsidR="00EE38CA" w:rsidRDefault="00EE38CA" w:rsidP="00242FD3">
      <w:r>
        <w:separator/>
      </w:r>
    </w:p>
  </w:footnote>
  <w:footnote w:type="continuationSeparator" w:id="0">
    <w:p w14:paraId="5F0ED977" w14:textId="77777777" w:rsidR="00EE38CA" w:rsidRDefault="00EE38CA" w:rsidP="00242FD3">
      <w:r>
        <w:continuationSeparator/>
      </w:r>
    </w:p>
  </w:footnote>
  <w:footnote w:type="continuationNotice" w:id="1">
    <w:p w14:paraId="6AF0D287" w14:textId="77777777" w:rsidR="00690BC7" w:rsidRDefault="00690B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92CBE" w14:textId="13717955" w:rsidR="009F7238" w:rsidRDefault="009F72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3A032" w14:textId="42AC8520" w:rsidR="009F7238" w:rsidRDefault="009F72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8CE15" w14:textId="10BC0C17" w:rsidR="00242FD3" w:rsidRDefault="00242FD3">
    <w:pPr>
      <w:pStyle w:val="Header"/>
    </w:pPr>
    <w:r>
      <w:rPr>
        <w:noProof/>
      </w:rPr>
      <w:drawing>
        <wp:anchor distT="0" distB="0" distL="114300" distR="114300" simplePos="0" relativeHeight="251658240" behindDoc="0" locked="0" layoutInCell="1" allowOverlap="1" wp14:anchorId="314A1F64" wp14:editId="684B0464">
          <wp:simplePos x="0" y="0"/>
          <wp:positionH relativeFrom="column">
            <wp:posOffset>-922655</wp:posOffset>
          </wp:positionH>
          <wp:positionV relativeFrom="paragraph">
            <wp:posOffset>-457835</wp:posOffset>
          </wp:positionV>
          <wp:extent cx="7577455" cy="1202055"/>
          <wp:effectExtent l="0" t="0" r="4445" b="4445"/>
          <wp:wrapTight wrapText="bothSides">
            <wp:wrapPolygon edited="0">
              <wp:start x="0" y="0"/>
              <wp:lineTo x="0" y="21452"/>
              <wp:lineTo x="21576" y="21452"/>
              <wp:lineTo x="2157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l="-1" r="-111" b="88753"/>
                  <a:stretch/>
                </pic:blipFill>
                <pic:spPr bwMode="auto">
                  <a:xfrm>
                    <a:off x="0" y="0"/>
                    <a:ext cx="7577455" cy="12020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06783E"/>
    <w:multiLevelType w:val="multilevel"/>
    <w:tmpl w:val="7AEAF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17584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FD3"/>
    <w:rsid w:val="001B5F68"/>
    <w:rsid w:val="00207DA1"/>
    <w:rsid w:val="00242FD3"/>
    <w:rsid w:val="00294BCC"/>
    <w:rsid w:val="002A3E39"/>
    <w:rsid w:val="002C5CEE"/>
    <w:rsid w:val="00347453"/>
    <w:rsid w:val="0039578B"/>
    <w:rsid w:val="003B636A"/>
    <w:rsid w:val="00460F24"/>
    <w:rsid w:val="00467EFD"/>
    <w:rsid w:val="00482285"/>
    <w:rsid w:val="00517200"/>
    <w:rsid w:val="00520A1A"/>
    <w:rsid w:val="0055256D"/>
    <w:rsid w:val="005C3919"/>
    <w:rsid w:val="005F3B5F"/>
    <w:rsid w:val="00616720"/>
    <w:rsid w:val="00690BC7"/>
    <w:rsid w:val="00774865"/>
    <w:rsid w:val="00860759"/>
    <w:rsid w:val="008C6290"/>
    <w:rsid w:val="008D44F4"/>
    <w:rsid w:val="008E3398"/>
    <w:rsid w:val="008E5498"/>
    <w:rsid w:val="009367A1"/>
    <w:rsid w:val="00972050"/>
    <w:rsid w:val="009900B8"/>
    <w:rsid w:val="009F7238"/>
    <w:rsid w:val="00A079C2"/>
    <w:rsid w:val="00A11486"/>
    <w:rsid w:val="00A33769"/>
    <w:rsid w:val="00AC411C"/>
    <w:rsid w:val="00AD1E18"/>
    <w:rsid w:val="00B02B9C"/>
    <w:rsid w:val="00CF7466"/>
    <w:rsid w:val="00D036E7"/>
    <w:rsid w:val="00DA45A6"/>
    <w:rsid w:val="00DE1A0A"/>
    <w:rsid w:val="00E41FE3"/>
    <w:rsid w:val="00E60341"/>
    <w:rsid w:val="00E736E7"/>
    <w:rsid w:val="00E84DDD"/>
    <w:rsid w:val="00EE38CA"/>
    <w:rsid w:val="00EF7F6B"/>
    <w:rsid w:val="00F21F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31013"/>
  <w14:defaultImageDpi w14:val="32767"/>
  <w15:chartTrackingRefBased/>
  <w15:docId w15:val="{150F354B-7531-4C13-8701-CCB060B9F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41FE3"/>
    <w:rPr>
      <w:sz w:val="24"/>
      <w:szCs w:val="24"/>
    </w:rPr>
  </w:style>
  <w:style w:type="paragraph" w:styleId="Heading1">
    <w:name w:val="heading 1"/>
    <w:basedOn w:val="Normal"/>
    <w:next w:val="Normal"/>
    <w:link w:val="Heading1Char"/>
    <w:uiPriority w:val="9"/>
    <w:qFormat/>
    <w:rsid w:val="00E41FE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E41FE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E41FE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E41FE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E41FE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E41FE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E41FE3"/>
    <w:pPr>
      <w:spacing w:before="240" w:after="60"/>
      <w:outlineLvl w:val="6"/>
    </w:pPr>
  </w:style>
  <w:style w:type="paragraph" w:styleId="Heading8">
    <w:name w:val="heading 8"/>
    <w:basedOn w:val="Normal"/>
    <w:next w:val="Normal"/>
    <w:link w:val="Heading8Char"/>
    <w:uiPriority w:val="9"/>
    <w:semiHidden/>
    <w:unhideWhenUsed/>
    <w:qFormat/>
    <w:rsid w:val="00E41FE3"/>
    <w:pPr>
      <w:spacing w:before="240" w:after="60"/>
      <w:outlineLvl w:val="7"/>
    </w:pPr>
    <w:rPr>
      <w:i/>
      <w:iCs/>
    </w:rPr>
  </w:style>
  <w:style w:type="paragraph" w:styleId="Heading9">
    <w:name w:val="heading 9"/>
    <w:basedOn w:val="Normal"/>
    <w:next w:val="Normal"/>
    <w:link w:val="Heading9Char"/>
    <w:uiPriority w:val="9"/>
    <w:semiHidden/>
    <w:unhideWhenUsed/>
    <w:qFormat/>
    <w:rsid w:val="00E41FE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2FD3"/>
    <w:pPr>
      <w:tabs>
        <w:tab w:val="center" w:pos="4680"/>
        <w:tab w:val="right" w:pos="9360"/>
      </w:tabs>
    </w:pPr>
  </w:style>
  <w:style w:type="character" w:customStyle="1" w:styleId="HeaderChar">
    <w:name w:val="Header Char"/>
    <w:basedOn w:val="DefaultParagraphFont"/>
    <w:link w:val="Header"/>
    <w:uiPriority w:val="99"/>
    <w:rsid w:val="00242FD3"/>
    <w:rPr>
      <w:lang w:val="en-AU"/>
    </w:rPr>
  </w:style>
  <w:style w:type="paragraph" w:styleId="Footer">
    <w:name w:val="footer"/>
    <w:basedOn w:val="Normal"/>
    <w:link w:val="FooterChar"/>
    <w:uiPriority w:val="99"/>
    <w:unhideWhenUsed/>
    <w:qFormat/>
    <w:rsid w:val="00242FD3"/>
    <w:pPr>
      <w:tabs>
        <w:tab w:val="center" w:pos="4680"/>
        <w:tab w:val="right" w:pos="9360"/>
      </w:tabs>
    </w:pPr>
  </w:style>
  <w:style w:type="character" w:customStyle="1" w:styleId="FooterChar">
    <w:name w:val="Footer Char"/>
    <w:basedOn w:val="DefaultParagraphFont"/>
    <w:link w:val="Footer"/>
    <w:uiPriority w:val="99"/>
    <w:rsid w:val="00242FD3"/>
    <w:rPr>
      <w:lang w:val="en-AU"/>
    </w:rPr>
  </w:style>
  <w:style w:type="character" w:styleId="Hyperlink">
    <w:name w:val="Hyperlink"/>
    <w:basedOn w:val="DefaultParagraphFont"/>
    <w:uiPriority w:val="99"/>
    <w:unhideWhenUsed/>
    <w:rsid w:val="00A11486"/>
    <w:rPr>
      <w:color w:val="F59E00" w:themeColor="hyperlink"/>
      <w:u w:val="single"/>
    </w:rPr>
  </w:style>
  <w:style w:type="character" w:styleId="UnresolvedMention">
    <w:name w:val="Unresolved Mention"/>
    <w:basedOn w:val="DefaultParagraphFont"/>
    <w:uiPriority w:val="99"/>
    <w:rsid w:val="00A11486"/>
    <w:rPr>
      <w:color w:val="605E5C"/>
      <w:shd w:val="clear" w:color="auto" w:fill="E1DFDD"/>
    </w:rPr>
  </w:style>
  <w:style w:type="character" w:customStyle="1" w:styleId="Heading1Char">
    <w:name w:val="Heading 1 Char"/>
    <w:basedOn w:val="DefaultParagraphFont"/>
    <w:link w:val="Heading1"/>
    <w:uiPriority w:val="9"/>
    <w:rsid w:val="00E41FE3"/>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E41FE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E41FE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E41FE3"/>
    <w:rPr>
      <w:b/>
      <w:bCs/>
      <w:sz w:val="28"/>
      <w:szCs w:val="28"/>
    </w:rPr>
  </w:style>
  <w:style w:type="character" w:customStyle="1" w:styleId="Heading5Char">
    <w:name w:val="Heading 5 Char"/>
    <w:basedOn w:val="DefaultParagraphFont"/>
    <w:link w:val="Heading5"/>
    <w:uiPriority w:val="9"/>
    <w:semiHidden/>
    <w:rsid w:val="00E41FE3"/>
    <w:rPr>
      <w:b/>
      <w:bCs/>
      <w:i/>
      <w:iCs/>
      <w:sz w:val="26"/>
      <w:szCs w:val="26"/>
    </w:rPr>
  </w:style>
  <w:style w:type="character" w:customStyle="1" w:styleId="Heading6Char">
    <w:name w:val="Heading 6 Char"/>
    <w:basedOn w:val="DefaultParagraphFont"/>
    <w:link w:val="Heading6"/>
    <w:uiPriority w:val="9"/>
    <w:semiHidden/>
    <w:rsid w:val="00E41FE3"/>
    <w:rPr>
      <w:b/>
      <w:bCs/>
    </w:rPr>
  </w:style>
  <w:style w:type="character" w:customStyle="1" w:styleId="Heading7Char">
    <w:name w:val="Heading 7 Char"/>
    <w:basedOn w:val="DefaultParagraphFont"/>
    <w:link w:val="Heading7"/>
    <w:uiPriority w:val="9"/>
    <w:semiHidden/>
    <w:rsid w:val="00E41FE3"/>
    <w:rPr>
      <w:sz w:val="24"/>
      <w:szCs w:val="24"/>
    </w:rPr>
  </w:style>
  <w:style w:type="character" w:customStyle="1" w:styleId="Heading8Char">
    <w:name w:val="Heading 8 Char"/>
    <w:basedOn w:val="DefaultParagraphFont"/>
    <w:link w:val="Heading8"/>
    <w:uiPriority w:val="9"/>
    <w:semiHidden/>
    <w:rsid w:val="00E41FE3"/>
    <w:rPr>
      <w:i/>
      <w:iCs/>
      <w:sz w:val="24"/>
      <w:szCs w:val="24"/>
    </w:rPr>
  </w:style>
  <w:style w:type="character" w:customStyle="1" w:styleId="Heading9Char">
    <w:name w:val="Heading 9 Char"/>
    <w:basedOn w:val="DefaultParagraphFont"/>
    <w:link w:val="Heading9"/>
    <w:uiPriority w:val="9"/>
    <w:semiHidden/>
    <w:rsid w:val="00E41FE3"/>
    <w:rPr>
      <w:rFonts w:asciiTheme="majorHAnsi" w:eastAsiaTheme="majorEastAsia" w:hAnsiTheme="majorHAnsi"/>
    </w:rPr>
  </w:style>
  <w:style w:type="paragraph" w:styleId="Title">
    <w:name w:val="Title"/>
    <w:basedOn w:val="Normal"/>
    <w:next w:val="Normal"/>
    <w:link w:val="TitleChar"/>
    <w:uiPriority w:val="10"/>
    <w:qFormat/>
    <w:rsid w:val="00E41FE3"/>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E41FE3"/>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E41FE3"/>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E41FE3"/>
    <w:rPr>
      <w:rFonts w:asciiTheme="majorHAnsi" w:eastAsiaTheme="majorEastAsia" w:hAnsiTheme="majorHAnsi"/>
      <w:sz w:val="24"/>
      <w:szCs w:val="24"/>
    </w:rPr>
  </w:style>
  <w:style w:type="character" w:styleId="Strong">
    <w:name w:val="Strong"/>
    <w:basedOn w:val="DefaultParagraphFont"/>
    <w:uiPriority w:val="22"/>
    <w:qFormat/>
    <w:rsid w:val="00E41FE3"/>
    <w:rPr>
      <w:b/>
      <w:bCs/>
    </w:rPr>
  </w:style>
  <w:style w:type="character" w:styleId="Emphasis">
    <w:name w:val="Emphasis"/>
    <w:basedOn w:val="DefaultParagraphFont"/>
    <w:uiPriority w:val="20"/>
    <w:qFormat/>
    <w:rsid w:val="00E41FE3"/>
    <w:rPr>
      <w:rFonts w:asciiTheme="minorHAnsi" w:hAnsiTheme="minorHAnsi"/>
      <w:b/>
      <w:i/>
      <w:iCs/>
    </w:rPr>
  </w:style>
  <w:style w:type="paragraph" w:styleId="NoSpacing">
    <w:name w:val="No Spacing"/>
    <w:basedOn w:val="Normal"/>
    <w:uiPriority w:val="1"/>
    <w:qFormat/>
    <w:rsid w:val="00E41FE3"/>
    <w:rPr>
      <w:szCs w:val="32"/>
    </w:rPr>
  </w:style>
  <w:style w:type="paragraph" w:styleId="ListParagraph">
    <w:name w:val="List Paragraph"/>
    <w:basedOn w:val="Normal"/>
    <w:uiPriority w:val="34"/>
    <w:qFormat/>
    <w:rsid w:val="00E41FE3"/>
    <w:pPr>
      <w:ind w:left="720"/>
      <w:contextualSpacing/>
    </w:pPr>
  </w:style>
  <w:style w:type="paragraph" w:styleId="Quote">
    <w:name w:val="Quote"/>
    <w:basedOn w:val="Normal"/>
    <w:next w:val="Normal"/>
    <w:link w:val="QuoteChar"/>
    <w:uiPriority w:val="29"/>
    <w:qFormat/>
    <w:rsid w:val="00E41FE3"/>
    <w:rPr>
      <w:i/>
    </w:rPr>
  </w:style>
  <w:style w:type="character" w:customStyle="1" w:styleId="QuoteChar">
    <w:name w:val="Quote Char"/>
    <w:basedOn w:val="DefaultParagraphFont"/>
    <w:link w:val="Quote"/>
    <w:uiPriority w:val="29"/>
    <w:rsid w:val="00E41FE3"/>
    <w:rPr>
      <w:i/>
      <w:sz w:val="24"/>
      <w:szCs w:val="24"/>
    </w:rPr>
  </w:style>
  <w:style w:type="paragraph" w:styleId="IntenseQuote">
    <w:name w:val="Intense Quote"/>
    <w:basedOn w:val="Normal"/>
    <w:next w:val="Normal"/>
    <w:link w:val="IntenseQuoteChar"/>
    <w:uiPriority w:val="30"/>
    <w:qFormat/>
    <w:rsid w:val="00E41FE3"/>
    <w:pPr>
      <w:ind w:left="720" w:right="720"/>
    </w:pPr>
    <w:rPr>
      <w:b/>
      <w:i/>
      <w:szCs w:val="22"/>
    </w:rPr>
  </w:style>
  <w:style w:type="character" w:customStyle="1" w:styleId="IntenseQuoteChar">
    <w:name w:val="Intense Quote Char"/>
    <w:basedOn w:val="DefaultParagraphFont"/>
    <w:link w:val="IntenseQuote"/>
    <w:uiPriority w:val="30"/>
    <w:rsid w:val="00E41FE3"/>
    <w:rPr>
      <w:b/>
      <w:i/>
      <w:sz w:val="24"/>
    </w:rPr>
  </w:style>
  <w:style w:type="character" w:styleId="SubtleEmphasis">
    <w:name w:val="Subtle Emphasis"/>
    <w:uiPriority w:val="19"/>
    <w:qFormat/>
    <w:rsid w:val="00E41FE3"/>
    <w:rPr>
      <w:i/>
      <w:color w:val="5A5A5A" w:themeColor="text1" w:themeTint="A5"/>
    </w:rPr>
  </w:style>
  <w:style w:type="character" w:styleId="IntenseEmphasis">
    <w:name w:val="Intense Emphasis"/>
    <w:basedOn w:val="DefaultParagraphFont"/>
    <w:uiPriority w:val="21"/>
    <w:qFormat/>
    <w:rsid w:val="00E41FE3"/>
    <w:rPr>
      <w:b/>
      <w:i/>
      <w:sz w:val="24"/>
      <w:szCs w:val="24"/>
      <w:u w:val="single"/>
    </w:rPr>
  </w:style>
  <w:style w:type="character" w:styleId="SubtleReference">
    <w:name w:val="Subtle Reference"/>
    <w:basedOn w:val="DefaultParagraphFont"/>
    <w:uiPriority w:val="31"/>
    <w:qFormat/>
    <w:rsid w:val="00E41FE3"/>
    <w:rPr>
      <w:sz w:val="24"/>
      <w:szCs w:val="24"/>
      <w:u w:val="single"/>
    </w:rPr>
  </w:style>
  <w:style w:type="character" w:styleId="IntenseReference">
    <w:name w:val="Intense Reference"/>
    <w:basedOn w:val="DefaultParagraphFont"/>
    <w:uiPriority w:val="32"/>
    <w:qFormat/>
    <w:rsid w:val="00E41FE3"/>
    <w:rPr>
      <w:b/>
      <w:sz w:val="24"/>
      <w:u w:val="single"/>
    </w:rPr>
  </w:style>
  <w:style w:type="character" w:styleId="BookTitle">
    <w:name w:val="Book Title"/>
    <w:basedOn w:val="DefaultParagraphFont"/>
    <w:uiPriority w:val="33"/>
    <w:qFormat/>
    <w:rsid w:val="00E41F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E41FE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351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efc.com.au/media/ovrkk5l3/australian-buildings-and-infrastructure-opportunities-for-cutting-embodied-carbon.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atic1.squarespace.com/static/6010bb8bcba0327f522f48cd/t/66fcc64d84020023ae2153a8/1727841871770/Gippsland-Cirrcular-Economy-Initiatives-2-pager-Jan22-Jun24.pdf" TargetMode="External"/><Relationship Id="rId5" Type="http://schemas.openxmlformats.org/officeDocument/2006/relationships/numbering" Target="numbering.xml"/><Relationship Id="rId15" Type="http://schemas.openxmlformats.org/officeDocument/2006/relationships/hyperlink" Target="https://www.gccn.org.au/news/gippsland-circular-futures-initiative"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oodandfibregippsland.com.au/gippsland-circular-economy-hub"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asis">
  <a:themeElements>
    <a:clrScheme name="Basis">
      <a:dk1>
        <a:srgbClr val="000000"/>
      </a:dk1>
      <a:lt1>
        <a:srgbClr val="FFFFFF"/>
      </a:lt1>
      <a:dk2>
        <a:srgbClr val="565349"/>
      </a:dk2>
      <a:lt2>
        <a:srgbClr val="DDDDDD"/>
      </a:lt2>
      <a:accent1>
        <a:srgbClr val="A6B727"/>
      </a:accent1>
      <a:accent2>
        <a:srgbClr val="DF5327"/>
      </a:accent2>
      <a:accent3>
        <a:srgbClr val="FE9E00"/>
      </a:accent3>
      <a:accent4>
        <a:srgbClr val="418AB3"/>
      </a:accent4>
      <a:accent5>
        <a:srgbClr val="D7D447"/>
      </a:accent5>
      <a:accent6>
        <a:srgbClr val="818183"/>
      </a:accent6>
      <a:hlink>
        <a:srgbClr val="F59E00"/>
      </a:hlink>
      <a:folHlink>
        <a:srgbClr val="B2B2B2"/>
      </a:folHlink>
    </a:clrScheme>
    <a:fontScheme name="Basis">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sis">
      <a:fillStyleLst>
        <a:solidFill>
          <a:schemeClr val="phClr"/>
        </a:solidFill>
        <a:solidFill>
          <a:schemeClr val="phClr">
            <a:tint val="55000"/>
            <a:satMod val="130000"/>
          </a:schemeClr>
        </a:solidFill>
        <a:gradFill rotWithShape="1">
          <a:gsLst>
            <a:gs pos="0">
              <a:schemeClr val="phClr"/>
            </a:gs>
            <a:gs pos="90000">
              <a:schemeClr val="phClr">
                <a:shade val="100000"/>
                <a:satMod val="105000"/>
              </a:schemeClr>
            </a:gs>
            <a:gs pos="100000">
              <a:schemeClr val="phClr">
                <a:shade val="80000"/>
                <a:satMod val="120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27000"/>
                <a:satMod val="120000"/>
              </a:schemeClr>
            </a:contourClr>
          </a:sp3d>
        </a:effectStyle>
      </a:effectStyleLst>
      <a:bgFillStyleLst>
        <a:solidFill>
          <a:schemeClr val="phClr"/>
        </a:solidFill>
        <a:solidFill>
          <a:schemeClr val="phClr">
            <a:tint val="95000"/>
            <a:shade val="95000"/>
            <a:satMod val="140000"/>
          </a:schemeClr>
        </a:solidFill>
        <a:solidFill>
          <a:schemeClr val="phClr">
            <a:tint val="90000"/>
            <a:shade val="85000"/>
            <a:satMod val="160000"/>
            <a:lumMod val="110000"/>
          </a:schemeClr>
        </a:solidFill>
      </a:bgFillStyleLst>
    </a:fmtScheme>
  </a:themeElements>
  <a:objectDefaults/>
  <a:extraClrSchemeLst/>
  <a:extLst>
    <a:ext uri="{05A4C25C-085E-4340-85A3-A5531E510DB2}">
      <thm15:themeFamily xmlns:thm15="http://schemas.microsoft.com/office/thememl/2012/main" name="Basis" id="{5665723A-49BA-4B57-8411-A56F8F207965}" vid="{90E45F77-AEFC-46EF-A7C1-5B338C297B0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d385984-9344-419b-a80b-49c06a2bdab8">
      <Terms xmlns="http://schemas.microsoft.com/office/infopath/2007/PartnerControls"/>
    </lcf76f155ced4ddcb4097134ff3c332f>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20393cdf-440a-4521-8f19-00ba43423d00">
      <Value>1</Value>
    </TaxCatchAll>
    <thumbnail xmlns="3d385984-9344-419b-a80b-49c06a2bdab8" xsi:nil="true"/>
    <Status xmlns="3d385984-9344-419b-a80b-49c06a2bdab8" xsi:nil="true"/>
    <_Flow_SignoffStatus xmlns="3d385984-9344-419b-a80b-49c06a2bdab8" xsi:nil="true"/>
    <_dlc_DocId xmlns="20393cdf-440a-4521-8f19-00ba43423d00">MPWT-2140667901-70123</_dlc_DocId>
    <_dlc_DocIdUrl xmlns="20393cdf-440a-4521-8f19-00ba43423d00">
      <Url>https://pcgov.sharepoint.com/sites/sceteam/_layouts/15/DocIdRedir.aspx?ID=MPWT-2140667901-70123</Url>
      <Description>MPWT-2140667901-70123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20" ma:contentTypeDescription="" ma:contentTypeScope="" ma:versionID="c6a36c43a1ae52413e3a0e6b80d6445f">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33763de6f9fe01bd9635a8bbca589903"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tatus" ma:index="29" nillable="true" ma:displayName="Status" ma:format="Dropdown" ma:internalName="Status">
      <xsd:simpleType>
        <xsd:restriction base="dms:Choice">
          <xsd:enumeration value="In progress"/>
          <xsd:enumeration value="Ready for review"/>
          <xsd:enumeration value="S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542AAC-1358-44D0-802E-BEB0502369CB}">
  <ds:schemaRefs>
    <ds:schemaRef ds:uri="http://schemas.microsoft.com/sharepoint/v3/contenttype/forms"/>
  </ds:schemaRefs>
</ds:datastoreItem>
</file>

<file path=customXml/itemProps2.xml><?xml version="1.0" encoding="utf-8"?>
<ds:datastoreItem xmlns:ds="http://schemas.openxmlformats.org/officeDocument/2006/customXml" ds:itemID="{63EE8ABE-9178-4921-BE2F-CA6F4EB02814}">
  <ds:schemaRefs>
    <ds:schemaRef ds:uri="http://purl.org/dc/elements/1.1/"/>
    <ds:schemaRef ds:uri="3d385984-9344-419b-a80b-49c06a2bdab8"/>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http://purl.org/dc/terms/"/>
    <ds:schemaRef ds:uri="http://purl.org/dc/dcmitype/"/>
    <ds:schemaRef ds:uri="http://schemas.microsoft.com/office/2006/metadata/properties"/>
    <ds:schemaRef ds:uri="20393cdf-440a-4521-8f19-00ba43423d00"/>
  </ds:schemaRefs>
</ds:datastoreItem>
</file>

<file path=customXml/itemProps3.xml><?xml version="1.0" encoding="utf-8"?>
<ds:datastoreItem xmlns:ds="http://schemas.openxmlformats.org/officeDocument/2006/customXml" ds:itemID="{7A1C6D12-96B3-4AA3-8131-B523A7933326}">
  <ds:schemaRefs>
    <ds:schemaRef ds:uri="http://schemas.microsoft.com/sharepoint/events"/>
  </ds:schemaRefs>
</ds:datastoreItem>
</file>

<file path=customXml/itemProps4.xml><?xml version="1.0" encoding="utf-8"?>
<ds:datastoreItem xmlns:ds="http://schemas.openxmlformats.org/officeDocument/2006/customXml" ds:itemID="{106D0FD6-B9C0-4605-9136-15C1A01114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1071</Words>
  <Characters>6109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Submission 11 - Gippsland Climate Change Network (GCCN) - Opportunities in the circular economy - Public inquiry</vt:lpstr>
    </vt:vector>
  </TitlesOfParts>
  <Company>Gippsland Climate Change Network (GCCN)</Company>
  <LinksUpToDate>false</LinksUpToDate>
  <CharactersWithSpaces>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11 - Gippsland Climate Change Network (GCCN) - Opportunities in the circular economy - Public inquiry</dc:title>
  <dc:subject/>
  <dc:creator>Gippsland Climate Change Network (GCCN)</dc:creator>
  <cp:keywords/>
  <dc:description/>
  <cp:lastModifiedBy>Chris Alston</cp:lastModifiedBy>
  <cp:revision>6</cp:revision>
  <dcterms:created xsi:type="dcterms:W3CDTF">2024-11-01T03:20:00Z</dcterms:created>
  <dcterms:modified xsi:type="dcterms:W3CDTF">2024-11-04T00:50:00Z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0x0101006C0B5E815648EF46B6FA6D42F17E5E9F000C963E276195B04F83BC027CFDC94A8D</vt:lpwstr>
  </property>
  <property fmtid="{D5CDD505-2E9C-101B-9397-08002B2CF9AE}" pid="3" name="RevIMBCS">
    <vt:lpwstr>1;#Unclassified|3955eeb1-2d18-4582-aeb2-00144ec3aaf5</vt:lpwstr>
  </property>
  <property fmtid="{D5CDD505-2E9C-101B-9397-08002B2CF9AE}" pid="4" name="MediaServiceImageTags">
    <vt:lpwstr/>
  </property>
  <property fmtid="{D5CDD505-2E9C-101B-9397-08002B2CF9AE}" pid="5" name="_dlc_DocIdItemGuid">
    <vt:lpwstr>ed26fe2d-0132-41b8-a0d0-ddc204964f34</vt:lpwstr>
  </property>
  <property fmtid="{D5CDD505-2E9C-101B-9397-08002B2CF9AE}" pid="6" name="MSIP_Label_c1f2b1ce-4212-46db-a901-dd8453f57141_Enabled">
    <vt:lpwstr>true</vt:lpwstr>
  </property>
  <property fmtid="{D5CDD505-2E9C-101B-9397-08002B2CF9AE}" pid="7" name="MSIP_Label_c1f2b1ce-4212-46db-a901-dd8453f57141_SetDate">
    <vt:lpwstr>2024-11-04T00:49:17Z</vt:lpwstr>
  </property>
  <property fmtid="{D5CDD505-2E9C-101B-9397-08002B2CF9AE}" pid="8" name="MSIP_Label_c1f2b1ce-4212-46db-a901-dd8453f57141_Method">
    <vt:lpwstr>Privileged</vt:lpwstr>
  </property>
  <property fmtid="{D5CDD505-2E9C-101B-9397-08002B2CF9AE}" pid="9" name="MSIP_Label_c1f2b1ce-4212-46db-a901-dd8453f57141_Name">
    <vt:lpwstr>Publish</vt:lpwstr>
  </property>
  <property fmtid="{D5CDD505-2E9C-101B-9397-08002B2CF9AE}" pid="10" name="MSIP_Label_c1f2b1ce-4212-46db-a901-dd8453f57141_SiteId">
    <vt:lpwstr>29f9330b-c0fe-4244-830e-ba9f275d6c34</vt:lpwstr>
  </property>
  <property fmtid="{D5CDD505-2E9C-101B-9397-08002B2CF9AE}" pid="11" name="MSIP_Label_c1f2b1ce-4212-46db-a901-dd8453f57141_ActionId">
    <vt:lpwstr>d7b2d2b5-7ddc-4f4b-8c6f-fced0ee171a5</vt:lpwstr>
  </property>
  <property fmtid="{D5CDD505-2E9C-101B-9397-08002B2CF9AE}" pid="12" name="MSIP_Label_c1f2b1ce-4212-46db-a901-dd8453f57141_ContentBits">
    <vt:lpwstr>0</vt:lpwstr>
  </property>
</Properties>
</file>