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716D" w14:textId="22070751"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sidRPr="00175421">
        <w:rPr>
          <w:rFonts w:ascii="Arial" w:hAnsi="Arial" w:cs="Arial"/>
          <w:b/>
          <w:bCs/>
          <w:color w:val="000000"/>
          <w:sz w:val="22"/>
          <w:szCs w:val="22"/>
        </w:rPr>
        <w:t>Introduction</w:t>
      </w:r>
      <w:r>
        <w:rPr>
          <w:rFonts w:ascii="Arial" w:hAnsi="Arial" w:cs="Arial"/>
          <w:color w:val="000000"/>
          <w:sz w:val="22"/>
          <w:szCs w:val="22"/>
        </w:rPr>
        <w:br/>
      </w:r>
      <w:r>
        <w:rPr>
          <w:rFonts w:ascii="Arial" w:hAnsi="Arial" w:cs="Arial"/>
          <w:color w:val="000000"/>
          <w:sz w:val="22"/>
          <w:szCs w:val="22"/>
        </w:rPr>
        <w:br/>
        <w:t xml:space="preserve">My main motivation for donating to charity is that I want to do as much good as I can. Because of that motivation, I care about which charities have the most impact. When I know the </w:t>
      </w:r>
      <w:proofErr w:type="gramStart"/>
      <w:r>
        <w:rPr>
          <w:rFonts w:ascii="Arial" w:hAnsi="Arial" w:cs="Arial"/>
          <w:color w:val="000000"/>
          <w:sz w:val="22"/>
          <w:szCs w:val="22"/>
        </w:rPr>
        <w:t>charity</w:t>
      </w:r>
      <w:proofErr w:type="gramEnd"/>
      <w:r>
        <w:rPr>
          <w:rFonts w:ascii="Arial" w:hAnsi="Arial" w:cs="Arial"/>
          <w:color w:val="000000"/>
          <w:sz w:val="22"/>
          <w:szCs w:val="22"/>
        </w:rPr>
        <w:t xml:space="preserve"> I’m giving to is highly effective and endorsed by organisations I trust, it gives me the confidence to donate more.</w:t>
      </w:r>
    </w:p>
    <w:p w14:paraId="0B562C68"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 think government policies that focus on impact and increase confidence that impact is being achieved are the key to achieving the goals of this inquiry.</w:t>
      </w:r>
    </w:p>
    <w:p w14:paraId="413F813E" w14:textId="77777777" w:rsidR="001453E4" w:rsidRDefault="001453E4"/>
    <w:p w14:paraId="4F5C4136"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This submission discusses:</w:t>
      </w:r>
    </w:p>
    <w:p w14:paraId="213E8E29" w14:textId="77777777" w:rsidR="00F33630" w:rsidRPr="00F33630" w:rsidRDefault="00F33630" w:rsidP="00F33630">
      <w:pPr>
        <w:numPr>
          <w:ilvl w:val="0"/>
          <w:numId w:val="1"/>
        </w:numPr>
        <w:shd w:val="clear" w:color="auto" w:fill="FFFFFF"/>
        <w:ind w:left="1440"/>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Expanding DGR status to the high impact cause areas that align with the values of modern Australians </w:t>
      </w:r>
      <w:r w:rsidRPr="00F33630">
        <w:rPr>
          <w:rFonts w:ascii="Arial" w:eastAsia="Times New Roman" w:hAnsi="Arial" w:cs="Arial"/>
          <w:i/>
          <w:iCs/>
          <w:color w:val="000000"/>
          <w:kern w:val="0"/>
          <w:sz w:val="22"/>
          <w:szCs w:val="22"/>
          <w:lang w:eastAsia="en-GB"/>
          <w14:ligatures w14:val="none"/>
        </w:rPr>
        <w:t>(</w:t>
      </w:r>
      <w:proofErr w:type="gramStart"/>
      <w:r w:rsidRPr="00F33630">
        <w:rPr>
          <w:rFonts w:ascii="Arial" w:eastAsia="Times New Roman" w:hAnsi="Arial" w:cs="Arial"/>
          <w:i/>
          <w:iCs/>
          <w:color w:val="000000"/>
          <w:kern w:val="0"/>
          <w:sz w:val="22"/>
          <w:szCs w:val="22"/>
          <w:lang w:eastAsia="en-GB"/>
          <w14:ligatures w14:val="none"/>
        </w:rPr>
        <w:t>2.ii</w:t>
      </w:r>
      <w:proofErr w:type="gramEnd"/>
      <w:r w:rsidRPr="00F33630">
        <w:rPr>
          <w:rFonts w:ascii="Arial" w:eastAsia="Times New Roman" w:hAnsi="Arial" w:cs="Arial"/>
          <w:i/>
          <w:iCs/>
          <w:color w:val="000000"/>
          <w:kern w:val="0"/>
          <w:sz w:val="22"/>
          <w:szCs w:val="22"/>
          <w:lang w:eastAsia="en-GB"/>
          <w14:ligatures w14:val="none"/>
        </w:rPr>
        <w:t>, 3.ii, 5, 6)</w:t>
      </w:r>
    </w:p>
    <w:p w14:paraId="77E070B1" w14:textId="77777777" w:rsidR="00F33630" w:rsidRPr="00F33630" w:rsidRDefault="00F33630" w:rsidP="00F33630">
      <w:pPr>
        <w:numPr>
          <w:ilvl w:val="0"/>
          <w:numId w:val="1"/>
        </w:numPr>
        <w:shd w:val="clear" w:color="auto" w:fill="FFFFFF"/>
        <w:ind w:left="1440"/>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Allowing Public Benevolent Institutions to work across causes areas </w:t>
      </w:r>
      <w:r w:rsidRPr="00F33630">
        <w:rPr>
          <w:rFonts w:ascii="Arial" w:eastAsia="Times New Roman" w:hAnsi="Arial" w:cs="Arial"/>
          <w:i/>
          <w:iCs/>
          <w:color w:val="000000"/>
          <w:kern w:val="0"/>
          <w:sz w:val="22"/>
          <w:szCs w:val="22"/>
          <w:lang w:eastAsia="en-GB"/>
          <w14:ligatures w14:val="none"/>
        </w:rPr>
        <w:t>(2.iii, 3.i)</w:t>
      </w:r>
    </w:p>
    <w:p w14:paraId="7850202C" w14:textId="77777777" w:rsidR="00F33630" w:rsidRPr="00F33630" w:rsidRDefault="00F33630" w:rsidP="00F33630">
      <w:pPr>
        <w:numPr>
          <w:ilvl w:val="0"/>
          <w:numId w:val="1"/>
        </w:numPr>
        <w:shd w:val="clear" w:color="auto" w:fill="FFFFFF"/>
        <w:ind w:left="1440"/>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The benefits of rigorous charity evaluation </w:t>
      </w:r>
      <w:r w:rsidRPr="00F33630">
        <w:rPr>
          <w:rFonts w:ascii="Arial" w:eastAsia="Times New Roman" w:hAnsi="Arial" w:cs="Arial"/>
          <w:i/>
          <w:iCs/>
          <w:color w:val="000000"/>
          <w:kern w:val="0"/>
          <w:sz w:val="22"/>
          <w:szCs w:val="22"/>
          <w:lang w:eastAsia="en-GB"/>
          <w14:ligatures w14:val="none"/>
        </w:rPr>
        <w:t>(3.ii, 6.iii)</w:t>
      </w:r>
    </w:p>
    <w:p w14:paraId="34EF2B26" w14:textId="77777777" w:rsidR="00F33630" w:rsidRPr="00F33630" w:rsidRDefault="00F33630" w:rsidP="00F33630">
      <w:pPr>
        <w:numPr>
          <w:ilvl w:val="0"/>
          <w:numId w:val="1"/>
        </w:numPr>
        <w:shd w:val="clear" w:color="auto" w:fill="FFFFFF"/>
        <w:ind w:left="1440"/>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How policy advocacy can restore trust in democracy </w:t>
      </w:r>
      <w:r w:rsidRPr="00F33630">
        <w:rPr>
          <w:rFonts w:ascii="Arial" w:eastAsia="Times New Roman" w:hAnsi="Arial" w:cs="Arial"/>
          <w:i/>
          <w:iCs/>
          <w:color w:val="000000"/>
          <w:kern w:val="0"/>
          <w:sz w:val="22"/>
          <w:szCs w:val="22"/>
          <w:lang w:eastAsia="en-GB"/>
          <w14:ligatures w14:val="none"/>
        </w:rPr>
        <w:t>(3.i, 5, 6.iii)</w:t>
      </w:r>
    </w:p>
    <w:p w14:paraId="470425EC" w14:textId="77777777" w:rsidR="00F33630" w:rsidRDefault="00F33630"/>
    <w:p w14:paraId="1E9BFA4E" w14:textId="77777777" w:rsidR="00F33630" w:rsidRDefault="00F33630" w:rsidP="00F33630">
      <w:pPr>
        <w:pStyle w:val="NormalWeb"/>
        <w:shd w:val="clear" w:color="auto" w:fill="FFFFFF"/>
        <w:spacing w:before="0" w:beforeAutospacing="0" w:after="0" w:afterAutospacing="0"/>
        <w:rPr>
          <w:rFonts w:ascii="Arial" w:hAnsi="Arial" w:cs="Arial"/>
          <w:b/>
          <w:bCs/>
          <w:color w:val="000000"/>
          <w:sz w:val="22"/>
          <w:szCs w:val="22"/>
        </w:rPr>
      </w:pPr>
      <w:r>
        <w:rPr>
          <w:rFonts w:ascii="Arial" w:hAnsi="Arial" w:cs="Arial"/>
          <w:b/>
          <w:bCs/>
          <w:color w:val="000000"/>
          <w:sz w:val="22"/>
          <w:szCs w:val="22"/>
        </w:rPr>
        <w:t>Animal welfare and global catastrophic risk reduction should be DGR classes</w:t>
      </w:r>
    </w:p>
    <w:p w14:paraId="46FCB2BE"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p>
    <w:p w14:paraId="60DE4339"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As I see it, the most important issue is that DGR status needs to be broadened to include things that young people today care about – specifically reducing global catastrophic risks and supporting the well-being of animals.</w:t>
      </w:r>
    </w:p>
    <w:p w14:paraId="49C5C716"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 want to engage with my community around the reduction of catastrophic disaster risks, but currently, the community organisation around these kinds of risks seems limited to things like my local volunteer fire brigade. I of course support the work of the local fire brigade, but it’s not a fit for my skills and interests. If organisations working on reducing the risk of catastrophic disasters had DGR status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DGR regulation hasn’t kept up.</w:t>
      </w:r>
    </w:p>
    <w:p w14:paraId="4373679D"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In the same way, my peers and I care deeply about the welfare of animals. While the animal charities I support can be “charities” under the </w:t>
      </w:r>
      <w:r>
        <w:rPr>
          <w:rFonts w:ascii="Arial" w:hAnsi="Arial" w:cs="Arial"/>
          <w:i/>
          <w:iCs/>
          <w:color w:val="000000"/>
          <w:sz w:val="22"/>
          <w:szCs w:val="22"/>
        </w:rPr>
        <w:t>Charities Act</w:t>
      </w:r>
      <w:r>
        <w:rPr>
          <w:rFonts w:ascii="Arial" w:hAnsi="Arial" w:cs="Arial"/>
          <w:color w:val="000000"/>
          <w:sz w:val="22"/>
          <w:szCs w:val="22"/>
        </w:rPr>
        <w:t>, they can’t get DGR status under the </w:t>
      </w:r>
      <w:r>
        <w:rPr>
          <w:rFonts w:ascii="Arial" w:hAnsi="Arial" w:cs="Arial"/>
          <w:i/>
          <w:iCs/>
          <w:color w:val="000000"/>
          <w:sz w:val="22"/>
          <w:szCs w:val="22"/>
        </w:rPr>
        <w:t>Tax Act</w:t>
      </w:r>
      <w:r>
        <w:rPr>
          <w:rFonts w:ascii="Arial" w:hAnsi="Arial" w:cs="Arial"/>
          <w:color w:val="000000"/>
          <w:sz w:val="22"/>
          <w:szCs w:val="22"/>
        </w:rPr>
        <w:t>. I understand that this is because DGR status is limited to things like the short-term direct care and rehabilitation of lost or mistreated animals. While any animal suffering is a tragedy, it’s obvious to me that it would be far more effective to give DGR status to charities that are seeking to prevent animals from needing this kind of direct care in the first place. Everyone knows prevention is better than cure, so why should the law incentivise treatment over prevention?</w:t>
      </w:r>
    </w:p>
    <w:p w14:paraId="3D5ADCF5"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 really think the exclusion of these two cause areas from DGR status hurts our ability to do good. These causes are recognised by sophisticated charity evaluators as being high-impact and allowed to accept tax-deductible donations </w:t>
      </w:r>
      <w:proofErr w:type="gramStart"/>
      <w:r>
        <w:rPr>
          <w:rFonts w:ascii="Arial" w:hAnsi="Arial" w:cs="Arial"/>
          <w:color w:val="000000"/>
          <w:sz w:val="22"/>
          <w:szCs w:val="22"/>
        </w:rPr>
        <w:t>internationally, but</w:t>
      </w:r>
      <w:proofErr w:type="gramEnd"/>
      <w:r>
        <w:rPr>
          <w:rFonts w:ascii="Arial" w:hAnsi="Arial" w:cs="Arial"/>
          <w:color w:val="000000"/>
          <w:sz w:val="22"/>
          <w:szCs w:val="22"/>
        </w:rPr>
        <w:t xml:space="preserve"> excluded here in Australia. If Government wants to increase donations to charities and increase the ability of charities to build social connections, it needs to give DGR status to these high-impact cause areas that today's Australians are so passionate about.</w:t>
      </w:r>
    </w:p>
    <w:p w14:paraId="3B20F682"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p>
    <w:p w14:paraId="1C46D45B"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t>PBI rules should not hamper community building</w:t>
      </w:r>
    </w:p>
    <w:p w14:paraId="644D58BC"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 support Effective Altruism Australia and the work they’re doing to help effective altruism groups in universities and major cities. These EA groups are getting people excited about doing good, helping them think about impactful donations, running reading groups, and giving advice about impactful careers. But Effective Altruism Australia’s status as a “Public Benevolent Institution” limits the work of its community builders to align with EAA’s work on global health and poverty and “incidental” topics.</w:t>
      </w:r>
    </w:p>
    <w:p w14:paraId="06520E8D"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For instance, EAA community builders probably can’t facilitate a reading group on animal wellbeing because the wellbeing of animals isn’t “incidental or ancillary” to global poverty. I </w:t>
      </w:r>
      <w:r>
        <w:rPr>
          <w:rFonts w:ascii="Arial" w:hAnsi="Arial" w:cs="Arial"/>
          <w:color w:val="000000"/>
          <w:sz w:val="22"/>
          <w:szCs w:val="22"/>
        </w:rPr>
        <w:lastRenderedPageBreak/>
        <w:t>find it hard to understand why the law would stop the peak body of effective altruism in Australia from properly supporting effective altruism clubs in universities. I understand that a charity shouldn’t just be able to do anything, because that would open up the system to abuse, but supporting university clubs and city groups with the same philosophy and philanthropic goals is well within the normal operation of philanthropy. Given the Terms of Reference are framed around building social connection, it would seem a simple change for a big improvement to recommend to Government to remove narrow, PBI-specific rules around “dominant purpose” that prevent PBIs from doing work in their communities.</w:t>
      </w:r>
    </w:p>
    <w:p w14:paraId="1504DA11"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A change to allow PBIs to also pursue other charitable purposes would help me and my group be more involved in our community and find more ways to do good. I think effective altruism clubs and similar groups, like One For The World, have the potential to be life-long sources of connection for younger Australians. But we need regulatory changes now so that we and these organisations can grow together.</w:t>
      </w:r>
    </w:p>
    <w:p w14:paraId="0FC8BAE5" w14:textId="77777777" w:rsidR="00F33630" w:rsidRDefault="00F33630" w:rsidP="00F33630">
      <w:pPr>
        <w:pStyle w:val="NormalWeb"/>
        <w:shd w:val="clear" w:color="auto" w:fill="FFFFFF"/>
        <w:spacing w:before="0" w:beforeAutospacing="0" w:after="0" w:afterAutospacing="0"/>
        <w:rPr>
          <w:rFonts w:ascii="Arial" w:hAnsi="Arial" w:cs="Arial"/>
          <w:color w:val="000000"/>
          <w:sz w:val="22"/>
          <w:szCs w:val="22"/>
        </w:rPr>
      </w:pPr>
    </w:p>
    <w:p w14:paraId="5F0881EA"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b/>
          <w:bCs/>
          <w:color w:val="000000"/>
          <w:kern w:val="0"/>
          <w:sz w:val="22"/>
          <w:szCs w:val="22"/>
          <w:lang w:eastAsia="en-GB"/>
          <w14:ligatures w14:val="none"/>
        </w:rPr>
        <w:t>Australian charity evaluation would build confidence</w:t>
      </w:r>
    </w:p>
    <w:p w14:paraId="646CE60B"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 xml:space="preserve">I’m excited by the terms of reference about charity evaluation. I think people can be cynical about charity because it’s hard to know if your donation has </w:t>
      </w:r>
      <w:proofErr w:type="gramStart"/>
      <w:r w:rsidRPr="00F33630">
        <w:rPr>
          <w:rFonts w:ascii="Arial" w:eastAsia="Times New Roman" w:hAnsi="Arial" w:cs="Arial"/>
          <w:color w:val="000000"/>
          <w:kern w:val="0"/>
          <w:sz w:val="22"/>
          <w:szCs w:val="22"/>
          <w:lang w:eastAsia="en-GB"/>
          <w14:ligatures w14:val="none"/>
        </w:rPr>
        <w:t>actually had</w:t>
      </w:r>
      <w:proofErr w:type="gramEnd"/>
      <w:r w:rsidRPr="00F33630">
        <w:rPr>
          <w:rFonts w:ascii="Arial" w:eastAsia="Times New Roman" w:hAnsi="Arial" w:cs="Arial"/>
          <w:color w:val="000000"/>
          <w:kern w:val="0"/>
          <w:sz w:val="22"/>
          <w:szCs w:val="22"/>
          <w:lang w:eastAsia="en-GB"/>
          <w14:ligatures w14:val="none"/>
        </w:rPr>
        <w:t xml:space="preserve">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40C20D63"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I would encourage the Productivity Commission to review:</w:t>
      </w:r>
    </w:p>
    <w:p w14:paraId="6F885D30" w14:textId="77777777" w:rsidR="00F33630" w:rsidRPr="00F33630" w:rsidRDefault="00F33630" w:rsidP="00F33630">
      <w:pPr>
        <w:numPr>
          <w:ilvl w:val="0"/>
          <w:numId w:val="2"/>
        </w:numPr>
        <w:shd w:val="clear" w:color="auto" w:fill="FFFFFF"/>
        <w:ind w:left="1440"/>
        <w:rPr>
          <w:rFonts w:ascii="Arial" w:eastAsia="Times New Roman" w:hAnsi="Arial" w:cs="Arial"/>
          <w:color w:val="000000"/>
          <w:kern w:val="0"/>
          <w:sz w:val="22"/>
          <w:szCs w:val="22"/>
          <w:lang w:eastAsia="en-GB"/>
          <w14:ligatures w14:val="none"/>
        </w:rPr>
      </w:pPr>
      <w:r w:rsidRPr="00F33630">
        <w:rPr>
          <w:rFonts w:ascii="Arial" w:eastAsia="Times New Roman" w:hAnsi="Arial" w:cs="Arial"/>
          <w:i/>
          <w:iCs/>
          <w:color w:val="000000"/>
          <w:kern w:val="0"/>
          <w:sz w:val="22"/>
          <w:szCs w:val="22"/>
          <w:lang w:eastAsia="en-GB"/>
          <w14:ligatures w14:val="none"/>
        </w:rPr>
        <w:t>Donors vastly underestimate differences in charities’ effectiveness </w:t>
      </w:r>
      <w:r w:rsidRPr="00F33630">
        <w:rPr>
          <w:rFonts w:ascii="Arial" w:eastAsia="Times New Roman" w:hAnsi="Arial" w:cs="Arial"/>
          <w:color w:val="000000"/>
          <w:kern w:val="0"/>
          <w:sz w:val="22"/>
          <w:szCs w:val="22"/>
          <w:lang w:eastAsia="en-GB"/>
          <w14:ligatures w14:val="none"/>
        </w:rPr>
        <w:t xml:space="preserve">by </w:t>
      </w:r>
      <w:proofErr w:type="spellStart"/>
      <w:r w:rsidRPr="00F33630">
        <w:rPr>
          <w:rFonts w:ascii="Arial" w:eastAsia="Times New Roman" w:hAnsi="Arial" w:cs="Arial"/>
          <w:color w:val="000000"/>
          <w:kern w:val="0"/>
          <w:sz w:val="22"/>
          <w:szCs w:val="22"/>
          <w:lang w:eastAsia="en-GB"/>
          <w14:ligatures w14:val="none"/>
        </w:rPr>
        <w:t>Caviola</w:t>
      </w:r>
      <w:proofErr w:type="spellEnd"/>
      <w:r w:rsidRPr="00F33630">
        <w:rPr>
          <w:rFonts w:ascii="Arial" w:eastAsia="Times New Roman" w:hAnsi="Arial" w:cs="Arial"/>
          <w:color w:val="000000"/>
          <w:kern w:val="0"/>
          <w:sz w:val="22"/>
          <w:szCs w:val="22"/>
          <w:lang w:eastAsia="en-GB"/>
          <w14:ligatures w14:val="none"/>
        </w:rPr>
        <w:t xml:space="preserve">, L; Schubert, S; </w:t>
      </w:r>
      <w:proofErr w:type="spellStart"/>
      <w:r w:rsidRPr="00F33630">
        <w:rPr>
          <w:rFonts w:ascii="Arial" w:eastAsia="Times New Roman" w:hAnsi="Arial" w:cs="Arial"/>
          <w:color w:val="000000"/>
          <w:kern w:val="0"/>
          <w:sz w:val="22"/>
          <w:szCs w:val="22"/>
          <w:lang w:eastAsia="en-GB"/>
          <w14:ligatures w14:val="none"/>
        </w:rPr>
        <w:t>Teperman</w:t>
      </w:r>
      <w:proofErr w:type="spellEnd"/>
      <w:r w:rsidRPr="00F33630">
        <w:rPr>
          <w:rFonts w:ascii="Arial" w:eastAsia="Times New Roman" w:hAnsi="Arial" w:cs="Arial"/>
          <w:color w:val="000000"/>
          <w:kern w:val="0"/>
          <w:sz w:val="22"/>
          <w:szCs w:val="22"/>
          <w:lang w:eastAsia="en-GB"/>
          <w14:ligatures w14:val="none"/>
        </w:rPr>
        <w:t>, E; et al. available online at  </w:t>
      </w:r>
      <w:hyperlink r:id="rId7" w:history="1">
        <w:r w:rsidRPr="00F33630">
          <w:rPr>
            <w:rFonts w:ascii="Arial" w:eastAsia="Times New Roman" w:hAnsi="Arial" w:cs="Arial"/>
            <w:color w:val="0000FF"/>
            <w:kern w:val="0"/>
            <w:sz w:val="22"/>
            <w:szCs w:val="22"/>
            <w:u w:val="single"/>
            <w:lang w:eastAsia="en-GB"/>
            <w14:ligatures w14:val="none"/>
          </w:rPr>
          <w:t>http://hdl.handle.net/10871/122268</w:t>
        </w:r>
      </w:hyperlink>
      <w:r w:rsidRPr="00F33630">
        <w:rPr>
          <w:rFonts w:ascii="Arial" w:eastAsia="Times New Roman" w:hAnsi="Arial" w:cs="Arial"/>
          <w:color w:val="000000"/>
          <w:kern w:val="0"/>
          <w:sz w:val="22"/>
          <w:szCs w:val="22"/>
          <w:lang w:eastAsia="en-GB"/>
          <w14:ligatures w14:val="none"/>
        </w:rPr>
        <w:t>, and</w:t>
      </w:r>
    </w:p>
    <w:p w14:paraId="5D6BEC8D" w14:textId="77777777" w:rsidR="00F33630" w:rsidRPr="00F33630" w:rsidRDefault="00F33630" w:rsidP="00F3363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1440"/>
        <w:outlineLvl w:val="0"/>
        <w:rPr>
          <w:rFonts w:ascii="Arial" w:eastAsia="Times New Roman" w:hAnsi="Arial" w:cs="Arial"/>
          <w:b/>
          <w:bCs/>
          <w:color w:val="000000"/>
          <w:kern w:val="36"/>
          <w:sz w:val="48"/>
          <w:szCs w:val="48"/>
          <w:lang w:eastAsia="en-GB"/>
          <w14:ligatures w14:val="none"/>
        </w:rPr>
      </w:pPr>
      <w:r w:rsidRPr="00F33630">
        <w:rPr>
          <w:rFonts w:ascii="Arial" w:eastAsia="Times New Roman" w:hAnsi="Arial" w:cs="Arial"/>
          <w:b/>
          <w:bCs/>
          <w:i/>
          <w:iCs/>
          <w:color w:val="000000"/>
          <w:kern w:val="36"/>
          <w:sz w:val="22"/>
          <w:szCs w:val="22"/>
          <w:lang w:eastAsia="en-GB"/>
          <w14:ligatures w14:val="none"/>
        </w:rPr>
        <w:t>Don’t Feed the Zombies</w:t>
      </w:r>
      <w:r w:rsidRPr="00F33630">
        <w:rPr>
          <w:rFonts w:ascii="Arial" w:eastAsia="Times New Roman" w:hAnsi="Arial" w:cs="Arial"/>
          <w:b/>
          <w:bCs/>
          <w:color w:val="000000"/>
          <w:kern w:val="36"/>
          <w:sz w:val="22"/>
          <w:szCs w:val="22"/>
          <w:lang w:eastAsia="en-GB"/>
          <w14:ligatures w14:val="none"/>
        </w:rPr>
        <w:t> by Kevin Star in the Stanford Social Innovation Review, available online at </w:t>
      </w:r>
      <w:hyperlink r:id="rId8" w:history="1">
        <w:r w:rsidRPr="00F33630">
          <w:rPr>
            <w:rFonts w:ascii="Arial" w:eastAsia="Times New Roman" w:hAnsi="Arial" w:cs="Arial"/>
            <w:b/>
            <w:bCs/>
            <w:color w:val="0000FF"/>
            <w:kern w:val="36"/>
            <w:sz w:val="22"/>
            <w:szCs w:val="22"/>
            <w:u w:val="single"/>
            <w:lang w:eastAsia="en-GB"/>
            <w14:ligatures w14:val="none"/>
          </w:rPr>
          <w:t>https://ssir.org/articles/entry/dont_feed_the_zombies</w:t>
        </w:r>
      </w:hyperlink>
      <w:r w:rsidRPr="00F33630">
        <w:rPr>
          <w:rFonts w:ascii="Arial" w:eastAsia="Times New Roman" w:hAnsi="Arial" w:cs="Arial"/>
          <w:b/>
          <w:bCs/>
          <w:color w:val="000000"/>
          <w:kern w:val="36"/>
          <w:sz w:val="22"/>
          <w:szCs w:val="22"/>
          <w:lang w:eastAsia="en-GB"/>
          <w14:ligatures w14:val="none"/>
        </w:rPr>
        <w:t> </w:t>
      </w:r>
    </w:p>
    <w:p w14:paraId="105ECFA4"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The research is usefully summarised in two illustrations that depict how different the view of the impact of charity is between lay people and experts:</w:t>
      </w:r>
    </w:p>
    <w:p w14:paraId="20508811" w14:textId="60739566"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bdr w:val="single" w:sz="2" w:space="0" w:color="000000" w:frame="1"/>
          <w:lang w:eastAsia="en-GB"/>
          <w14:ligatures w14:val="none"/>
        </w:rPr>
        <w:lastRenderedPageBreak/>
        <w:fldChar w:fldCharType="begin"/>
      </w:r>
      <w:r w:rsidRPr="00F33630">
        <w:rPr>
          <w:rFonts w:ascii="Arial" w:eastAsia="Times New Roman" w:hAnsi="Arial" w:cs="Arial"/>
          <w:color w:val="000000"/>
          <w:kern w:val="0"/>
          <w:sz w:val="22"/>
          <w:szCs w:val="22"/>
          <w:bdr w:val="single" w:sz="2" w:space="0" w:color="000000" w:frame="1"/>
          <w:lang w:eastAsia="en-GB"/>
          <w14:ligatures w14:val="none"/>
        </w:rPr>
        <w:instrText xml:space="preserve"> INCLUDEPICTURE "https://lh4.googleusercontent.com/m2fb6P0r7fJSsg4DsNgw4tnWRtRmwfl0UBWWbr9gYeDOfFoZU5CB_8BoJz_Ajm-IXSdGg10pOJaVdJdhAAbAvu9XgPHO-juSY0lHN_NOddKPSCSiTOjqQTT31ThlLB_K0oHRol66aaNQsIhW=s800" \* MERGEFORMATINET </w:instrText>
      </w:r>
      <w:r w:rsidRPr="00F33630">
        <w:rPr>
          <w:rFonts w:ascii="Arial" w:eastAsia="Times New Roman" w:hAnsi="Arial" w:cs="Arial"/>
          <w:color w:val="000000"/>
          <w:kern w:val="0"/>
          <w:sz w:val="22"/>
          <w:szCs w:val="22"/>
          <w:bdr w:val="single" w:sz="2" w:space="0" w:color="000000" w:frame="1"/>
          <w:lang w:eastAsia="en-GB"/>
          <w14:ligatures w14:val="none"/>
        </w:rPr>
        <w:fldChar w:fldCharType="separate"/>
      </w:r>
      <w:r w:rsidRPr="00F33630">
        <w:rPr>
          <w:rFonts w:ascii="Arial" w:eastAsia="Times New Roman" w:hAnsi="Arial" w:cs="Arial"/>
          <w:noProof/>
          <w:color w:val="000000"/>
          <w:kern w:val="0"/>
          <w:sz w:val="22"/>
          <w:szCs w:val="22"/>
          <w:bdr w:val="single" w:sz="2" w:space="0" w:color="000000" w:frame="1"/>
          <w:lang w:eastAsia="en-GB"/>
          <w14:ligatures w14:val="none"/>
        </w:rPr>
        <w:drawing>
          <wp:inline distT="0" distB="0" distL="0" distR="0" wp14:anchorId="4C7A78BA" wp14:editId="59E1AD12">
            <wp:extent cx="5731510" cy="4209415"/>
            <wp:effectExtent l="0" t="0" r="0" b="0"/>
            <wp:docPr id="860298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09415"/>
                    </a:xfrm>
                    <a:prstGeom prst="rect">
                      <a:avLst/>
                    </a:prstGeom>
                    <a:noFill/>
                    <a:ln>
                      <a:noFill/>
                    </a:ln>
                  </pic:spPr>
                </pic:pic>
              </a:graphicData>
            </a:graphic>
          </wp:inline>
        </w:drawing>
      </w:r>
      <w:r w:rsidRPr="00F33630">
        <w:rPr>
          <w:rFonts w:ascii="Arial" w:eastAsia="Times New Roman" w:hAnsi="Arial" w:cs="Arial"/>
          <w:color w:val="000000"/>
          <w:kern w:val="0"/>
          <w:sz w:val="22"/>
          <w:szCs w:val="22"/>
          <w:bdr w:val="single" w:sz="2" w:space="0" w:color="000000" w:frame="1"/>
          <w:lang w:eastAsia="en-GB"/>
          <w14:ligatures w14:val="none"/>
        </w:rPr>
        <w:fldChar w:fldCharType="end"/>
      </w:r>
    </w:p>
    <w:p w14:paraId="4C80C493" w14:textId="2F70130D"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bdr w:val="single" w:sz="2" w:space="0" w:color="000000" w:frame="1"/>
          <w:lang w:eastAsia="en-GB"/>
          <w14:ligatures w14:val="none"/>
        </w:rPr>
        <w:fldChar w:fldCharType="begin"/>
      </w:r>
      <w:r w:rsidRPr="00F33630">
        <w:rPr>
          <w:rFonts w:ascii="Arial" w:eastAsia="Times New Roman" w:hAnsi="Arial" w:cs="Arial"/>
          <w:color w:val="000000"/>
          <w:kern w:val="0"/>
          <w:sz w:val="22"/>
          <w:szCs w:val="22"/>
          <w:bdr w:val="single" w:sz="2" w:space="0" w:color="000000" w:frame="1"/>
          <w:lang w:eastAsia="en-GB"/>
          <w14:ligatures w14:val="none"/>
        </w:rPr>
        <w:instrText xml:space="preserve"> INCLUDEPICTURE "https://lh5.googleusercontent.com/WNy9VbECZUFBKnh8fVajy0QPxPrh3CH1KcSV8N7FBdGwzxtP5l3XBYWtGLnRr1HMG-xXfsJV5uwnLm_pNF_S7EMHz5ZEPc_9u8et8FbhzuQtGVVB7aOH7VxZbFBHDoXY8g7hxeN38hPemBie=s800" \* MERGEFORMATINET </w:instrText>
      </w:r>
      <w:r w:rsidRPr="00F33630">
        <w:rPr>
          <w:rFonts w:ascii="Arial" w:eastAsia="Times New Roman" w:hAnsi="Arial" w:cs="Arial"/>
          <w:color w:val="000000"/>
          <w:kern w:val="0"/>
          <w:sz w:val="22"/>
          <w:szCs w:val="22"/>
          <w:bdr w:val="single" w:sz="2" w:space="0" w:color="000000" w:frame="1"/>
          <w:lang w:eastAsia="en-GB"/>
          <w14:ligatures w14:val="none"/>
        </w:rPr>
        <w:fldChar w:fldCharType="separate"/>
      </w:r>
      <w:r w:rsidRPr="00F33630">
        <w:rPr>
          <w:rFonts w:ascii="Arial" w:eastAsia="Times New Roman" w:hAnsi="Arial" w:cs="Arial"/>
          <w:noProof/>
          <w:color w:val="000000"/>
          <w:kern w:val="0"/>
          <w:sz w:val="22"/>
          <w:szCs w:val="22"/>
          <w:bdr w:val="single" w:sz="2" w:space="0" w:color="000000" w:frame="1"/>
          <w:lang w:eastAsia="en-GB"/>
          <w14:ligatures w14:val="none"/>
        </w:rPr>
        <w:drawing>
          <wp:inline distT="0" distB="0" distL="0" distR="0" wp14:anchorId="11766172" wp14:editId="02BD3392">
            <wp:extent cx="5731510" cy="4209415"/>
            <wp:effectExtent l="0" t="0" r="0" b="0"/>
            <wp:docPr id="1938245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09415"/>
                    </a:xfrm>
                    <a:prstGeom prst="rect">
                      <a:avLst/>
                    </a:prstGeom>
                    <a:noFill/>
                    <a:ln>
                      <a:noFill/>
                    </a:ln>
                  </pic:spPr>
                </pic:pic>
              </a:graphicData>
            </a:graphic>
          </wp:inline>
        </w:drawing>
      </w:r>
      <w:r w:rsidRPr="00F33630">
        <w:rPr>
          <w:rFonts w:ascii="Arial" w:eastAsia="Times New Roman" w:hAnsi="Arial" w:cs="Arial"/>
          <w:color w:val="000000"/>
          <w:kern w:val="0"/>
          <w:sz w:val="22"/>
          <w:szCs w:val="22"/>
          <w:bdr w:val="single" w:sz="2" w:space="0" w:color="000000" w:frame="1"/>
          <w:lang w:eastAsia="en-GB"/>
          <w14:ligatures w14:val="none"/>
        </w:rPr>
        <w:fldChar w:fldCharType="end"/>
      </w:r>
      <w:r w:rsidRPr="00F33630">
        <w:rPr>
          <w:rFonts w:ascii="Arial" w:eastAsia="Times New Roman" w:hAnsi="Arial" w:cs="Arial"/>
          <w:color w:val="000000"/>
          <w:kern w:val="0"/>
          <w:sz w:val="22"/>
          <w:szCs w:val="22"/>
          <w:lang w:eastAsia="en-GB"/>
          <w14:ligatures w14:val="none"/>
        </w:rPr>
        <w:t> </w:t>
      </w:r>
    </w:p>
    <w:p w14:paraId="0302116D"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lastRenderedPageBreak/>
        <w:t>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impact-focused evaluation which he persuasively explains could achieve a “quantum leap toward a better world”.</w:t>
      </w:r>
    </w:p>
    <w:p w14:paraId="016323CC"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While the above two sources focus on global health, the same effect occurs across countries and across causes. By way of illustration, Benjamin Todd’s recent article on 80,000 Hours shows a similar distribution of the impact of climate interventions (https://80000hours.org/2023/02/how-much-do-solutions-differ-in-effectiveness/</w:t>
      </w:r>
      <w:proofErr w:type="gramStart"/>
      <w:r w:rsidRPr="00F33630">
        <w:rPr>
          <w:rFonts w:ascii="Arial" w:eastAsia="Times New Roman" w:hAnsi="Arial" w:cs="Arial"/>
          <w:color w:val="000000"/>
          <w:kern w:val="0"/>
          <w:sz w:val="22"/>
          <w:szCs w:val="22"/>
          <w:lang w:eastAsia="en-GB"/>
          <w14:ligatures w14:val="none"/>
        </w:rPr>
        <w:t>) :</w:t>
      </w:r>
      <w:proofErr w:type="gramEnd"/>
    </w:p>
    <w:p w14:paraId="5360E822" w14:textId="173C83E9"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bdr w:val="single" w:sz="2" w:space="0" w:color="000000" w:frame="1"/>
          <w:lang w:eastAsia="en-GB"/>
          <w14:ligatures w14:val="none"/>
        </w:rPr>
        <w:fldChar w:fldCharType="begin"/>
      </w:r>
      <w:r w:rsidRPr="00F33630">
        <w:rPr>
          <w:rFonts w:ascii="Arial" w:eastAsia="Times New Roman" w:hAnsi="Arial" w:cs="Arial"/>
          <w:color w:val="000000"/>
          <w:kern w:val="0"/>
          <w:sz w:val="22"/>
          <w:szCs w:val="22"/>
          <w:bdr w:val="single" w:sz="2" w:space="0" w:color="000000" w:frame="1"/>
          <w:lang w:eastAsia="en-GB"/>
          <w14:ligatures w14:val="none"/>
        </w:rPr>
        <w:instrText xml:space="preserve"> INCLUDEPICTURE "https://lh6.googleusercontent.com/A_EJ4lt4DYgifTuiKjS3M7rH02aA0Rf2pvNVb-S4wqsRywdvB-eTwwU6fmXLhel37m2tp-M_b1QdTK73XusO-MeZ2tL9WuxB6-8aYhP_Pwj2MA7bo-u0dLeeIctq0dZASR15WXs17M8j2inB=s800" \* MERGEFORMATINET </w:instrText>
      </w:r>
      <w:r w:rsidRPr="00F33630">
        <w:rPr>
          <w:rFonts w:ascii="Arial" w:eastAsia="Times New Roman" w:hAnsi="Arial" w:cs="Arial"/>
          <w:color w:val="000000"/>
          <w:kern w:val="0"/>
          <w:sz w:val="22"/>
          <w:szCs w:val="22"/>
          <w:bdr w:val="single" w:sz="2" w:space="0" w:color="000000" w:frame="1"/>
          <w:lang w:eastAsia="en-GB"/>
          <w14:ligatures w14:val="none"/>
        </w:rPr>
        <w:fldChar w:fldCharType="separate"/>
      </w:r>
      <w:r w:rsidRPr="00F33630">
        <w:rPr>
          <w:rFonts w:ascii="Arial" w:eastAsia="Times New Roman" w:hAnsi="Arial" w:cs="Arial"/>
          <w:noProof/>
          <w:color w:val="000000"/>
          <w:kern w:val="0"/>
          <w:sz w:val="22"/>
          <w:szCs w:val="22"/>
          <w:bdr w:val="single" w:sz="2" w:space="0" w:color="000000" w:frame="1"/>
          <w:lang w:eastAsia="en-GB"/>
          <w14:ligatures w14:val="none"/>
        </w:rPr>
        <w:drawing>
          <wp:inline distT="0" distB="0" distL="0" distR="0" wp14:anchorId="05851F25" wp14:editId="1E1498F4">
            <wp:extent cx="5731510" cy="3710305"/>
            <wp:effectExtent l="0" t="0" r="0" b="0"/>
            <wp:docPr id="1734253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10305"/>
                    </a:xfrm>
                    <a:prstGeom prst="rect">
                      <a:avLst/>
                    </a:prstGeom>
                    <a:noFill/>
                    <a:ln>
                      <a:noFill/>
                    </a:ln>
                  </pic:spPr>
                </pic:pic>
              </a:graphicData>
            </a:graphic>
          </wp:inline>
        </w:drawing>
      </w:r>
      <w:r w:rsidRPr="00F33630">
        <w:rPr>
          <w:rFonts w:ascii="Arial" w:eastAsia="Times New Roman" w:hAnsi="Arial" w:cs="Arial"/>
          <w:color w:val="000000"/>
          <w:kern w:val="0"/>
          <w:sz w:val="22"/>
          <w:szCs w:val="22"/>
          <w:bdr w:val="single" w:sz="2" w:space="0" w:color="000000" w:frame="1"/>
          <w:lang w:eastAsia="en-GB"/>
          <w14:ligatures w14:val="none"/>
        </w:rPr>
        <w:fldChar w:fldCharType="end"/>
      </w:r>
      <w:r w:rsidRPr="00F33630">
        <w:rPr>
          <w:rFonts w:ascii="Arial" w:eastAsia="Times New Roman" w:hAnsi="Arial" w:cs="Arial"/>
          <w:color w:val="000000"/>
          <w:kern w:val="0"/>
          <w:sz w:val="22"/>
          <w:szCs w:val="22"/>
          <w:lang w:eastAsia="en-GB"/>
          <w14:ligatures w14:val="none"/>
        </w:rPr>
        <w:t> </w:t>
      </w:r>
    </w:p>
    <w:p w14:paraId="47B63278"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 xml:space="preserve">This insight is essential. While donors don’t and can’t understand how impactful their donation is, and charities </w:t>
      </w:r>
      <w:proofErr w:type="gramStart"/>
      <w:r w:rsidRPr="00F33630">
        <w:rPr>
          <w:rFonts w:ascii="Arial" w:eastAsia="Times New Roman" w:hAnsi="Arial" w:cs="Arial"/>
          <w:color w:val="000000"/>
          <w:kern w:val="0"/>
          <w:sz w:val="22"/>
          <w:szCs w:val="22"/>
          <w:lang w:eastAsia="en-GB"/>
          <w14:ligatures w14:val="none"/>
        </w:rPr>
        <w:t>have to</w:t>
      </w:r>
      <w:proofErr w:type="gramEnd"/>
      <w:r w:rsidRPr="00F33630">
        <w:rPr>
          <w:rFonts w:ascii="Arial" w:eastAsia="Times New Roman" w:hAnsi="Arial" w:cs="Arial"/>
          <w:color w:val="000000"/>
          <w:kern w:val="0"/>
          <w:sz w:val="22"/>
          <w:szCs w:val="22"/>
          <w:lang w:eastAsia="en-GB"/>
          <w14:ligatures w14:val="none"/>
        </w:rPr>
        <w:t xml:space="preserve"> raise funds in a market that doesn’t function, the sector will struggle. This problem is long-standing, but progress in the last 10 years on charity evaluation means it doesn’t have to continue.</w:t>
      </w:r>
    </w:p>
    <w:p w14:paraId="33BAEF53" w14:textId="77777777" w:rsidR="00F33630" w:rsidRPr="00F33630" w:rsidRDefault="00F33630" w:rsidP="00F33630">
      <w:pPr>
        <w:shd w:val="clear" w:color="auto" w:fill="FFFFFF"/>
        <w:rPr>
          <w:rFonts w:ascii="Arial" w:eastAsia="Times New Roman" w:hAnsi="Arial" w:cs="Arial"/>
          <w:color w:val="000000"/>
          <w:kern w:val="0"/>
          <w:sz w:val="22"/>
          <w:szCs w:val="22"/>
          <w:lang w:eastAsia="en-GB"/>
          <w14:ligatures w14:val="none"/>
        </w:rPr>
      </w:pPr>
      <w:r w:rsidRPr="00F33630">
        <w:rPr>
          <w:rFonts w:ascii="Arial" w:eastAsia="Times New Roman" w:hAnsi="Arial" w:cs="Arial"/>
          <w:color w:val="000000"/>
          <w:kern w:val="0"/>
          <w:sz w:val="22"/>
          <w:szCs w:val="22"/>
          <w:lang w:eastAsia="en-GB"/>
          <w14:ligatures w14:val="none"/>
        </w:rPr>
        <w:t xml:space="preserve">Australia funding and promoting charity evaluation has the potential to fix the market failure, help Australian charities do far </w:t>
      </w:r>
      <w:proofErr w:type="gramStart"/>
      <w:r w:rsidRPr="00F33630">
        <w:rPr>
          <w:rFonts w:ascii="Arial" w:eastAsia="Times New Roman" w:hAnsi="Arial" w:cs="Arial"/>
          <w:color w:val="000000"/>
          <w:kern w:val="0"/>
          <w:sz w:val="22"/>
          <w:szCs w:val="22"/>
          <w:lang w:eastAsia="en-GB"/>
          <w14:ligatures w14:val="none"/>
        </w:rPr>
        <w:t>more good</w:t>
      </w:r>
      <w:proofErr w:type="gramEnd"/>
      <w:r w:rsidRPr="00F33630">
        <w:rPr>
          <w:rFonts w:ascii="Arial" w:eastAsia="Times New Roman" w:hAnsi="Arial" w:cs="Arial"/>
          <w:color w:val="000000"/>
          <w:kern w:val="0"/>
          <w:sz w:val="22"/>
          <w:szCs w:val="22"/>
          <w:lang w:eastAsia="en-GB"/>
          <w14:ligatures w14:val="none"/>
        </w:rPr>
        <w:t>, and potentially make us a world leader.</w:t>
      </w:r>
    </w:p>
    <w:p w14:paraId="257C12CE" w14:textId="77777777" w:rsidR="00F33630" w:rsidRDefault="00F33630" w:rsidP="00F33630">
      <w:pPr>
        <w:rPr>
          <w:rFonts w:ascii="Times New Roman" w:eastAsia="Times New Roman" w:hAnsi="Times New Roman" w:cs="Times New Roman"/>
          <w:kern w:val="0"/>
          <w:lang w:eastAsia="en-GB"/>
          <w14:ligatures w14:val="none"/>
        </w:rPr>
      </w:pPr>
    </w:p>
    <w:p w14:paraId="465B776E" w14:textId="3E0191A0" w:rsidR="001D0179" w:rsidRDefault="001D0179">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2C4F7DE6" w14:textId="77777777" w:rsidR="001D0179" w:rsidRDefault="001D0179" w:rsidP="001D017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lastRenderedPageBreak/>
        <w:t>The DGR Status Barrier: Why Advocacy-Focused Charities Are Left Out</w:t>
      </w:r>
    </w:p>
    <w:p w14:paraId="009D9A41" w14:textId="77777777" w:rsidR="001D0179" w:rsidRDefault="001D0179" w:rsidP="001D017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 understand that the ACNC’s view is that a charity can promote or oppose a change to law, policy or practice, provided its advocacy is aligned with a charitable purpose.</w:t>
      </w:r>
    </w:p>
    <w:p w14:paraId="39335DD8" w14:textId="77777777" w:rsidR="001D0179" w:rsidRDefault="001D0179" w:rsidP="001D017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That is a good policy, but it largely misses the real problem. The real problem is that DGR status is almost essential to effectively being able to raise funds and employ talented staff, but the gateways to DGR status are narrow and typically exclude any framings around policy or advocacy.</w:t>
      </w:r>
    </w:p>
    <w:p w14:paraId="02A40416" w14:textId="77777777" w:rsidR="001D0179" w:rsidRDefault="001D0179" w:rsidP="001D017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So, while it’s technically true that a charity can engage in advocacy, DGR charities largely monopolise fundraising and staff attraction, and DGR status is not available to organisations that prioritise advocacy.</w:t>
      </w:r>
    </w:p>
    <w:p w14:paraId="693D6C0C" w14:textId="77777777" w:rsidR="001D0179" w:rsidRDefault="001D0179" w:rsidP="001D017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In practice, this hamstrings advocacy-focused charities and creates an asymmetry in our democracy. For-profit companies have significant amounts of money to spend on lobbying and often get tax advantages for doing so. But people in the community who are passionate about certain causes often lack the bodies to organise around and certainly don’t get tax advantages. This should change, specifically by broadening out DGR classes so that advocacy-focused organisations can get DGR status. This problem is most obvious in the space of animal welfare, where DGR status is limited to certain kinds of animal rehabilitation. Charities that want to advocate for rules and approaches that mean animals don’t need rehabilitation in the first place don’t get DGR and are therefore limited in their ability to advocate.</w:t>
      </w:r>
    </w:p>
    <w:p w14:paraId="74670111" w14:textId="77777777" w:rsidR="001D0179" w:rsidRDefault="001D0179" w:rsidP="001D017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change would make democracy fairer, help connect communities around the things they care about, and encourage donations. I know I’d feel more confident in our democracy if there were organisations whose </w:t>
      </w:r>
      <w:proofErr w:type="gramStart"/>
      <w:r>
        <w:rPr>
          <w:rFonts w:ascii="Arial" w:hAnsi="Arial" w:cs="Arial"/>
          <w:color w:val="000000"/>
          <w:sz w:val="22"/>
          <w:szCs w:val="22"/>
        </w:rPr>
        <w:t>values</w:t>
      </w:r>
      <w:proofErr w:type="gramEnd"/>
      <w:r>
        <w:rPr>
          <w:rFonts w:ascii="Arial" w:hAnsi="Arial" w:cs="Arial"/>
          <w:color w:val="000000"/>
          <w:sz w:val="22"/>
          <w:szCs w:val="22"/>
        </w:rPr>
        <w:t xml:space="preserve"> I aligned with that had active and powerful voices in the policy conversation.</w:t>
      </w:r>
    </w:p>
    <w:p w14:paraId="5D3C78B8" w14:textId="77777777" w:rsidR="001D0179" w:rsidRDefault="001D0179" w:rsidP="00F33630">
      <w:pPr>
        <w:rPr>
          <w:rFonts w:ascii="Times New Roman" w:eastAsia="Times New Roman" w:hAnsi="Times New Roman" w:cs="Times New Roman"/>
          <w:kern w:val="0"/>
          <w:lang w:eastAsia="en-GB"/>
          <w14:ligatures w14:val="none"/>
        </w:rPr>
      </w:pPr>
    </w:p>
    <w:p w14:paraId="4F1DA8BE" w14:textId="77777777" w:rsidR="001D0179" w:rsidRPr="001D0179" w:rsidRDefault="001D0179" w:rsidP="001D0179">
      <w:pPr>
        <w:shd w:val="clear" w:color="auto" w:fill="FFFFFF"/>
        <w:rPr>
          <w:rFonts w:ascii="Arial" w:eastAsia="Times New Roman" w:hAnsi="Arial" w:cs="Arial"/>
          <w:color w:val="000000"/>
          <w:kern w:val="0"/>
          <w:sz w:val="22"/>
          <w:szCs w:val="22"/>
          <w:lang w:eastAsia="en-GB"/>
          <w14:ligatures w14:val="none"/>
        </w:rPr>
      </w:pPr>
      <w:r w:rsidRPr="001D0179">
        <w:rPr>
          <w:rFonts w:ascii="Arial" w:eastAsia="Times New Roman" w:hAnsi="Arial" w:cs="Arial"/>
          <w:b/>
          <w:bCs/>
          <w:color w:val="000000"/>
          <w:kern w:val="0"/>
          <w:sz w:val="22"/>
          <w:szCs w:val="22"/>
          <w:lang w:eastAsia="en-GB"/>
          <w14:ligatures w14:val="none"/>
        </w:rPr>
        <w:t>Summary</w:t>
      </w:r>
    </w:p>
    <w:p w14:paraId="3FDF6547" w14:textId="77777777" w:rsidR="001D0179" w:rsidRPr="001D0179" w:rsidRDefault="001D0179" w:rsidP="001D0179">
      <w:pPr>
        <w:shd w:val="clear" w:color="auto" w:fill="FFFFFF"/>
        <w:rPr>
          <w:rFonts w:ascii="Arial" w:eastAsia="Times New Roman" w:hAnsi="Arial" w:cs="Arial"/>
          <w:color w:val="000000"/>
          <w:kern w:val="0"/>
          <w:sz w:val="22"/>
          <w:szCs w:val="22"/>
          <w:lang w:eastAsia="en-GB"/>
          <w14:ligatures w14:val="none"/>
        </w:rPr>
      </w:pPr>
      <w:r w:rsidRPr="001D0179">
        <w:rPr>
          <w:rFonts w:ascii="Arial" w:eastAsia="Times New Roman" w:hAnsi="Arial" w:cs="Arial"/>
          <w:color w:val="000000"/>
          <w:kern w:val="0"/>
          <w:sz w:val="22"/>
          <w:szCs w:val="22"/>
          <w:lang w:eastAsia="en-GB"/>
          <w14:ligatures w14:val="none"/>
        </w:rPr>
        <w:t xml:space="preserve">Overall, Australian charity regulation has become outdated. Charities with DGR status are the lion’s share of the sector, but DGR status is not aligned with my values or the values of my peers. This means that charities aren’t focusing on many of the things I care </w:t>
      </w:r>
      <w:proofErr w:type="gramStart"/>
      <w:r w:rsidRPr="001D0179">
        <w:rPr>
          <w:rFonts w:ascii="Arial" w:eastAsia="Times New Roman" w:hAnsi="Arial" w:cs="Arial"/>
          <w:color w:val="000000"/>
          <w:kern w:val="0"/>
          <w:sz w:val="22"/>
          <w:szCs w:val="22"/>
          <w:lang w:eastAsia="en-GB"/>
          <w14:ligatures w14:val="none"/>
        </w:rPr>
        <w:t>about, and</w:t>
      </w:r>
      <w:proofErr w:type="gramEnd"/>
      <w:r w:rsidRPr="001D0179">
        <w:rPr>
          <w:rFonts w:ascii="Arial" w:eastAsia="Times New Roman" w:hAnsi="Arial" w:cs="Arial"/>
          <w:color w:val="000000"/>
          <w:kern w:val="0"/>
          <w:sz w:val="22"/>
          <w:szCs w:val="22"/>
          <w:lang w:eastAsia="en-GB"/>
          <w14:ligatures w14:val="none"/>
        </w:rPr>
        <w:t xml:space="preserve"> aren’t providing the community support and volunteering opportunities that are meaningful to me.</w:t>
      </w:r>
    </w:p>
    <w:p w14:paraId="06214EAF" w14:textId="2887D402" w:rsidR="00F33630" w:rsidRPr="00445922" w:rsidRDefault="001D0179" w:rsidP="00445922">
      <w:pPr>
        <w:shd w:val="clear" w:color="auto" w:fill="FFFFFF"/>
        <w:rPr>
          <w:rFonts w:ascii="Arial" w:eastAsia="Times New Roman" w:hAnsi="Arial" w:cs="Arial"/>
          <w:color w:val="000000"/>
          <w:kern w:val="0"/>
          <w:sz w:val="22"/>
          <w:szCs w:val="22"/>
          <w:lang w:eastAsia="en-GB"/>
          <w14:ligatures w14:val="none"/>
        </w:rPr>
      </w:pPr>
      <w:r w:rsidRPr="001D0179">
        <w:rPr>
          <w:rFonts w:ascii="Arial" w:eastAsia="Times New Roman" w:hAnsi="Arial" w:cs="Arial"/>
          <w:color w:val="000000"/>
          <w:kern w:val="0"/>
          <w:sz w:val="22"/>
          <w:szCs w:val="22"/>
          <w:lang w:eastAsia="en-GB"/>
          <w14:ligatures w14:val="none"/>
        </w:rPr>
        <w:t>The Productivity Commission has a chance to make recommendations that realign the sector with the values of today’s Australians. Applying the lens of impact could greatly increase the amount of good that the sector can achieve, which in turn would drive donations and build the community supports that younger Australians need. I’ve seen too many talented Australians whose values align with mine leave for the UK or USA to do high-impact charity work because Australia doesn’t have a workable ecosystem for their values. This is hurting our community, our democracy and our future.</w:t>
      </w:r>
    </w:p>
    <w:sectPr w:rsidR="00F33630" w:rsidRPr="004459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F176" w14:textId="77777777" w:rsidR="007463A0" w:rsidRDefault="007463A0" w:rsidP="00175421">
      <w:r>
        <w:separator/>
      </w:r>
    </w:p>
  </w:endnote>
  <w:endnote w:type="continuationSeparator" w:id="0">
    <w:p w14:paraId="519BB6C0" w14:textId="77777777" w:rsidR="007463A0" w:rsidRDefault="007463A0" w:rsidP="0017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F018" w14:textId="77777777" w:rsidR="007463A0" w:rsidRDefault="007463A0" w:rsidP="00175421">
      <w:r>
        <w:separator/>
      </w:r>
    </w:p>
  </w:footnote>
  <w:footnote w:type="continuationSeparator" w:id="0">
    <w:p w14:paraId="349BBA53" w14:textId="77777777" w:rsidR="007463A0" w:rsidRDefault="007463A0" w:rsidP="0017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41567"/>
    <w:multiLevelType w:val="multilevel"/>
    <w:tmpl w:val="A5D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5626E"/>
    <w:multiLevelType w:val="multilevel"/>
    <w:tmpl w:val="CAB6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8503833">
    <w:abstractNumId w:val="1"/>
  </w:num>
  <w:num w:numId="2" w16cid:durableId="43371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30"/>
    <w:rsid w:val="001453E4"/>
    <w:rsid w:val="00175421"/>
    <w:rsid w:val="001D0179"/>
    <w:rsid w:val="00282728"/>
    <w:rsid w:val="00445922"/>
    <w:rsid w:val="007463A0"/>
    <w:rsid w:val="00EC57B5"/>
    <w:rsid w:val="00F33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2DFB"/>
  <w15:chartTrackingRefBased/>
  <w15:docId w15:val="{1A685EA5-B851-114C-8DC5-0C3906F7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3630"/>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63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F33630"/>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semiHidden/>
    <w:unhideWhenUsed/>
    <w:rsid w:val="00F33630"/>
    <w:rPr>
      <w:color w:val="0000FF"/>
      <w:u w:val="single"/>
    </w:rPr>
  </w:style>
  <w:style w:type="paragraph" w:styleId="Header">
    <w:name w:val="header"/>
    <w:basedOn w:val="Normal"/>
    <w:link w:val="HeaderChar"/>
    <w:uiPriority w:val="99"/>
    <w:unhideWhenUsed/>
    <w:rsid w:val="00175421"/>
    <w:pPr>
      <w:tabs>
        <w:tab w:val="center" w:pos="4513"/>
        <w:tab w:val="right" w:pos="9026"/>
      </w:tabs>
    </w:pPr>
  </w:style>
  <w:style w:type="character" w:customStyle="1" w:styleId="HeaderChar">
    <w:name w:val="Header Char"/>
    <w:basedOn w:val="DefaultParagraphFont"/>
    <w:link w:val="Header"/>
    <w:uiPriority w:val="99"/>
    <w:rsid w:val="00175421"/>
  </w:style>
  <w:style w:type="paragraph" w:styleId="Footer">
    <w:name w:val="footer"/>
    <w:basedOn w:val="Normal"/>
    <w:link w:val="FooterChar"/>
    <w:uiPriority w:val="99"/>
    <w:unhideWhenUsed/>
    <w:rsid w:val="00175421"/>
    <w:pPr>
      <w:tabs>
        <w:tab w:val="center" w:pos="4513"/>
        <w:tab w:val="right" w:pos="9026"/>
      </w:tabs>
    </w:pPr>
  </w:style>
  <w:style w:type="character" w:customStyle="1" w:styleId="FooterChar">
    <w:name w:val="Footer Char"/>
    <w:basedOn w:val="DefaultParagraphFont"/>
    <w:link w:val="Footer"/>
    <w:uiPriority w:val="99"/>
    <w:rsid w:val="0017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6345">
      <w:bodyDiv w:val="1"/>
      <w:marLeft w:val="0"/>
      <w:marRight w:val="0"/>
      <w:marTop w:val="0"/>
      <w:marBottom w:val="0"/>
      <w:divBdr>
        <w:top w:val="none" w:sz="0" w:space="0" w:color="auto"/>
        <w:left w:val="none" w:sz="0" w:space="0" w:color="auto"/>
        <w:bottom w:val="none" w:sz="0" w:space="0" w:color="auto"/>
        <w:right w:val="none" w:sz="0" w:space="0" w:color="auto"/>
      </w:divBdr>
    </w:div>
    <w:div w:id="410275731">
      <w:bodyDiv w:val="1"/>
      <w:marLeft w:val="0"/>
      <w:marRight w:val="0"/>
      <w:marTop w:val="0"/>
      <w:marBottom w:val="0"/>
      <w:divBdr>
        <w:top w:val="none" w:sz="0" w:space="0" w:color="auto"/>
        <w:left w:val="none" w:sz="0" w:space="0" w:color="auto"/>
        <w:bottom w:val="none" w:sz="0" w:space="0" w:color="auto"/>
        <w:right w:val="none" w:sz="0" w:space="0" w:color="auto"/>
      </w:divBdr>
    </w:div>
    <w:div w:id="488058097">
      <w:bodyDiv w:val="1"/>
      <w:marLeft w:val="0"/>
      <w:marRight w:val="0"/>
      <w:marTop w:val="0"/>
      <w:marBottom w:val="0"/>
      <w:divBdr>
        <w:top w:val="none" w:sz="0" w:space="0" w:color="auto"/>
        <w:left w:val="none" w:sz="0" w:space="0" w:color="auto"/>
        <w:bottom w:val="none" w:sz="0" w:space="0" w:color="auto"/>
        <w:right w:val="none" w:sz="0" w:space="0" w:color="auto"/>
      </w:divBdr>
    </w:div>
    <w:div w:id="493224312">
      <w:bodyDiv w:val="1"/>
      <w:marLeft w:val="0"/>
      <w:marRight w:val="0"/>
      <w:marTop w:val="0"/>
      <w:marBottom w:val="0"/>
      <w:divBdr>
        <w:top w:val="none" w:sz="0" w:space="0" w:color="auto"/>
        <w:left w:val="none" w:sz="0" w:space="0" w:color="auto"/>
        <w:bottom w:val="none" w:sz="0" w:space="0" w:color="auto"/>
        <w:right w:val="none" w:sz="0" w:space="0" w:color="auto"/>
      </w:divBdr>
    </w:div>
    <w:div w:id="809636253">
      <w:bodyDiv w:val="1"/>
      <w:marLeft w:val="0"/>
      <w:marRight w:val="0"/>
      <w:marTop w:val="0"/>
      <w:marBottom w:val="0"/>
      <w:divBdr>
        <w:top w:val="none" w:sz="0" w:space="0" w:color="auto"/>
        <w:left w:val="none" w:sz="0" w:space="0" w:color="auto"/>
        <w:bottom w:val="none" w:sz="0" w:space="0" w:color="auto"/>
        <w:right w:val="none" w:sz="0" w:space="0" w:color="auto"/>
      </w:divBdr>
    </w:div>
    <w:div w:id="1344866843">
      <w:bodyDiv w:val="1"/>
      <w:marLeft w:val="0"/>
      <w:marRight w:val="0"/>
      <w:marTop w:val="0"/>
      <w:marBottom w:val="0"/>
      <w:divBdr>
        <w:top w:val="none" w:sz="0" w:space="0" w:color="auto"/>
        <w:left w:val="none" w:sz="0" w:space="0" w:color="auto"/>
        <w:bottom w:val="none" w:sz="0" w:space="0" w:color="auto"/>
        <w:right w:val="none" w:sz="0" w:space="0" w:color="auto"/>
      </w:divBdr>
    </w:div>
    <w:div w:id="1642495971">
      <w:bodyDiv w:val="1"/>
      <w:marLeft w:val="0"/>
      <w:marRight w:val="0"/>
      <w:marTop w:val="0"/>
      <w:marBottom w:val="0"/>
      <w:divBdr>
        <w:top w:val="none" w:sz="0" w:space="0" w:color="auto"/>
        <w:left w:val="none" w:sz="0" w:space="0" w:color="auto"/>
        <w:bottom w:val="none" w:sz="0" w:space="0" w:color="auto"/>
        <w:right w:val="none" w:sz="0" w:space="0" w:color="auto"/>
      </w:divBdr>
    </w:div>
    <w:div w:id="1735006160">
      <w:bodyDiv w:val="1"/>
      <w:marLeft w:val="0"/>
      <w:marRight w:val="0"/>
      <w:marTop w:val="0"/>
      <w:marBottom w:val="0"/>
      <w:divBdr>
        <w:top w:val="none" w:sz="0" w:space="0" w:color="auto"/>
        <w:left w:val="none" w:sz="0" w:space="0" w:color="auto"/>
        <w:bottom w:val="none" w:sz="0" w:space="0" w:color="auto"/>
        <w:right w:val="none" w:sz="0" w:space="0" w:color="auto"/>
      </w:divBdr>
    </w:div>
    <w:div w:id="192664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ssir.org/articles/entry/dont_feed_the_zombies%26amp;sa%3DD%26amp;source%3Deditors%26amp;ust%3D1680776149258808%26amp;usg%3DAOvVaw12slBMhPjclW0kM7iY3roT&amp;sa=D&amp;source=docs&amp;ust=1680776149331819&amp;usg=AOvVaw032gGfr3wgg6ObLBYr8t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www.google.com/url?q%3Dhttp://hdl.handle.net/10871/122268%26amp;sa%3DD%26amp;source%3Deditors%26amp;ust%3D1680776149257890%26amp;usg%3DAOvVaw1wGPKaGjX8VsRrBkkJdkr1&amp;sa=D&amp;source=docs&amp;ust=1680776149331628&amp;usg=AOvVaw2hWRu7DK5g9hknEJ_-eBy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Submission 29 - Michael Marshall - Philanthropy - Public inquiry</vt:lpstr>
    </vt:vector>
  </TitlesOfParts>
  <Company>Michael Marshall</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Michael Marshall - Philanthropy - Public inquiry</dc:title>
  <dc:subject/>
  <dc:creator>Michael Marshall</dc:creator>
  <cp:keywords/>
  <dc:description/>
  <cp:lastModifiedBy>Chris Alston</cp:lastModifiedBy>
  <cp:revision>3</cp:revision>
  <dcterms:created xsi:type="dcterms:W3CDTF">2023-04-06T09:13:00Z</dcterms:created>
  <dcterms:modified xsi:type="dcterms:W3CDTF">2023-04-13T03:26:00Z</dcterms:modified>
</cp:coreProperties>
</file>