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FB7D5" w14:textId="640685B5" w:rsidR="00786DC4" w:rsidRDefault="00786DC4"/>
    <w:p w14:paraId="2D108A97" w14:textId="35A46033" w:rsidR="008842AB" w:rsidRDefault="00F156AB" w:rsidP="008842AB">
      <w:pPr>
        <w:jc w:val="center"/>
        <w:rPr>
          <w:b/>
          <w:bCs/>
        </w:rPr>
      </w:pPr>
      <w:r>
        <w:rPr>
          <w:b/>
          <w:bCs/>
        </w:rPr>
        <w:t xml:space="preserve">2023 </w:t>
      </w:r>
      <w:r w:rsidR="008842AB">
        <w:rPr>
          <w:b/>
          <w:bCs/>
        </w:rPr>
        <w:t xml:space="preserve">Productivity Commission </w:t>
      </w:r>
      <w:r w:rsidR="00BB39CD">
        <w:rPr>
          <w:b/>
          <w:bCs/>
        </w:rPr>
        <w:t>Review of Philanthropy</w:t>
      </w:r>
    </w:p>
    <w:p w14:paraId="3597268B" w14:textId="23C6A68B" w:rsidR="00F156AB" w:rsidRDefault="000C4916" w:rsidP="008842AB">
      <w:pPr>
        <w:jc w:val="center"/>
        <w:rPr>
          <w:b/>
          <w:bCs/>
        </w:rPr>
      </w:pPr>
      <w:r>
        <w:rPr>
          <w:b/>
          <w:bCs/>
        </w:rPr>
        <w:t>May 2023</w:t>
      </w:r>
    </w:p>
    <w:p w14:paraId="0B7491AC" w14:textId="25244359" w:rsidR="000C4916" w:rsidRDefault="000C4916" w:rsidP="008842AB">
      <w:pPr>
        <w:jc w:val="center"/>
        <w:rPr>
          <w:b/>
          <w:bCs/>
        </w:rPr>
      </w:pPr>
      <w:r>
        <w:rPr>
          <w:b/>
          <w:bCs/>
        </w:rPr>
        <w:t>The Workplace Giving Australia Group</w:t>
      </w:r>
    </w:p>
    <w:p w14:paraId="400B92A9" w14:textId="77777777" w:rsidR="000C4916" w:rsidRDefault="000C4916" w:rsidP="008842AB">
      <w:pPr>
        <w:jc w:val="center"/>
        <w:rPr>
          <w:b/>
          <w:bCs/>
        </w:rPr>
      </w:pPr>
    </w:p>
    <w:p w14:paraId="64035028" w14:textId="77777777" w:rsidR="000C4916" w:rsidRDefault="000C4916" w:rsidP="008842AB">
      <w:pPr>
        <w:jc w:val="center"/>
        <w:rPr>
          <w:b/>
          <w:bCs/>
        </w:rPr>
      </w:pPr>
    </w:p>
    <w:p w14:paraId="6DE0392E" w14:textId="440FCBF7" w:rsidR="00CE5498" w:rsidRDefault="00CE5498" w:rsidP="00523403">
      <w:pPr>
        <w:rPr>
          <w:b/>
          <w:bCs/>
        </w:rPr>
      </w:pPr>
      <w:r>
        <w:rPr>
          <w:b/>
          <w:bCs/>
        </w:rPr>
        <w:t xml:space="preserve">About </w:t>
      </w:r>
      <w:r w:rsidR="00E168CB">
        <w:rPr>
          <w:b/>
          <w:bCs/>
        </w:rPr>
        <w:t>Workplace Giving Australia</w:t>
      </w:r>
    </w:p>
    <w:p w14:paraId="68E09BFB" w14:textId="684567D4" w:rsidR="00CE5498" w:rsidRDefault="0DEECAC2" w:rsidP="005B28EF">
      <w:pPr>
        <w:spacing w:after="120"/>
      </w:pPr>
      <w:r>
        <w:t>Workplace Giving Australia</w:t>
      </w:r>
      <w:r w:rsidR="6657A52C">
        <w:t xml:space="preserve"> is the </w:t>
      </w:r>
      <w:r w:rsidR="23462B5C">
        <w:t>leading Australian charity</w:t>
      </w:r>
      <w:r w:rsidR="6657A52C">
        <w:t xml:space="preserve"> representing corporate businesses and charities with respect to </w:t>
      </w:r>
      <w:r w:rsidR="23462B5C">
        <w:t xml:space="preserve">workplace </w:t>
      </w:r>
      <w:r w:rsidR="6657A52C">
        <w:t>giving</w:t>
      </w:r>
      <w:r w:rsidR="3E561E8A">
        <w:t>, including payroll giving</w:t>
      </w:r>
      <w:r w:rsidR="23336D22">
        <w:t>, and volunteering</w:t>
      </w:r>
      <w:r w:rsidR="3E561E8A">
        <w:t xml:space="preserve">. </w:t>
      </w:r>
      <w:r w:rsidR="7608928E">
        <w:t xml:space="preserve">Through the group, </w:t>
      </w:r>
      <w:r>
        <w:t xml:space="preserve">Workplace Giving Australia </w:t>
      </w:r>
      <w:r w:rsidR="7608928E">
        <w:t xml:space="preserve">advises and advocates for the engaging of workers in giving alongside their employers as well as providing enablement tools </w:t>
      </w:r>
      <w:r w:rsidR="00CE6974">
        <w:t>including</w:t>
      </w:r>
      <w:r w:rsidR="00E27F92">
        <w:t xml:space="preserve"> those </w:t>
      </w:r>
      <w:r w:rsidR="00CE6974">
        <w:t>under</w:t>
      </w:r>
      <w:r w:rsidR="7608928E">
        <w:t xml:space="preserve"> the </w:t>
      </w:r>
      <w:proofErr w:type="spellStart"/>
      <w:r w:rsidR="7608928E">
        <w:t>Good2Give</w:t>
      </w:r>
      <w:proofErr w:type="spellEnd"/>
      <w:r w:rsidR="7608928E">
        <w:t xml:space="preserve"> banner</w:t>
      </w:r>
      <w:r w:rsidR="225E445C">
        <w:t xml:space="preserve"> and enablement for giving of shares under </w:t>
      </w:r>
      <w:proofErr w:type="spellStart"/>
      <w:r w:rsidR="225E445C">
        <w:t>ShareGift</w:t>
      </w:r>
      <w:proofErr w:type="spellEnd"/>
      <w:r w:rsidR="225E445C">
        <w:t xml:space="preserve"> Australia</w:t>
      </w:r>
      <w:r w:rsidR="7608928E">
        <w:t>.</w:t>
      </w:r>
    </w:p>
    <w:p w14:paraId="49E80F7C" w14:textId="7B308A7F" w:rsidR="00D7683B" w:rsidRDefault="6BC5110F" w:rsidP="005B28EF">
      <w:pPr>
        <w:spacing w:after="120"/>
      </w:pPr>
      <w:r>
        <w:t>We work with over 160 companies in Australia including some of the largest names across multiple sectors</w:t>
      </w:r>
      <w:r w:rsidR="3C86DCF5">
        <w:t xml:space="preserve"> including </w:t>
      </w:r>
      <w:proofErr w:type="spellStart"/>
      <w:r w:rsidR="3C86DCF5">
        <w:t>ANZ</w:t>
      </w:r>
      <w:proofErr w:type="spellEnd"/>
      <w:r w:rsidR="3C86DCF5">
        <w:t xml:space="preserve">, </w:t>
      </w:r>
      <w:r w:rsidR="00FF215B">
        <w:t>Commonwealth Bank of Australia</w:t>
      </w:r>
      <w:r w:rsidR="3C86DCF5">
        <w:t>, Westpac, Wesfarmers, King Wood Mallesons, Bain &amp; Company, P</w:t>
      </w:r>
      <w:r w:rsidR="0061732E">
        <w:t>w</w:t>
      </w:r>
      <w:r w:rsidR="3C86DCF5">
        <w:t>C</w:t>
      </w:r>
      <w:r w:rsidR="0061732E">
        <w:t xml:space="preserve"> Australia</w:t>
      </w:r>
      <w:r w:rsidR="3C86DCF5">
        <w:t xml:space="preserve">, </w:t>
      </w:r>
      <w:r w:rsidR="0061732E">
        <w:t>E</w:t>
      </w:r>
      <w:r w:rsidR="3C86DCF5">
        <w:t>Y</w:t>
      </w:r>
      <w:r w:rsidR="0061732E">
        <w:t xml:space="preserve"> Australia</w:t>
      </w:r>
      <w:r w:rsidR="3C86DCF5">
        <w:t xml:space="preserve"> </w:t>
      </w:r>
      <w:r w:rsidR="1EB3BBA5">
        <w:t>and Pacific Equity Partners</w:t>
      </w:r>
      <w:r>
        <w:t>.</w:t>
      </w:r>
      <w:r w:rsidR="1EB3BBA5">
        <w:t xml:space="preserve"> We also have members from many of those in the charity sector including </w:t>
      </w:r>
      <w:bookmarkStart w:id="0" w:name="_Int_2VbCJZLN"/>
      <w:proofErr w:type="spellStart"/>
      <w:r w:rsidR="1EB3BBA5">
        <w:t>Redkite</w:t>
      </w:r>
      <w:bookmarkEnd w:id="0"/>
      <w:proofErr w:type="spellEnd"/>
      <w:r w:rsidR="1EB3BBA5">
        <w:t>, The Smith Family,</w:t>
      </w:r>
      <w:r w:rsidR="007A207C">
        <w:t xml:space="preserve"> Rural Aid,</w:t>
      </w:r>
      <w:r w:rsidR="1EB3BBA5">
        <w:t xml:space="preserve"> </w:t>
      </w:r>
      <w:r w:rsidR="0061732E">
        <w:t xml:space="preserve">Australian </w:t>
      </w:r>
      <w:r w:rsidR="1EB3BBA5">
        <w:t>Red Cross</w:t>
      </w:r>
      <w:r w:rsidR="5EC17E7B">
        <w:t>,</w:t>
      </w:r>
      <w:r w:rsidR="1EB3BBA5">
        <w:t xml:space="preserve"> and </w:t>
      </w:r>
      <w:r w:rsidR="0061732E">
        <w:t xml:space="preserve">The </w:t>
      </w:r>
      <w:r w:rsidR="1EB3BBA5">
        <w:t>Fred Hollows</w:t>
      </w:r>
      <w:r w:rsidR="0061732E">
        <w:t xml:space="preserve"> Foundation</w:t>
      </w:r>
      <w:r w:rsidR="1EB3BBA5">
        <w:t>.</w:t>
      </w:r>
    </w:p>
    <w:p w14:paraId="641AA304" w14:textId="0B0FE81D" w:rsidR="001125A2" w:rsidRDefault="3E485C2B" w:rsidP="005B28EF">
      <w:pPr>
        <w:spacing w:after="120"/>
      </w:pPr>
      <w:r>
        <w:t xml:space="preserve">Our purpose is to make giving part of everyday life in Australia and New Zealand. We are an independent member of the </w:t>
      </w:r>
      <w:r w:rsidR="4FEE236D">
        <w:t>CAF (Charities Aid Foundation)</w:t>
      </w:r>
      <w:r>
        <w:t xml:space="preserve"> International Network.</w:t>
      </w:r>
    </w:p>
    <w:p w14:paraId="6FBDD246" w14:textId="77777777" w:rsidR="0081386B" w:rsidRDefault="0081386B" w:rsidP="00523403"/>
    <w:p w14:paraId="19350721" w14:textId="730095F7" w:rsidR="008913BD" w:rsidRDefault="008913BD" w:rsidP="003A2D72">
      <w:pPr>
        <w:keepNext/>
        <w:rPr>
          <w:b/>
          <w:bCs/>
        </w:rPr>
      </w:pPr>
      <w:r>
        <w:rPr>
          <w:b/>
          <w:bCs/>
        </w:rPr>
        <w:t>Our Submission</w:t>
      </w:r>
    </w:p>
    <w:p w14:paraId="009E9029" w14:textId="58BC2BB1" w:rsidR="008913BD" w:rsidRDefault="008913BD" w:rsidP="008913BD">
      <w:pPr>
        <w:keepNext/>
        <w:spacing w:after="60"/>
      </w:pPr>
      <w:r>
        <w:t xml:space="preserve">In this submission we cover some of the key aspects and trends in giving in the workplace and make seven recommendations on areas which might be examined more closely to bring Australia to a position as world leading. </w:t>
      </w:r>
      <w:r w:rsidR="00950431">
        <w:t>Our recommendations include</w:t>
      </w:r>
      <w:r>
        <w:t>:</w:t>
      </w:r>
    </w:p>
    <w:p w14:paraId="7E396CF1" w14:textId="77777777" w:rsidR="00950431" w:rsidRDefault="00950431" w:rsidP="008913BD">
      <w:pPr>
        <w:keepNext/>
        <w:spacing w:after="60"/>
      </w:pPr>
    </w:p>
    <w:p w14:paraId="5629BCD8" w14:textId="77777777" w:rsidR="001A126C" w:rsidRPr="001D6EC2" w:rsidRDefault="001A126C" w:rsidP="001A126C">
      <w:pPr>
        <w:pStyle w:val="ListParagraph"/>
        <w:numPr>
          <w:ilvl w:val="0"/>
          <w:numId w:val="27"/>
        </w:numPr>
        <w:jc w:val="both"/>
        <w:rPr>
          <w:b/>
          <w:bCs/>
        </w:rPr>
      </w:pPr>
      <w:r w:rsidRPr="001D6EC2">
        <w:rPr>
          <w:b/>
          <w:bCs/>
        </w:rPr>
        <w:t>Awareness and normalisation of Workplace Giving.</w:t>
      </w:r>
    </w:p>
    <w:p w14:paraId="1A3E7E04" w14:textId="77777777" w:rsidR="001A126C" w:rsidRDefault="001A126C" w:rsidP="001A126C">
      <w:pPr>
        <w:ind w:left="720"/>
        <w:jc w:val="both"/>
      </w:pPr>
      <w:r w:rsidRPr="001D6EC2">
        <w:rPr>
          <w:b/>
          <w:bCs/>
        </w:rPr>
        <w:t>Recommendation 1</w:t>
      </w:r>
      <w:r>
        <w:rPr>
          <w:b/>
          <w:bCs/>
        </w:rPr>
        <w:t>.1:</w:t>
      </w:r>
      <w:r>
        <w:t xml:space="preserve"> Include Workforce and Corporate giving as a unique and focused strategic pillar in the Federal Government’s strategy for philanthropy in Australia.</w:t>
      </w:r>
    </w:p>
    <w:p w14:paraId="6A75273B" w14:textId="77777777" w:rsidR="001A126C" w:rsidRDefault="001A126C" w:rsidP="001A126C">
      <w:pPr>
        <w:ind w:left="720"/>
        <w:jc w:val="both"/>
      </w:pPr>
      <w:r w:rsidRPr="001D6EC2">
        <w:rPr>
          <w:b/>
          <w:bCs/>
        </w:rPr>
        <w:t>Recommendation 1</w:t>
      </w:r>
      <w:r>
        <w:rPr>
          <w:b/>
          <w:bCs/>
        </w:rPr>
        <w:t>.</w:t>
      </w:r>
      <w:r w:rsidRPr="001D6EC2">
        <w:rPr>
          <w:b/>
          <w:bCs/>
        </w:rPr>
        <w:t>2</w:t>
      </w:r>
      <w:r>
        <w:rPr>
          <w:b/>
          <w:bCs/>
        </w:rPr>
        <w:t>:</w:t>
      </w:r>
      <w:r>
        <w:t xml:space="preserve"> Participate and support a nationwide campaign to highlight the benefits and value of workplace giving.</w:t>
      </w:r>
    </w:p>
    <w:p w14:paraId="2B6F0316" w14:textId="77777777" w:rsidR="001A126C" w:rsidRPr="00E244A0" w:rsidRDefault="001A126C" w:rsidP="001A126C">
      <w:pPr>
        <w:pStyle w:val="ListParagraph"/>
        <w:numPr>
          <w:ilvl w:val="0"/>
          <w:numId w:val="27"/>
        </w:numPr>
        <w:jc w:val="both"/>
        <w:rPr>
          <w:b/>
          <w:bCs/>
        </w:rPr>
      </w:pPr>
      <w:r w:rsidRPr="00E244A0">
        <w:rPr>
          <w:b/>
          <w:bCs/>
        </w:rPr>
        <w:t>Transparency on donated funds and fundraising aggregator business models</w:t>
      </w:r>
      <w:r>
        <w:rPr>
          <w:b/>
          <w:bCs/>
        </w:rPr>
        <w:t>.</w:t>
      </w:r>
    </w:p>
    <w:p w14:paraId="5CD6381C" w14:textId="77777777" w:rsidR="001A126C" w:rsidRDefault="001A126C" w:rsidP="001A126C">
      <w:pPr>
        <w:ind w:left="720"/>
        <w:jc w:val="both"/>
      </w:pPr>
      <w:r w:rsidRPr="001D6EC2">
        <w:rPr>
          <w:b/>
          <w:bCs/>
        </w:rPr>
        <w:t>Recommendation 2</w:t>
      </w:r>
      <w:r w:rsidRPr="00AC5F2B">
        <w:rPr>
          <w:b/>
          <w:bCs/>
        </w:rPr>
        <w:t>:</w:t>
      </w:r>
      <w:r>
        <w:t xml:space="preserve"> Payment time register for charitable donations and set expectation for 30 day payments. </w:t>
      </w:r>
    </w:p>
    <w:p w14:paraId="21337133" w14:textId="7C156750" w:rsidR="001A126C" w:rsidRPr="001D6EC2" w:rsidRDefault="001A126C" w:rsidP="001A126C">
      <w:pPr>
        <w:pStyle w:val="ListParagraph"/>
        <w:numPr>
          <w:ilvl w:val="0"/>
          <w:numId w:val="27"/>
        </w:numPr>
        <w:jc w:val="both"/>
        <w:rPr>
          <w:b/>
          <w:bCs/>
        </w:rPr>
      </w:pPr>
      <w:r w:rsidRPr="001D6EC2">
        <w:rPr>
          <w:b/>
          <w:bCs/>
        </w:rPr>
        <w:t>Reduction of avoidable</w:t>
      </w:r>
      <w:r w:rsidR="00950431">
        <w:rPr>
          <w:b/>
          <w:bCs/>
        </w:rPr>
        <w:t>,</w:t>
      </w:r>
      <w:r w:rsidRPr="001D6EC2">
        <w:rPr>
          <w:b/>
          <w:bCs/>
        </w:rPr>
        <w:t xml:space="preserve"> giving aggregation overheads</w:t>
      </w:r>
      <w:r>
        <w:rPr>
          <w:b/>
          <w:bCs/>
        </w:rPr>
        <w:t>.</w:t>
      </w:r>
      <w:r w:rsidRPr="001D6EC2">
        <w:rPr>
          <w:b/>
          <w:bCs/>
        </w:rPr>
        <w:t xml:space="preserve"> </w:t>
      </w:r>
    </w:p>
    <w:p w14:paraId="4D8A8200" w14:textId="77777777" w:rsidR="001A126C" w:rsidRDefault="001A126C" w:rsidP="001A126C">
      <w:pPr>
        <w:ind w:firstLine="720"/>
        <w:jc w:val="both"/>
      </w:pPr>
      <w:r>
        <w:rPr>
          <w:b/>
          <w:bCs/>
        </w:rPr>
        <w:t xml:space="preserve">Recommendation 3.1: </w:t>
      </w:r>
      <w:r>
        <w:t>Support a single set of data and technology standards for the sector.</w:t>
      </w:r>
    </w:p>
    <w:p w14:paraId="55AA16FC" w14:textId="77777777" w:rsidR="001A126C" w:rsidRDefault="001A126C" w:rsidP="001A126C">
      <w:pPr>
        <w:ind w:left="720"/>
        <w:jc w:val="both"/>
        <w:rPr>
          <w:b/>
          <w:bCs/>
        </w:rPr>
      </w:pPr>
      <w:r w:rsidRPr="001D6EC2">
        <w:rPr>
          <w:b/>
          <w:bCs/>
        </w:rPr>
        <w:t>Recommendation 3.2:</w:t>
      </w:r>
      <w:r>
        <w:t xml:space="preserve"> Support for Donor ID or Social Giving Number controlled by individual donors.</w:t>
      </w:r>
    </w:p>
    <w:p w14:paraId="7940AB58" w14:textId="77777777" w:rsidR="001A126C" w:rsidRDefault="001A126C" w:rsidP="001A126C">
      <w:pPr>
        <w:pStyle w:val="ListParagraph"/>
        <w:numPr>
          <w:ilvl w:val="0"/>
          <w:numId w:val="27"/>
        </w:numPr>
        <w:jc w:val="both"/>
        <w:rPr>
          <w:b/>
          <w:bCs/>
        </w:rPr>
      </w:pPr>
      <w:r w:rsidRPr="001D6EC2">
        <w:rPr>
          <w:b/>
          <w:bCs/>
        </w:rPr>
        <w:lastRenderedPageBreak/>
        <w:t>Removal of barriers to adoption in the workplace</w:t>
      </w:r>
      <w:r>
        <w:rPr>
          <w:b/>
          <w:bCs/>
        </w:rPr>
        <w:t>.</w:t>
      </w:r>
    </w:p>
    <w:p w14:paraId="40FA3B17" w14:textId="77777777" w:rsidR="001A126C" w:rsidRDefault="001A126C" w:rsidP="001A126C">
      <w:pPr>
        <w:ind w:left="720"/>
        <w:jc w:val="both"/>
        <w:rPr>
          <w:b/>
          <w:bCs/>
        </w:rPr>
      </w:pPr>
      <w:r w:rsidRPr="001D6EC2">
        <w:rPr>
          <w:b/>
          <w:bCs/>
        </w:rPr>
        <w:t>Recommendation 4</w:t>
      </w:r>
      <w:r w:rsidRPr="00E244A0">
        <w:rPr>
          <w:b/>
          <w:bCs/>
        </w:rPr>
        <w:t>.</w:t>
      </w:r>
      <w:r w:rsidRPr="001D6EC2">
        <w:rPr>
          <w:b/>
          <w:bCs/>
        </w:rPr>
        <w:t xml:space="preserve">: </w:t>
      </w:r>
      <w:r>
        <w:t xml:space="preserve">Amend or clarify </w:t>
      </w:r>
      <w:proofErr w:type="spellStart"/>
      <w:r>
        <w:t>s.324</w:t>
      </w:r>
      <w:proofErr w:type="spellEnd"/>
      <w:r>
        <w:t xml:space="preserve"> of the Fair Work Act to enable opt-out for workplace giving.</w:t>
      </w:r>
    </w:p>
    <w:p w14:paraId="5AB9BF64" w14:textId="77777777" w:rsidR="001A126C" w:rsidRDefault="001A126C" w:rsidP="001A126C">
      <w:pPr>
        <w:pStyle w:val="ListParagraph"/>
        <w:numPr>
          <w:ilvl w:val="0"/>
          <w:numId w:val="27"/>
        </w:numPr>
        <w:jc w:val="both"/>
        <w:rPr>
          <w:b/>
          <w:bCs/>
        </w:rPr>
      </w:pPr>
      <w:r>
        <w:rPr>
          <w:b/>
          <w:bCs/>
        </w:rPr>
        <w:t>Simplification of international gift aid.</w:t>
      </w:r>
    </w:p>
    <w:p w14:paraId="22F03799" w14:textId="77777777" w:rsidR="001A126C" w:rsidRDefault="001A126C" w:rsidP="001A126C">
      <w:pPr>
        <w:ind w:left="720"/>
        <w:jc w:val="both"/>
        <w:rPr>
          <w:b/>
          <w:bCs/>
        </w:rPr>
      </w:pPr>
      <w:r w:rsidRPr="001D6EC2">
        <w:rPr>
          <w:b/>
          <w:bCs/>
        </w:rPr>
        <w:t xml:space="preserve">Recommendation 5: </w:t>
      </w:r>
      <w:r>
        <w:t>Amend the Overseas Aid provisions to enable more accessibility for giving to overseas charities.</w:t>
      </w:r>
    </w:p>
    <w:p w14:paraId="74919B02" w14:textId="77777777" w:rsidR="001A126C" w:rsidRDefault="001A126C" w:rsidP="001A126C">
      <w:pPr>
        <w:pStyle w:val="ListParagraph"/>
        <w:numPr>
          <w:ilvl w:val="0"/>
          <w:numId w:val="27"/>
        </w:numPr>
        <w:jc w:val="both"/>
        <w:rPr>
          <w:b/>
          <w:bCs/>
        </w:rPr>
      </w:pPr>
      <w:r>
        <w:rPr>
          <w:b/>
          <w:bCs/>
        </w:rPr>
        <w:t xml:space="preserve">Enhancing gifting of non-cash items. </w:t>
      </w:r>
    </w:p>
    <w:p w14:paraId="10F47EEF" w14:textId="77777777" w:rsidR="001A126C" w:rsidRDefault="001A126C" w:rsidP="001A126C">
      <w:pPr>
        <w:ind w:firstLine="720"/>
        <w:jc w:val="both"/>
      </w:pPr>
      <w:r w:rsidRPr="001D6EC2">
        <w:rPr>
          <w:b/>
          <w:bCs/>
        </w:rPr>
        <w:t>Recommendation 6:</w:t>
      </w:r>
      <w:r>
        <w:t xml:space="preserve"> Remove Capital Gains Tax for non-cash gifts to registered charities.</w:t>
      </w:r>
    </w:p>
    <w:p w14:paraId="0EB65D2F" w14:textId="77777777" w:rsidR="001A126C" w:rsidRPr="001D6EC2" w:rsidRDefault="001A126C" w:rsidP="001A126C">
      <w:pPr>
        <w:pStyle w:val="ListParagraph"/>
        <w:numPr>
          <w:ilvl w:val="0"/>
          <w:numId w:val="27"/>
        </w:numPr>
        <w:jc w:val="both"/>
        <w:rPr>
          <w:b/>
          <w:bCs/>
        </w:rPr>
      </w:pPr>
      <w:r>
        <w:rPr>
          <w:b/>
          <w:bCs/>
        </w:rPr>
        <w:t xml:space="preserve">Improvement to corporate reporting and communication of their philanthropic endeavours. </w:t>
      </w:r>
    </w:p>
    <w:p w14:paraId="05219D0F" w14:textId="77777777" w:rsidR="001A126C" w:rsidRDefault="001A126C" w:rsidP="001A126C">
      <w:pPr>
        <w:ind w:left="720"/>
        <w:jc w:val="both"/>
      </w:pPr>
      <w:r>
        <w:rPr>
          <w:b/>
          <w:bCs/>
        </w:rPr>
        <w:t xml:space="preserve">Recommendation 7.1: </w:t>
      </w:r>
      <w:r>
        <w:t xml:space="preserve">Address naming conventions used by for-profit companies where serving purpose outcomes. </w:t>
      </w:r>
    </w:p>
    <w:p w14:paraId="7592F8C6" w14:textId="7D3E1C84" w:rsidR="001A126C" w:rsidRDefault="001A126C" w:rsidP="001A126C">
      <w:pPr>
        <w:ind w:left="720"/>
        <w:jc w:val="both"/>
      </w:pPr>
      <w:r w:rsidRPr="001D6EC2">
        <w:rPr>
          <w:b/>
          <w:bCs/>
        </w:rPr>
        <w:t>Recommendation 7.2:</w:t>
      </w:r>
      <w:r>
        <w:t xml:space="preserve"> Promote </w:t>
      </w:r>
      <w:r w:rsidR="0058656D">
        <w:t>standard</w:t>
      </w:r>
      <w:r>
        <w:t xml:space="preserve"> reporting for corporate giving.</w:t>
      </w:r>
    </w:p>
    <w:p w14:paraId="1B488803" w14:textId="77777777" w:rsidR="001A126C" w:rsidRDefault="001A126C" w:rsidP="008913BD">
      <w:pPr>
        <w:keepNext/>
        <w:spacing w:after="60"/>
      </w:pPr>
    </w:p>
    <w:p w14:paraId="71B21607" w14:textId="7B7A2D9E" w:rsidR="001125A2" w:rsidRPr="00163DED" w:rsidRDefault="00163DED" w:rsidP="003A2D72">
      <w:pPr>
        <w:keepNext/>
        <w:rPr>
          <w:b/>
          <w:bCs/>
        </w:rPr>
      </w:pPr>
      <w:r w:rsidRPr="00163DED">
        <w:rPr>
          <w:b/>
          <w:bCs/>
        </w:rPr>
        <w:t>Executive Summary</w:t>
      </w:r>
    </w:p>
    <w:p w14:paraId="796E56F5" w14:textId="283A2B59" w:rsidR="003E1CD9" w:rsidRPr="00950431" w:rsidRDefault="003E1CD9" w:rsidP="00DD607D">
      <w:pPr>
        <w:keepNext/>
        <w:spacing w:before="240" w:after="120"/>
        <w:rPr>
          <w:i/>
          <w:iCs/>
          <w:u w:val="single"/>
        </w:rPr>
      </w:pPr>
      <w:r w:rsidRPr="00950431">
        <w:rPr>
          <w:i/>
          <w:iCs/>
          <w:u w:val="single"/>
        </w:rPr>
        <w:t>Overall</w:t>
      </w:r>
    </w:p>
    <w:p w14:paraId="66889D54" w14:textId="43A765B8" w:rsidR="008C03FE" w:rsidRDefault="3E01B5E3" w:rsidP="005B28EF">
      <w:pPr>
        <w:spacing w:after="120"/>
      </w:pPr>
      <w:r>
        <w:t xml:space="preserve">Australia has an intense and growing focus on corporate social responsibility with organisations increasingly aware and committed to action on climate, modern slavery, fair </w:t>
      </w:r>
      <w:r w:rsidR="3663003A">
        <w:t>work,</w:t>
      </w:r>
      <w:r>
        <w:t xml:space="preserve"> and other social and community </w:t>
      </w:r>
      <w:r w:rsidR="4934A4DF">
        <w:t xml:space="preserve">matters. </w:t>
      </w:r>
    </w:p>
    <w:p w14:paraId="1B6FFBEC" w14:textId="51A18845" w:rsidR="00160AED" w:rsidRDefault="4934A4DF" w:rsidP="005B28EF">
      <w:pPr>
        <w:spacing w:after="120"/>
      </w:pPr>
      <w:r>
        <w:t>Within this, t</w:t>
      </w:r>
      <w:r w:rsidR="1C641A2B">
        <w:t>here is a growing demand for corporate engagement with the communities in which they operate</w:t>
      </w:r>
      <w:r>
        <w:t xml:space="preserve"> and for them to invest in their people through offering ways </w:t>
      </w:r>
      <w:r w:rsidR="3125A82A">
        <w:t xml:space="preserve">for the staff </w:t>
      </w:r>
      <w:r>
        <w:t>to in a</w:t>
      </w:r>
      <w:r w:rsidR="3125A82A">
        <w:t xml:space="preserve"> supported, </w:t>
      </w:r>
      <w:r w:rsidR="550F5494">
        <w:t>aligned,</w:t>
      </w:r>
      <w:r w:rsidR="3125A82A">
        <w:t xml:space="preserve"> and</w:t>
      </w:r>
      <w:r>
        <w:t xml:space="preserve"> </w:t>
      </w:r>
      <w:r w:rsidR="4F294452">
        <w:t>cost-effective</w:t>
      </w:r>
      <w:r>
        <w:t xml:space="preserve"> manner</w:t>
      </w:r>
      <w:r w:rsidR="1C641A2B">
        <w:t xml:space="preserve">. </w:t>
      </w:r>
      <w:r w:rsidR="01FE9894">
        <w:t xml:space="preserve">The workforce is clear in its support and expectation of corporate involvement with them on these issues. </w:t>
      </w:r>
      <w:r w:rsidR="3125A82A">
        <w:t>Over 7</w:t>
      </w:r>
      <w:r w:rsidR="5999863C">
        <w:t>9</w:t>
      </w:r>
      <w:r w:rsidR="5E403239">
        <w:t>% of</w:t>
      </w:r>
      <w:r w:rsidR="5999863C">
        <w:t xml:space="preserve"> the workforce </w:t>
      </w:r>
      <w:r w:rsidR="3125A82A">
        <w:t>stat</w:t>
      </w:r>
      <w:r w:rsidR="00946B2E">
        <w:t>e</w:t>
      </w:r>
      <w:r w:rsidR="5999863C">
        <w:t xml:space="preserve"> that companies have a social responsibility to set standards of ethical behaviour by actively engaging in philanthropy and over 85% believing that it is important to them that their company has a workplace giving program in place</w:t>
      </w:r>
      <w:r w:rsidR="004B045B">
        <w:rPr>
          <w:rStyle w:val="FootnoteReference"/>
        </w:rPr>
        <w:footnoteReference w:id="2"/>
      </w:r>
      <w:r w:rsidR="5999863C">
        <w:t>.</w:t>
      </w:r>
      <w:r w:rsidR="3125A82A">
        <w:t xml:space="preserve"> </w:t>
      </w:r>
    </w:p>
    <w:p w14:paraId="4792E062" w14:textId="0C7A7291" w:rsidR="00A91995" w:rsidRDefault="00CC49E4" w:rsidP="005B28EF">
      <w:pPr>
        <w:spacing w:after="120"/>
      </w:pPr>
      <w:r>
        <w:t xml:space="preserve">These demands are </w:t>
      </w:r>
      <w:r w:rsidR="00F73A2B">
        <w:t>not only</w:t>
      </w:r>
      <w:r w:rsidR="00160AED">
        <w:t xml:space="preserve"> </w:t>
      </w:r>
      <w:r w:rsidR="000111AC">
        <w:t xml:space="preserve">mirrored by </w:t>
      </w:r>
      <w:r w:rsidR="00160AED">
        <w:t>strengthening expectations of</w:t>
      </w:r>
      <w:r>
        <w:t xml:space="preserve"> their customers</w:t>
      </w:r>
      <w:r w:rsidR="00CB6FF0">
        <w:t xml:space="preserve"> and those that they deal with day to day in their business such as regulators, but </w:t>
      </w:r>
      <w:r w:rsidR="00531120">
        <w:t xml:space="preserve">also </w:t>
      </w:r>
      <w:r w:rsidR="00CB6FF0">
        <w:t>from broader stakeholder groups such as investors</w:t>
      </w:r>
      <w:r w:rsidR="00160AED">
        <w:t xml:space="preserve"> and</w:t>
      </w:r>
      <w:r w:rsidR="00763DBA">
        <w:t xml:space="preserve"> financiers. </w:t>
      </w:r>
    </w:p>
    <w:p w14:paraId="23BD7B19" w14:textId="3DE5CC3C" w:rsidR="002A36BD" w:rsidRDefault="00E15644" w:rsidP="005B28EF">
      <w:pPr>
        <w:spacing w:after="120"/>
      </w:pPr>
      <w:r>
        <w:t>By increasing</w:t>
      </w:r>
      <w:r w:rsidR="002A36BD">
        <w:t xml:space="preserve"> workplace giving through payroll giving </w:t>
      </w:r>
      <w:r>
        <w:t>to</w:t>
      </w:r>
      <w:r w:rsidR="002A36BD">
        <w:t xml:space="preserve"> participation rates of </w:t>
      </w:r>
      <w:proofErr w:type="spellStart"/>
      <w:r w:rsidR="002A36BD">
        <w:t>c.12.5</w:t>
      </w:r>
      <w:proofErr w:type="spellEnd"/>
      <w:r w:rsidR="002A36BD">
        <w:t>% of the workforce (50% of that which the US boasts)</w:t>
      </w:r>
      <w:r w:rsidR="00373FD6">
        <w:t xml:space="preserve"> and l</w:t>
      </w:r>
      <w:r w:rsidR="002A36BD">
        <w:t>eaving aside matching benefits, this would increase the current $</w:t>
      </w:r>
      <w:proofErr w:type="spellStart"/>
      <w:r w:rsidR="002A36BD">
        <w:t>53m</w:t>
      </w:r>
      <w:proofErr w:type="spellEnd"/>
      <w:r w:rsidR="002A36BD">
        <w:t xml:space="preserve"> donated by individuals to close to $</w:t>
      </w:r>
      <w:proofErr w:type="spellStart"/>
      <w:r w:rsidR="002A36BD">
        <w:t>450m</w:t>
      </w:r>
      <w:proofErr w:type="spellEnd"/>
      <w:r w:rsidR="002A36BD">
        <w:t xml:space="preserve">. If we assume this amount </w:t>
      </w:r>
      <w:r w:rsidR="0024656D">
        <w:t xml:space="preserve">is </w:t>
      </w:r>
      <w:r w:rsidR="002A36BD">
        <w:t xml:space="preserve">matched by the employer </w:t>
      </w:r>
      <w:r w:rsidR="00373FD6">
        <w:t xml:space="preserve">consistent with today’s rates, then </w:t>
      </w:r>
      <w:r w:rsidR="002A36BD">
        <w:t>on a simple 1:1 basis, that amount would increase to over $</w:t>
      </w:r>
      <w:proofErr w:type="spellStart"/>
      <w:r w:rsidR="002A36BD">
        <w:t>7</w:t>
      </w:r>
      <w:r w:rsidR="00373FD6">
        <w:t>0</w:t>
      </w:r>
      <w:r w:rsidR="002A36BD">
        <w:t>0m</w:t>
      </w:r>
      <w:proofErr w:type="spellEnd"/>
      <w:r w:rsidR="002A36BD">
        <w:t xml:space="preserve"> annually. </w:t>
      </w:r>
    </w:p>
    <w:p w14:paraId="3ECB991B" w14:textId="75CA1D6C" w:rsidR="002A36BD" w:rsidRDefault="002A36BD" w:rsidP="005B28EF">
      <w:pPr>
        <w:spacing w:after="120"/>
      </w:pPr>
      <w:r>
        <w:t>Put simply, for every 1% increase in participation, an additional $</w:t>
      </w:r>
      <w:proofErr w:type="spellStart"/>
      <w:r>
        <w:t>5</w:t>
      </w:r>
      <w:r w:rsidR="005C3107">
        <w:t>5</w:t>
      </w:r>
      <w:r>
        <w:t>m</w:t>
      </w:r>
      <w:proofErr w:type="spellEnd"/>
      <w:r>
        <w:t xml:space="preserve"> would be available to charities</w:t>
      </w:r>
      <w:r w:rsidR="005D06A1">
        <w:t xml:space="preserve"> (which employ 10.5% of the Australian workforce)</w:t>
      </w:r>
      <w:r w:rsidR="005D06A1">
        <w:rPr>
          <w:rStyle w:val="FootnoteReference"/>
        </w:rPr>
        <w:footnoteReference w:id="3"/>
      </w:r>
      <w:r>
        <w:t xml:space="preserve">. </w:t>
      </w:r>
    </w:p>
    <w:p w14:paraId="24C6333A" w14:textId="54FB2E2E" w:rsidR="00934F9A" w:rsidRDefault="00934F9A" w:rsidP="005B28EF">
      <w:pPr>
        <w:spacing w:after="120"/>
      </w:pPr>
      <w:r>
        <w:t xml:space="preserve">Further, </w:t>
      </w:r>
      <w:r w:rsidR="00733CDC">
        <w:t xml:space="preserve">strong workplace giving programmes unite the workers in a common cause </w:t>
      </w:r>
      <w:r w:rsidR="00A65C26">
        <w:t xml:space="preserve">by encouraging </w:t>
      </w:r>
      <w:r w:rsidR="00CA2A18">
        <w:t xml:space="preserve">events </w:t>
      </w:r>
      <w:r w:rsidR="002F7FA1">
        <w:t xml:space="preserve">and activities designed to </w:t>
      </w:r>
      <w:r w:rsidR="003A6C0C">
        <w:t xml:space="preserve">uplift the </w:t>
      </w:r>
      <w:r w:rsidR="00EE0397">
        <w:t>fundraising success</w:t>
      </w:r>
      <w:r w:rsidR="002901C9">
        <w:t xml:space="preserve">. </w:t>
      </w:r>
      <w:r w:rsidR="00B2245F">
        <w:t xml:space="preserve">This in turn builds community and </w:t>
      </w:r>
      <w:r w:rsidR="00B2245F">
        <w:lastRenderedPageBreak/>
        <w:t>enhances the work environment, providing benefits to the individual and their mental wellbeing</w:t>
      </w:r>
      <w:r w:rsidR="00B2245F">
        <w:rPr>
          <w:rStyle w:val="FootnoteReference"/>
        </w:rPr>
        <w:footnoteReference w:id="4"/>
      </w:r>
      <w:r w:rsidR="00B2245F">
        <w:t xml:space="preserve">, to the business in productivity and </w:t>
      </w:r>
      <w:r w:rsidR="00C44D1B">
        <w:t>profitability</w:t>
      </w:r>
      <w:r w:rsidR="00B2245F">
        <w:t xml:space="preserve">, and </w:t>
      </w:r>
      <w:r w:rsidR="007E7444">
        <w:t xml:space="preserve">to </w:t>
      </w:r>
      <w:r w:rsidR="00B2245F">
        <w:t>the community more broadly</w:t>
      </w:r>
      <w:r w:rsidR="00A92B4C">
        <w:rPr>
          <w:rStyle w:val="FootnoteReference"/>
        </w:rPr>
        <w:footnoteReference w:id="5"/>
      </w:r>
      <w:r w:rsidR="00B2245F">
        <w:t>.</w:t>
      </w:r>
    </w:p>
    <w:p w14:paraId="58AD3C5F" w14:textId="77777777" w:rsidR="003E1CD9" w:rsidRPr="003E1CD9" w:rsidRDefault="003E1CD9" w:rsidP="00FE36B9">
      <w:pPr>
        <w:keepNext/>
        <w:spacing w:before="240" w:after="120"/>
        <w:rPr>
          <w:i/>
          <w:iCs/>
        </w:rPr>
      </w:pPr>
      <w:r w:rsidRPr="00F8515A">
        <w:rPr>
          <w:i/>
          <w:iCs/>
        </w:rPr>
        <w:t>The Context</w:t>
      </w:r>
      <w:r>
        <w:rPr>
          <w:i/>
          <w:iCs/>
        </w:rPr>
        <w:t xml:space="preserve"> – Tendencies and motivations for Australian charitable giving</w:t>
      </w:r>
    </w:p>
    <w:p w14:paraId="0267921F" w14:textId="77777777" w:rsidR="007725F4" w:rsidRDefault="007725F4" w:rsidP="00F03C79">
      <w:pPr>
        <w:keepNext/>
        <w:spacing w:after="60"/>
      </w:pPr>
      <w:r>
        <w:t>Workplace giving includes two entities or groups, namely:</w:t>
      </w:r>
    </w:p>
    <w:p w14:paraId="5A5D4DD5" w14:textId="2F467E7E" w:rsidR="007725F4" w:rsidRDefault="005B27C4" w:rsidP="00D347C7">
      <w:pPr>
        <w:pStyle w:val="ListParagraph"/>
        <w:numPr>
          <w:ilvl w:val="0"/>
          <w:numId w:val="8"/>
        </w:numPr>
      </w:pPr>
      <w:r>
        <w:t>Business (or corporate)</w:t>
      </w:r>
      <w:r w:rsidR="007725F4">
        <w:t xml:space="preserve"> philanthropy whereby the business elects to donate resources</w:t>
      </w:r>
      <w:r w:rsidR="007725F4">
        <w:rPr>
          <w:rStyle w:val="FootnoteReference"/>
        </w:rPr>
        <w:footnoteReference w:id="6"/>
      </w:r>
    </w:p>
    <w:p w14:paraId="5C74A840" w14:textId="7497CEAA" w:rsidR="007725F4" w:rsidRDefault="007725F4" w:rsidP="00D347C7">
      <w:pPr>
        <w:pStyle w:val="ListParagraph"/>
        <w:numPr>
          <w:ilvl w:val="0"/>
          <w:numId w:val="8"/>
        </w:numPr>
      </w:pPr>
      <w:r>
        <w:t>Workforce philanthropy whereby the workers within a business context elect to donate individually or collectively.</w:t>
      </w:r>
    </w:p>
    <w:p w14:paraId="7E73E198" w14:textId="05E5D5B1" w:rsidR="003059D9" w:rsidRDefault="003059D9" w:rsidP="005B28EF">
      <w:pPr>
        <w:spacing w:after="120"/>
      </w:pPr>
      <w:r>
        <w:t>The most powerful solution integrates these for mutual benefit.</w:t>
      </w:r>
      <w:r w:rsidR="00AC78EF">
        <w:t xml:space="preserve"> </w:t>
      </w:r>
    </w:p>
    <w:p w14:paraId="7E752A9E" w14:textId="6707CF16" w:rsidR="00A273F5" w:rsidRDefault="003059D9" w:rsidP="005B28EF">
      <w:pPr>
        <w:spacing w:after="120"/>
      </w:pPr>
      <w:r>
        <w:t>It is noted that</w:t>
      </w:r>
      <w:r w:rsidR="008139F4">
        <w:t xml:space="preserve"> there remains a minority of business leaders</w:t>
      </w:r>
      <w:r w:rsidR="00305A88">
        <w:t>,</w:t>
      </w:r>
      <w:r w:rsidR="008139F4">
        <w:t xml:space="preserve"> </w:t>
      </w:r>
      <w:r w:rsidR="00692D68">
        <w:t>who</w:t>
      </w:r>
      <w:r w:rsidR="00A41C1A">
        <w:t xml:space="preserve"> </w:t>
      </w:r>
      <w:r w:rsidR="00CE1295">
        <w:t xml:space="preserve">maintain a view that the </w:t>
      </w:r>
      <w:r w:rsidR="00A41C1A">
        <w:t xml:space="preserve">only </w:t>
      </w:r>
      <w:r w:rsidR="00CE1295">
        <w:t>purpose for business is shareholder wealth optimisation. However, this is no longer generally accepted with a realisation that success in business is intimately connected to success in the community</w:t>
      </w:r>
      <w:r w:rsidR="00CF6A82">
        <w:t xml:space="preserve">. </w:t>
      </w:r>
      <w:r w:rsidR="00493EFE">
        <w:t>In o</w:t>
      </w:r>
      <w:r w:rsidR="00A41C1A">
        <w:t>perating within a</w:t>
      </w:r>
      <w:r w:rsidR="00CF6A82">
        <w:t xml:space="preserve"> community </w:t>
      </w:r>
      <w:r w:rsidR="00A41C1A">
        <w:t>that has a</w:t>
      </w:r>
      <w:r w:rsidR="00CF6A82">
        <w:t xml:space="preserve"> voice through social media</w:t>
      </w:r>
      <w:r w:rsidR="00A41C1A">
        <w:t xml:space="preserve">, with </w:t>
      </w:r>
      <w:r w:rsidR="00CE458D">
        <w:t>generation</w:t>
      </w:r>
      <w:r w:rsidR="00A41C1A">
        <w:t xml:space="preserve">al expectations of decency </w:t>
      </w:r>
      <w:r w:rsidR="00493EFE">
        <w:t>alongside</w:t>
      </w:r>
      <w:r w:rsidR="00A41C1A">
        <w:t xml:space="preserve"> profit and </w:t>
      </w:r>
      <w:r w:rsidR="00CE458D">
        <w:t xml:space="preserve">a rise in individual power and activism, </w:t>
      </w:r>
      <w:r w:rsidR="00A41C1A">
        <w:t>the</w:t>
      </w:r>
      <w:r w:rsidR="00CE458D">
        <w:t xml:space="preserve"> trend</w:t>
      </w:r>
      <w:r w:rsidR="00A41C1A">
        <w:t xml:space="preserve"> towards engaging employers with the community</w:t>
      </w:r>
      <w:r w:rsidR="00CE458D">
        <w:t xml:space="preserve"> </w:t>
      </w:r>
      <w:r w:rsidR="00493EFE">
        <w:t>is set to</w:t>
      </w:r>
      <w:r w:rsidR="00CE458D">
        <w:t xml:space="preserve"> continue</w:t>
      </w:r>
      <w:r w:rsidR="001A1D5C">
        <w:rPr>
          <w:rStyle w:val="FootnoteReference"/>
        </w:rPr>
        <w:footnoteReference w:id="7"/>
      </w:r>
      <w:r w:rsidR="00493EFE">
        <w:t>, as board room support.</w:t>
      </w:r>
      <w:r w:rsidR="00A97C87">
        <w:t xml:space="preserve"> </w:t>
      </w:r>
      <w:r w:rsidR="00BA6E47">
        <w:t>Government support for these initiatives is also likely to raise voter trust.</w:t>
      </w:r>
    </w:p>
    <w:p w14:paraId="59BCE3C5" w14:textId="17C7AAEF" w:rsidR="00041765" w:rsidRDefault="362E5136" w:rsidP="005B28EF">
      <w:pPr>
        <w:spacing w:after="120"/>
      </w:pPr>
      <w:r>
        <w:t xml:space="preserve">Workplace giving </w:t>
      </w:r>
      <w:r w:rsidR="262EC1A1">
        <w:t xml:space="preserve">creates community within the workplace. It enhances engagement and delivers tangible benefits to the workers, to the employing company, to the charities supported and to society more broadly. </w:t>
      </w:r>
      <w:r w:rsidR="3A5B255D">
        <w:t xml:space="preserve">At its best it is simple, </w:t>
      </w:r>
      <w:r w:rsidR="2AAE085A">
        <w:t>effective,</w:t>
      </w:r>
      <w:r w:rsidR="3A5B255D">
        <w:t xml:space="preserve"> and efficient, and logic dictates it becoming one of the largest sources of charitable funding for the future.</w:t>
      </w:r>
    </w:p>
    <w:p w14:paraId="7B849D3B" w14:textId="77777777" w:rsidR="00C31069" w:rsidRDefault="00C31069" w:rsidP="00F03C79">
      <w:pPr>
        <w:keepNext/>
        <w:spacing w:after="60"/>
      </w:pPr>
      <w:r>
        <w:t>Types of workforce philanthropy include:</w:t>
      </w:r>
    </w:p>
    <w:p w14:paraId="2990D027" w14:textId="77777777" w:rsidR="00C31069" w:rsidRDefault="00C31069" w:rsidP="00D347C7">
      <w:pPr>
        <w:pStyle w:val="ListParagraph"/>
        <w:numPr>
          <w:ilvl w:val="0"/>
          <w:numId w:val="18"/>
        </w:numPr>
        <w:spacing w:line="256" w:lineRule="auto"/>
      </w:pPr>
      <w:r>
        <w:t>Regular Payroll giving (sometimes called “Give as You Earn” – this is also referred to as Workplace Giving despite being only one form within the broader definition) – optimally pre-tax but also includes post-tax forms</w:t>
      </w:r>
    </w:p>
    <w:p w14:paraId="338E3B6A" w14:textId="1D188DB5" w:rsidR="00C31069" w:rsidRDefault="5EEE100B" w:rsidP="00D347C7">
      <w:pPr>
        <w:pStyle w:val="ListParagraph"/>
        <w:numPr>
          <w:ilvl w:val="0"/>
          <w:numId w:val="18"/>
        </w:numPr>
        <w:spacing w:line="256" w:lineRule="auto"/>
      </w:pPr>
      <w:r>
        <w:t>One-off Relief and Appeal giving via payroll (</w:t>
      </w:r>
      <w:bookmarkStart w:id="1" w:name="_Int_zQlThaj6"/>
      <w:r>
        <w:t>pre</w:t>
      </w:r>
      <w:bookmarkEnd w:id="1"/>
      <w:r>
        <w:t xml:space="preserve"> and </w:t>
      </w:r>
      <w:r w:rsidR="221B1979">
        <w:t>post-tax</w:t>
      </w:r>
      <w:r>
        <w:t>)</w:t>
      </w:r>
    </w:p>
    <w:p w14:paraId="728A23C7" w14:textId="58D14DCE" w:rsidR="00C31069" w:rsidRDefault="00C31069" w:rsidP="00D347C7">
      <w:pPr>
        <w:pStyle w:val="ListParagraph"/>
        <w:numPr>
          <w:ilvl w:val="0"/>
          <w:numId w:val="18"/>
        </w:numPr>
        <w:spacing w:line="256" w:lineRule="auto"/>
      </w:pPr>
      <w:r>
        <w:t xml:space="preserve">Post tax worker giving via non-payroll means such as credit card payment (this also enables contractors and </w:t>
      </w:r>
      <w:r w:rsidR="0037158E">
        <w:t>third</w:t>
      </w:r>
      <w:r>
        <w:t xml:space="preserve"> parties to engage)</w:t>
      </w:r>
    </w:p>
    <w:p w14:paraId="388B7411" w14:textId="77777777" w:rsidR="00C31069" w:rsidRDefault="00C31069" w:rsidP="00D347C7">
      <w:pPr>
        <w:pStyle w:val="ListParagraph"/>
        <w:numPr>
          <w:ilvl w:val="0"/>
          <w:numId w:val="18"/>
        </w:numPr>
        <w:spacing w:line="256" w:lineRule="auto"/>
      </w:pPr>
      <w:r>
        <w:t>Peer-to-peer fundraising including Giving Circles</w:t>
      </w:r>
    </w:p>
    <w:p w14:paraId="58F083DF" w14:textId="77777777" w:rsidR="00C31069" w:rsidRDefault="00C31069" w:rsidP="00D347C7">
      <w:pPr>
        <w:pStyle w:val="ListParagraph"/>
        <w:numPr>
          <w:ilvl w:val="0"/>
          <w:numId w:val="18"/>
        </w:numPr>
        <w:spacing w:line="256" w:lineRule="auto"/>
      </w:pPr>
      <w:r>
        <w:t>Volunteering through or with the workplace</w:t>
      </w:r>
    </w:p>
    <w:p w14:paraId="1DFFD7BB" w14:textId="77777777" w:rsidR="00C31069" w:rsidRDefault="00C31069" w:rsidP="00D347C7">
      <w:pPr>
        <w:pStyle w:val="ListParagraph"/>
        <w:numPr>
          <w:ilvl w:val="0"/>
          <w:numId w:val="18"/>
        </w:numPr>
        <w:spacing w:line="256" w:lineRule="auto"/>
      </w:pPr>
      <w:r>
        <w:t>Matching by employer of worker involvement.</w:t>
      </w:r>
    </w:p>
    <w:p w14:paraId="7F440B98" w14:textId="78EDFBAE" w:rsidR="00571D54" w:rsidRPr="00552837" w:rsidRDefault="00571D54" w:rsidP="00FE36B9">
      <w:pPr>
        <w:keepNext/>
        <w:spacing w:before="240" w:after="120"/>
        <w:rPr>
          <w:i/>
          <w:iCs/>
          <w:u w:val="single"/>
        </w:rPr>
      </w:pPr>
      <w:r w:rsidRPr="00552837">
        <w:rPr>
          <w:i/>
          <w:iCs/>
          <w:u w:val="single"/>
        </w:rPr>
        <w:lastRenderedPageBreak/>
        <w:t>The Benefits</w:t>
      </w:r>
    </w:p>
    <w:p w14:paraId="30CADCED" w14:textId="0BDFA192" w:rsidR="00571D54" w:rsidRDefault="00597D34" w:rsidP="00F03C79">
      <w:pPr>
        <w:keepNext/>
        <w:spacing w:after="60"/>
      </w:pPr>
      <w:r>
        <w:t>For the workers, the benefits of engaging in the workplace for giving are:</w:t>
      </w:r>
    </w:p>
    <w:p w14:paraId="223ABC39" w14:textId="00F312D8" w:rsidR="00597D34" w:rsidRDefault="00597D34" w:rsidP="00D347C7">
      <w:pPr>
        <w:pStyle w:val="ListParagraph"/>
        <w:numPr>
          <w:ilvl w:val="0"/>
          <w:numId w:val="15"/>
        </w:numPr>
      </w:pPr>
      <w:r>
        <w:t>Creation of an environment that is team spirited and has purpose</w:t>
      </w:r>
      <w:r w:rsidR="003E0DED">
        <w:t>, driving significant engagement</w:t>
      </w:r>
      <w:r w:rsidR="003E0DED">
        <w:rPr>
          <w:rStyle w:val="FootnoteReference"/>
        </w:rPr>
        <w:footnoteReference w:id="8"/>
      </w:r>
    </w:p>
    <w:p w14:paraId="773232A5" w14:textId="027A3CEF" w:rsidR="00A70AA3" w:rsidRDefault="00A70AA3" w:rsidP="00D347C7">
      <w:pPr>
        <w:pStyle w:val="ListParagraph"/>
        <w:numPr>
          <w:ilvl w:val="0"/>
          <w:numId w:val="15"/>
        </w:numPr>
      </w:pPr>
      <w:r>
        <w:t>Removes the need to claim for tax deductions at the end of the year (if they can find the receipts</w:t>
      </w:r>
      <w:r w:rsidR="00AC3A13">
        <w:t xml:space="preserve"> – less than </w:t>
      </w:r>
      <w:r w:rsidR="00FF6430">
        <w:t>35% of taxpayers claim a donation yet over 65% are making them</w:t>
      </w:r>
      <w:r w:rsidR="00FF6430">
        <w:rPr>
          <w:rStyle w:val="FootnoteReference"/>
        </w:rPr>
        <w:footnoteReference w:id="9"/>
      </w:r>
      <w:r>
        <w:t>)</w:t>
      </w:r>
    </w:p>
    <w:p w14:paraId="6071C42E" w14:textId="3C577A6E" w:rsidR="003A2D72" w:rsidRDefault="003A2D72" w:rsidP="00D347C7">
      <w:pPr>
        <w:pStyle w:val="ListParagraph"/>
        <w:numPr>
          <w:ilvl w:val="0"/>
          <w:numId w:val="15"/>
        </w:numPr>
      </w:pPr>
      <w:r>
        <w:t>Provides access to matching, provided by 60% of employers</w:t>
      </w:r>
      <w:r>
        <w:rPr>
          <w:rStyle w:val="FootnoteReference"/>
        </w:rPr>
        <w:footnoteReference w:id="10"/>
      </w:r>
      <w:r w:rsidR="003216DB">
        <w:t xml:space="preserve"> </w:t>
      </w:r>
      <w:r w:rsidR="00F31AB2">
        <w:t>(noting also that this is the number one driver of participation at over 62%)</w:t>
      </w:r>
    </w:p>
    <w:p w14:paraId="419B8779" w14:textId="1F71729A" w:rsidR="003216DB" w:rsidRDefault="003216DB" w:rsidP="00D347C7">
      <w:pPr>
        <w:pStyle w:val="ListParagraph"/>
        <w:numPr>
          <w:ilvl w:val="0"/>
          <w:numId w:val="15"/>
        </w:numPr>
      </w:pPr>
      <w:r>
        <w:t>Drives focus and improves impact on cause areas</w:t>
      </w:r>
    </w:p>
    <w:p w14:paraId="48FC2A36" w14:textId="18465944" w:rsidR="003216DB" w:rsidRDefault="003216DB" w:rsidP="00D347C7">
      <w:pPr>
        <w:pStyle w:val="ListParagraph"/>
        <w:numPr>
          <w:ilvl w:val="0"/>
          <w:numId w:val="15"/>
        </w:numPr>
      </w:pPr>
      <w:r>
        <w:t>Simplifies charity selection</w:t>
      </w:r>
      <w:r w:rsidR="001E3A06">
        <w:t xml:space="preserve"> and engagement</w:t>
      </w:r>
    </w:p>
    <w:p w14:paraId="3D785388" w14:textId="60BF05B1" w:rsidR="00004B09" w:rsidRDefault="00004B09" w:rsidP="00D347C7">
      <w:pPr>
        <w:pStyle w:val="ListParagraph"/>
        <w:numPr>
          <w:ilvl w:val="0"/>
          <w:numId w:val="15"/>
        </w:numPr>
      </w:pPr>
      <w:r>
        <w:t xml:space="preserve">Provides a barrier from direct contact with the charity if </w:t>
      </w:r>
      <w:r w:rsidR="0083444B">
        <w:t>preferred</w:t>
      </w:r>
      <w:r>
        <w:t>.</w:t>
      </w:r>
    </w:p>
    <w:p w14:paraId="081F9728" w14:textId="023B74C0" w:rsidR="003216DB" w:rsidRDefault="003216DB" w:rsidP="00F03C79">
      <w:pPr>
        <w:keepNext/>
        <w:spacing w:after="60"/>
      </w:pPr>
      <w:r>
        <w:t>For the employer and corporate there are also important benefits:</w:t>
      </w:r>
    </w:p>
    <w:p w14:paraId="71B8620E" w14:textId="6C36D3BB" w:rsidR="003216DB" w:rsidRDefault="003216DB" w:rsidP="00D347C7">
      <w:pPr>
        <w:pStyle w:val="ListParagraph"/>
        <w:numPr>
          <w:ilvl w:val="0"/>
          <w:numId w:val="16"/>
        </w:numPr>
      </w:pPr>
      <w:r>
        <w:t xml:space="preserve">Engages their workforce </w:t>
      </w:r>
      <w:r w:rsidR="00DA2C38">
        <w:t>(increasing retention</w:t>
      </w:r>
      <w:r w:rsidR="00CC54F8">
        <w:t xml:space="preserve">, </w:t>
      </w:r>
      <w:r w:rsidR="00DA2C38">
        <w:t>productivity</w:t>
      </w:r>
      <w:r w:rsidR="00CC54F8">
        <w:t xml:space="preserve"> and innovation</w:t>
      </w:r>
      <w:r w:rsidR="00DA2C38">
        <w:t xml:space="preserve"> amongst other things)</w:t>
      </w:r>
      <w:r w:rsidR="004D2513">
        <w:t xml:space="preserve"> and humanises the workplace</w:t>
      </w:r>
    </w:p>
    <w:p w14:paraId="66AD22C0" w14:textId="77152DAC" w:rsidR="00C37355" w:rsidRDefault="00C37355" w:rsidP="00D347C7">
      <w:pPr>
        <w:pStyle w:val="ListParagraph"/>
        <w:numPr>
          <w:ilvl w:val="0"/>
          <w:numId w:val="16"/>
        </w:numPr>
      </w:pPr>
      <w:r>
        <w:t>Can be a useful tool to engage remote and rural workforce</w:t>
      </w:r>
    </w:p>
    <w:p w14:paraId="1609011D" w14:textId="7A24EE69" w:rsidR="001E3A06" w:rsidRDefault="05CEC800" w:rsidP="00D347C7">
      <w:pPr>
        <w:pStyle w:val="ListParagraph"/>
        <w:numPr>
          <w:ilvl w:val="0"/>
          <w:numId w:val="16"/>
        </w:numPr>
      </w:pPr>
      <w:r>
        <w:t>Enhances their position in the</w:t>
      </w:r>
      <w:r w:rsidR="59EE5EC0">
        <w:t>ir</w:t>
      </w:r>
      <w:r>
        <w:t xml:space="preserve"> community</w:t>
      </w:r>
      <w:r w:rsidR="118DE7BC">
        <w:t xml:space="preserve"> and reinforces their credentials regarding </w:t>
      </w:r>
      <w:bookmarkStart w:id="2" w:name="_Int_oKEbjApB"/>
      <w:r w:rsidR="118DE7BC">
        <w:t>their  social</w:t>
      </w:r>
      <w:bookmarkEnd w:id="2"/>
      <w:r w:rsidR="118DE7BC">
        <w:t xml:space="preserve"> licence to operate</w:t>
      </w:r>
    </w:p>
    <w:p w14:paraId="6AA920A7" w14:textId="37BE61FF" w:rsidR="00C37355" w:rsidRDefault="00C37355" w:rsidP="00D347C7">
      <w:pPr>
        <w:pStyle w:val="ListParagraph"/>
        <w:numPr>
          <w:ilvl w:val="0"/>
          <w:numId w:val="16"/>
        </w:numPr>
      </w:pPr>
      <w:r>
        <w:t>Offers a medium to promote national collaboration</w:t>
      </w:r>
    </w:p>
    <w:p w14:paraId="27A4CD1E" w14:textId="77777777" w:rsidR="00DB2773" w:rsidRDefault="001E3A06" w:rsidP="00D347C7">
      <w:pPr>
        <w:pStyle w:val="ListParagraph"/>
        <w:numPr>
          <w:ilvl w:val="0"/>
          <w:numId w:val="16"/>
        </w:numPr>
      </w:pPr>
      <w:r>
        <w:t>Increases consumer preference</w:t>
      </w:r>
      <w:r w:rsidR="00524AB5">
        <w:t xml:space="preserve"> and willingness to pay</w:t>
      </w:r>
    </w:p>
    <w:p w14:paraId="23FF3E7A" w14:textId="59A82822" w:rsidR="003216DB" w:rsidRDefault="00DB2773" w:rsidP="00D347C7">
      <w:pPr>
        <w:pStyle w:val="ListParagraph"/>
        <w:numPr>
          <w:ilvl w:val="0"/>
          <w:numId w:val="16"/>
        </w:numPr>
      </w:pPr>
      <w:r>
        <w:t>Encourages investment from potential shareholders</w:t>
      </w:r>
      <w:r w:rsidR="00FA23C9">
        <w:t>.</w:t>
      </w:r>
    </w:p>
    <w:p w14:paraId="2EDB7A42" w14:textId="2036FC35" w:rsidR="001E3A06" w:rsidRDefault="001E3A06" w:rsidP="00F03C79">
      <w:pPr>
        <w:keepNext/>
        <w:spacing w:after="60"/>
      </w:pPr>
      <w:r>
        <w:t>For charities and not-for-profits which engage in workplace giving, the benefits include:</w:t>
      </w:r>
    </w:p>
    <w:p w14:paraId="1B496F03" w14:textId="4657A88E" w:rsidR="00821FD5" w:rsidRDefault="00821FD5" w:rsidP="00D347C7">
      <w:pPr>
        <w:pStyle w:val="ListParagraph"/>
        <w:numPr>
          <w:ilvl w:val="0"/>
          <w:numId w:val="17"/>
        </w:numPr>
      </w:pPr>
      <w:r>
        <w:t>Decreases barriers in the intent to action stage of giving</w:t>
      </w:r>
    </w:p>
    <w:p w14:paraId="6A6EB9A3" w14:textId="5F780AF6" w:rsidR="001E3A06" w:rsidRDefault="001E3A06" w:rsidP="00D347C7">
      <w:pPr>
        <w:pStyle w:val="ListParagraph"/>
        <w:numPr>
          <w:ilvl w:val="0"/>
          <w:numId w:val="17"/>
        </w:numPr>
      </w:pPr>
      <w:r>
        <w:t>Uplift in funds raised, particularly where matching is involved</w:t>
      </w:r>
    </w:p>
    <w:p w14:paraId="2A600C91" w14:textId="21C6A4E8" w:rsidR="00F34E91" w:rsidRDefault="00F34E91" w:rsidP="00D347C7">
      <w:pPr>
        <w:pStyle w:val="ListParagraph"/>
        <w:numPr>
          <w:ilvl w:val="0"/>
          <w:numId w:val="17"/>
        </w:numPr>
      </w:pPr>
      <w:r>
        <w:t>Enables engagement with donor group on a regular and concentrated basis</w:t>
      </w:r>
    </w:p>
    <w:p w14:paraId="3AF8843A" w14:textId="50D9B381" w:rsidR="001E3A06" w:rsidRDefault="001E3A06" w:rsidP="00D347C7">
      <w:pPr>
        <w:pStyle w:val="ListParagraph"/>
        <w:numPr>
          <w:ilvl w:val="0"/>
          <w:numId w:val="17"/>
        </w:numPr>
      </w:pPr>
      <w:r>
        <w:t xml:space="preserve">Provides </w:t>
      </w:r>
      <w:r w:rsidR="00FA23C9">
        <w:t xml:space="preserve">a </w:t>
      </w:r>
      <w:r>
        <w:t xml:space="preserve">regular stream of income </w:t>
      </w:r>
      <w:r w:rsidR="00FA23C9">
        <w:t>which</w:t>
      </w:r>
      <w:r>
        <w:t xml:space="preserve"> enable</w:t>
      </w:r>
      <w:r w:rsidR="00FA23C9">
        <w:t>s</w:t>
      </w:r>
      <w:r>
        <w:t xml:space="preserve"> budgeting and planning</w:t>
      </w:r>
    </w:p>
    <w:p w14:paraId="119266D4" w14:textId="38DA28AB" w:rsidR="00F34E91" w:rsidRDefault="001E3A06" w:rsidP="00D347C7">
      <w:pPr>
        <w:pStyle w:val="ListParagraph"/>
        <w:numPr>
          <w:ilvl w:val="0"/>
          <w:numId w:val="17"/>
        </w:numPr>
      </w:pPr>
      <w:r>
        <w:t>Is one of, if not the</w:t>
      </w:r>
      <w:r w:rsidR="00FA23C9">
        <w:t>,</w:t>
      </w:r>
      <w:r>
        <w:t xml:space="preserve"> most efficient forms of fundraising</w:t>
      </w:r>
    </w:p>
    <w:p w14:paraId="6A288618" w14:textId="72F75F62" w:rsidR="00FA72D9" w:rsidRPr="00FA72D9" w:rsidRDefault="00FA72D9" w:rsidP="006C4396">
      <w:pPr>
        <w:keepNext/>
        <w:spacing w:after="60"/>
      </w:pPr>
      <w:r w:rsidRPr="00FA72D9">
        <w:t>For our society and economy, the benefits include:</w:t>
      </w:r>
    </w:p>
    <w:p w14:paraId="2FAD3730" w14:textId="34019773" w:rsidR="00FA72D9" w:rsidRDefault="00FA72D9" w:rsidP="00FA72D9">
      <w:pPr>
        <w:pStyle w:val="ListParagraph"/>
        <w:numPr>
          <w:ilvl w:val="0"/>
          <w:numId w:val="25"/>
        </w:numPr>
      </w:pPr>
      <w:r>
        <w:t>Increase in community participation and spirit</w:t>
      </w:r>
    </w:p>
    <w:p w14:paraId="232AF891" w14:textId="77777777" w:rsidR="00FA72D9" w:rsidRDefault="00FA72D9" w:rsidP="00FA72D9">
      <w:pPr>
        <w:pStyle w:val="ListParagraph"/>
        <w:numPr>
          <w:ilvl w:val="0"/>
          <w:numId w:val="25"/>
        </w:numPr>
      </w:pPr>
      <w:r>
        <w:t>Increase in productivity and innovation</w:t>
      </w:r>
    </w:p>
    <w:p w14:paraId="428E9B22" w14:textId="77777777" w:rsidR="00FA72D9" w:rsidRDefault="00FA72D9" w:rsidP="00FA72D9">
      <w:pPr>
        <w:pStyle w:val="ListParagraph"/>
        <w:numPr>
          <w:ilvl w:val="0"/>
          <w:numId w:val="25"/>
        </w:numPr>
      </w:pPr>
      <w:r>
        <w:t>Improved health and wellbeing</w:t>
      </w:r>
    </w:p>
    <w:p w14:paraId="73E233A0" w14:textId="77777777" w:rsidR="00FA72D9" w:rsidRDefault="00FA72D9" w:rsidP="00FA72D9">
      <w:pPr>
        <w:pStyle w:val="ListParagraph"/>
        <w:numPr>
          <w:ilvl w:val="0"/>
          <w:numId w:val="25"/>
        </w:numPr>
      </w:pPr>
      <w:r>
        <w:t>Additional funding for not for profit delivered services</w:t>
      </w:r>
    </w:p>
    <w:p w14:paraId="4513E263" w14:textId="23665489" w:rsidR="001E3A06" w:rsidRDefault="00FA72D9" w:rsidP="001E3A06">
      <w:pPr>
        <w:pStyle w:val="ListParagraph"/>
        <w:numPr>
          <w:ilvl w:val="0"/>
          <w:numId w:val="25"/>
        </w:numPr>
      </w:pPr>
      <w:r>
        <w:t>Improved sharing and leveraging of wealth.</w:t>
      </w:r>
    </w:p>
    <w:p w14:paraId="4221D2DC" w14:textId="035F9803" w:rsidR="00F8515A" w:rsidRPr="00552837" w:rsidRDefault="00F059E1" w:rsidP="00FE36B9">
      <w:pPr>
        <w:keepNext/>
        <w:spacing w:before="240" w:after="120"/>
        <w:rPr>
          <w:i/>
          <w:iCs/>
          <w:u w:val="single"/>
        </w:rPr>
      </w:pPr>
      <w:r w:rsidRPr="00552837">
        <w:rPr>
          <w:i/>
          <w:iCs/>
          <w:u w:val="single"/>
        </w:rPr>
        <w:lastRenderedPageBreak/>
        <w:t>Today’s</w:t>
      </w:r>
      <w:r w:rsidR="00F8515A" w:rsidRPr="00552837">
        <w:rPr>
          <w:i/>
          <w:iCs/>
          <w:u w:val="single"/>
        </w:rPr>
        <w:t xml:space="preserve"> Challenge</w:t>
      </w:r>
      <w:r w:rsidR="00DF7DD3" w:rsidRPr="00552837">
        <w:rPr>
          <w:i/>
          <w:iCs/>
          <w:u w:val="single"/>
        </w:rPr>
        <w:t xml:space="preserve"> for Driving Workplace Giving</w:t>
      </w:r>
    </w:p>
    <w:p w14:paraId="2DC39191" w14:textId="6D520B9A" w:rsidR="00E34854" w:rsidRDefault="00E467E1" w:rsidP="005B28EF">
      <w:pPr>
        <w:spacing w:after="120"/>
      </w:pPr>
      <w:r>
        <w:t xml:space="preserve">Of the </w:t>
      </w:r>
      <w:r w:rsidR="00DF7DD3">
        <w:t>13.8</w:t>
      </w:r>
      <w:r w:rsidR="003F230D">
        <w:t xml:space="preserve"> </w:t>
      </w:r>
      <w:r w:rsidR="00DF7DD3">
        <w:t>m</w:t>
      </w:r>
      <w:r w:rsidR="003F230D">
        <w:t>illion</w:t>
      </w:r>
      <w:r w:rsidR="00DF7DD3">
        <w:t xml:space="preserve"> working Australians, around 4 million have access to a workplace giving program. </w:t>
      </w:r>
      <w:r w:rsidR="00686149">
        <w:t>Of these, less than 5% elect to avail themselves of its benefits</w:t>
      </w:r>
      <w:r w:rsidR="00041765">
        <w:t>. This represents less than 2% of the total</w:t>
      </w:r>
      <w:r w:rsidR="00686149">
        <w:t>.</w:t>
      </w:r>
      <w:r w:rsidR="00041765">
        <w:t xml:space="preserve"> At the same time, over 65% of Australians are actively donating to charities each year and over 70% of businesses do likewise. </w:t>
      </w:r>
      <w:r w:rsidR="0078429B">
        <w:t>Hence,</w:t>
      </w:r>
      <w:r w:rsidR="00041765">
        <w:t xml:space="preserve"> the problem for </w:t>
      </w:r>
      <w:r w:rsidR="00F44554">
        <w:t xml:space="preserve">the workforce </w:t>
      </w:r>
      <w:r w:rsidR="00041765">
        <w:t xml:space="preserve">is the disconnect it has with </w:t>
      </w:r>
      <w:r w:rsidR="00F44554">
        <w:t>their employers</w:t>
      </w:r>
      <w:r w:rsidR="002A2758">
        <w:t xml:space="preserve"> (and vice versa)</w:t>
      </w:r>
      <w:r w:rsidR="00041765">
        <w:t>, it is not in the commitment of either party to philanthropy.</w:t>
      </w:r>
    </w:p>
    <w:p w14:paraId="49744BF6" w14:textId="1FF0DA44" w:rsidR="00041765" w:rsidRDefault="00E34854" w:rsidP="005B28EF">
      <w:pPr>
        <w:spacing w:after="120"/>
      </w:pPr>
      <w:r>
        <w:t>By contrast, organisations with a strong program and enablement of workplace giving boast participation rates of over 2</w:t>
      </w:r>
      <w:r w:rsidR="00BB659A">
        <w:t>0</w:t>
      </w:r>
      <w:r>
        <w:t>% with many reaching over 60%</w:t>
      </w:r>
      <w:r>
        <w:rPr>
          <w:rStyle w:val="FootnoteReference"/>
        </w:rPr>
        <w:footnoteReference w:id="11"/>
      </w:r>
      <w:r>
        <w:t xml:space="preserve">. </w:t>
      </w:r>
      <w:r w:rsidR="006A4AAF">
        <w:t xml:space="preserve">Similarly, in the US where workplace giving is commonly expected, the average participation rate is </w:t>
      </w:r>
      <w:proofErr w:type="spellStart"/>
      <w:r w:rsidR="006B7F25">
        <w:t>c.25</w:t>
      </w:r>
      <w:proofErr w:type="spellEnd"/>
      <w:r w:rsidR="006B7F25">
        <w:t>%.</w:t>
      </w:r>
    </w:p>
    <w:p w14:paraId="452924B3" w14:textId="6702FED1" w:rsidR="00AF7B72" w:rsidRPr="00051675" w:rsidRDefault="00863A50" w:rsidP="00863A50">
      <w:pPr>
        <w:spacing w:before="360" w:after="0"/>
        <w:rPr>
          <w:b/>
          <w:bCs/>
        </w:rPr>
      </w:pPr>
      <w:r>
        <w:rPr>
          <w:b/>
          <w:bCs/>
        </w:rPr>
        <w:t>Observations and</w:t>
      </w:r>
      <w:r w:rsidR="00AF7B72">
        <w:rPr>
          <w:b/>
          <w:bCs/>
        </w:rPr>
        <w:t xml:space="preserve"> Recommendations </w:t>
      </w:r>
    </w:p>
    <w:p w14:paraId="187FA080" w14:textId="4B9C1765" w:rsidR="00184CB3" w:rsidRPr="005437D4" w:rsidRDefault="00AF7B72" w:rsidP="00FE36B9">
      <w:pPr>
        <w:keepNext/>
        <w:spacing w:before="240" w:after="120"/>
        <w:rPr>
          <w:i/>
          <w:iCs/>
          <w:u w:val="single"/>
        </w:rPr>
      </w:pPr>
      <w:r w:rsidRPr="005437D4">
        <w:rPr>
          <w:i/>
          <w:iCs/>
          <w:u w:val="single"/>
        </w:rPr>
        <w:t>C</w:t>
      </w:r>
      <w:r w:rsidR="00394331" w:rsidRPr="005437D4">
        <w:rPr>
          <w:i/>
          <w:iCs/>
          <w:u w:val="single"/>
        </w:rPr>
        <w:t xml:space="preserve">reating </w:t>
      </w:r>
      <w:r w:rsidR="004F25ED" w:rsidRPr="005437D4">
        <w:rPr>
          <w:i/>
          <w:iCs/>
          <w:u w:val="single"/>
        </w:rPr>
        <w:t xml:space="preserve">and Enabling </w:t>
      </w:r>
      <w:r w:rsidR="00394331" w:rsidRPr="005437D4">
        <w:rPr>
          <w:i/>
          <w:iCs/>
          <w:u w:val="single"/>
        </w:rPr>
        <w:t>an Environment of Giving</w:t>
      </w:r>
      <w:r w:rsidR="004F25ED" w:rsidRPr="005437D4">
        <w:rPr>
          <w:i/>
          <w:iCs/>
          <w:u w:val="single"/>
        </w:rPr>
        <w:t xml:space="preserve"> as Part of Everyday Life</w:t>
      </w:r>
    </w:p>
    <w:p w14:paraId="7F23DD18" w14:textId="3BA82D48" w:rsidR="00394331" w:rsidRDefault="22E15E18" w:rsidP="005B28EF">
      <w:pPr>
        <w:spacing w:after="120"/>
      </w:pPr>
      <w:r>
        <w:t xml:space="preserve">While Australia rates well on an international giving index, </w:t>
      </w:r>
      <w:r w:rsidR="163B57BB">
        <w:t xml:space="preserve">we can do more to promote and instil </w:t>
      </w:r>
      <w:r>
        <w:t>a culture of giving that permeates our society</w:t>
      </w:r>
      <w:r w:rsidR="163B57BB">
        <w:t xml:space="preserve"> and makes it a part of </w:t>
      </w:r>
      <w:r w:rsidR="6339F744">
        <w:t>everyday</w:t>
      </w:r>
      <w:r w:rsidR="163B57BB">
        <w:t xml:space="preserve"> life</w:t>
      </w:r>
      <w:r w:rsidR="6FDDAC00">
        <w:t xml:space="preserve">. </w:t>
      </w:r>
      <w:r w:rsidR="40F1E27A">
        <w:t>We can do more to enhance this DNA</w:t>
      </w:r>
      <w:r w:rsidR="3ACB0D14">
        <w:t xml:space="preserve"> and uplift the environment to support giving</w:t>
      </w:r>
      <w:r w:rsidR="445C5DE0">
        <w:t xml:space="preserve"> more broadly</w:t>
      </w:r>
      <w:r w:rsidR="40F1E27A">
        <w:t xml:space="preserve"> by</w:t>
      </w:r>
      <w:r w:rsidR="445C5DE0">
        <w:t xml:space="preserve"> taking steps on</w:t>
      </w:r>
      <w:r w:rsidR="5EEE100B">
        <w:t xml:space="preserve"> the following seven areas</w:t>
      </w:r>
      <w:r w:rsidR="40F1E27A">
        <w:t>:</w:t>
      </w:r>
    </w:p>
    <w:p w14:paraId="21BB8F27" w14:textId="085A07C4" w:rsidR="00571D54" w:rsidRDefault="3ACB0D14" w:rsidP="00C94142">
      <w:pPr>
        <w:pStyle w:val="ListParagraph"/>
        <w:numPr>
          <w:ilvl w:val="0"/>
          <w:numId w:val="28"/>
        </w:numPr>
        <w:spacing w:after="120"/>
        <w:ind w:left="0" w:firstLine="0"/>
      </w:pPr>
      <w:r w:rsidRPr="00C62293">
        <w:rPr>
          <w:b/>
          <w:bCs/>
        </w:rPr>
        <w:t>Awareness of Workplace Giving</w:t>
      </w:r>
      <w:r w:rsidR="7BDEA471" w:rsidRPr="00C62293">
        <w:rPr>
          <w:b/>
          <w:bCs/>
        </w:rPr>
        <w:t xml:space="preserve"> and its benefits</w:t>
      </w:r>
      <w:r>
        <w:t xml:space="preserve">: </w:t>
      </w:r>
      <w:r w:rsidR="01B8A208">
        <w:t>Given the obvious benefits to all of workplace giving</w:t>
      </w:r>
      <w:r w:rsidR="544CCFE7">
        <w:t>, there is a clear disconnect. This</w:t>
      </w:r>
      <w:r w:rsidR="7AFB93F5">
        <w:t xml:space="preserve"> disconnect</w:t>
      </w:r>
      <w:r w:rsidR="544CCFE7">
        <w:t xml:space="preserve"> is in </w:t>
      </w:r>
      <w:r w:rsidR="51832B14">
        <w:t xml:space="preserve">large </w:t>
      </w:r>
      <w:r w:rsidR="544CCFE7">
        <w:t xml:space="preserve">part due to a lack of awareness on both the availability </w:t>
      </w:r>
      <w:r w:rsidR="7AFB93F5">
        <w:t>of</w:t>
      </w:r>
      <w:r w:rsidR="544CCFE7">
        <w:t xml:space="preserve"> programs for workplace giving, and</w:t>
      </w:r>
      <w:r w:rsidR="7AFB93F5">
        <w:t xml:space="preserve">/or </w:t>
      </w:r>
      <w:r w:rsidR="544CCFE7">
        <w:t xml:space="preserve">on the </w:t>
      </w:r>
      <w:r w:rsidR="470D6166">
        <w:t>positive</w:t>
      </w:r>
      <w:r w:rsidR="544CCFE7">
        <w:t xml:space="preserve"> </w:t>
      </w:r>
      <w:r w:rsidR="7AFB93F5">
        <w:t>impact on charities and causes where adopted.</w:t>
      </w:r>
      <w:r w:rsidR="544CCFE7">
        <w:t xml:space="preserve"> </w:t>
      </w:r>
      <w:r w:rsidR="55F67FCB">
        <w:t>It is also likely that in some quarters there is a lack of urgency or commitment; this would also be addressed by an increase in awareness and an increase in the ability of the workers to demand support and enablement from their employers.</w:t>
      </w:r>
    </w:p>
    <w:tbl>
      <w:tblPr>
        <w:tblStyle w:val="TableGrid"/>
        <w:tblW w:w="0" w:type="auto"/>
        <w:tblLook w:val="04A0" w:firstRow="1" w:lastRow="0" w:firstColumn="1" w:lastColumn="0" w:noHBand="0" w:noVBand="1"/>
      </w:tblPr>
      <w:tblGrid>
        <w:gridCol w:w="9016"/>
      </w:tblGrid>
      <w:tr w:rsidR="00C31069" w14:paraId="4ECA83B6" w14:textId="77777777" w:rsidTr="005A46D7">
        <w:tc>
          <w:tcPr>
            <w:tcW w:w="9016" w:type="dxa"/>
            <w:shd w:val="clear" w:color="auto" w:fill="F2F2F2" w:themeFill="background1" w:themeFillShade="F2"/>
          </w:tcPr>
          <w:p w14:paraId="6DAE323F" w14:textId="559BC54D" w:rsidR="00C31069" w:rsidRDefault="5EEE100B" w:rsidP="0023442F">
            <w:pPr>
              <w:spacing w:before="120" w:after="120"/>
              <w:ind w:left="284" w:right="284"/>
            </w:pPr>
            <w:r w:rsidRPr="0023442F">
              <w:rPr>
                <w:b/>
                <w:bCs/>
              </w:rPr>
              <w:t>Recommendation 1</w:t>
            </w:r>
            <w:r w:rsidR="1F788491" w:rsidRPr="0023442F">
              <w:rPr>
                <w:b/>
                <w:bCs/>
              </w:rPr>
              <w:t>.1</w:t>
            </w:r>
            <w:r w:rsidRPr="0023442F">
              <w:rPr>
                <w:b/>
                <w:bCs/>
              </w:rPr>
              <w:t>:</w:t>
            </w:r>
            <w:r>
              <w:t xml:space="preserve"> </w:t>
            </w:r>
            <w:r w:rsidR="1F788491">
              <w:t xml:space="preserve">Workplace giving in concert with </w:t>
            </w:r>
            <w:r w:rsidR="00BF5919">
              <w:t>c</w:t>
            </w:r>
            <w:r w:rsidR="1F788491">
              <w:t>orporate giving be included as a primary pillar in the Federal Government’s strategy for increasing philanthropy.</w:t>
            </w:r>
            <w:r w:rsidR="003439B5">
              <w:t xml:space="preserve"> </w:t>
            </w:r>
          </w:p>
        </w:tc>
      </w:tr>
    </w:tbl>
    <w:p w14:paraId="01AB3902" w14:textId="77777777" w:rsidR="00C31069" w:rsidRDefault="00C31069" w:rsidP="00C10667"/>
    <w:tbl>
      <w:tblPr>
        <w:tblStyle w:val="TableGrid"/>
        <w:tblW w:w="0" w:type="auto"/>
        <w:tblLook w:val="04A0" w:firstRow="1" w:lastRow="0" w:firstColumn="1" w:lastColumn="0" w:noHBand="0" w:noVBand="1"/>
      </w:tblPr>
      <w:tblGrid>
        <w:gridCol w:w="9016"/>
      </w:tblGrid>
      <w:tr w:rsidR="00CC4116" w14:paraId="79CD1675" w14:textId="77777777" w:rsidTr="005A46D7">
        <w:tc>
          <w:tcPr>
            <w:tcW w:w="9016" w:type="dxa"/>
            <w:shd w:val="clear" w:color="auto" w:fill="F2F2F2" w:themeFill="background1" w:themeFillShade="F2"/>
          </w:tcPr>
          <w:p w14:paraId="6781CE1D" w14:textId="79483904" w:rsidR="00CC4116" w:rsidRDefault="00CC4116" w:rsidP="0023442F">
            <w:pPr>
              <w:spacing w:before="120" w:after="120"/>
              <w:ind w:left="284" w:right="284"/>
            </w:pPr>
            <w:r w:rsidRPr="00EB703F">
              <w:rPr>
                <w:b/>
                <w:bCs/>
              </w:rPr>
              <w:t>Recommendation 1</w:t>
            </w:r>
            <w:r>
              <w:rPr>
                <w:b/>
                <w:bCs/>
              </w:rPr>
              <w:t>.2</w:t>
            </w:r>
            <w:r w:rsidRPr="00EB703F">
              <w:rPr>
                <w:b/>
                <w:bCs/>
              </w:rPr>
              <w:t>:</w:t>
            </w:r>
            <w:r w:rsidRPr="0023442F">
              <w:rPr>
                <w:b/>
                <w:bCs/>
              </w:rPr>
              <w:t xml:space="preserve"> </w:t>
            </w:r>
            <w:r w:rsidRPr="0023442F">
              <w:t>A nationwide campaign promoting Workplace giving and encouraging workers to demand action by their employers will have an immediate impact on the 4</w:t>
            </w:r>
            <w:r w:rsidR="00076C4B" w:rsidRPr="0023442F">
              <w:t xml:space="preserve"> </w:t>
            </w:r>
            <w:r w:rsidRPr="0023442F">
              <w:t>million plus workers that have access to payroll giving (including 80% of those employed in Government) and motivate the additional 10 million to demand better. For every additional 1% of participation, the prize for charities is conservatively over $50</w:t>
            </w:r>
            <w:r w:rsidR="006929F2">
              <w:t xml:space="preserve"> </w:t>
            </w:r>
            <w:r w:rsidRPr="0023442F">
              <w:t>m</w:t>
            </w:r>
            <w:r w:rsidR="006929F2">
              <w:t>illion</w:t>
            </w:r>
            <w:r w:rsidRPr="0023442F">
              <w:t xml:space="preserve"> in new funds annually. </w:t>
            </w:r>
          </w:p>
        </w:tc>
      </w:tr>
    </w:tbl>
    <w:p w14:paraId="0FA8C33D" w14:textId="77777777" w:rsidR="00CC4116" w:rsidRDefault="00CC4116" w:rsidP="00C10667"/>
    <w:p w14:paraId="6722E40F" w14:textId="5E1C1F37" w:rsidR="00655A4F" w:rsidRPr="00EB703F" w:rsidRDefault="00765DDD" w:rsidP="009A5E52">
      <w:pPr>
        <w:pStyle w:val="ListParagraph"/>
        <w:numPr>
          <w:ilvl w:val="0"/>
          <w:numId w:val="28"/>
        </w:numPr>
        <w:spacing w:after="120"/>
        <w:ind w:left="0" w:firstLine="0"/>
      </w:pPr>
      <w:r w:rsidRPr="009A5E52">
        <w:rPr>
          <w:b/>
          <w:bCs/>
        </w:rPr>
        <w:t xml:space="preserve">Transparency on Donated Funds and fundraising aggregator business models: </w:t>
      </w:r>
      <w:r w:rsidRPr="00EB703F">
        <w:t xml:space="preserve">Donor uncertainty and negative impacts on charities are being created by a lack of transparency and consistency in the way in which channel aggregators operate, the costs and the timing of funds distribution. </w:t>
      </w:r>
    </w:p>
    <w:p w14:paraId="605DE06F" w14:textId="0A216E00" w:rsidR="00655A4F" w:rsidRDefault="4EEC9970" w:rsidP="005B28EF">
      <w:pPr>
        <w:spacing w:after="120"/>
      </w:pPr>
      <w:r>
        <w:t xml:space="preserve">There is no oversight on the </w:t>
      </w:r>
      <w:r w:rsidR="22F60903">
        <w:t>way</w:t>
      </w:r>
      <w:r>
        <w:t xml:space="preserve"> donor funds are treated and the way in which intermediary or aggregator o</w:t>
      </w:r>
      <w:r w:rsidR="01059087">
        <w:t>perators, including charities, deal with these funds. While there are multiple models in play which encourages competition and choice, there are also avenues for thwarting or delaying the intent of the donor.</w:t>
      </w:r>
    </w:p>
    <w:p w14:paraId="5EA3118E" w14:textId="62E7F1E1" w:rsidR="001C16E6" w:rsidRDefault="01059087" w:rsidP="005B28EF">
      <w:pPr>
        <w:spacing w:after="120"/>
      </w:pPr>
      <w:r>
        <w:lastRenderedPageBreak/>
        <w:t xml:space="preserve">One area to address is the flow of funds and the opaqueness that currently exists. Where fundraising activities take place such as peer-to-peer events (for example </w:t>
      </w:r>
      <w:proofErr w:type="spellStart"/>
      <w:r>
        <w:t>Steptember</w:t>
      </w:r>
      <w:proofErr w:type="spellEnd"/>
      <w:r>
        <w:t xml:space="preserve">, </w:t>
      </w:r>
      <w:proofErr w:type="spellStart"/>
      <w:r>
        <w:t>Movember</w:t>
      </w:r>
      <w:proofErr w:type="spellEnd"/>
      <w:r>
        <w:t xml:space="preserve"> &amp;c.) funds are aggregated by a peer-to-peer provider. Similarly, where payroll deductions are being made, there is often a 3</w:t>
      </w:r>
      <w:r w:rsidRPr="721DB9EC">
        <w:rPr>
          <w:vertAlign w:val="superscript"/>
        </w:rPr>
        <w:t>rd</w:t>
      </w:r>
      <w:r>
        <w:t xml:space="preserve"> party that collects the </w:t>
      </w:r>
      <w:r w:rsidR="03083A7B">
        <w:t>pay run</w:t>
      </w:r>
      <w:r>
        <w:t xml:space="preserve"> funds and then distributes them to charities. </w:t>
      </w:r>
    </w:p>
    <w:p w14:paraId="391173A3" w14:textId="28EECEB7" w:rsidR="001C16E6" w:rsidRDefault="01059087" w:rsidP="005B28EF">
      <w:pPr>
        <w:spacing w:after="120"/>
      </w:pPr>
      <w:r>
        <w:t xml:space="preserve">For large companies, there are obligations to report and comply with expectations on payment terms to smaller suppliers. There is no such restriction with charitable donations and funds can be held for </w:t>
      </w:r>
      <w:r w:rsidR="27582B20">
        <w:t>prolonged periods</w:t>
      </w:r>
      <w:r>
        <w:t xml:space="preserve"> before being accounted for to the charities. Where this is part of the expectation of the donor and the charity, there is no foul. However, in many cases this is not made clear to either o</w:t>
      </w:r>
      <w:r w:rsidR="3F4B1D37">
        <w:t>r</w:t>
      </w:r>
      <w:r>
        <w:t xml:space="preserve"> </w:t>
      </w:r>
      <w:bookmarkStart w:id="3" w:name="_Int_57KLsUZd"/>
      <w:r>
        <w:t>both of these</w:t>
      </w:r>
      <w:bookmarkEnd w:id="3"/>
      <w:r>
        <w:t xml:space="preserve"> stakeholders.</w:t>
      </w:r>
    </w:p>
    <w:tbl>
      <w:tblPr>
        <w:tblStyle w:val="TableGrid"/>
        <w:tblW w:w="0" w:type="auto"/>
        <w:tblLook w:val="04A0" w:firstRow="1" w:lastRow="0" w:firstColumn="1" w:lastColumn="0" w:noHBand="0" w:noVBand="1"/>
      </w:tblPr>
      <w:tblGrid>
        <w:gridCol w:w="9016"/>
      </w:tblGrid>
      <w:tr w:rsidR="00244810" w14:paraId="364CDADA" w14:textId="77777777" w:rsidTr="00F21817">
        <w:tc>
          <w:tcPr>
            <w:tcW w:w="9016" w:type="dxa"/>
            <w:shd w:val="clear" w:color="auto" w:fill="F2F2F2" w:themeFill="background1" w:themeFillShade="F2"/>
          </w:tcPr>
          <w:p w14:paraId="5BFA8F00" w14:textId="0B90E5BC" w:rsidR="00244810" w:rsidRPr="0023442F" w:rsidRDefault="4746D2BB" w:rsidP="0023442F">
            <w:pPr>
              <w:spacing w:before="120" w:after="120"/>
              <w:ind w:left="284" w:right="284"/>
              <w:rPr>
                <w:b/>
                <w:bCs/>
              </w:rPr>
            </w:pPr>
            <w:r w:rsidRPr="721DB9EC">
              <w:rPr>
                <w:b/>
                <w:bCs/>
              </w:rPr>
              <w:t>Recommendation 2:</w:t>
            </w:r>
            <w:r w:rsidRPr="0023442F">
              <w:rPr>
                <w:b/>
                <w:bCs/>
              </w:rPr>
              <w:t xml:space="preserve"> </w:t>
            </w:r>
            <w:r w:rsidRPr="0023442F">
              <w:t>The introduction of a register as the Payment Times Reports Register (</w:t>
            </w:r>
            <w:bookmarkStart w:id="4" w:name="_Int_4caPdJeS"/>
            <w:r w:rsidRPr="0023442F">
              <w:t>perhaps even</w:t>
            </w:r>
            <w:bookmarkEnd w:id="4"/>
            <w:r w:rsidRPr="0023442F">
              <w:t xml:space="preserve"> within the same framework) supported by similar conditions on reporting obligations would be a simple method to address this aspect and ensure the right thing is not only being </w:t>
            </w:r>
            <w:r w:rsidR="00DD75EB" w:rsidRPr="0023442F">
              <w:t>done but</w:t>
            </w:r>
            <w:r w:rsidRPr="0023442F">
              <w:t xml:space="preserve"> is being seen to be done.</w:t>
            </w:r>
          </w:p>
        </w:tc>
      </w:tr>
    </w:tbl>
    <w:p w14:paraId="2B2E8B50" w14:textId="77777777" w:rsidR="00244810" w:rsidRDefault="00244810" w:rsidP="00EB703F"/>
    <w:p w14:paraId="1571E9B1" w14:textId="06EB140E" w:rsidR="00655A4F" w:rsidRDefault="00B51CAE" w:rsidP="005B28EF">
      <w:pPr>
        <w:pStyle w:val="ListParagraph"/>
        <w:numPr>
          <w:ilvl w:val="0"/>
          <w:numId w:val="19"/>
        </w:numPr>
        <w:spacing w:after="120"/>
        <w:ind w:left="0" w:firstLine="0"/>
        <w:contextualSpacing w:val="0"/>
      </w:pPr>
      <w:r w:rsidRPr="00244810">
        <w:rPr>
          <w:b/>
          <w:bCs/>
        </w:rPr>
        <w:t xml:space="preserve">Reduction of </w:t>
      </w:r>
      <w:r w:rsidR="00765DDD" w:rsidRPr="00244810">
        <w:rPr>
          <w:b/>
          <w:bCs/>
        </w:rPr>
        <w:t xml:space="preserve">Avoidable </w:t>
      </w:r>
      <w:r w:rsidR="00EC7BBE" w:rsidRPr="00244810">
        <w:rPr>
          <w:b/>
          <w:bCs/>
        </w:rPr>
        <w:t>Giving Aggregation Overheads:</w:t>
      </w:r>
      <w:r w:rsidR="00EC7BBE">
        <w:t xml:space="preserve"> All aggregated giving from payroll giving to peer-to-peer event fundraising suffer from friction costs created by the lack of standards in information and technology. </w:t>
      </w:r>
      <w:r w:rsidR="003F7A7B">
        <w:t>It is estimated that the total costs expended that could be recovered from harmonisation exceeds $</w:t>
      </w:r>
      <w:proofErr w:type="spellStart"/>
      <w:r w:rsidR="003F7A7B">
        <w:t>500m</w:t>
      </w:r>
      <w:proofErr w:type="spellEnd"/>
      <w:r w:rsidR="003F7A7B">
        <w:t xml:space="preserve"> per annum. </w:t>
      </w:r>
      <w:r w:rsidR="00655A4F">
        <w:t>Unlike profit sectors with private enterprise drivers, there is no motivator for consolidation and harmonisation on back-end elements such as data parameters and technology standards. This leads to extensive duplication of effort, not only for the aggregators and corporates, but mostly for charities as they look to service the needs of a legion of third parties.</w:t>
      </w:r>
    </w:p>
    <w:p w14:paraId="2484994A" w14:textId="77777777" w:rsidR="00244810" w:rsidRDefault="00244810" w:rsidP="00244810">
      <w:pPr>
        <w:pStyle w:val="ListParagraph"/>
        <w:ind w:left="-142"/>
      </w:pPr>
    </w:p>
    <w:tbl>
      <w:tblPr>
        <w:tblStyle w:val="TableGrid"/>
        <w:tblW w:w="0" w:type="auto"/>
        <w:tblLook w:val="04A0" w:firstRow="1" w:lastRow="0" w:firstColumn="1" w:lastColumn="0" w:noHBand="0" w:noVBand="1"/>
      </w:tblPr>
      <w:tblGrid>
        <w:gridCol w:w="9016"/>
      </w:tblGrid>
      <w:tr w:rsidR="00244810" w14:paraId="7B0BEE0E" w14:textId="77777777" w:rsidTr="00F21817">
        <w:tc>
          <w:tcPr>
            <w:tcW w:w="9016" w:type="dxa"/>
            <w:shd w:val="clear" w:color="auto" w:fill="F2F2F2" w:themeFill="background1" w:themeFillShade="F2"/>
          </w:tcPr>
          <w:p w14:paraId="07D7C0CB" w14:textId="2CAD08BC" w:rsidR="00244810" w:rsidRPr="0023442F" w:rsidRDefault="4746D2BB" w:rsidP="0023442F">
            <w:pPr>
              <w:spacing w:before="120" w:after="120"/>
              <w:ind w:left="284" w:right="284"/>
              <w:rPr>
                <w:b/>
                <w:bCs/>
              </w:rPr>
            </w:pPr>
            <w:r w:rsidRPr="721DB9EC">
              <w:rPr>
                <w:b/>
                <w:bCs/>
              </w:rPr>
              <w:t>Recommendation 3</w:t>
            </w:r>
            <w:r w:rsidR="61C57348" w:rsidRPr="721DB9EC">
              <w:rPr>
                <w:b/>
                <w:bCs/>
              </w:rPr>
              <w:t>.1</w:t>
            </w:r>
            <w:r w:rsidRPr="721DB9EC">
              <w:rPr>
                <w:b/>
                <w:bCs/>
              </w:rPr>
              <w:t>:</w:t>
            </w:r>
            <w:r w:rsidRPr="0023442F">
              <w:rPr>
                <w:b/>
                <w:bCs/>
              </w:rPr>
              <w:t xml:space="preserve"> </w:t>
            </w:r>
            <w:r w:rsidRPr="0023442F">
              <w:t xml:space="preserve">Establishing (or endorsing) an industry body with oversight for developing a set of standards on data and technologies for charitable purposes would complement the current </w:t>
            </w:r>
            <w:proofErr w:type="spellStart"/>
            <w:r w:rsidR="74C5E518" w:rsidRPr="0023442F">
              <w:t>ACNC</w:t>
            </w:r>
            <w:proofErr w:type="spellEnd"/>
            <w:r w:rsidR="74C5E518" w:rsidRPr="0023442F">
              <w:t xml:space="preserve"> (Australian Charities and Not for profits Commission)</w:t>
            </w:r>
            <w:r w:rsidRPr="0023442F">
              <w:t xml:space="preserve"> data and enable a reduction in the costs which place a drain on the donation pool and the percent which flows to the causes for which donations are made.</w:t>
            </w:r>
          </w:p>
        </w:tc>
      </w:tr>
    </w:tbl>
    <w:p w14:paraId="4771DA6F" w14:textId="77777777" w:rsidR="00244810" w:rsidRDefault="00244810" w:rsidP="00244810"/>
    <w:tbl>
      <w:tblPr>
        <w:tblStyle w:val="TableGrid"/>
        <w:tblW w:w="0" w:type="auto"/>
        <w:tblLook w:val="04A0" w:firstRow="1" w:lastRow="0" w:firstColumn="1" w:lastColumn="0" w:noHBand="0" w:noVBand="1"/>
      </w:tblPr>
      <w:tblGrid>
        <w:gridCol w:w="9016"/>
      </w:tblGrid>
      <w:tr w:rsidR="00263B1F" w14:paraId="57EB05FB" w14:textId="77777777" w:rsidTr="00F21817">
        <w:tc>
          <w:tcPr>
            <w:tcW w:w="9016" w:type="dxa"/>
            <w:shd w:val="clear" w:color="auto" w:fill="F2F2F2" w:themeFill="background1" w:themeFillShade="F2"/>
          </w:tcPr>
          <w:p w14:paraId="3AF8052B" w14:textId="27B858E1" w:rsidR="00263B1F" w:rsidRDefault="00263B1F" w:rsidP="0023442F">
            <w:pPr>
              <w:spacing w:before="120" w:after="120"/>
              <w:ind w:left="284" w:right="284"/>
            </w:pPr>
            <w:r w:rsidRPr="00244810">
              <w:rPr>
                <w:b/>
                <w:bCs/>
              </w:rPr>
              <w:t>Recommendation 3</w:t>
            </w:r>
            <w:r>
              <w:rPr>
                <w:b/>
                <w:bCs/>
              </w:rPr>
              <w:t>.2</w:t>
            </w:r>
            <w:r w:rsidRPr="00244810">
              <w:rPr>
                <w:b/>
                <w:bCs/>
              </w:rPr>
              <w:t>:</w:t>
            </w:r>
            <w:r w:rsidRPr="0023442F">
              <w:rPr>
                <w:b/>
                <w:bCs/>
              </w:rPr>
              <w:t xml:space="preserve"> </w:t>
            </w:r>
            <w:r w:rsidRPr="0023442F">
              <w:t>Establish a Donor ID (or Social Giving Number) which enables a donor to manage their data independently and regardless of platform being interacted with. Will also enable porting of history to new employment in same manner as mobile phone numbers can be transferred to new providers.</w:t>
            </w:r>
          </w:p>
        </w:tc>
      </w:tr>
    </w:tbl>
    <w:p w14:paraId="7872BDC6" w14:textId="77777777" w:rsidR="00263B1F" w:rsidRDefault="00263B1F" w:rsidP="00244810"/>
    <w:p w14:paraId="2B7DCD0B" w14:textId="6D1908B8" w:rsidR="00244810" w:rsidRDefault="7D622AF7" w:rsidP="005B28EF">
      <w:pPr>
        <w:pStyle w:val="ListParagraph"/>
        <w:numPr>
          <w:ilvl w:val="0"/>
          <w:numId w:val="19"/>
        </w:numPr>
        <w:spacing w:after="120"/>
        <w:ind w:left="0" w:firstLine="0"/>
        <w:contextualSpacing w:val="0"/>
      </w:pPr>
      <w:r w:rsidRPr="721DB9EC">
        <w:rPr>
          <w:b/>
          <w:bCs/>
        </w:rPr>
        <w:t xml:space="preserve">Removal of </w:t>
      </w:r>
      <w:r w:rsidR="59276CCF" w:rsidRPr="721DB9EC">
        <w:rPr>
          <w:b/>
          <w:bCs/>
        </w:rPr>
        <w:t>Barriers to Adoption</w:t>
      </w:r>
      <w:r w:rsidR="087D7C04" w:rsidRPr="721DB9EC">
        <w:rPr>
          <w:b/>
          <w:bCs/>
        </w:rPr>
        <w:t xml:space="preserve"> in the Workplace</w:t>
      </w:r>
      <w:r w:rsidR="59276CCF" w:rsidRPr="721DB9EC">
        <w:rPr>
          <w:b/>
          <w:bCs/>
        </w:rPr>
        <w:t>:</w:t>
      </w:r>
      <w:r w:rsidR="59276CCF">
        <w:t xml:space="preserve"> </w:t>
      </w:r>
      <w:r w:rsidR="24532FDB">
        <w:t xml:space="preserve">Corporates are </w:t>
      </w:r>
      <w:bookmarkStart w:id="5" w:name="_Int_4tnSy7KM"/>
      <w:r w:rsidR="24532FDB">
        <w:t>largely risk</w:t>
      </w:r>
      <w:bookmarkEnd w:id="5"/>
      <w:r w:rsidR="24532FDB">
        <w:t xml:space="preserve"> averse</w:t>
      </w:r>
      <w:r w:rsidR="05E7B38D">
        <w:t>. Hence, where they believe there is a risk, they will make decisions that they consider appropriate to mitigate or eliminate that risk. This applies to elements such as verification of the charities with which they engage and on aspects of a workplace program that may incur a negative reputational risk</w:t>
      </w:r>
      <w:r w:rsidR="0B05629F">
        <w:t xml:space="preserve">. </w:t>
      </w:r>
      <w:r w:rsidR="58C653AE">
        <w:t>The elements of verification and e</w:t>
      </w:r>
      <w:r w:rsidR="5AC268CD">
        <w:t>ase of adoption</w:t>
      </w:r>
      <w:r w:rsidR="58C653AE">
        <w:t>,</w:t>
      </w:r>
      <w:r w:rsidR="5AC268CD">
        <w:t xml:space="preserve"> including use of opt-out in employment and the unintended consequences of </w:t>
      </w:r>
      <w:proofErr w:type="spellStart"/>
      <w:r w:rsidR="5AC268CD">
        <w:t>s.324</w:t>
      </w:r>
      <w:proofErr w:type="spellEnd"/>
      <w:r w:rsidR="5AC268CD">
        <w:t xml:space="preserve"> of the Fair Work Act</w:t>
      </w:r>
      <w:r w:rsidR="58C653AE">
        <w:t>, are consistent themes in this area</w:t>
      </w:r>
      <w:r w:rsidR="250C8A67">
        <w:t>.</w:t>
      </w:r>
    </w:p>
    <w:p w14:paraId="724E5DD4" w14:textId="42B4C1DB" w:rsidR="00803468" w:rsidRPr="000274B9" w:rsidRDefault="000274B9" w:rsidP="005B28EF">
      <w:pPr>
        <w:pStyle w:val="ListParagraph"/>
        <w:spacing w:after="120"/>
        <w:ind w:left="0"/>
        <w:contextualSpacing w:val="0"/>
      </w:pPr>
      <w:r>
        <w:t xml:space="preserve">Programs that use opt-out have on average a 15-20% higher uptake than those without. </w:t>
      </w:r>
    </w:p>
    <w:tbl>
      <w:tblPr>
        <w:tblStyle w:val="TableGrid"/>
        <w:tblW w:w="0" w:type="auto"/>
        <w:tblInd w:w="137" w:type="dxa"/>
        <w:tblLook w:val="04A0" w:firstRow="1" w:lastRow="0" w:firstColumn="1" w:lastColumn="0" w:noHBand="0" w:noVBand="1"/>
      </w:tblPr>
      <w:tblGrid>
        <w:gridCol w:w="8296"/>
      </w:tblGrid>
      <w:tr w:rsidR="00244810" w14:paraId="3003B846" w14:textId="77777777" w:rsidTr="00E40FBF">
        <w:tc>
          <w:tcPr>
            <w:tcW w:w="8296" w:type="dxa"/>
            <w:shd w:val="clear" w:color="auto" w:fill="F2F2F2" w:themeFill="background1" w:themeFillShade="F2"/>
          </w:tcPr>
          <w:p w14:paraId="42CC3B17" w14:textId="7B7235DF" w:rsidR="00244810" w:rsidRDefault="00244810" w:rsidP="0023442F">
            <w:pPr>
              <w:spacing w:before="120" w:after="120"/>
              <w:ind w:left="284" w:right="284"/>
              <w:rPr>
                <w:b/>
                <w:bCs/>
              </w:rPr>
            </w:pPr>
            <w:r w:rsidRPr="00397C78">
              <w:rPr>
                <w:b/>
                <w:bCs/>
              </w:rPr>
              <w:lastRenderedPageBreak/>
              <w:t>Recommendation 4:</w:t>
            </w:r>
            <w:r w:rsidRPr="0023442F">
              <w:rPr>
                <w:b/>
                <w:bCs/>
              </w:rPr>
              <w:t xml:space="preserve"> </w:t>
            </w:r>
            <w:r w:rsidRPr="0023442F">
              <w:t xml:space="preserve">An amendment to the Fair Work Act to clarify the applicability of </w:t>
            </w:r>
            <w:proofErr w:type="spellStart"/>
            <w:r w:rsidRPr="0023442F">
              <w:t>s.324</w:t>
            </w:r>
            <w:proofErr w:type="spellEnd"/>
            <w:r w:rsidRPr="0023442F">
              <w:t xml:space="preserve"> to workplace giving through pre-tax payroll opting out is recommended. Alternatively, a ruling or statement that clarifies the intent of </w:t>
            </w:r>
            <w:proofErr w:type="spellStart"/>
            <w:r w:rsidRPr="0023442F">
              <w:t>s.324</w:t>
            </w:r>
            <w:proofErr w:type="spellEnd"/>
            <w:r w:rsidRPr="0023442F">
              <w:t xml:space="preserve"> would assist in reducing the perceived risk to corporates and encourage uptake of this method of engaging with their workforce.</w:t>
            </w:r>
            <w:r w:rsidRPr="0023442F">
              <w:rPr>
                <w:b/>
                <w:bCs/>
              </w:rPr>
              <w:t xml:space="preserve"> </w:t>
            </w:r>
          </w:p>
        </w:tc>
      </w:tr>
    </w:tbl>
    <w:p w14:paraId="0FB1D82F" w14:textId="77777777" w:rsidR="00244810" w:rsidRDefault="00244810" w:rsidP="00803468">
      <w:pPr>
        <w:ind w:left="720"/>
        <w:rPr>
          <w:b/>
          <w:bCs/>
        </w:rPr>
      </w:pPr>
    </w:p>
    <w:p w14:paraId="5373D941" w14:textId="56AD7820" w:rsidR="004A7D69" w:rsidRDefault="00E44ADB" w:rsidP="005B28EF">
      <w:pPr>
        <w:pStyle w:val="ListParagraph"/>
        <w:numPr>
          <w:ilvl w:val="0"/>
          <w:numId w:val="19"/>
        </w:numPr>
        <w:spacing w:after="120"/>
        <w:ind w:left="0" w:firstLine="0"/>
        <w:contextualSpacing w:val="0"/>
      </w:pPr>
      <w:r>
        <w:rPr>
          <w:b/>
          <w:bCs/>
        </w:rPr>
        <w:t>Simplification of</w:t>
      </w:r>
      <w:r w:rsidR="00054320">
        <w:rPr>
          <w:b/>
          <w:bCs/>
        </w:rPr>
        <w:t xml:space="preserve"> </w:t>
      </w:r>
      <w:r w:rsidR="004A7D69">
        <w:rPr>
          <w:b/>
          <w:bCs/>
        </w:rPr>
        <w:t>International Gift Aid:</w:t>
      </w:r>
      <w:r w:rsidR="004A7D69">
        <w:t xml:space="preserve"> </w:t>
      </w:r>
      <w:r w:rsidR="0092586F">
        <w:t>While there will be improvements flowing from the foreshadowed transfer of the administration from portfolio departments to the ATO in this arena, there are still barriers. Overseas aid is consistently one of the most supported areas of charitable giving for individuals in the workplace.</w:t>
      </w:r>
      <w:r w:rsidR="00DF3505">
        <w:t xml:space="preserve"> However, the restrictions on charities which can operate in this area lead to ongoing engagement or point of time appeals being limited to a few charity organisations with the wherewithal to </w:t>
      </w:r>
      <w:r w:rsidR="00054320">
        <w:t>achieve registration and, even then, being limited in scope.</w:t>
      </w:r>
    </w:p>
    <w:p w14:paraId="12F9CFA6" w14:textId="6E4F4590" w:rsidR="00131F7C" w:rsidRDefault="47D01661" w:rsidP="005B28EF">
      <w:pPr>
        <w:spacing w:after="120"/>
      </w:pPr>
      <w:r>
        <w:t xml:space="preserve">We recently saw the floods in New Zealand </w:t>
      </w:r>
      <w:bookmarkStart w:id="6" w:name="_Int_XYsNO8ml"/>
      <w:r>
        <w:t>as a result of</w:t>
      </w:r>
      <w:bookmarkEnd w:id="6"/>
      <w:r>
        <w:t xml:space="preserve"> which may Australian workers sought to make deductible donations to assist their colleagues in need in Auckland. Under the current system, this was not possible as New Zealand does not qualify</w:t>
      </w:r>
      <w:r w:rsidR="50A1E358">
        <w:t>.</w:t>
      </w:r>
    </w:p>
    <w:tbl>
      <w:tblPr>
        <w:tblStyle w:val="TableGrid"/>
        <w:tblW w:w="0" w:type="auto"/>
        <w:tblLook w:val="04A0" w:firstRow="1" w:lastRow="0" w:firstColumn="1" w:lastColumn="0" w:noHBand="0" w:noVBand="1"/>
      </w:tblPr>
      <w:tblGrid>
        <w:gridCol w:w="9016"/>
      </w:tblGrid>
      <w:tr w:rsidR="00244810" w14:paraId="392178C7" w14:textId="77777777" w:rsidTr="00E40FBF">
        <w:tc>
          <w:tcPr>
            <w:tcW w:w="9016" w:type="dxa"/>
            <w:shd w:val="clear" w:color="auto" w:fill="F2F2F2" w:themeFill="background1" w:themeFillShade="F2"/>
          </w:tcPr>
          <w:p w14:paraId="7A520F4A" w14:textId="57A29465" w:rsidR="00244810" w:rsidRPr="0023442F" w:rsidRDefault="4746D2BB" w:rsidP="0023442F">
            <w:pPr>
              <w:spacing w:before="120" w:after="120"/>
              <w:ind w:left="284" w:right="284"/>
              <w:rPr>
                <w:b/>
                <w:bCs/>
              </w:rPr>
            </w:pPr>
            <w:r w:rsidRPr="00E40FBF">
              <w:rPr>
                <w:b/>
                <w:bCs/>
                <w:shd w:val="clear" w:color="auto" w:fill="F2F2F2" w:themeFill="background1" w:themeFillShade="F2"/>
              </w:rPr>
              <w:t xml:space="preserve">Recommendation 5: </w:t>
            </w:r>
            <w:r w:rsidRPr="00E40FBF">
              <w:rPr>
                <w:shd w:val="clear" w:color="auto" w:fill="F2F2F2" w:themeFill="background1" w:themeFillShade="F2"/>
              </w:rPr>
              <w:t>Adopting a model akin to the USA whereby there can be an equivalency determination made for a charity anywhere in the world which thereby enables a charitable gift to be made via a Donor Advised Fund to a charity which is equivalent to a local charity. Alternatively, funds can be distributed through expenditure responsibility procedures, whereby the foundation in Australia assumes the liability to ensure that the funds are spent on the charitable purpose intended within an</w:t>
            </w:r>
            <w:r w:rsidRPr="0023442F">
              <w:t xml:space="preserve"> overseas </w:t>
            </w:r>
            <w:bookmarkStart w:id="7" w:name="_Int_m17SjOju"/>
            <w:r w:rsidRPr="0023442F">
              <w:t>jurisdiction</w:t>
            </w:r>
            <w:bookmarkEnd w:id="7"/>
            <w:r w:rsidRPr="0023442F">
              <w:t>.</w:t>
            </w:r>
          </w:p>
        </w:tc>
      </w:tr>
    </w:tbl>
    <w:p w14:paraId="504DD8CB" w14:textId="77777777" w:rsidR="00244810" w:rsidRDefault="00244810" w:rsidP="00397C78"/>
    <w:p w14:paraId="73847ADC" w14:textId="56528872" w:rsidR="00054320" w:rsidRDefault="00054320" w:rsidP="00DF1B96">
      <w:pPr>
        <w:pStyle w:val="ListParagraph"/>
        <w:keepNext/>
        <w:numPr>
          <w:ilvl w:val="0"/>
          <w:numId w:val="19"/>
        </w:numPr>
        <w:spacing w:after="120"/>
        <w:ind w:left="0" w:firstLine="0"/>
        <w:contextualSpacing w:val="0"/>
      </w:pPr>
      <w:r>
        <w:rPr>
          <w:b/>
          <w:bCs/>
        </w:rPr>
        <w:t>Enhancing Gifting of Non</w:t>
      </w:r>
      <w:r w:rsidRPr="00054320">
        <w:rPr>
          <w:b/>
          <w:bCs/>
        </w:rPr>
        <w:t>-cash items</w:t>
      </w:r>
      <w:r>
        <w:t xml:space="preserve">: Currently </w:t>
      </w:r>
      <w:r w:rsidR="00235128">
        <w:t xml:space="preserve">there is a capital gains tax </w:t>
      </w:r>
      <w:r w:rsidR="00943A13">
        <w:t xml:space="preserve">(CGT) </w:t>
      </w:r>
      <w:r w:rsidR="00235128">
        <w:t xml:space="preserve">disincentive to gifting of non-cash items. Where a chattel </w:t>
      </w:r>
      <w:r w:rsidR="00943A13">
        <w:t>would on disposal incur a CGT obligation, that obligation remains with the donor and the gifting will be a crystalising event. This reduces the attractiveness of gifting items such as shares, or at least reducing the donation to enable the payment of the CGT liability from the total amount donated.</w:t>
      </w:r>
    </w:p>
    <w:tbl>
      <w:tblPr>
        <w:tblStyle w:val="TableGrid"/>
        <w:tblW w:w="0" w:type="auto"/>
        <w:tblLook w:val="04A0" w:firstRow="1" w:lastRow="0" w:firstColumn="1" w:lastColumn="0" w:noHBand="0" w:noVBand="1"/>
      </w:tblPr>
      <w:tblGrid>
        <w:gridCol w:w="9016"/>
      </w:tblGrid>
      <w:tr w:rsidR="00244810" w14:paraId="3398DB8C" w14:textId="77777777" w:rsidTr="00E40FBF">
        <w:tc>
          <w:tcPr>
            <w:tcW w:w="9016" w:type="dxa"/>
            <w:shd w:val="clear" w:color="auto" w:fill="F2F2F2" w:themeFill="background1" w:themeFillShade="F2"/>
          </w:tcPr>
          <w:p w14:paraId="3367E3BF" w14:textId="1AFB4093" w:rsidR="00244810" w:rsidRPr="0023442F" w:rsidRDefault="4746D2BB" w:rsidP="00DF1B96">
            <w:pPr>
              <w:keepNext/>
              <w:spacing w:before="120" w:after="120"/>
              <w:ind w:left="284" w:right="284"/>
              <w:rPr>
                <w:b/>
                <w:bCs/>
              </w:rPr>
            </w:pPr>
            <w:r w:rsidRPr="721DB9EC">
              <w:rPr>
                <w:b/>
                <w:bCs/>
              </w:rPr>
              <w:t>Recommendation 6:</w:t>
            </w:r>
            <w:r w:rsidRPr="0023442F">
              <w:rPr>
                <w:b/>
                <w:bCs/>
              </w:rPr>
              <w:t xml:space="preserve"> </w:t>
            </w:r>
            <w:r w:rsidRPr="0023442F">
              <w:t xml:space="preserve">Removing CGT liability on gifts to </w:t>
            </w:r>
            <w:proofErr w:type="spellStart"/>
            <w:r w:rsidRPr="0023442F">
              <w:t>DGR</w:t>
            </w:r>
            <w:proofErr w:type="spellEnd"/>
            <w:r w:rsidRPr="0023442F">
              <w:t xml:space="preserve"> registered charities would immediately simplify and uplift the donations to charities of non-cash items. This is in line with treatment in the UK, </w:t>
            </w:r>
            <w:r w:rsidR="09832ADE" w:rsidRPr="0023442F">
              <w:t>Canada,</w:t>
            </w:r>
            <w:r w:rsidRPr="0023442F">
              <w:t xml:space="preserve"> and the USA (and noting there is no CGT in New Zealand).</w:t>
            </w:r>
          </w:p>
        </w:tc>
      </w:tr>
    </w:tbl>
    <w:p w14:paraId="67E2E760" w14:textId="77777777" w:rsidR="00244810" w:rsidRDefault="00244810" w:rsidP="00244810"/>
    <w:p w14:paraId="50C05980" w14:textId="424AF164" w:rsidR="00B25B1B" w:rsidRDefault="7FFC29FD" w:rsidP="005B28EF">
      <w:pPr>
        <w:pStyle w:val="ListParagraph"/>
        <w:numPr>
          <w:ilvl w:val="0"/>
          <w:numId w:val="19"/>
        </w:numPr>
        <w:spacing w:after="120"/>
        <w:ind w:left="0" w:firstLine="0"/>
        <w:contextualSpacing w:val="0"/>
      </w:pPr>
      <w:r w:rsidRPr="005B28EF">
        <w:rPr>
          <w:b/>
          <w:bCs/>
        </w:rPr>
        <w:t>Improvement to Corporate Reporting and Communication of their philanthropic endeavours</w:t>
      </w:r>
      <w:r>
        <w:t xml:space="preserve">: </w:t>
      </w:r>
      <w:r w:rsidR="6CC57CDA">
        <w:t>There are no consistent naming conventions or reporting requirements for reporting corporate philanthropic activit</w:t>
      </w:r>
      <w:r w:rsidR="1851C8AF">
        <w:t xml:space="preserve">y. This has led to a rise in labelling that tends to mean something but it unclear or at times misleading to the community, </w:t>
      </w:r>
      <w:r w:rsidR="5E581D6C">
        <w:t>donors,</w:t>
      </w:r>
      <w:r w:rsidR="1851C8AF">
        <w:t xml:space="preserve"> and workers. This includes names such as “For purpose; for profit” and “Social Enterprise</w:t>
      </w:r>
      <w:bookmarkStart w:id="8" w:name="_Int_U1da6uLH"/>
      <w:r w:rsidR="1851C8AF">
        <w:t>”</w:t>
      </w:r>
      <w:r w:rsidR="64EA6824">
        <w:t>,</w:t>
      </w:r>
      <w:bookmarkEnd w:id="8"/>
      <w:r w:rsidR="64EA6824">
        <w:t xml:space="preserve"> neither of which has any formal status. </w:t>
      </w:r>
      <w:bookmarkStart w:id="9" w:name="_Int_NkNaCYp8"/>
      <w:r w:rsidR="64EA6824">
        <w:t>Perhaps even more</w:t>
      </w:r>
      <w:bookmarkEnd w:id="9"/>
      <w:r w:rsidR="64EA6824">
        <w:t xml:space="preserve"> confusing is the increasing use of the US term “B-Corp” which is obtained by paying a certification fee </w:t>
      </w:r>
      <w:r w:rsidR="26FF6E1D">
        <w:t>and meeting criteria set by B Corporation</w:t>
      </w:r>
      <w:r w:rsidR="0E8A0B59">
        <w:t xml:space="preserve">. </w:t>
      </w:r>
    </w:p>
    <w:tbl>
      <w:tblPr>
        <w:tblStyle w:val="TableGrid"/>
        <w:tblW w:w="0" w:type="auto"/>
        <w:tblLook w:val="04A0" w:firstRow="1" w:lastRow="0" w:firstColumn="1" w:lastColumn="0" w:noHBand="0" w:noVBand="1"/>
      </w:tblPr>
      <w:tblGrid>
        <w:gridCol w:w="9016"/>
      </w:tblGrid>
      <w:tr w:rsidR="00244810" w14:paraId="2F25F58D" w14:textId="77777777" w:rsidTr="00FC6AEB">
        <w:tc>
          <w:tcPr>
            <w:tcW w:w="9016" w:type="dxa"/>
            <w:shd w:val="clear" w:color="auto" w:fill="F2F2F2" w:themeFill="background1" w:themeFillShade="F2"/>
          </w:tcPr>
          <w:p w14:paraId="514DC25B" w14:textId="749A55C9" w:rsidR="00244810" w:rsidRPr="0023442F" w:rsidRDefault="4746D2BB" w:rsidP="0023442F">
            <w:pPr>
              <w:spacing w:before="120" w:after="120"/>
              <w:ind w:left="284" w:right="284"/>
              <w:rPr>
                <w:b/>
                <w:bCs/>
              </w:rPr>
            </w:pPr>
            <w:r w:rsidRPr="721DB9EC">
              <w:rPr>
                <w:b/>
                <w:bCs/>
              </w:rPr>
              <w:t>Recommendation 7.1:</w:t>
            </w:r>
            <w:r w:rsidR="093CB30B" w:rsidRPr="721DB9EC">
              <w:rPr>
                <w:b/>
                <w:bCs/>
              </w:rPr>
              <w:t xml:space="preserve"> </w:t>
            </w:r>
            <w:r w:rsidRPr="0023442F">
              <w:t xml:space="preserve">Creating a common definition with the endorsement of the governing body or bodies (such as the </w:t>
            </w:r>
            <w:proofErr w:type="spellStart"/>
            <w:r w:rsidRPr="0023442F">
              <w:t>ACNC</w:t>
            </w:r>
            <w:proofErr w:type="spellEnd"/>
            <w:r w:rsidRPr="0023442F">
              <w:t xml:space="preserve"> and/or </w:t>
            </w:r>
            <w:r w:rsidR="1406F01A" w:rsidRPr="0023442F">
              <w:t xml:space="preserve">ASIC (Australian Securities &amp; </w:t>
            </w:r>
            <w:r w:rsidR="1406F01A" w:rsidRPr="0023442F">
              <w:lastRenderedPageBreak/>
              <w:t>Investments Commission)</w:t>
            </w:r>
            <w:r w:rsidRPr="0023442F">
              <w:t>) would be a valuable indicator to the public and provide clarity on what criteria is met to achieve that classification.</w:t>
            </w:r>
            <w:r w:rsidRPr="0023442F">
              <w:rPr>
                <w:b/>
                <w:bCs/>
              </w:rPr>
              <w:t xml:space="preserve"> </w:t>
            </w:r>
          </w:p>
        </w:tc>
      </w:tr>
    </w:tbl>
    <w:p w14:paraId="45B10E9B" w14:textId="77777777" w:rsidR="00B25B1B" w:rsidRDefault="00B25B1B" w:rsidP="00B25B1B">
      <w:pPr>
        <w:pStyle w:val="ListParagraph"/>
        <w:ind w:left="360"/>
      </w:pPr>
    </w:p>
    <w:p w14:paraId="370DD2ED" w14:textId="1771AD1B" w:rsidR="00B25B1B" w:rsidRDefault="093CB30B" w:rsidP="005B28EF">
      <w:pPr>
        <w:pStyle w:val="ListParagraph"/>
        <w:spacing w:after="120"/>
        <w:ind w:left="0"/>
        <w:contextualSpacing w:val="0"/>
      </w:pPr>
      <w:r>
        <w:t>Furthermore, there is a lack of consistency in the way in which corporations communicate their contributions and engagement in the philanthropic space</w:t>
      </w:r>
      <w:r w:rsidR="00CE1DAF">
        <w:rPr>
          <w:rStyle w:val="FootnoteReference"/>
        </w:rPr>
        <w:footnoteReference w:id="12"/>
      </w:r>
      <w:r>
        <w:t xml:space="preserve">. While this does not mean that formal financial reporting is required, a consistent approach </w:t>
      </w:r>
      <w:r w:rsidR="009C47A7">
        <w:t xml:space="preserve">developed in consultation with the </w:t>
      </w:r>
      <w:r w:rsidR="00853EBF">
        <w:t xml:space="preserve">charity sector </w:t>
      </w:r>
      <w:r>
        <w:t xml:space="preserve">would be </w:t>
      </w:r>
      <w:r w:rsidR="5EC904F0">
        <w:t>beneficial</w:t>
      </w:r>
      <w:r>
        <w:t>.</w:t>
      </w:r>
    </w:p>
    <w:p w14:paraId="41C8A1F9" w14:textId="64C60F9D" w:rsidR="00B25B1B" w:rsidRDefault="003B45C7" w:rsidP="005B28EF">
      <w:pPr>
        <w:pStyle w:val="ListParagraph"/>
        <w:spacing w:after="120"/>
        <w:ind w:left="0"/>
        <w:contextualSpacing w:val="0"/>
      </w:pPr>
      <w:r>
        <w:t>It is noted here that this may also open the doors to additional corporate philanthropic donations</w:t>
      </w:r>
      <w:r w:rsidR="00F9696B">
        <w:t>. For example, it is estimated that in the US</w:t>
      </w:r>
      <w:r w:rsidR="00426AE6">
        <w:t xml:space="preserve"> </w:t>
      </w:r>
      <w:r w:rsidR="00F9696B">
        <w:t>between $</w:t>
      </w:r>
      <w:proofErr w:type="spellStart"/>
      <w:r w:rsidR="00F9696B">
        <w:t>USD4</w:t>
      </w:r>
      <w:proofErr w:type="spellEnd"/>
      <w:r w:rsidR="00F9696B">
        <w:t xml:space="preserve">-7 billion in matching funds made available by companies goes unclaimed each year </w:t>
      </w:r>
      <w:r w:rsidR="00426AE6">
        <w:t>and is returned to the corporate coffers. This is roughly twice the amount contributed through matching</w:t>
      </w:r>
      <w:r w:rsidR="00426AE6">
        <w:rPr>
          <w:rStyle w:val="FootnoteReference"/>
        </w:rPr>
        <w:footnoteReference w:id="13"/>
      </w:r>
      <w:r w:rsidR="00426AE6">
        <w:t>. This is likely to be similar in Australia.</w:t>
      </w:r>
    </w:p>
    <w:tbl>
      <w:tblPr>
        <w:tblStyle w:val="TableGrid"/>
        <w:tblW w:w="0" w:type="auto"/>
        <w:tblLook w:val="04A0" w:firstRow="1" w:lastRow="0" w:firstColumn="1" w:lastColumn="0" w:noHBand="0" w:noVBand="1"/>
      </w:tblPr>
      <w:tblGrid>
        <w:gridCol w:w="9016"/>
      </w:tblGrid>
      <w:tr w:rsidR="00B25B1B" w14:paraId="3310A357" w14:textId="77777777" w:rsidTr="00FC6AEB">
        <w:tc>
          <w:tcPr>
            <w:tcW w:w="9016" w:type="dxa"/>
            <w:shd w:val="clear" w:color="auto" w:fill="F2F2F2" w:themeFill="background1" w:themeFillShade="F2"/>
          </w:tcPr>
          <w:p w14:paraId="6D997454" w14:textId="02911B9E" w:rsidR="00B25B1B" w:rsidRPr="0023442F" w:rsidRDefault="00B25B1B" w:rsidP="0023442F">
            <w:pPr>
              <w:spacing w:before="120" w:after="120"/>
              <w:ind w:left="284" w:right="284"/>
              <w:rPr>
                <w:b/>
                <w:bCs/>
              </w:rPr>
            </w:pPr>
            <w:r w:rsidRPr="00397C78">
              <w:rPr>
                <w:b/>
                <w:bCs/>
              </w:rPr>
              <w:t xml:space="preserve">Recommendation </w:t>
            </w:r>
            <w:r>
              <w:rPr>
                <w:b/>
                <w:bCs/>
              </w:rPr>
              <w:t>7.2</w:t>
            </w:r>
            <w:r w:rsidRPr="00397C78">
              <w:rPr>
                <w:b/>
                <w:bCs/>
              </w:rPr>
              <w:t>:</w:t>
            </w:r>
            <w:r w:rsidRPr="0023442F">
              <w:rPr>
                <w:b/>
                <w:bCs/>
              </w:rPr>
              <w:t xml:space="preserve"> </w:t>
            </w:r>
            <w:r w:rsidRPr="0023442F">
              <w:t xml:space="preserve">A </w:t>
            </w:r>
            <w:r w:rsidR="00A10467">
              <w:t xml:space="preserve">co-created </w:t>
            </w:r>
            <w:r w:rsidRPr="0023442F">
              <w:t>common framework which could be adopted by corporate Australia in reporting would benefit them and the donors in clarifying the efforts that are being made in a comparative manner.</w:t>
            </w:r>
          </w:p>
        </w:tc>
      </w:tr>
    </w:tbl>
    <w:p w14:paraId="54468031" w14:textId="77777777" w:rsidR="00244810" w:rsidRDefault="00244810" w:rsidP="00244810">
      <w:pPr>
        <w:spacing w:after="120"/>
      </w:pPr>
    </w:p>
    <w:p w14:paraId="5EB36F8C" w14:textId="77777777" w:rsidR="00D761B7" w:rsidRDefault="00D761B7" w:rsidP="008437FF">
      <w:pPr>
        <w:pStyle w:val="ListParagraph"/>
      </w:pPr>
    </w:p>
    <w:p w14:paraId="0035ECE3" w14:textId="59CE01C3" w:rsidR="00051675" w:rsidRDefault="00653F2C" w:rsidP="00653F2C">
      <w:pPr>
        <w:jc w:val="center"/>
      </w:pPr>
      <w:r>
        <w:t>--</w:t>
      </w:r>
      <w:proofErr w:type="spellStart"/>
      <w:r>
        <w:t>oo00oo</w:t>
      </w:r>
      <w:proofErr w:type="spellEnd"/>
      <w:r>
        <w:t>--</w:t>
      </w:r>
    </w:p>
    <w:p w14:paraId="1C2F2A71" w14:textId="65E66287" w:rsidR="00361581" w:rsidRDefault="00361581">
      <w:pPr>
        <w:rPr>
          <w:b/>
          <w:bCs/>
        </w:rPr>
      </w:pPr>
      <w:r>
        <w:rPr>
          <w:b/>
          <w:bCs/>
        </w:rPr>
        <w:br w:type="page"/>
      </w:r>
    </w:p>
    <w:p w14:paraId="525EB387" w14:textId="77777777" w:rsidR="00B25B1B" w:rsidRDefault="00B25B1B">
      <w:pPr>
        <w:rPr>
          <w:b/>
          <w:bCs/>
        </w:rPr>
      </w:pPr>
    </w:p>
    <w:p w14:paraId="3F14897E" w14:textId="5C0A8F7A" w:rsidR="00163DED" w:rsidRPr="00051675" w:rsidRDefault="00051675" w:rsidP="00523403">
      <w:pPr>
        <w:rPr>
          <w:b/>
          <w:bCs/>
        </w:rPr>
      </w:pPr>
      <w:r w:rsidRPr="00051675">
        <w:rPr>
          <w:b/>
          <w:bCs/>
        </w:rPr>
        <w:t>Detailed Submission:</w:t>
      </w:r>
    </w:p>
    <w:p w14:paraId="7886AEFB" w14:textId="7B35B36C" w:rsidR="00163DED" w:rsidRPr="00051675" w:rsidRDefault="00051675" w:rsidP="00523403">
      <w:pPr>
        <w:rPr>
          <w:b/>
          <w:bCs/>
        </w:rPr>
      </w:pPr>
      <w:r w:rsidRPr="00051675">
        <w:rPr>
          <w:b/>
          <w:bCs/>
        </w:rPr>
        <w:t>Part I: Background, Context and Trends</w:t>
      </w:r>
    </w:p>
    <w:p w14:paraId="56A2A1E7" w14:textId="324768C1" w:rsidR="00E33392" w:rsidRPr="00025A86" w:rsidRDefault="002E5AE0" w:rsidP="00FE36B9">
      <w:pPr>
        <w:keepNext/>
        <w:spacing w:before="240" w:after="120"/>
        <w:rPr>
          <w:i/>
          <w:iCs/>
          <w:u w:val="single"/>
        </w:rPr>
      </w:pPr>
      <w:r w:rsidRPr="00025A86">
        <w:rPr>
          <w:i/>
          <w:iCs/>
          <w:u w:val="single"/>
        </w:rPr>
        <w:t>Workplace Giving</w:t>
      </w:r>
      <w:r w:rsidR="00E439EC" w:rsidRPr="00025A86">
        <w:rPr>
          <w:i/>
          <w:iCs/>
          <w:u w:val="single"/>
        </w:rPr>
        <w:t>, Corporate Philanthropy and Workforce Philanthropy</w:t>
      </w:r>
    </w:p>
    <w:p w14:paraId="752466EF" w14:textId="3525B75E" w:rsidR="002E5AE0" w:rsidRDefault="002E5AE0" w:rsidP="00F03C79">
      <w:pPr>
        <w:keepNext/>
        <w:spacing w:after="60"/>
      </w:pPr>
      <w:r>
        <w:t>Workplace giving includes</w:t>
      </w:r>
      <w:r w:rsidR="00B47E5F">
        <w:t xml:space="preserve"> two entities or groups, namely</w:t>
      </w:r>
      <w:r>
        <w:t>:</w:t>
      </w:r>
    </w:p>
    <w:p w14:paraId="12652B53" w14:textId="23DB586A" w:rsidR="002E5AE0" w:rsidRDefault="002E5AE0" w:rsidP="00D347C7">
      <w:pPr>
        <w:pStyle w:val="ListParagraph"/>
        <w:numPr>
          <w:ilvl w:val="0"/>
          <w:numId w:val="8"/>
        </w:numPr>
      </w:pPr>
      <w:r>
        <w:t>Corporate philanthropy whereby the business elects to donate resources</w:t>
      </w:r>
      <w:r w:rsidR="00E44A2A">
        <w:rPr>
          <w:rStyle w:val="FootnoteReference"/>
        </w:rPr>
        <w:footnoteReference w:id="14"/>
      </w:r>
    </w:p>
    <w:p w14:paraId="031731E2" w14:textId="008E02A6" w:rsidR="002E5AE0" w:rsidRDefault="002E5AE0" w:rsidP="00D347C7">
      <w:pPr>
        <w:pStyle w:val="ListParagraph"/>
        <w:numPr>
          <w:ilvl w:val="0"/>
          <w:numId w:val="8"/>
        </w:numPr>
      </w:pPr>
      <w:r>
        <w:t>Workforce philanthropy whereby the workers within a business</w:t>
      </w:r>
      <w:r w:rsidR="00EA79F8">
        <w:t xml:space="preserve"> context</w:t>
      </w:r>
      <w:r>
        <w:t xml:space="preserve"> elect to donate </w:t>
      </w:r>
      <w:r w:rsidR="00771405">
        <w:t>individually or collectively</w:t>
      </w:r>
      <w:r w:rsidR="00722B79">
        <w:t>.</w:t>
      </w:r>
    </w:p>
    <w:p w14:paraId="2763462F" w14:textId="4D15B38D" w:rsidR="003061B0" w:rsidRDefault="003061B0" w:rsidP="00F03C79">
      <w:pPr>
        <w:keepNext/>
        <w:spacing w:after="60"/>
      </w:pPr>
      <w:r>
        <w:t>Types of workforce philanthropy include:</w:t>
      </w:r>
    </w:p>
    <w:p w14:paraId="4000874D" w14:textId="50DCF3DA" w:rsidR="003061B0" w:rsidRDefault="002547A7" w:rsidP="00D347C7">
      <w:pPr>
        <w:pStyle w:val="ListParagraph"/>
        <w:numPr>
          <w:ilvl w:val="0"/>
          <w:numId w:val="9"/>
        </w:numPr>
      </w:pPr>
      <w:r>
        <w:t xml:space="preserve">Regular </w:t>
      </w:r>
      <w:r w:rsidR="003061B0">
        <w:t>Payroll giving (sometimes called “Give as You Earn”</w:t>
      </w:r>
      <w:r w:rsidR="00875177">
        <w:t xml:space="preserve"> – </w:t>
      </w:r>
      <w:r w:rsidR="00226698">
        <w:t>this is also referred to as</w:t>
      </w:r>
      <w:r w:rsidR="00214D6B">
        <w:t xml:space="preserve"> Workplace Giving despite being only one form within the broader definition</w:t>
      </w:r>
      <w:r w:rsidR="003061B0">
        <w:t>) – optimally pre-tax but also includes post-tax forms</w:t>
      </w:r>
    </w:p>
    <w:p w14:paraId="54D5ABBD" w14:textId="582D8DDF" w:rsidR="006A2011" w:rsidRDefault="585EC28C" w:rsidP="00D347C7">
      <w:pPr>
        <w:pStyle w:val="ListParagraph"/>
        <w:numPr>
          <w:ilvl w:val="0"/>
          <w:numId w:val="9"/>
        </w:numPr>
      </w:pPr>
      <w:r>
        <w:t>One-off Relief and Appeal giving via payroll (</w:t>
      </w:r>
      <w:bookmarkStart w:id="10" w:name="_Int_3IfeMM1u"/>
      <w:r>
        <w:t>pre</w:t>
      </w:r>
      <w:bookmarkEnd w:id="10"/>
      <w:r>
        <w:t xml:space="preserve"> and </w:t>
      </w:r>
      <w:r w:rsidR="60652325">
        <w:t>post-tax</w:t>
      </w:r>
      <w:r>
        <w:t>)</w:t>
      </w:r>
    </w:p>
    <w:p w14:paraId="0223F23F" w14:textId="77777777" w:rsidR="006A2011" w:rsidRDefault="006A2011" w:rsidP="00D347C7">
      <w:pPr>
        <w:pStyle w:val="ListParagraph"/>
        <w:numPr>
          <w:ilvl w:val="0"/>
          <w:numId w:val="9"/>
        </w:numPr>
      </w:pPr>
      <w:r>
        <w:t>Post tax worker giving via non-payroll means such as credit card payment (this also enables contractors and 3</w:t>
      </w:r>
      <w:r w:rsidRPr="005553C0">
        <w:rPr>
          <w:vertAlign w:val="superscript"/>
        </w:rPr>
        <w:t>rd</w:t>
      </w:r>
      <w:r>
        <w:t xml:space="preserve"> parties to engage)</w:t>
      </w:r>
    </w:p>
    <w:p w14:paraId="5A8D12B9" w14:textId="76BC1F6C" w:rsidR="003B086B" w:rsidRDefault="003B086B" w:rsidP="00D347C7">
      <w:pPr>
        <w:pStyle w:val="ListParagraph"/>
        <w:numPr>
          <w:ilvl w:val="0"/>
          <w:numId w:val="9"/>
        </w:numPr>
      </w:pPr>
      <w:r>
        <w:t xml:space="preserve">Peer-to-peer fundraising </w:t>
      </w:r>
      <w:r w:rsidR="008977BD">
        <w:t>including Giving Circles</w:t>
      </w:r>
    </w:p>
    <w:p w14:paraId="56FA01B6" w14:textId="77777777" w:rsidR="00E11D32" w:rsidRDefault="003061B0" w:rsidP="00D347C7">
      <w:pPr>
        <w:pStyle w:val="ListParagraph"/>
        <w:numPr>
          <w:ilvl w:val="0"/>
          <w:numId w:val="9"/>
        </w:numPr>
      </w:pPr>
      <w:r>
        <w:t>Volunteering through or with the workplace</w:t>
      </w:r>
    </w:p>
    <w:p w14:paraId="31186550" w14:textId="0058FB00" w:rsidR="003061B0" w:rsidRDefault="00E11D32" w:rsidP="00D347C7">
      <w:pPr>
        <w:pStyle w:val="ListParagraph"/>
        <w:numPr>
          <w:ilvl w:val="0"/>
          <w:numId w:val="9"/>
        </w:numPr>
      </w:pPr>
      <w:r>
        <w:t xml:space="preserve">Matching by employer of worker </w:t>
      </w:r>
      <w:r w:rsidR="00D01854">
        <w:t>involvement</w:t>
      </w:r>
      <w:r w:rsidR="00722B79">
        <w:t>.</w:t>
      </w:r>
    </w:p>
    <w:p w14:paraId="57732CCA" w14:textId="51919999" w:rsidR="0066381D" w:rsidRDefault="004963A2" w:rsidP="005B28EF">
      <w:pPr>
        <w:spacing w:after="120"/>
      </w:pPr>
      <w:r>
        <w:t>Corporate Philanthropy overlaps in some areas, such as in the contributions to enabling and supporting volunteering, providing payroll services and in matching or like contributions. It is noted that</w:t>
      </w:r>
      <w:r w:rsidR="0066381D">
        <w:t xml:space="preserve"> corporate sponsorships </w:t>
      </w:r>
      <w:r w:rsidR="00AD09C5">
        <w:t>should</w:t>
      </w:r>
      <w:r w:rsidR="0066381D">
        <w:t xml:space="preserve"> not be included in </w:t>
      </w:r>
      <w:r>
        <w:t>corporate</w:t>
      </w:r>
      <w:r w:rsidR="0066381D">
        <w:t xml:space="preserve"> philanthropy</w:t>
      </w:r>
      <w:r>
        <w:t>.</w:t>
      </w:r>
      <w:r w:rsidR="0066381D">
        <w:t xml:space="preserve"> </w:t>
      </w:r>
    </w:p>
    <w:p w14:paraId="7C091F0D" w14:textId="77777777" w:rsidR="003F5462" w:rsidRDefault="003F5462" w:rsidP="005B28EF">
      <w:pPr>
        <w:spacing w:after="120"/>
      </w:pPr>
      <w:r>
        <w:t xml:space="preserve">The power of workplace giving is best realised when both the employer and the workforce come together for a common purpose, regardless of motivation, and engage with the charity sector more closely. </w:t>
      </w:r>
    </w:p>
    <w:p w14:paraId="302705DC" w14:textId="268DBEEF" w:rsidR="00BB659A" w:rsidRDefault="00BB659A" w:rsidP="005B28EF">
      <w:pPr>
        <w:spacing w:after="120"/>
      </w:pPr>
      <w:r>
        <w:t>For those organisations with an active and supported workplace giving program, the participation rates regularly exceed 20% with the best reaching levels of over 90% and many in excess of 60%</w:t>
      </w:r>
      <w:r w:rsidR="009D5C18">
        <w:rPr>
          <w:rStyle w:val="FootnoteReference"/>
        </w:rPr>
        <w:footnoteReference w:id="15"/>
      </w:r>
      <w:r>
        <w:t>.</w:t>
      </w:r>
      <w:r w:rsidR="009D5C18">
        <w:t xml:space="preserve"> </w:t>
      </w:r>
    </w:p>
    <w:p w14:paraId="04F92E36" w14:textId="77777777" w:rsidR="003F5462" w:rsidRDefault="003F5462" w:rsidP="005B28EF">
      <w:pPr>
        <w:spacing w:after="120"/>
      </w:pPr>
      <w:r>
        <w:t xml:space="preserve">For charities, there are broadly those that actively engage in workplace giving and those that do so more passively. </w:t>
      </w:r>
    </w:p>
    <w:p w14:paraId="16815E3E" w14:textId="04733F2A" w:rsidR="003F5462" w:rsidRDefault="5E0DCB24" w:rsidP="005B28EF">
      <w:pPr>
        <w:spacing w:after="120"/>
      </w:pPr>
      <w:r>
        <w:t xml:space="preserve">Passive Charities typically accept donations in the normal course of their fundraising from employees but do not push this separately. Actively involved charities by contrast develop specific assets and processes to support their relationships with corporates and their people. The latter tends to receive </w:t>
      </w:r>
      <w:r w:rsidR="69D74120">
        <w:t>increasingly</w:t>
      </w:r>
      <w:r>
        <w:t xml:space="preserve"> regular donations than the former.</w:t>
      </w:r>
    </w:p>
    <w:p w14:paraId="41844A0E" w14:textId="216F305C" w:rsidR="004735BF" w:rsidRDefault="004735BF" w:rsidP="005B28EF">
      <w:pPr>
        <w:spacing w:after="120"/>
      </w:pPr>
      <w:r>
        <w:t>Beyond the direct impact of dollars raised, workplace giving has additional benefits</w:t>
      </w:r>
      <w:r w:rsidR="005F681B">
        <w:t xml:space="preserve"> to those involved and society more broadly</w:t>
      </w:r>
      <w:r>
        <w:t xml:space="preserve"> including:</w:t>
      </w:r>
    </w:p>
    <w:p w14:paraId="7A3D866D" w14:textId="77777777" w:rsidR="00136DEE" w:rsidRDefault="00136DEE" w:rsidP="005B28EF">
      <w:pPr>
        <w:spacing w:after="120"/>
      </w:pPr>
    </w:p>
    <w:p w14:paraId="39E469F1" w14:textId="77777777" w:rsidR="005005DD" w:rsidRPr="00627A56" w:rsidRDefault="005005DD" w:rsidP="00F03C79">
      <w:pPr>
        <w:keepNext/>
        <w:spacing w:after="60"/>
        <w:rPr>
          <w:i/>
          <w:iCs/>
        </w:rPr>
      </w:pPr>
      <w:r w:rsidRPr="00627A56">
        <w:rPr>
          <w:i/>
          <w:iCs/>
        </w:rPr>
        <w:lastRenderedPageBreak/>
        <w:t>Individual Donor Benefits</w:t>
      </w:r>
    </w:p>
    <w:p w14:paraId="0AC120BD" w14:textId="6F15BCB6" w:rsidR="005005DD" w:rsidRDefault="6D969524" w:rsidP="00D347C7">
      <w:pPr>
        <w:pStyle w:val="ListParagraph"/>
        <w:numPr>
          <w:ilvl w:val="0"/>
          <w:numId w:val="2"/>
        </w:numPr>
      </w:pPr>
      <w:r>
        <w:t>Enhanced work environment</w:t>
      </w:r>
      <w:r w:rsidR="0B1D85B3">
        <w:t xml:space="preserve">, </w:t>
      </w:r>
      <w:r w:rsidR="796C7B61">
        <w:t>team,</w:t>
      </w:r>
      <w:r>
        <w:t xml:space="preserve"> and community</w:t>
      </w:r>
      <w:r w:rsidR="0B1D85B3">
        <w:t xml:space="preserve"> spirit</w:t>
      </w:r>
    </w:p>
    <w:p w14:paraId="2E11B280" w14:textId="3302599B" w:rsidR="005005DD" w:rsidRDefault="005005DD" w:rsidP="00D347C7">
      <w:pPr>
        <w:pStyle w:val="ListParagraph"/>
        <w:numPr>
          <w:ilvl w:val="0"/>
          <w:numId w:val="2"/>
        </w:numPr>
      </w:pPr>
      <w:r>
        <w:t>Removes the need to claim donations at year end as a tax deduction (noting that many deductions are never claimed</w:t>
      </w:r>
      <w:r w:rsidR="00004B09">
        <w:t>)</w:t>
      </w:r>
      <w:r w:rsidR="00607D8C">
        <w:rPr>
          <w:rStyle w:val="FootnoteReference"/>
        </w:rPr>
        <w:footnoteReference w:id="16"/>
      </w:r>
    </w:p>
    <w:p w14:paraId="77F9A90B" w14:textId="7D1FF816" w:rsidR="005005DD" w:rsidRDefault="005005DD" w:rsidP="00D347C7">
      <w:pPr>
        <w:pStyle w:val="ListParagraph"/>
        <w:numPr>
          <w:ilvl w:val="0"/>
          <w:numId w:val="2"/>
        </w:numPr>
      </w:pPr>
      <w:r>
        <w:t>Makes the deductable amount available to the donor immediately rather than at year end</w:t>
      </w:r>
      <w:r w:rsidR="00F450F1">
        <w:rPr>
          <w:rStyle w:val="FootnoteReference"/>
        </w:rPr>
        <w:footnoteReference w:id="17"/>
      </w:r>
      <w:r>
        <w:t xml:space="preserve"> </w:t>
      </w:r>
    </w:p>
    <w:p w14:paraId="3FD71550" w14:textId="0700BD1F" w:rsidR="005005DD" w:rsidRDefault="005005DD" w:rsidP="00D347C7">
      <w:pPr>
        <w:pStyle w:val="ListParagraph"/>
        <w:numPr>
          <w:ilvl w:val="0"/>
          <w:numId w:val="2"/>
        </w:numPr>
      </w:pPr>
      <w:r>
        <w:t xml:space="preserve">Provides access to effective employer matching where offered. </w:t>
      </w:r>
    </w:p>
    <w:p w14:paraId="395983E4" w14:textId="40295FB2" w:rsidR="005005DD" w:rsidRDefault="005005DD" w:rsidP="00D347C7">
      <w:pPr>
        <w:pStyle w:val="ListParagraph"/>
        <w:numPr>
          <w:ilvl w:val="0"/>
          <w:numId w:val="2"/>
        </w:numPr>
      </w:pPr>
      <w:r>
        <w:t>Removes them from any direct connection to the charity unless they opt for this contact</w:t>
      </w:r>
      <w:r w:rsidR="0041570C">
        <w:rPr>
          <w:rStyle w:val="FootnoteReference"/>
        </w:rPr>
        <w:footnoteReference w:id="18"/>
      </w:r>
      <w:r>
        <w:t xml:space="preserve">. </w:t>
      </w:r>
    </w:p>
    <w:p w14:paraId="7DCB8B14" w14:textId="48764EF3" w:rsidR="00CD6CDB" w:rsidRPr="00627A56" w:rsidRDefault="00CD6CDB" w:rsidP="00F03C79">
      <w:pPr>
        <w:keepNext/>
        <w:spacing w:after="60"/>
        <w:rPr>
          <w:i/>
          <w:iCs/>
        </w:rPr>
      </w:pPr>
      <w:r w:rsidRPr="00627A56">
        <w:rPr>
          <w:i/>
          <w:iCs/>
        </w:rPr>
        <w:t>Corporate Benefits</w:t>
      </w:r>
    </w:p>
    <w:p w14:paraId="73755D9F" w14:textId="77777777" w:rsidR="00012117" w:rsidRDefault="00012117" w:rsidP="00D347C7">
      <w:pPr>
        <w:pStyle w:val="ListParagraph"/>
        <w:numPr>
          <w:ilvl w:val="0"/>
          <w:numId w:val="10"/>
        </w:numPr>
      </w:pPr>
      <w:r>
        <w:t>Enhancement of employee engagement</w:t>
      </w:r>
    </w:p>
    <w:p w14:paraId="5DE4C657" w14:textId="39A260F8" w:rsidR="00097B39" w:rsidRDefault="00097B39" w:rsidP="00D347C7">
      <w:pPr>
        <w:pStyle w:val="ListParagraph"/>
        <w:numPr>
          <w:ilvl w:val="1"/>
          <w:numId w:val="10"/>
        </w:numPr>
      </w:pPr>
      <w:r>
        <w:t>Increase in employee engagement of 7.5%</w:t>
      </w:r>
      <w:r>
        <w:rPr>
          <w:rStyle w:val="FootnoteReference"/>
        </w:rPr>
        <w:footnoteReference w:id="19"/>
      </w:r>
    </w:p>
    <w:p w14:paraId="62BBF982" w14:textId="11D2C539" w:rsidR="00F95A23" w:rsidRDefault="00F95A23" w:rsidP="00D347C7">
      <w:pPr>
        <w:pStyle w:val="ListParagraph"/>
        <w:numPr>
          <w:ilvl w:val="1"/>
          <w:numId w:val="10"/>
        </w:numPr>
      </w:pPr>
      <w:r>
        <w:t>Winning the war for talent</w:t>
      </w:r>
      <w:r>
        <w:rPr>
          <w:rStyle w:val="FootnoteReference"/>
        </w:rPr>
        <w:footnoteReference w:id="20"/>
      </w:r>
    </w:p>
    <w:p w14:paraId="78958E20" w14:textId="4C9A9E69" w:rsidR="00012117" w:rsidRDefault="00012117" w:rsidP="00D347C7">
      <w:pPr>
        <w:pStyle w:val="ListParagraph"/>
        <w:numPr>
          <w:ilvl w:val="1"/>
          <w:numId w:val="10"/>
        </w:numPr>
      </w:pPr>
      <w:r>
        <w:t>Increased retention by up to 40%</w:t>
      </w:r>
      <w:r>
        <w:rPr>
          <w:rStyle w:val="FootnoteReference"/>
        </w:rPr>
        <w:footnoteReference w:id="21"/>
      </w:r>
    </w:p>
    <w:p w14:paraId="1C7A5B16" w14:textId="77777777" w:rsidR="00012117" w:rsidRDefault="00012117" w:rsidP="00D347C7">
      <w:pPr>
        <w:pStyle w:val="ListParagraph"/>
        <w:numPr>
          <w:ilvl w:val="1"/>
          <w:numId w:val="10"/>
        </w:numPr>
      </w:pPr>
      <w:r>
        <w:t>Increase in innovation by up to 30%</w:t>
      </w:r>
      <w:r>
        <w:rPr>
          <w:rStyle w:val="FootnoteReference"/>
        </w:rPr>
        <w:footnoteReference w:id="22"/>
      </w:r>
    </w:p>
    <w:p w14:paraId="1D051F67" w14:textId="77777777" w:rsidR="00012117" w:rsidRDefault="00012117" w:rsidP="00D347C7">
      <w:pPr>
        <w:pStyle w:val="ListParagraph"/>
        <w:numPr>
          <w:ilvl w:val="1"/>
          <w:numId w:val="10"/>
        </w:numPr>
      </w:pPr>
      <w:r>
        <w:t>Increase in productivity by up to 18%</w:t>
      </w:r>
      <w:r>
        <w:rPr>
          <w:rStyle w:val="FootnoteReference"/>
        </w:rPr>
        <w:footnoteReference w:id="23"/>
      </w:r>
    </w:p>
    <w:p w14:paraId="68928609" w14:textId="77777777" w:rsidR="00012117" w:rsidRDefault="00012117" w:rsidP="00D347C7">
      <w:pPr>
        <w:pStyle w:val="ListParagraph"/>
        <w:numPr>
          <w:ilvl w:val="1"/>
          <w:numId w:val="10"/>
        </w:numPr>
      </w:pPr>
      <w:r>
        <w:t>Decrease in absenteeism up to 81%</w:t>
      </w:r>
      <w:r>
        <w:rPr>
          <w:rStyle w:val="FootnoteReference"/>
        </w:rPr>
        <w:footnoteReference w:id="24"/>
      </w:r>
    </w:p>
    <w:p w14:paraId="582CFC62" w14:textId="77777777" w:rsidR="00012117" w:rsidRDefault="00012117" w:rsidP="00D347C7">
      <w:pPr>
        <w:pStyle w:val="ListParagraph"/>
        <w:numPr>
          <w:ilvl w:val="1"/>
          <w:numId w:val="10"/>
        </w:numPr>
      </w:pPr>
      <w:r>
        <w:t>Decrease in shrinkage up to 28%</w:t>
      </w:r>
      <w:r>
        <w:rPr>
          <w:rStyle w:val="FootnoteReference"/>
        </w:rPr>
        <w:footnoteReference w:id="25"/>
      </w:r>
    </w:p>
    <w:p w14:paraId="695379FD" w14:textId="419EEBC6" w:rsidR="00280D22" w:rsidRDefault="00280D22" w:rsidP="00D347C7">
      <w:pPr>
        <w:pStyle w:val="ListParagraph"/>
        <w:numPr>
          <w:ilvl w:val="0"/>
          <w:numId w:val="10"/>
        </w:numPr>
      </w:pPr>
      <w:r>
        <w:t>Enhance</w:t>
      </w:r>
      <w:r w:rsidR="005F681B">
        <w:t>d</w:t>
      </w:r>
      <w:r>
        <w:t xml:space="preserve"> corporate reputation and standing in the community</w:t>
      </w:r>
      <w:r>
        <w:rPr>
          <w:rStyle w:val="FootnoteReference"/>
        </w:rPr>
        <w:footnoteReference w:id="26"/>
      </w:r>
    </w:p>
    <w:p w14:paraId="26ADC5FE" w14:textId="19406F21" w:rsidR="00D521A6" w:rsidRDefault="006862A1" w:rsidP="00D347C7">
      <w:pPr>
        <w:pStyle w:val="ListParagraph"/>
        <w:numPr>
          <w:ilvl w:val="1"/>
          <w:numId w:val="10"/>
        </w:numPr>
      </w:pPr>
      <w:r>
        <w:t>Increase in profitability and shareholder returns</w:t>
      </w:r>
      <w:r w:rsidR="00430644">
        <w:rPr>
          <w:rStyle w:val="FootnoteReference"/>
        </w:rPr>
        <w:footnoteReference w:id="27"/>
      </w:r>
    </w:p>
    <w:p w14:paraId="27DDFA78" w14:textId="66E5E6FB" w:rsidR="003E796C" w:rsidRDefault="003E796C" w:rsidP="00D347C7">
      <w:pPr>
        <w:pStyle w:val="ListParagraph"/>
        <w:numPr>
          <w:ilvl w:val="1"/>
          <w:numId w:val="10"/>
        </w:numPr>
      </w:pPr>
      <w:r>
        <w:t>Increase in revenue</w:t>
      </w:r>
      <w:r w:rsidR="000D0C35">
        <w:t xml:space="preserve"> between 1.2% to 4.5%</w:t>
      </w:r>
      <w:r>
        <w:rPr>
          <w:rStyle w:val="FootnoteReference"/>
        </w:rPr>
        <w:footnoteReference w:id="28"/>
      </w:r>
    </w:p>
    <w:p w14:paraId="41381D32" w14:textId="75F0DCD8" w:rsidR="006862A1" w:rsidRDefault="438C768E" w:rsidP="00D347C7">
      <w:pPr>
        <w:pStyle w:val="ListParagraph"/>
        <w:numPr>
          <w:ilvl w:val="1"/>
          <w:numId w:val="10"/>
        </w:numPr>
      </w:pPr>
      <w:r>
        <w:t>Winning the “war for talent”</w:t>
      </w:r>
      <w:r w:rsidR="006862A1">
        <w:rPr>
          <w:rStyle w:val="FootnoteReference"/>
        </w:rPr>
        <w:footnoteReference w:id="29"/>
      </w:r>
    </w:p>
    <w:p w14:paraId="48D2A7C6" w14:textId="3DCB7D80" w:rsidR="004735BF" w:rsidRDefault="004735BF" w:rsidP="00D347C7">
      <w:pPr>
        <w:pStyle w:val="ListParagraph"/>
        <w:numPr>
          <w:ilvl w:val="0"/>
          <w:numId w:val="10"/>
        </w:numPr>
      </w:pPr>
      <w:r>
        <w:t xml:space="preserve">Creation of community </w:t>
      </w:r>
      <w:r w:rsidR="005F681B">
        <w:t xml:space="preserve">by creating connections </w:t>
      </w:r>
      <w:r>
        <w:t>within the workplace</w:t>
      </w:r>
    </w:p>
    <w:p w14:paraId="6C69FFA9" w14:textId="4BF2142B" w:rsidR="008B27DC" w:rsidRDefault="008B27DC" w:rsidP="00D347C7">
      <w:pPr>
        <w:pStyle w:val="ListParagraph"/>
        <w:numPr>
          <w:ilvl w:val="0"/>
          <w:numId w:val="10"/>
        </w:numPr>
      </w:pPr>
      <w:r>
        <w:t>Can be useful tool to engage remote and rural workforces</w:t>
      </w:r>
    </w:p>
    <w:p w14:paraId="1599A236" w14:textId="50CAB5C3" w:rsidR="008B27DC" w:rsidRDefault="008B27DC" w:rsidP="00D347C7">
      <w:pPr>
        <w:pStyle w:val="ListParagraph"/>
        <w:numPr>
          <w:ilvl w:val="0"/>
          <w:numId w:val="10"/>
        </w:numPr>
      </w:pPr>
      <w:r>
        <w:t>Offers a medium to promote national collaboration</w:t>
      </w:r>
    </w:p>
    <w:p w14:paraId="5847E2F0" w14:textId="1C6A0C00" w:rsidR="00B7626A" w:rsidRDefault="00361A99" w:rsidP="00D347C7">
      <w:pPr>
        <w:pStyle w:val="ListParagraph"/>
        <w:numPr>
          <w:ilvl w:val="0"/>
          <w:numId w:val="10"/>
        </w:numPr>
      </w:pPr>
      <w:r>
        <w:t>Uplift in reven</w:t>
      </w:r>
      <w:r w:rsidR="00F40441">
        <w:t>ue and consumer/customer preferences</w:t>
      </w:r>
      <w:r w:rsidR="001A1EAA">
        <w:rPr>
          <w:rStyle w:val="FootnoteReference"/>
        </w:rPr>
        <w:footnoteReference w:id="30"/>
      </w:r>
      <w:r w:rsidR="00D521A6">
        <w:t xml:space="preserve"> </w:t>
      </w:r>
    </w:p>
    <w:p w14:paraId="5AD8E0E4" w14:textId="5F6D390B" w:rsidR="008B27DC" w:rsidRDefault="008B27DC" w:rsidP="00D347C7">
      <w:pPr>
        <w:pStyle w:val="ListParagraph"/>
        <w:numPr>
          <w:ilvl w:val="0"/>
          <w:numId w:val="10"/>
        </w:numPr>
      </w:pPr>
      <w:r>
        <w:lastRenderedPageBreak/>
        <w:t>Encourages investment from potential shareholders and investors</w:t>
      </w:r>
      <w:r>
        <w:rPr>
          <w:rStyle w:val="FootnoteReference"/>
        </w:rPr>
        <w:footnoteReference w:id="31"/>
      </w:r>
      <w:r>
        <w:t>.</w:t>
      </w:r>
    </w:p>
    <w:p w14:paraId="4EBD626F" w14:textId="29124250" w:rsidR="00863288" w:rsidRPr="00627A56" w:rsidRDefault="00CD6CDB" w:rsidP="00DD607D">
      <w:pPr>
        <w:keepNext/>
        <w:spacing w:before="240" w:after="60"/>
        <w:rPr>
          <w:i/>
          <w:iCs/>
        </w:rPr>
      </w:pPr>
      <w:r w:rsidRPr="00627A56">
        <w:rPr>
          <w:i/>
          <w:iCs/>
        </w:rPr>
        <w:t>Charity Benefits</w:t>
      </w:r>
    </w:p>
    <w:p w14:paraId="653BEA7B" w14:textId="6D1D107B" w:rsidR="003751F0" w:rsidRDefault="003751F0" w:rsidP="00D347C7">
      <w:pPr>
        <w:pStyle w:val="ListParagraph"/>
        <w:numPr>
          <w:ilvl w:val="0"/>
          <w:numId w:val="1"/>
        </w:numPr>
      </w:pPr>
      <w:r>
        <w:t>Increase in donor</w:t>
      </w:r>
      <w:r w:rsidR="0068033F">
        <w:t>s and donor</w:t>
      </w:r>
      <w:r>
        <w:t xml:space="preserve"> engagement</w:t>
      </w:r>
      <w:r w:rsidR="0068033F">
        <w:t>,</w:t>
      </w:r>
      <w:r>
        <w:t xml:space="preserve"> and easing of the intent to action barriers</w:t>
      </w:r>
    </w:p>
    <w:p w14:paraId="67053B12" w14:textId="62F7FB89" w:rsidR="0068033F" w:rsidRDefault="54A4665F" w:rsidP="00D347C7">
      <w:pPr>
        <w:pStyle w:val="ListParagraph"/>
        <w:numPr>
          <w:ilvl w:val="0"/>
          <w:numId w:val="1"/>
        </w:numPr>
      </w:pPr>
      <w:r>
        <w:t xml:space="preserve">Increase in funds especially </w:t>
      </w:r>
      <w:bookmarkStart w:id="11" w:name="_Int_dcZSBk0n"/>
      <w:r>
        <w:t>where</w:t>
      </w:r>
      <w:bookmarkEnd w:id="11"/>
      <w:r>
        <w:t xml:space="preserve"> benefiting from matching </w:t>
      </w:r>
    </w:p>
    <w:p w14:paraId="52762539" w14:textId="4C0B79F8" w:rsidR="00863288" w:rsidRDefault="00863288" w:rsidP="00D347C7">
      <w:pPr>
        <w:pStyle w:val="ListParagraph"/>
        <w:numPr>
          <w:ilvl w:val="0"/>
          <w:numId w:val="1"/>
        </w:numPr>
      </w:pPr>
      <w:r>
        <w:t>Regular income which can be budgeted</w:t>
      </w:r>
      <w:r w:rsidR="000F385D">
        <w:t xml:space="preserve"> and planned for</w:t>
      </w:r>
    </w:p>
    <w:p w14:paraId="197EE0F0" w14:textId="762540FF" w:rsidR="00863288" w:rsidRDefault="00863288" w:rsidP="00D347C7">
      <w:pPr>
        <w:pStyle w:val="ListParagraph"/>
        <w:numPr>
          <w:ilvl w:val="0"/>
          <w:numId w:val="1"/>
        </w:numPr>
      </w:pPr>
      <w:r>
        <w:t>Closer relationship/s with significant corporate supporters focusing effort effectively</w:t>
      </w:r>
      <w:r w:rsidR="000F385D">
        <w:t xml:space="preserve"> and efficiently</w:t>
      </w:r>
    </w:p>
    <w:p w14:paraId="0755732E" w14:textId="349524AF" w:rsidR="00863288" w:rsidRDefault="00863288" w:rsidP="00D347C7">
      <w:pPr>
        <w:pStyle w:val="ListParagraph"/>
        <w:numPr>
          <w:ilvl w:val="0"/>
          <w:numId w:val="1"/>
        </w:numPr>
      </w:pPr>
      <w:r>
        <w:t>Decreased cost of fundraising</w:t>
      </w:r>
      <w:r w:rsidR="00F63C9D">
        <w:t xml:space="preserve"> and receipting</w:t>
      </w:r>
      <w:r>
        <w:t>.</w:t>
      </w:r>
    </w:p>
    <w:p w14:paraId="7F5B4581" w14:textId="0EF1E8DB" w:rsidR="001120F2" w:rsidRPr="00627A56" w:rsidRDefault="001120F2" w:rsidP="00DD607D">
      <w:pPr>
        <w:keepNext/>
        <w:spacing w:before="240" w:after="60"/>
        <w:rPr>
          <w:i/>
          <w:iCs/>
        </w:rPr>
      </w:pPr>
      <w:r w:rsidRPr="00627A56">
        <w:rPr>
          <w:i/>
          <w:iCs/>
        </w:rPr>
        <w:t>Societal Benefits</w:t>
      </w:r>
      <w:r w:rsidR="00474222" w:rsidRPr="00627A56">
        <w:rPr>
          <w:i/>
          <w:iCs/>
        </w:rPr>
        <w:t xml:space="preserve"> in Workplace Giving</w:t>
      </w:r>
    </w:p>
    <w:p w14:paraId="5C072352" w14:textId="096E3E1C" w:rsidR="001120F2" w:rsidRDefault="001120F2" w:rsidP="001120F2">
      <w:pPr>
        <w:pStyle w:val="ListParagraph"/>
        <w:numPr>
          <w:ilvl w:val="0"/>
          <w:numId w:val="25"/>
        </w:numPr>
      </w:pPr>
      <w:r>
        <w:t xml:space="preserve">Increase in community </w:t>
      </w:r>
    </w:p>
    <w:p w14:paraId="53D6316C" w14:textId="52AEB683" w:rsidR="001120F2" w:rsidRDefault="00BC7A1D" w:rsidP="001120F2">
      <w:pPr>
        <w:pStyle w:val="ListParagraph"/>
        <w:numPr>
          <w:ilvl w:val="0"/>
          <w:numId w:val="25"/>
        </w:numPr>
      </w:pPr>
      <w:r>
        <w:t>Increase in productivity and innovation</w:t>
      </w:r>
    </w:p>
    <w:p w14:paraId="45A9383C" w14:textId="77777777" w:rsidR="00C8029E" w:rsidRDefault="00BC7A1D" w:rsidP="001120F2">
      <w:pPr>
        <w:pStyle w:val="ListParagraph"/>
        <w:numPr>
          <w:ilvl w:val="0"/>
          <w:numId w:val="25"/>
        </w:numPr>
      </w:pPr>
      <w:r>
        <w:t>Improved health and wellbeing</w:t>
      </w:r>
    </w:p>
    <w:p w14:paraId="67694267" w14:textId="33F34650" w:rsidR="005E4B80" w:rsidRDefault="005E4B80" w:rsidP="001120F2">
      <w:pPr>
        <w:pStyle w:val="ListParagraph"/>
        <w:numPr>
          <w:ilvl w:val="0"/>
          <w:numId w:val="25"/>
        </w:numPr>
      </w:pPr>
      <w:r>
        <w:t xml:space="preserve">Combined and increased funding through </w:t>
      </w:r>
      <w:r w:rsidR="009F22A8">
        <w:t>united nature of strong workplace giving programs</w:t>
      </w:r>
    </w:p>
    <w:p w14:paraId="54E6061E" w14:textId="77777777" w:rsidR="00DB4C99" w:rsidRDefault="00C8029E" w:rsidP="001120F2">
      <w:pPr>
        <w:pStyle w:val="ListParagraph"/>
        <w:numPr>
          <w:ilvl w:val="0"/>
          <w:numId w:val="25"/>
        </w:numPr>
      </w:pPr>
      <w:r>
        <w:t>Additional funding for not for profit delivered services</w:t>
      </w:r>
    </w:p>
    <w:p w14:paraId="7E258F2F" w14:textId="77777777" w:rsidR="00DB2773" w:rsidRDefault="00DB4C99" w:rsidP="001120F2">
      <w:pPr>
        <w:pStyle w:val="ListParagraph"/>
        <w:numPr>
          <w:ilvl w:val="0"/>
          <w:numId w:val="25"/>
        </w:numPr>
      </w:pPr>
      <w:r>
        <w:t xml:space="preserve">Improved sharing </w:t>
      </w:r>
      <w:r w:rsidR="00532FE3">
        <w:t xml:space="preserve">and leveraging </w:t>
      </w:r>
      <w:r>
        <w:t>of wealth</w:t>
      </w:r>
    </w:p>
    <w:p w14:paraId="786971A2" w14:textId="719EBC7D" w:rsidR="00BC7A1D" w:rsidRDefault="00DB2773" w:rsidP="001120F2">
      <w:pPr>
        <w:pStyle w:val="ListParagraph"/>
        <w:numPr>
          <w:ilvl w:val="0"/>
          <w:numId w:val="25"/>
        </w:numPr>
      </w:pPr>
      <w:r>
        <w:t>Increase in Government confidence and voter trust</w:t>
      </w:r>
      <w:r w:rsidR="00BC7A1D">
        <w:t>.</w:t>
      </w:r>
    </w:p>
    <w:p w14:paraId="5F421D99" w14:textId="2205430C" w:rsidR="00544551" w:rsidRPr="00DD5A4F" w:rsidRDefault="00544551" w:rsidP="00FE36B9">
      <w:pPr>
        <w:keepNext/>
        <w:spacing w:before="240" w:after="120"/>
        <w:rPr>
          <w:b/>
          <w:bCs/>
          <w:i/>
          <w:iCs/>
          <w:u w:val="single"/>
        </w:rPr>
      </w:pPr>
      <w:r w:rsidRPr="00DD5A4F">
        <w:rPr>
          <w:i/>
          <w:iCs/>
          <w:u w:val="single"/>
        </w:rPr>
        <w:t>Corporate</w:t>
      </w:r>
      <w:r w:rsidRPr="00DD5A4F">
        <w:rPr>
          <w:b/>
          <w:bCs/>
          <w:i/>
          <w:iCs/>
          <w:u w:val="single"/>
        </w:rPr>
        <w:t xml:space="preserve"> </w:t>
      </w:r>
      <w:r w:rsidRPr="00DD5A4F">
        <w:rPr>
          <w:i/>
          <w:iCs/>
          <w:u w:val="single"/>
        </w:rPr>
        <w:t>Governance Considerations</w:t>
      </w:r>
      <w:r w:rsidR="00A03646" w:rsidRPr="00DD5A4F">
        <w:rPr>
          <w:i/>
          <w:iCs/>
          <w:u w:val="single"/>
        </w:rPr>
        <w:t xml:space="preserve"> on the Role of Corporations</w:t>
      </w:r>
    </w:p>
    <w:p w14:paraId="6566ED10" w14:textId="7436F3FB" w:rsidR="00E25E16" w:rsidRDefault="004D1D5C" w:rsidP="005B28EF">
      <w:pPr>
        <w:spacing w:after="120"/>
        <w:rPr>
          <w:lang w:val="en-GB"/>
        </w:rPr>
      </w:pPr>
      <w:r>
        <w:t>It is worth pausing here to recognise the more recent developments and expectations with respect to corporate involvement in the community and in charitable causes</w:t>
      </w:r>
      <w:r w:rsidR="00144F57">
        <w:rPr>
          <w:rStyle w:val="FootnoteReference"/>
        </w:rPr>
        <w:footnoteReference w:id="32"/>
      </w:r>
      <w:r>
        <w:t xml:space="preserve">. </w:t>
      </w:r>
      <w:r w:rsidR="00E25E16">
        <w:rPr>
          <w:lang w:val="en-GB"/>
        </w:rPr>
        <w:t xml:space="preserve">Modern corporations were originally conceived to serve society and delivery a broader purpose than just that of the stockholders for whom they were created. This notion was </w:t>
      </w:r>
      <w:r w:rsidR="000F385D">
        <w:rPr>
          <w:lang w:val="en-GB"/>
        </w:rPr>
        <w:t>changed</w:t>
      </w:r>
      <w:r w:rsidR="00E25E16">
        <w:rPr>
          <w:lang w:val="en-GB"/>
        </w:rPr>
        <w:t xml:space="preserve"> in the 19</w:t>
      </w:r>
      <w:r w:rsidR="00E25E16" w:rsidRPr="00F83557">
        <w:rPr>
          <w:vertAlign w:val="superscript"/>
          <w:lang w:val="en-GB"/>
        </w:rPr>
        <w:t>th</w:t>
      </w:r>
      <w:r w:rsidR="00E25E16">
        <w:rPr>
          <w:lang w:val="en-GB"/>
        </w:rPr>
        <w:t xml:space="preserve"> century</w:t>
      </w:r>
      <w:r w:rsidR="000F385D">
        <w:rPr>
          <w:lang w:val="en-GB"/>
        </w:rPr>
        <w:t xml:space="preserve"> to focus on shareholders</w:t>
      </w:r>
      <w:r w:rsidR="00E25E16">
        <w:rPr>
          <w:lang w:val="en-GB"/>
        </w:rPr>
        <w:t xml:space="preserve"> and taken to extremes during the 20th century with the </w:t>
      </w:r>
      <w:r w:rsidR="000F385D">
        <w:rPr>
          <w:lang w:val="en-GB"/>
        </w:rPr>
        <w:t>shareholder</w:t>
      </w:r>
      <w:r w:rsidR="0038183C">
        <w:rPr>
          <w:lang w:val="en-GB"/>
        </w:rPr>
        <w:t xml:space="preserve"> wealth</w:t>
      </w:r>
      <w:r w:rsidR="00E25E16">
        <w:rPr>
          <w:lang w:val="en-GB"/>
        </w:rPr>
        <w:t xml:space="preserve"> profit theory</w:t>
      </w:r>
      <w:r w:rsidR="006D200F">
        <w:rPr>
          <w:rStyle w:val="FootnoteReference"/>
          <w:lang w:val="en-GB"/>
        </w:rPr>
        <w:footnoteReference w:id="33"/>
      </w:r>
      <w:r w:rsidR="00E25E16">
        <w:rPr>
          <w:lang w:val="en-GB"/>
        </w:rPr>
        <w:t xml:space="preserve">. </w:t>
      </w:r>
      <w:r w:rsidR="0038183C">
        <w:rPr>
          <w:lang w:val="en-GB"/>
        </w:rPr>
        <w:t>Even during this period and</w:t>
      </w:r>
      <w:r w:rsidR="00E25E16">
        <w:rPr>
          <w:lang w:val="en-GB"/>
        </w:rPr>
        <w:t xml:space="preserve"> as early as the </w:t>
      </w:r>
      <w:proofErr w:type="spellStart"/>
      <w:r w:rsidR="00E25E16">
        <w:rPr>
          <w:lang w:val="en-GB"/>
        </w:rPr>
        <w:t>1930’s</w:t>
      </w:r>
      <w:proofErr w:type="spellEnd"/>
      <w:r w:rsidR="00E25E16">
        <w:rPr>
          <w:lang w:val="en-GB"/>
        </w:rPr>
        <w:t xml:space="preserve"> there have been challenges to this theory with the notion of the stakeholder theory</w:t>
      </w:r>
      <w:r w:rsidR="0038183C">
        <w:rPr>
          <w:lang w:val="en-GB"/>
        </w:rPr>
        <w:t xml:space="preserve"> gaining ground</w:t>
      </w:r>
      <w:r w:rsidR="00417CFA">
        <w:rPr>
          <w:rStyle w:val="FootnoteReference"/>
          <w:lang w:val="en-GB"/>
        </w:rPr>
        <w:footnoteReference w:id="34"/>
      </w:r>
      <w:r w:rsidR="006D200F">
        <w:rPr>
          <w:lang w:val="en-GB"/>
        </w:rPr>
        <w:t>; that</w:t>
      </w:r>
      <w:r w:rsidR="00E25E16">
        <w:rPr>
          <w:lang w:val="en-GB"/>
        </w:rPr>
        <w:t xml:space="preserve"> being that directors of companies (and hence the executive) must consider and accommodate a broad range of stakeholders</w:t>
      </w:r>
      <w:r w:rsidR="00E25E16">
        <w:rPr>
          <w:rStyle w:val="FootnoteReference"/>
          <w:lang w:val="en-GB"/>
        </w:rPr>
        <w:footnoteReference w:id="35"/>
      </w:r>
      <w:r w:rsidR="00E25E16">
        <w:rPr>
          <w:lang w:val="en-GB"/>
        </w:rPr>
        <w:t>.</w:t>
      </w:r>
    </w:p>
    <w:p w14:paraId="2BF11CEB" w14:textId="67D9A274" w:rsidR="002C048C" w:rsidRDefault="002C048C" w:rsidP="005B28EF">
      <w:pPr>
        <w:spacing w:after="120"/>
        <w:rPr>
          <w:lang w:val="en-GB"/>
        </w:rPr>
      </w:pPr>
      <w:r>
        <w:rPr>
          <w:lang w:val="en-GB"/>
        </w:rPr>
        <w:lastRenderedPageBreak/>
        <w:t>The 18</w:t>
      </w:r>
      <w:r w:rsidRPr="00076812">
        <w:rPr>
          <w:vertAlign w:val="superscript"/>
          <w:lang w:val="en-GB"/>
        </w:rPr>
        <w:t>th</w:t>
      </w:r>
      <w:r>
        <w:rPr>
          <w:lang w:val="en-GB"/>
        </w:rPr>
        <w:t xml:space="preserve"> century view that limited the role of the corporation to having “no other capacities than such as are necessary to carry into effect the purposes for which it was established; it cannot therefore be considered as a moral agent subject to moral obligation”</w:t>
      </w:r>
      <w:r>
        <w:rPr>
          <w:rStyle w:val="FootnoteReference"/>
          <w:lang w:val="en-GB"/>
        </w:rPr>
        <w:footnoteReference w:id="36"/>
      </w:r>
      <w:r>
        <w:rPr>
          <w:lang w:val="en-GB"/>
        </w:rPr>
        <w:t xml:space="preserve"> no longer holds true other than for a few</w:t>
      </w:r>
      <w:r w:rsidR="00345D26">
        <w:rPr>
          <w:lang w:val="en-GB"/>
        </w:rPr>
        <w:t xml:space="preserve"> remaining </w:t>
      </w:r>
      <w:r>
        <w:rPr>
          <w:lang w:val="en-GB"/>
        </w:rPr>
        <w:t>business leaders. With the migration of the Keynesian economy in Australia to a more Anglo-Saxon capitalist economic footing and more recently to integrate key notions from Continental and Nordic models</w:t>
      </w:r>
      <w:r>
        <w:rPr>
          <w:rStyle w:val="FootnoteReference"/>
          <w:lang w:val="en-GB"/>
        </w:rPr>
        <w:footnoteReference w:id="37"/>
      </w:r>
      <w:r>
        <w:rPr>
          <w:lang w:val="en-GB"/>
        </w:rPr>
        <w:t xml:space="preserve">, </w:t>
      </w:r>
      <w:r w:rsidR="00853549">
        <w:rPr>
          <w:lang w:val="en-GB"/>
        </w:rPr>
        <w:t>the</w:t>
      </w:r>
      <w:r>
        <w:rPr>
          <w:lang w:val="en-GB"/>
        </w:rPr>
        <w:t xml:space="preserve"> evolution</w:t>
      </w:r>
      <w:r w:rsidR="00853549">
        <w:rPr>
          <w:lang w:val="en-GB"/>
        </w:rPr>
        <w:t xml:space="preserve"> to a broader understanding of purpose</w:t>
      </w:r>
      <w:r>
        <w:rPr>
          <w:lang w:val="en-GB"/>
        </w:rPr>
        <w:t xml:space="preserve"> was inevitable and continues to gather momentum. </w:t>
      </w:r>
    </w:p>
    <w:p w14:paraId="7FFE60F9" w14:textId="77CD0A7B" w:rsidR="002C048C" w:rsidRDefault="00853549" w:rsidP="005B28EF">
      <w:pPr>
        <w:spacing w:after="120"/>
        <w:rPr>
          <w:lang w:val="en-GB"/>
        </w:rPr>
      </w:pPr>
      <w:r>
        <w:rPr>
          <w:lang w:val="en-GB"/>
        </w:rPr>
        <w:t xml:space="preserve">As a result, there is today a strong </w:t>
      </w:r>
      <w:r w:rsidR="002C048C">
        <w:rPr>
          <w:lang w:val="en-GB"/>
        </w:rPr>
        <w:t>recognition that as corporations enjoy the benefits of being a member of society with power and position afforded them as separate entities, so they have the obligations to contribute positively to the community; and directors must govern to meet these obligations.</w:t>
      </w:r>
      <w:r w:rsidR="00086851">
        <w:rPr>
          <w:lang w:val="en-GB"/>
        </w:rPr>
        <w:t xml:space="preserve"> This is reflected in the position of </w:t>
      </w:r>
      <w:r w:rsidR="00790A9F">
        <w:rPr>
          <w:lang w:val="en-GB"/>
        </w:rPr>
        <w:t xml:space="preserve">business </w:t>
      </w:r>
      <w:r w:rsidR="00086851">
        <w:rPr>
          <w:lang w:val="en-GB"/>
        </w:rPr>
        <w:t>organisat</w:t>
      </w:r>
      <w:r w:rsidR="002A36BD">
        <w:rPr>
          <w:lang w:val="en-GB"/>
        </w:rPr>
        <w:t>i</w:t>
      </w:r>
      <w:r w:rsidR="00086851">
        <w:rPr>
          <w:lang w:val="en-GB"/>
        </w:rPr>
        <w:t>ons such as the Australian Institute of Company Directors</w:t>
      </w:r>
      <w:r w:rsidR="00790A9F">
        <w:rPr>
          <w:lang w:val="en-GB"/>
        </w:rPr>
        <w:t xml:space="preserve"> or the Business Council of Australia</w:t>
      </w:r>
      <w:r w:rsidR="00086851">
        <w:rPr>
          <w:lang w:val="en-GB"/>
        </w:rPr>
        <w:t xml:space="preserve"> and their members.</w:t>
      </w:r>
    </w:p>
    <w:p w14:paraId="5880444E" w14:textId="6860C967" w:rsidR="002B5E8C" w:rsidRPr="00DD5A4F" w:rsidRDefault="426B09FA" w:rsidP="00FE36B9">
      <w:pPr>
        <w:keepNext/>
        <w:spacing w:before="240" w:after="120"/>
        <w:rPr>
          <w:i/>
          <w:iCs/>
          <w:u w:val="single"/>
        </w:rPr>
      </w:pPr>
      <w:r w:rsidRPr="00DD5A4F">
        <w:rPr>
          <w:i/>
          <w:iCs/>
          <w:u w:val="single"/>
        </w:rPr>
        <w:t>Payroll Giving (</w:t>
      </w:r>
      <w:r w:rsidR="661942E8" w:rsidRPr="00DD5A4F">
        <w:rPr>
          <w:i/>
          <w:iCs/>
          <w:u w:val="single"/>
        </w:rPr>
        <w:t>or “</w:t>
      </w:r>
      <w:r w:rsidRPr="00DD5A4F">
        <w:rPr>
          <w:i/>
          <w:iCs/>
          <w:u w:val="single"/>
        </w:rPr>
        <w:t xml:space="preserve">Give </w:t>
      </w:r>
      <w:bookmarkStart w:id="12" w:name="_Int_pnVoOBuf"/>
      <w:r w:rsidRPr="00DD5A4F">
        <w:rPr>
          <w:i/>
          <w:iCs/>
          <w:u w:val="single"/>
        </w:rPr>
        <w:t>As</w:t>
      </w:r>
      <w:bookmarkEnd w:id="12"/>
      <w:r w:rsidRPr="00DD5A4F">
        <w:rPr>
          <w:i/>
          <w:iCs/>
          <w:u w:val="single"/>
        </w:rPr>
        <w:t xml:space="preserve"> You Earn</w:t>
      </w:r>
      <w:r w:rsidR="661942E8" w:rsidRPr="00DD5A4F">
        <w:rPr>
          <w:i/>
          <w:iCs/>
          <w:u w:val="single"/>
        </w:rPr>
        <w:t>”</w:t>
      </w:r>
      <w:r w:rsidRPr="00DD5A4F">
        <w:rPr>
          <w:i/>
          <w:iCs/>
          <w:u w:val="single"/>
        </w:rPr>
        <w:t>)</w:t>
      </w:r>
    </w:p>
    <w:p w14:paraId="76CF3C65" w14:textId="7DF1B420" w:rsidR="002B5E8C" w:rsidRDefault="0083329B" w:rsidP="005B28EF">
      <w:pPr>
        <w:spacing w:after="120"/>
      </w:pPr>
      <w:r>
        <w:t xml:space="preserve">Payroll giving is </w:t>
      </w:r>
      <w:r w:rsidR="004B0538">
        <w:t xml:space="preserve">a primary lever for effective and successful workplace giving programmes. It is also </w:t>
      </w:r>
      <w:r>
        <w:t xml:space="preserve">one of the most effective </w:t>
      </w:r>
      <w:r w:rsidR="004B0538">
        <w:t xml:space="preserve">and efficient </w:t>
      </w:r>
      <w:r>
        <w:t xml:space="preserve">ways for charities to fundraise, particularly where </w:t>
      </w:r>
      <w:r w:rsidR="004B0538">
        <w:t>the employee signs up to give regularly.</w:t>
      </w:r>
    </w:p>
    <w:p w14:paraId="0C33D0F7" w14:textId="77777777" w:rsidR="0044504C" w:rsidRDefault="00302EA2" w:rsidP="005B28EF">
      <w:pPr>
        <w:spacing w:after="120"/>
      </w:pPr>
      <w:r>
        <w:t xml:space="preserve">Under a payroll giving scheme, the employee nominates </w:t>
      </w:r>
      <w:r w:rsidR="001E27D4">
        <w:t>a charity to donate to and the amount they wish to donate from their pay to that charity. This can be a regular contribution which is deducted on each pay run, or as a one</w:t>
      </w:r>
      <w:r w:rsidR="002452F6">
        <w:t>-</w:t>
      </w:r>
      <w:r w:rsidR="001E27D4">
        <w:t>off amount</w:t>
      </w:r>
      <w:r w:rsidR="00766C79">
        <w:t xml:space="preserve">, by the employer prior to the </w:t>
      </w:r>
      <w:r w:rsidR="002D2D49">
        <w:t>individual’s</w:t>
      </w:r>
      <w:r w:rsidR="00766C79">
        <w:t xml:space="preserve"> pay being remitted to them. </w:t>
      </w:r>
    </w:p>
    <w:p w14:paraId="0A8B44F3" w14:textId="2AD0F7C6" w:rsidR="002D2D49" w:rsidRDefault="0044504C" w:rsidP="005B28EF">
      <w:pPr>
        <w:spacing w:after="120"/>
      </w:pPr>
      <w:r>
        <w:t xml:space="preserve">Ideally, payroll giving </w:t>
      </w:r>
      <w:r w:rsidR="00766C79">
        <w:t>is done on a pre-tax basis and reported to the ATO by the employer. The effect of this is that the employee does not need a receipt for claiming a tax deduction at year end.</w:t>
      </w:r>
      <w:r w:rsidR="002D2D49">
        <w:t xml:space="preserve"> </w:t>
      </w:r>
    </w:p>
    <w:p w14:paraId="3AA9DBED" w14:textId="1CD30856" w:rsidR="008A5F2D" w:rsidRDefault="338EEA95" w:rsidP="005B28EF">
      <w:pPr>
        <w:spacing w:after="120"/>
      </w:pPr>
      <w:r>
        <w:t>The employer then aggregates the amounts being donated to individual charities and remits that to the charities</w:t>
      </w:r>
      <w:r w:rsidR="3D36A31E">
        <w:t xml:space="preserve">. </w:t>
      </w:r>
    </w:p>
    <w:p w14:paraId="11E6C284" w14:textId="42A11970" w:rsidR="00083F42" w:rsidRPr="00DD5A4F" w:rsidRDefault="00083F42" w:rsidP="00FE36B9">
      <w:pPr>
        <w:keepNext/>
        <w:spacing w:before="240" w:after="120"/>
        <w:rPr>
          <w:i/>
          <w:iCs/>
          <w:u w:val="single"/>
        </w:rPr>
      </w:pPr>
      <w:r w:rsidRPr="00DD5A4F">
        <w:rPr>
          <w:i/>
          <w:iCs/>
          <w:u w:val="single"/>
        </w:rPr>
        <w:t>Matching</w:t>
      </w:r>
    </w:p>
    <w:p w14:paraId="7E8CF3C1" w14:textId="6D9D004A" w:rsidR="00B10FD8" w:rsidRDefault="06862757" w:rsidP="005B28EF">
      <w:pPr>
        <w:spacing w:after="120"/>
      </w:pPr>
      <w:r>
        <w:t>In around 60% of programmes, the corporate employer offers matching of some form for the employee involvement</w:t>
      </w:r>
      <w:r w:rsidR="00083F42">
        <w:rPr>
          <w:rStyle w:val="FootnoteReference"/>
        </w:rPr>
        <w:footnoteReference w:id="38"/>
      </w:r>
      <w:r w:rsidR="6C3DA0EE">
        <w:t xml:space="preserve">. </w:t>
      </w:r>
      <w:r w:rsidR="52F4762C">
        <w:t>The form of the matching varies with the most common being 1:1 whereby the corporate donates $1 to the charity of the employee for every $1 that the employee donates</w:t>
      </w:r>
      <w:r w:rsidR="00F42D48">
        <w:rPr>
          <w:rStyle w:val="FootnoteReference"/>
        </w:rPr>
        <w:footnoteReference w:id="39"/>
      </w:r>
      <w:r w:rsidR="52F4762C">
        <w:t>.</w:t>
      </w:r>
    </w:p>
    <w:p w14:paraId="62587CA2" w14:textId="77777777" w:rsidR="007026E6" w:rsidRDefault="52F4762C" w:rsidP="005B28EF">
      <w:pPr>
        <w:spacing w:after="120"/>
      </w:pPr>
      <w:r>
        <w:t xml:space="preserve">Variations on matching include threshold matching where the corporate commits to, say, doubling their matching </w:t>
      </w:r>
      <w:r w:rsidR="431CCA74">
        <w:t xml:space="preserve">once a certain level of donation is met. For example, the corporate may provide 1:1 matching up to $500 and then move to 2:1 matching thereafter </w:t>
      </w:r>
      <w:r w:rsidR="5E73BE17">
        <w:t>to</w:t>
      </w:r>
      <w:r w:rsidR="431CCA74">
        <w:t xml:space="preserve"> encourage involvement. Social matching may also be implemented whereby the corporate increases its commitment upon a set percentage participation being achieved by the workforce or sub-sets of it</w:t>
      </w:r>
      <w:r w:rsidR="00566D36">
        <w:rPr>
          <w:rStyle w:val="FootnoteReference"/>
        </w:rPr>
        <w:footnoteReference w:id="40"/>
      </w:r>
      <w:r w:rsidR="431CCA74">
        <w:t>.</w:t>
      </w:r>
      <w:r w:rsidR="007026E6">
        <w:t xml:space="preserve"> </w:t>
      </w:r>
    </w:p>
    <w:p w14:paraId="20DF4F43" w14:textId="70E86324" w:rsidR="00DE5830" w:rsidRDefault="007026E6" w:rsidP="005B28EF">
      <w:pPr>
        <w:spacing w:after="120"/>
      </w:pPr>
      <w:r>
        <w:lastRenderedPageBreak/>
        <w:t xml:space="preserve">Minimum match requirements and </w:t>
      </w:r>
      <w:r w:rsidR="00DE5830">
        <w:t xml:space="preserve">capped </w:t>
      </w:r>
      <w:r>
        <w:t xml:space="preserve">limits are also common </w:t>
      </w:r>
      <w:r w:rsidR="00DE5830">
        <w:t>(either for individuals or collectively) but in some it is left open.</w:t>
      </w:r>
    </w:p>
    <w:p w14:paraId="46168533" w14:textId="2BFFA993" w:rsidR="00901CDE" w:rsidRDefault="00887ACC" w:rsidP="005B28EF">
      <w:pPr>
        <w:spacing w:after="120"/>
      </w:pPr>
      <w:r>
        <w:t xml:space="preserve">From </w:t>
      </w:r>
      <w:r w:rsidR="002A36BD">
        <w:t>Workplace Giving Australia</w:t>
      </w:r>
      <w:r>
        <w:t xml:space="preserve"> analysis, matching increases participation and the amounts raised. This work indicated that partici</w:t>
      </w:r>
      <w:r w:rsidR="00344F33">
        <w:t xml:space="preserve">pation where matching is offered increases by </w:t>
      </w:r>
      <w:r w:rsidR="000E53AC">
        <w:t>between 7</w:t>
      </w:r>
      <w:r w:rsidR="008931B5">
        <w:t>% to 13%</w:t>
      </w:r>
      <w:r w:rsidR="009216DE">
        <w:t>. At the same time the amount donated by the individual doubles</w:t>
      </w:r>
      <w:r w:rsidR="00645629">
        <w:t xml:space="preserve"> or more</w:t>
      </w:r>
      <w:r w:rsidR="009216DE">
        <w:t xml:space="preserve"> (</w:t>
      </w:r>
      <w:r w:rsidR="00645629">
        <w:t xml:space="preserve">this is </w:t>
      </w:r>
      <w:r w:rsidR="009216DE">
        <w:t>pre-matching).</w:t>
      </w:r>
      <w:r w:rsidR="008931B5">
        <w:t xml:space="preserve"> </w:t>
      </w:r>
      <w:r w:rsidR="00901CDE">
        <w:t xml:space="preserve">The average pre-tax donation without matching from the dataset examined is </w:t>
      </w:r>
      <w:proofErr w:type="spellStart"/>
      <w:r w:rsidR="00816A93">
        <w:t>c.</w:t>
      </w:r>
      <w:r w:rsidR="006E4C6A">
        <w:t>$</w:t>
      </w:r>
      <w:r w:rsidR="00FD2722">
        <w:t>2</w:t>
      </w:r>
      <w:r w:rsidR="006E4C6A">
        <w:t>50</w:t>
      </w:r>
      <w:proofErr w:type="spellEnd"/>
      <w:r w:rsidR="006E4C6A">
        <w:t xml:space="preserve"> to </w:t>
      </w:r>
      <w:r w:rsidR="00901CDE">
        <w:t>$57</w:t>
      </w:r>
      <w:r w:rsidR="00816A93">
        <w:t>5</w:t>
      </w:r>
      <w:r w:rsidR="00901CDE">
        <w:t xml:space="preserve"> per person</w:t>
      </w:r>
      <w:r w:rsidR="00816A93">
        <w:t xml:space="preserve"> whereas the average for those with matching is </w:t>
      </w:r>
      <w:proofErr w:type="spellStart"/>
      <w:r w:rsidR="00816A93">
        <w:t>c.</w:t>
      </w:r>
      <w:r w:rsidR="006E4C6A">
        <w:t>$500</w:t>
      </w:r>
      <w:proofErr w:type="spellEnd"/>
      <w:r w:rsidR="006E4C6A">
        <w:t xml:space="preserve"> to </w:t>
      </w:r>
      <w:r w:rsidR="00816A93">
        <w:t>$1200.</w:t>
      </w:r>
      <w:r w:rsidR="00901CDE">
        <w:t xml:space="preserve"> </w:t>
      </w:r>
      <w:r w:rsidR="00645629">
        <w:t>With 1:1 matching, the impact for the charities is even greater with the final amount to them being between $1000 and $2400 on average per person engaged</w:t>
      </w:r>
      <w:r w:rsidR="00DE4684">
        <w:t xml:space="preserve"> (it is noted</w:t>
      </w:r>
      <w:r w:rsidR="00DC6B4E">
        <w:t xml:space="preserve"> here</w:t>
      </w:r>
      <w:r w:rsidR="00DE4684">
        <w:t xml:space="preserve"> that the average amount donated through workplace giving is higher than the average across the board</w:t>
      </w:r>
      <w:r w:rsidR="00DC6B4E">
        <w:t>,</w:t>
      </w:r>
      <w:r w:rsidR="00DE4684">
        <w:t xml:space="preserve"> which stood at $</w:t>
      </w:r>
      <w:r w:rsidR="0069132E">
        <w:t>488 per person</w:t>
      </w:r>
      <w:r w:rsidR="002A7E22">
        <w:rPr>
          <w:rStyle w:val="FootnoteReference"/>
        </w:rPr>
        <w:footnoteReference w:id="41"/>
      </w:r>
      <w:r w:rsidR="0069132E">
        <w:t>).</w:t>
      </w:r>
    </w:p>
    <w:p w14:paraId="649A901D" w14:textId="073423FF" w:rsidR="00B10FD8" w:rsidRPr="00B861CA" w:rsidRDefault="00B10FD8" w:rsidP="00FE36B9">
      <w:pPr>
        <w:keepNext/>
        <w:spacing w:before="240" w:after="120"/>
        <w:rPr>
          <w:i/>
          <w:iCs/>
          <w:u w:val="single"/>
        </w:rPr>
      </w:pPr>
      <w:r w:rsidRPr="00B861CA">
        <w:rPr>
          <w:i/>
          <w:iCs/>
          <w:u w:val="single"/>
        </w:rPr>
        <w:t>Volunteering</w:t>
      </w:r>
    </w:p>
    <w:p w14:paraId="4C6C1A38" w14:textId="7BF0D2C2" w:rsidR="00B10FD8" w:rsidRDefault="00F619CD" w:rsidP="005B28EF">
      <w:pPr>
        <w:spacing w:after="120"/>
      </w:pPr>
      <w:r>
        <w:t xml:space="preserve">Volunteering </w:t>
      </w:r>
      <w:r w:rsidR="00924C93">
        <w:t>by</w:t>
      </w:r>
      <w:r>
        <w:t xml:space="preserve"> </w:t>
      </w:r>
      <w:r w:rsidR="00924C93">
        <w:t>a</w:t>
      </w:r>
      <w:r>
        <w:t xml:space="preserve"> worker is often captured by the employer and can also be matched. In this case, the employer will donate an amount equivalent to the value of the volunteering on behalf of the employee to the chosen charity.</w:t>
      </w:r>
    </w:p>
    <w:p w14:paraId="36DAACAF" w14:textId="4F098B69" w:rsidR="00BF46F6" w:rsidRPr="00B861CA" w:rsidRDefault="3A6FED29" w:rsidP="00FE36B9">
      <w:pPr>
        <w:keepNext/>
        <w:spacing w:before="240" w:after="120"/>
        <w:rPr>
          <w:i/>
          <w:iCs/>
          <w:u w:val="single"/>
        </w:rPr>
      </w:pPr>
      <w:r w:rsidRPr="00B861CA">
        <w:rPr>
          <w:i/>
          <w:iCs/>
          <w:u w:val="single"/>
        </w:rPr>
        <w:t xml:space="preserve">Wisdom of the Crowd, </w:t>
      </w:r>
      <w:r w:rsidR="46E22D19" w:rsidRPr="00B861CA">
        <w:rPr>
          <w:i/>
          <w:iCs/>
          <w:u w:val="single"/>
        </w:rPr>
        <w:t>Privacy,</w:t>
      </w:r>
      <w:r w:rsidRPr="00B861CA">
        <w:rPr>
          <w:i/>
          <w:iCs/>
          <w:u w:val="single"/>
        </w:rPr>
        <w:t xml:space="preserve"> and Impact</w:t>
      </w:r>
    </w:p>
    <w:p w14:paraId="6642D686" w14:textId="0DB415F9" w:rsidR="00BF46F6" w:rsidRDefault="00BF46F6" w:rsidP="005B28EF">
      <w:pPr>
        <w:spacing w:after="120"/>
      </w:pPr>
      <w:r>
        <w:t xml:space="preserve">Recent work by </w:t>
      </w:r>
      <w:r w:rsidR="002A36BD">
        <w:t>Workplace Giving Australia</w:t>
      </w:r>
      <w:r>
        <w:t xml:space="preserve"> indicates that the selection of a charity by an individual as part of their employment and engagement with co-workers is less involving than when acting in isolation. Similarly, it appears that </w:t>
      </w:r>
      <w:r w:rsidR="00AF1CB6">
        <w:t>within the workplace setting, the individuals focus more on the impact of their joint giving than as individuals. Put simply, preliminary findings indicate that those who donate as part of a group are more likely to focus on the outputs than on deciding which charity to support</w:t>
      </w:r>
      <w:r w:rsidR="00C1244E">
        <w:t>, relying instead on the collective wisdom of their colleagues and business to make the right choice on the charity itself</w:t>
      </w:r>
      <w:r w:rsidR="00AF1CB6">
        <w:t>.</w:t>
      </w:r>
    </w:p>
    <w:p w14:paraId="4B28A080" w14:textId="5C6D0E9D" w:rsidR="00AF1CB6" w:rsidRDefault="7A971D96" w:rsidP="005B28EF">
      <w:pPr>
        <w:spacing w:after="120"/>
      </w:pPr>
      <w:r>
        <w:t xml:space="preserve">Workplace Giving Australia </w:t>
      </w:r>
      <w:r w:rsidR="023CDC6B">
        <w:t xml:space="preserve">has also </w:t>
      </w:r>
      <w:r w:rsidR="7B538F21">
        <w:t>seen</w:t>
      </w:r>
      <w:r w:rsidR="023CDC6B">
        <w:t xml:space="preserve"> that around 2/3</w:t>
      </w:r>
      <w:r w:rsidR="023CDC6B" w:rsidRPr="721DB9EC">
        <w:rPr>
          <w:vertAlign w:val="superscript"/>
        </w:rPr>
        <w:t>rd</w:t>
      </w:r>
      <w:r w:rsidR="023CDC6B">
        <w:t xml:space="preserve"> of workplace donors </w:t>
      </w:r>
      <w:bookmarkStart w:id="13" w:name="_Int_G4WnONwA"/>
      <w:r w:rsidR="023CDC6B">
        <w:t>elect</w:t>
      </w:r>
      <w:bookmarkEnd w:id="13"/>
      <w:r w:rsidR="023CDC6B">
        <w:t xml:space="preserve"> to have no direct contact with their chosen charity or charities. In this case, their employer is looked to for impact reporting</w:t>
      </w:r>
      <w:r w:rsidR="7B538F21">
        <w:t xml:space="preserve"> and acquittal</w:t>
      </w:r>
      <w:r w:rsidR="023CDC6B">
        <w:t xml:space="preserve"> on</w:t>
      </w:r>
      <w:r w:rsidR="7B538F21">
        <w:t xml:space="preserve"> the outcome of</w:t>
      </w:r>
      <w:r w:rsidR="023CDC6B">
        <w:t xml:space="preserve"> their collective donations. </w:t>
      </w:r>
      <w:r w:rsidR="17190515">
        <w:t>Again</w:t>
      </w:r>
      <w:r w:rsidR="7B538F21">
        <w:t>,</w:t>
      </w:r>
      <w:r w:rsidR="17190515">
        <w:t xml:space="preserve"> while there is</w:t>
      </w:r>
      <w:r w:rsidR="7B538F21">
        <w:t xml:space="preserve"> further work to be done to interrogate these findings, </w:t>
      </w:r>
      <w:bookmarkStart w:id="14" w:name="_Int_4cmLYFxQ"/>
      <w:r w:rsidR="17190515">
        <w:t>it appears that the majority of donors</w:t>
      </w:r>
      <w:bookmarkEnd w:id="14"/>
      <w:r w:rsidR="17190515">
        <w:t xml:space="preserve"> are using the mode of giving as a buffer to providing the charity with contact details which might be used for ongoing appeals and contact.</w:t>
      </w:r>
      <w:r w:rsidR="023CDC6B">
        <w:t xml:space="preserve"> </w:t>
      </w:r>
    </w:p>
    <w:p w14:paraId="4FD9FAB5" w14:textId="36C17273" w:rsidR="00566B87" w:rsidRPr="00BA18EF" w:rsidRDefault="00566B87" w:rsidP="00FE36B9">
      <w:pPr>
        <w:keepNext/>
        <w:spacing w:before="240" w:after="120"/>
        <w:rPr>
          <w:i/>
          <w:iCs/>
          <w:u w:val="single"/>
        </w:rPr>
      </w:pPr>
      <w:r w:rsidRPr="00BA18EF">
        <w:rPr>
          <w:i/>
          <w:iCs/>
          <w:u w:val="single"/>
        </w:rPr>
        <w:t xml:space="preserve">Opt-in, Opt-out and </w:t>
      </w:r>
      <w:r w:rsidR="00AF5F45" w:rsidRPr="00BA18EF">
        <w:rPr>
          <w:i/>
          <w:iCs/>
          <w:u w:val="single"/>
        </w:rPr>
        <w:t>Mandated</w:t>
      </w:r>
      <w:r w:rsidRPr="00BA18EF">
        <w:rPr>
          <w:i/>
          <w:iCs/>
          <w:u w:val="single"/>
        </w:rPr>
        <w:t xml:space="preserve"> Choice</w:t>
      </w:r>
    </w:p>
    <w:p w14:paraId="31E40C8F" w14:textId="219BE057" w:rsidR="00566B87" w:rsidRDefault="3D5C3BA6" w:rsidP="005B28EF">
      <w:pPr>
        <w:spacing w:after="120"/>
      </w:pPr>
      <w:r>
        <w:t xml:space="preserve">The most successful </w:t>
      </w:r>
      <w:r w:rsidR="30253673">
        <w:t xml:space="preserve">payroll giving </w:t>
      </w:r>
      <w:r>
        <w:t>programs have a strong</w:t>
      </w:r>
      <w:r w:rsidR="30253673">
        <w:t xml:space="preserve"> underpinning of expectation that permeates the organisation.</w:t>
      </w:r>
      <w:r>
        <w:t xml:space="preserve"> </w:t>
      </w:r>
      <w:r w:rsidR="43061A10">
        <w:t>The preference for most is to have a mandatory programme with the ability for individuals to opt-out. However, legal and risk considerations</w:t>
      </w:r>
      <w:r w:rsidR="68D921D4">
        <w:t xml:space="preserve">, </w:t>
      </w:r>
      <w:r w:rsidR="48373D7C">
        <w:t>hinged</w:t>
      </w:r>
      <w:r w:rsidR="68D921D4">
        <w:t xml:space="preserve"> on </w:t>
      </w:r>
      <w:r w:rsidR="593BA7B2">
        <w:t>a strict</w:t>
      </w:r>
      <w:r w:rsidR="68D921D4">
        <w:t xml:space="preserve"> interpretation of </w:t>
      </w:r>
      <w:proofErr w:type="spellStart"/>
      <w:r w:rsidR="68D921D4">
        <w:t>s.324</w:t>
      </w:r>
      <w:proofErr w:type="spellEnd"/>
      <w:r w:rsidR="68D921D4">
        <w:t xml:space="preserve"> of the Fair Work Act,</w:t>
      </w:r>
      <w:r w:rsidR="43061A10">
        <w:t xml:space="preserve"> have led to most adopting opt-in as the default such that they must then motivate the employee to sign up.</w:t>
      </w:r>
      <w:r w:rsidR="0C980CCE">
        <w:t xml:space="preserve"> For an increasing number, this is being complemented with a “mandated choice” requirement at induction for new joiners. Under this system, </w:t>
      </w:r>
      <w:bookmarkStart w:id="15" w:name="_Int_qLKcbSJl"/>
      <w:r w:rsidR="0C980CCE">
        <w:t>new staff</w:t>
      </w:r>
      <w:bookmarkEnd w:id="15"/>
      <w:r w:rsidR="0C980CCE">
        <w:t xml:space="preserve"> must elect to join or not to proceed further in the onboarding process.</w:t>
      </w:r>
    </w:p>
    <w:p w14:paraId="07072265" w14:textId="75AB0FE8" w:rsidR="00FF52EA" w:rsidRPr="00BA18EF" w:rsidRDefault="00FF52EA" w:rsidP="00FE36B9">
      <w:pPr>
        <w:keepNext/>
        <w:spacing w:before="240" w:after="120"/>
        <w:rPr>
          <w:i/>
          <w:iCs/>
          <w:u w:val="single"/>
        </w:rPr>
      </w:pPr>
      <w:r w:rsidRPr="00BA18EF">
        <w:rPr>
          <w:i/>
          <w:iCs/>
          <w:u w:val="single"/>
        </w:rPr>
        <w:t>Closed, Open and Hybrid Programmes</w:t>
      </w:r>
    </w:p>
    <w:p w14:paraId="6D7901E8" w14:textId="10C30511" w:rsidR="00FF52EA" w:rsidRDefault="00AF5F45" w:rsidP="005B28EF">
      <w:pPr>
        <w:spacing w:after="120"/>
      </w:pPr>
      <w:r>
        <w:t xml:space="preserve">An open programme allows the employee to select any registered </w:t>
      </w:r>
      <w:proofErr w:type="spellStart"/>
      <w:r>
        <w:t>DGR1</w:t>
      </w:r>
      <w:proofErr w:type="spellEnd"/>
      <w:r>
        <w:t xml:space="preserve"> charity for their pre-tax donation. This requires the charity to be verified and ‘on-boarded’ such that they are confirmed to have the appropriate status and necessary administrative information is to hand, such as banking </w:t>
      </w:r>
      <w:r>
        <w:lastRenderedPageBreak/>
        <w:t>details. In a fully open programme, if matching or other advantages are offered, then this applies equally to the charity selected.</w:t>
      </w:r>
    </w:p>
    <w:p w14:paraId="13101A60" w14:textId="3941A5C0" w:rsidR="00AF5F45" w:rsidRDefault="0C980CCE" w:rsidP="005B28EF">
      <w:pPr>
        <w:spacing w:after="120"/>
      </w:pPr>
      <w:r>
        <w:t>However, there is an increasing awareness of the risks involved in a</w:t>
      </w:r>
      <w:r w:rsidR="002627BD">
        <w:t xml:space="preserve"> fully</w:t>
      </w:r>
      <w:r>
        <w:t xml:space="preserve"> open approach, particularly where the corporate </w:t>
      </w:r>
      <w:r w:rsidR="5E6462F9">
        <w:t>is involved</w:t>
      </w:r>
      <w:r>
        <w:t xml:space="preserve"> in the donation beyond simply directing the employee’s money. </w:t>
      </w:r>
      <w:r w:rsidR="79E216B6">
        <w:t xml:space="preserve">Elements such as </w:t>
      </w:r>
      <w:r w:rsidR="1C67AC72">
        <w:t>AML/</w:t>
      </w:r>
      <w:proofErr w:type="spellStart"/>
      <w:r w:rsidR="1C67AC72">
        <w:t>CTF</w:t>
      </w:r>
      <w:proofErr w:type="spellEnd"/>
      <w:r w:rsidR="1C67AC72">
        <w:t xml:space="preserve"> and reputational risks are leading many to move to a programme which is closed or restricted to select more stringently verified and vetted charities.</w:t>
      </w:r>
      <w:r w:rsidR="79E216B6">
        <w:t xml:space="preserve"> </w:t>
      </w:r>
    </w:p>
    <w:p w14:paraId="0147F329" w14:textId="3A148853" w:rsidR="00C92488" w:rsidRDefault="00C92488" w:rsidP="005B28EF">
      <w:pPr>
        <w:spacing w:after="120"/>
      </w:pPr>
      <w:r>
        <w:t>There also exists the opportunity to create hybrid programmes where matched charities and those otherwise supported by both the employee and the employer are limited but there is still an opportunity for the staff to donate more broadly if they desire and to at least gain the benefits of pre-tax giving are also being adopted</w:t>
      </w:r>
      <w:r>
        <w:rPr>
          <w:rStyle w:val="FootnoteReference"/>
        </w:rPr>
        <w:footnoteReference w:id="42"/>
      </w:r>
      <w:r>
        <w:t>.</w:t>
      </w:r>
    </w:p>
    <w:p w14:paraId="5EEFB6D9" w14:textId="21062F4A" w:rsidR="00710A26" w:rsidRDefault="00710A26" w:rsidP="005B28EF">
      <w:pPr>
        <w:spacing w:after="120"/>
      </w:pPr>
      <w:r>
        <w:t>Re</w:t>
      </w:r>
      <w:r w:rsidR="00FA3E9D">
        <w:t>gardless of the type of program adopted, re</w:t>
      </w:r>
      <w:r>
        <w:t>search and experience indicates that participation and benefits to the employees is impacted where the workers are not included in the decision making on which charities or causes to support.</w:t>
      </w:r>
      <w:r w:rsidR="00DF347D">
        <w:t xml:space="preserve"> Empowering the workforce in this manner increases the humanisation of the workplace</w:t>
      </w:r>
      <w:r w:rsidR="005B7171">
        <w:t xml:space="preserve"> and provides workers the opportunity to </w:t>
      </w:r>
      <w:r w:rsidR="00664293">
        <w:t>give voice to</w:t>
      </w:r>
      <w:r w:rsidR="005B7171">
        <w:t xml:space="preserve"> </w:t>
      </w:r>
      <w:r w:rsidR="00664293">
        <w:t>“</w:t>
      </w:r>
      <w:r w:rsidR="005B7171">
        <w:t>their philanthropic preferences</w:t>
      </w:r>
      <w:r w:rsidR="00664293">
        <w:t xml:space="preserve"> and signal their charitable identity to colleagues and customers”</w:t>
      </w:r>
      <w:r w:rsidR="00664293">
        <w:rPr>
          <w:rStyle w:val="FootnoteReference"/>
        </w:rPr>
        <w:footnoteReference w:id="43"/>
      </w:r>
      <w:r w:rsidR="00664293">
        <w:t>.</w:t>
      </w:r>
    </w:p>
    <w:p w14:paraId="4CEF444E" w14:textId="340DEBC0" w:rsidR="00C92488" w:rsidRPr="00BA18EF" w:rsidRDefault="00C92488" w:rsidP="00FE36B9">
      <w:pPr>
        <w:keepNext/>
        <w:spacing w:before="240" w:after="120"/>
        <w:rPr>
          <w:i/>
          <w:iCs/>
          <w:u w:val="single"/>
        </w:rPr>
      </w:pPr>
      <w:r w:rsidRPr="00BA18EF">
        <w:rPr>
          <w:i/>
          <w:iCs/>
          <w:u w:val="single"/>
        </w:rPr>
        <w:t>Corporate Foundations</w:t>
      </w:r>
    </w:p>
    <w:p w14:paraId="206B627D" w14:textId="7640C8BC" w:rsidR="00C92488" w:rsidRDefault="00C92488" w:rsidP="005B28EF">
      <w:pPr>
        <w:spacing w:after="120"/>
      </w:pPr>
      <w:r>
        <w:t>There is an increasing move to the creation of Corporate Foundations. While many are not being designed to enhance and assist the workforce efforts, many have at their core a desire to engage their people more closely in philanthropic endeavour. In the latter cases, there is the opportunity for the pre-tax payroll giving (regular and one-off) to be used to direct donations to the Foundation where they can be focused on a select set of cause areas and charities.</w:t>
      </w:r>
    </w:p>
    <w:p w14:paraId="5E406C03" w14:textId="739F4EEC" w:rsidR="002452F6" w:rsidRPr="00BA18EF" w:rsidRDefault="0044615D" w:rsidP="00FE36B9">
      <w:pPr>
        <w:keepNext/>
        <w:spacing w:before="240" w:after="120"/>
        <w:rPr>
          <w:i/>
          <w:iCs/>
          <w:u w:val="single"/>
        </w:rPr>
      </w:pPr>
      <w:r w:rsidRPr="00BA18EF">
        <w:rPr>
          <w:i/>
          <w:iCs/>
          <w:u w:val="single"/>
        </w:rPr>
        <w:t>Administration and Costs</w:t>
      </w:r>
    </w:p>
    <w:p w14:paraId="39F4D993" w14:textId="77399521" w:rsidR="004B0538" w:rsidRDefault="00F42410" w:rsidP="005B28EF">
      <w:pPr>
        <w:spacing w:after="120"/>
      </w:pPr>
      <w:r>
        <w:t xml:space="preserve">The majority of payroll giving is administered by the employer, </w:t>
      </w:r>
      <w:r w:rsidR="00ED1466">
        <w:t xml:space="preserve">although providers exist that can either provide a platform to assist in the process or </w:t>
      </w:r>
      <w:r w:rsidR="000012B3">
        <w:t>can provide a payroll giving service.</w:t>
      </w:r>
    </w:p>
    <w:p w14:paraId="3DE7CAA1" w14:textId="68FC90E8" w:rsidR="0044615D" w:rsidRDefault="0044615D" w:rsidP="005B28EF">
      <w:pPr>
        <w:spacing w:after="120"/>
      </w:pPr>
      <w:r>
        <w:t>In best case examples, the corporate is looking to ensure that 100% of the employees</w:t>
      </w:r>
      <w:r w:rsidR="00F6383B">
        <w:t>’</w:t>
      </w:r>
      <w:r>
        <w:t xml:space="preserve"> gift is received by the charity. In these cases, the corporate meets the costs of the administration of the donation and the cost of processing the payroll deduction. </w:t>
      </w:r>
    </w:p>
    <w:p w14:paraId="288F3520" w14:textId="2E5BF569" w:rsidR="00E828A9" w:rsidRDefault="04C6C6FB" w:rsidP="005B28EF">
      <w:pPr>
        <w:spacing w:after="120"/>
      </w:pPr>
      <w:r>
        <w:t xml:space="preserve">Where the corporate does not pay the costs, then there is most commonly a deduction from the charitable amount </w:t>
      </w:r>
      <w:r w:rsidR="1CD0C3F3">
        <w:t xml:space="preserve">up to 6% </w:t>
      </w:r>
      <w:r w:rsidR="22D3EA7D">
        <w:t>usually</w:t>
      </w:r>
      <w:r w:rsidR="1CD0C3F3">
        <w:t xml:space="preserve"> on a </w:t>
      </w:r>
      <w:r w:rsidR="22D3EA7D">
        <w:t xml:space="preserve">downward </w:t>
      </w:r>
      <w:r w:rsidR="1CD0C3F3">
        <w:t xml:space="preserve">sliding scale for volume. Given the average cost of fundraising, this is a </w:t>
      </w:r>
      <w:r w:rsidR="16655B37">
        <w:t>less</w:t>
      </w:r>
      <w:r w:rsidR="3DE01CFF">
        <w:t xml:space="preserve"> expensive and </w:t>
      </w:r>
      <w:r w:rsidR="22D3EA7D">
        <w:t xml:space="preserve">is a more </w:t>
      </w:r>
      <w:r w:rsidR="1CD0C3F3">
        <w:t xml:space="preserve">effective tool for the charities than most other forms of </w:t>
      </w:r>
      <w:r w:rsidR="22D3EA7D">
        <w:t xml:space="preserve">fundraising </w:t>
      </w:r>
      <w:r w:rsidR="1CD0C3F3">
        <w:t>activity.</w:t>
      </w:r>
    </w:p>
    <w:p w14:paraId="63773586" w14:textId="5861E959" w:rsidR="00D93AAD" w:rsidRDefault="68D921D4" w:rsidP="005B28EF">
      <w:pPr>
        <w:spacing w:after="120"/>
      </w:pPr>
      <w:r>
        <w:t xml:space="preserve">In most cases, the corporate, the donor and the charity is expecting to receive the payroll deducted donation within a reasonable time of </w:t>
      </w:r>
      <w:r w:rsidR="75734E9C">
        <w:t>the pay-run</w:t>
      </w:r>
      <w:r w:rsidR="2774D8ED">
        <w:t xml:space="preserve"> to enable the administration and consolidation</w:t>
      </w:r>
      <w:r>
        <w:t xml:space="preserve">, </w:t>
      </w:r>
      <w:bookmarkStart w:id="16" w:name="_Int_CPMf6Bd6"/>
      <w:r w:rsidR="2774D8ED">
        <w:t>most likely</w:t>
      </w:r>
      <w:r>
        <w:t xml:space="preserve"> within</w:t>
      </w:r>
      <w:bookmarkEnd w:id="16"/>
      <w:r>
        <w:t xml:space="preserve"> 14-28 days</w:t>
      </w:r>
      <w:r w:rsidR="75734E9C">
        <w:t>.</w:t>
      </w:r>
    </w:p>
    <w:p w14:paraId="2718A716" w14:textId="6D77A3D6" w:rsidR="00DE6B7D" w:rsidRPr="00BA18EF" w:rsidRDefault="00DE6B7D" w:rsidP="00FE36B9">
      <w:pPr>
        <w:keepNext/>
        <w:spacing w:before="240" w:after="120"/>
        <w:rPr>
          <w:i/>
          <w:iCs/>
          <w:u w:val="single"/>
        </w:rPr>
      </w:pPr>
      <w:r w:rsidRPr="00BA18EF">
        <w:rPr>
          <w:i/>
          <w:iCs/>
          <w:u w:val="single"/>
        </w:rPr>
        <w:lastRenderedPageBreak/>
        <w:t>Quantum and Trends</w:t>
      </w:r>
    </w:p>
    <w:p w14:paraId="357601F8" w14:textId="1A051B32" w:rsidR="00DE6B7D" w:rsidRDefault="6EACCF43" w:rsidP="00DD607D">
      <w:pPr>
        <w:keepNext/>
        <w:spacing w:before="240" w:after="60"/>
      </w:pPr>
      <w:r>
        <w:t xml:space="preserve">While the corporate element of </w:t>
      </w:r>
      <w:r w:rsidR="09EC804C">
        <w:t xml:space="preserve">payroll giving (notably matching) is not recorded formally (given it is an expense not a donation) </w:t>
      </w:r>
      <w:r w:rsidR="5FD9CFDE">
        <w:t xml:space="preserve">the full impact is </w:t>
      </w:r>
      <w:r w:rsidR="7C7CB85A">
        <w:t xml:space="preserve">calculated based on </w:t>
      </w:r>
      <w:r w:rsidR="7BB50852">
        <w:t>fact-based</w:t>
      </w:r>
      <w:r w:rsidR="7C7CB85A">
        <w:t xml:space="preserve"> assumptions</w:t>
      </w:r>
      <w:r w:rsidR="5FD9CFDE">
        <w:t>. Regardless, the ATO data for payroll giving pre-tax is captured</w:t>
      </w:r>
      <w:r w:rsidR="5F445FE6">
        <w:t xml:space="preserve"> and an analysis of this data </w:t>
      </w:r>
      <w:r w:rsidR="5FD9CFDE">
        <w:t>shows</w:t>
      </w:r>
      <w:r w:rsidR="449E1E6B">
        <w:t>:</w:t>
      </w:r>
    </w:p>
    <w:p w14:paraId="616CB028" w14:textId="02D8EE8D" w:rsidR="00D25BC8" w:rsidRDefault="26D8E2E0" w:rsidP="00D347C7">
      <w:pPr>
        <w:pStyle w:val="ListParagraph"/>
        <w:numPr>
          <w:ilvl w:val="0"/>
          <w:numId w:val="11"/>
        </w:numPr>
      </w:pPr>
      <w:r>
        <w:t>$53</w:t>
      </w:r>
      <w:r w:rsidR="00BA18EF">
        <w:t xml:space="preserve"> </w:t>
      </w:r>
      <w:r>
        <w:t>m</w:t>
      </w:r>
      <w:r w:rsidR="00BA18EF">
        <w:t>illion</w:t>
      </w:r>
      <w:r>
        <w:t xml:space="preserve"> in individual payroll, pre-tax donations (FY 2021)</w:t>
      </w:r>
      <w:r w:rsidR="00D25BC8">
        <w:rPr>
          <w:rStyle w:val="FootnoteReference"/>
        </w:rPr>
        <w:footnoteReference w:id="44"/>
      </w:r>
    </w:p>
    <w:p w14:paraId="021645F9" w14:textId="44D60438" w:rsidR="00924C93" w:rsidRDefault="00295C77" w:rsidP="00D347C7">
      <w:pPr>
        <w:pStyle w:val="ListParagraph"/>
        <w:numPr>
          <w:ilvl w:val="0"/>
          <w:numId w:val="11"/>
        </w:numPr>
      </w:pPr>
      <w:r>
        <w:t xml:space="preserve">Year on year growth in participation from </w:t>
      </w:r>
      <w:proofErr w:type="spellStart"/>
      <w:r>
        <w:t>FY’12</w:t>
      </w:r>
      <w:proofErr w:type="spellEnd"/>
      <w:r>
        <w:t xml:space="preserve"> to </w:t>
      </w:r>
      <w:proofErr w:type="spellStart"/>
      <w:r>
        <w:t>FY’20</w:t>
      </w:r>
      <w:proofErr w:type="spellEnd"/>
      <w:r>
        <w:t xml:space="preserve"> </w:t>
      </w:r>
    </w:p>
    <w:p w14:paraId="32E23B06" w14:textId="1642F00E" w:rsidR="00295C77" w:rsidRDefault="00295C77" w:rsidP="00D347C7">
      <w:pPr>
        <w:pStyle w:val="ListParagraph"/>
        <w:numPr>
          <w:ilvl w:val="0"/>
          <w:numId w:val="11"/>
        </w:numPr>
      </w:pPr>
      <w:r>
        <w:t>Decline in participation</w:t>
      </w:r>
      <w:r w:rsidR="00763BB4">
        <w:t xml:space="preserve"> overall</w:t>
      </w:r>
      <w:r>
        <w:t xml:space="preserve"> in </w:t>
      </w:r>
      <w:proofErr w:type="spellStart"/>
      <w:r>
        <w:t>FY’21</w:t>
      </w:r>
      <w:proofErr w:type="spellEnd"/>
      <w:r>
        <w:t xml:space="preserve"> of (2%)</w:t>
      </w:r>
    </w:p>
    <w:p w14:paraId="4D780A37" w14:textId="0985E04D" w:rsidR="00D51664" w:rsidRDefault="00D51664" w:rsidP="00D347C7">
      <w:pPr>
        <w:pStyle w:val="ListParagraph"/>
        <w:numPr>
          <w:ilvl w:val="1"/>
          <w:numId w:val="11"/>
        </w:numPr>
      </w:pPr>
      <w:r>
        <w:t xml:space="preserve">Largest decline </w:t>
      </w:r>
      <w:r w:rsidR="00E11576">
        <w:t>in that period driven by</w:t>
      </w:r>
      <w:r>
        <w:t xml:space="preserve"> Large Enterprise (19.4%) but also in SME (</w:t>
      </w:r>
      <w:r w:rsidR="002E2917">
        <w:t xml:space="preserve">11.9%) and Micro (10.7%) </w:t>
      </w:r>
      <w:r w:rsidR="00E11576">
        <w:t>(noting Large Enterprises still provide the largest impact overall)</w:t>
      </w:r>
    </w:p>
    <w:p w14:paraId="17F06D55" w14:textId="48C9072E" w:rsidR="00763BB4" w:rsidRDefault="005E3AC7" w:rsidP="00D347C7">
      <w:pPr>
        <w:pStyle w:val="ListParagraph"/>
        <w:numPr>
          <w:ilvl w:val="1"/>
          <w:numId w:val="11"/>
        </w:numPr>
      </w:pPr>
      <w:r>
        <w:t>Increase participation in</w:t>
      </w:r>
      <w:r w:rsidR="002E2917">
        <w:t xml:space="preserve"> Government </w:t>
      </w:r>
      <w:r>
        <w:t>[up</w:t>
      </w:r>
      <w:r w:rsidR="00763BB4">
        <w:t xml:space="preserve"> </w:t>
      </w:r>
      <w:r w:rsidR="002E2917">
        <w:t>50%</w:t>
      </w:r>
      <w:r>
        <w:t>]</w:t>
      </w:r>
      <w:r w:rsidR="00763BB4">
        <w:t xml:space="preserve"> </w:t>
      </w:r>
    </w:p>
    <w:p w14:paraId="3D7E4280" w14:textId="20FFFF43" w:rsidR="006749F4" w:rsidRDefault="006749F4" w:rsidP="00D347C7">
      <w:pPr>
        <w:pStyle w:val="ListParagraph"/>
        <w:numPr>
          <w:ilvl w:val="0"/>
          <w:numId w:val="11"/>
        </w:numPr>
      </w:pPr>
      <w:r>
        <w:t xml:space="preserve">Year on Year growth in total value of individual donations </w:t>
      </w:r>
      <w:proofErr w:type="spellStart"/>
      <w:r>
        <w:t>F’12</w:t>
      </w:r>
      <w:proofErr w:type="spellEnd"/>
      <w:r>
        <w:t xml:space="preserve"> to </w:t>
      </w:r>
      <w:proofErr w:type="spellStart"/>
      <w:r>
        <w:t>FY’21</w:t>
      </w:r>
      <w:proofErr w:type="spellEnd"/>
    </w:p>
    <w:p w14:paraId="0F46B4B7" w14:textId="39759A9C" w:rsidR="002E3253" w:rsidRDefault="002E3253" w:rsidP="00763BB4">
      <w:pPr>
        <w:pStyle w:val="ListParagraph"/>
      </w:pPr>
    </w:p>
    <w:p w14:paraId="2F61180C" w14:textId="14C20391" w:rsidR="008B04DC" w:rsidRDefault="0084729A" w:rsidP="008B04DC">
      <w:r w:rsidRPr="00D82469">
        <w:rPr>
          <w:noProof/>
        </w:rPr>
        <w:drawing>
          <wp:anchor distT="0" distB="0" distL="114300" distR="114300" simplePos="0" relativeHeight="251658241" behindDoc="1" locked="0" layoutInCell="1" allowOverlap="1" wp14:anchorId="67F1D8BD" wp14:editId="59E9AA07">
            <wp:simplePos x="0" y="0"/>
            <wp:positionH relativeFrom="column">
              <wp:posOffset>3057525</wp:posOffset>
            </wp:positionH>
            <wp:positionV relativeFrom="paragraph">
              <wp:posOffset>1294765</wp:posOffset>
            </wp:positionV>
            <wp:extent cx="3152775" cy="2471420"/>
            <wp:effectExtent l="0" t="0" r="9525" b="5080"/>
            <wp:wrapTight wrapText="bothSides">
              <wp:wrapPolygon edited="0">
                <wp:start x="0" y="0"/>
                <wp:lineTo x="0" y="21478"/>
                <wp:lineTo x="21535" y="21478"/>
                <wp:lineTo x="21535" y="0"/>
                <wp:lineTo x="0" y="0"/>
              </wp:wrapPolygon>
            </wp:wrapTight>
            <wp:docPr id="364865801" name="Picture 36486580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865801" name="Picture 1" descr="Chart, bar ch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152775" cy="2471420"/>
                    </a:xfrm>
                    <a:prstGeom prst="rect">
                      <a:avLst/>
                    </a:prstGeom>
                  </pic:spPr>
                </pic:pic>
              </a:graphicData>
            </a:graphic>
            <wp14:sizeRelH relativeFrom="page">
              <wp14:pctWidth>0</wp14:pctWidth>
            </wp14:sizeRelH>
            <wp14:sizeRelV relativeFrom="page">
              <wp14:pctHeight>0</wp14:pctHeight>
            </wp14:sizeRelV>
          </wp:anchor>
        </w:drawing>
      </w:r>
      <w:r w:rsidR="00673A96" w:rsidRPr="00673A96">
        <w:rPr>
          <w:noProof/>
        </w:rPr>
        <w:drawing>
          <wp:inline distT="0" distB="0" distL="0" distR="0" wp14:anchorId="5ABF76BE" wp14:editId="43F0EBDE">
            <wp:extent cx="5731510" cy="1162685"/>
            <wp:effectExtent l="0" t="0" r="2540" b="0"/>
            <wp:docPr id="97283995" name="Picture 9728399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83995" name="Picture 1" descr="Table&#10;&#10;Description automatically generated"/>
                    <pic:cNvPicPr/>
                  </pic:nvPicPr>
                  <pic:blipFill>
                    <a:blip r:embed="rId12"/>
                    <a:stretch>
                      <a:fillRect/>
                    </a:stretch>
                  </pic:blipFill>
                  <pic:spPr>
                    <a:xfrm>
                      <a:off x="0" y="0"/>
                      <a:ext cx="5731510" cy="1162685"/>
                    </a:xfrm>
                    <a:prstGeom prst="rect">
                      <a:avLst/>
                    </a:prstGeom>
                  </pic:spPr>
                </pic:pic>
              </a:graphicData>
            </a:graphic>
          </wp:inline>
        </w:drawing>
      </w:r>
    </w:p>
    <w:p w14:paraId="6AE0EB07" w14:textId="720F8EE4" w:rsidR="008B04DC" w:rsidRPr="008B04DC" w:rsidRDefault="0084729A" w:rsidP="008B04DC">
      <w:pPr>
        <w:spacing w:after="0" w:line="240" w:lineRule="auto"/>
        <w:rPr>
          <w:rFonts w:ascii="Times New Roman" w:eastAsia="Times New Roman" w:hAnsi="Times New Roman" w:cs="Times New Roman"/>
          <w:sz w:val="24"/>
          <w:szCs w:val="24"/>
          <w:lang w:eastAsia="en-AU"/>
        </w:rPr>
      </w:pPr>
      <w:r w:rsidRPr="008B04DC">
        <w:rPr>
          <w:noProof/>
        </w:rPr>
        <w:drawing>
          <wp:anchor distT="0" distB="0" distL="114300" distR="114300" simplePos="0" relativeHeight="251658240" behindDoc="1" locked="0" layoutInCell="1" allowOverlap="1" wp14:anchorId="7115C2D9" wp14:editId="267A0CB8">
            <wp:simplePos x="0" y="0"/>
            <wp:positionH relativeFrom="column">
              <wp:posOffset>-247650</wp:posOffset>
            </wp:positionH>
            <wp:positionV relativeFrom="paragraph">
              <wp:posOffset>264160</wp:posOffset>
            </wp:positionV>
            <wp:extent cx="3212502" cy="2000250"/>
            <wp:effectExtent l="0" t="0" r="6985" b="0"/>
            <wp:wrapTight wrapText="bothSides">
              <wp:wrapPolygon edited="0">
                <wp:start x="0" y="0"/>
                <wp:lineTo x="0" y="21394"/>
                <wp:lineTo x="21519" y="21394"/>
                <wp:lineTo x="21519" y="0"/>
                <wp:lineTo x="0" y="0"/>
              </wp:wrapPolygon>
            </wp:wrapTight>
            <wp:docPr id="1981986309" name="Picture 1981986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12502" cy="2000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F30509" w14:textId="5DD1E7B4" w:rsidR="000012B3" w:rsidRDefault="000012B3" w:rsidP="005B3B8E"/>
    <w:p w14:paraId="3994A708" w14:textId="56BF2269" w:rsidR="003061B0" w:rsidRPr="00FE36B9" w:rsidRDefault="00CE2B0C" w:rsidP="00FE36B9">
      <w:pPr>
        <w:keepNext/>
        <w:spacing w:before="240" w:after="120"/>
        <w:rPr>
          <w:i/>
          <w:iCs/>
        </w:rPr>
      </w:pPr>
      <w:r w:rsidRPr="00FE36B9">
        <w:rPr>
          <w:i/>
          <w:iCs/>
        </w:rPr>
        <w:t xml:space="preserve">A Central </w:t>
      </w:r>
      <w:r w:rsidR="00294983" w:rsidRPr="00FE36B9">
        <w:rPr>
          <w:i/>
          <w:iCs/>
        </w:rPr>
        <w:t>Challenge</w:t>
      </w:r>
      <w:r w:rsidRPr="00FE36B9">
        <w:rPr>
          <w:i/>
          <w:iCs/>
        </w:rPr>
        <w:t xml:space="preserve"> for</w:t>
      </w:r>
      <w:r w:rsidR="00294983" w:rsidRPr="00FE36B9">
        <w:rPr>
          <w:i/>
          <w:iCs/>
        </w:rPr>
        <w:t xml:space="preserve"> Workplace Giving</w:t>
      </w:r>
      <w:r w:rsidRPr="00FE36B9">
        <w:rPr>
          <w:i/>
          <w:iCs/>
        </w:rPr>
        <w:t>: Participation</w:t>
      </w:r>
    </w:p>
    <w:p w14:paraId="672209B4" w14:textId="6AB24597" w:rsidR="00DB49DB" w:rsidRDefault="00994750" w:rsidP="005B28EF">
      <w:pPr>
        <w:spacing w:after="120"/>
      </w:pPr>
      <w:r>
        <w:t>T</w:t>
      </w:r>
      <w:r w:rsidR="005F69AB">
        <w:t xml:space="preserve">here </w:t>
      </w:r>
      <w:r w:rsidR="005F681B">
        <w:t>remains</w:t>
      </w:r>
      <w:r w:rsidR="005F69AB">
        <w:t xml:space="preserve"> a fundamental gap in the philanthropic landscape in Australia that is holding it from achieving more</w:t>
      </w:r>
      <w:r w:rsidR="008303A2">
        <w:t xml:space="preserve"> and taking advantage of a culture of giving</w:t>
      </w:r>
      <w:r w:rsidR="005F69AB">
        <w:t xml:space="preserve">. Australians do not materially connect with community in their places of work. </w:t>
      </w:r>
    </w:p>
    <w:p w14:paraId="5F410B52" w14:textId="0BC81D1A" w:rsidR="00CE2B0C" w:rsidRDefault="4E4BB2FE" w:rsidP="005B28EF">
      <w:pPr>
        <w:spacing w:after="120"/>
      </w:pPr>
      <w:r>
        <w:t>The evidence shows that</w:t>
      </w:r>
      <w:r w:rsidR="6BCE516A">
        <w:t xml:space="preserve"> </w:t>
      </w:r>
      <w:r>
        <w:t>Corporate Philanthropy is significant</w:t>
      </w:r>
      <w:r w:rsidR="693B40C6">
        <w:t>,</w:t>
      </w:r>
      <w:r>
        <w:t xml:space="preserve"> with over 70% of businesses contributing to community</w:t>
      </w:r>
      <w:r w:rsidR="006513EF">
        <w:rPr>
          <w:rStyle w:val="FootnoteReference"/>
        </w:rPr>
        <w:footnoteReference w:id="45"/>
      </w:r>
      <w:r w:rsidR="6BCE516A">
        <w:t xml:space="preserve"> . </w:t>
      </w:r>
      <w:r w:rsidR="6FFAC7DD">
        <w:t>Further,</w:t>
      </w:r>
      <w:r w:rsidR="17190515">
        <w:t xml:space="preserve"> it has been assessed that ~$1.2</w:t>
      </w:r>
      <w:r w:rsidR="00E270B7">
        <w:t xml:space="preserve"> </w:t>
      </w:r>
      <w:r w:rsidR="17190515">
        <w:t>b</w:t>
      </w:r>
      <w:r w:rsidR="00E270B7">
        <w:t>illion</w:t>
      </w:r>
      <w:r w:rsidR="17190515">
        <w:t xml:space="preserve"> is contributed by the </w:t>
      </w:r>
      <w:r w:rsidR="17190515">
        <w:lastRenderedPageBreak/>
        <w:t>top 50 companies</w:t>
      </w:r>
      <w:r w:rsidR="00CE2B0C">
        <w:rPr>
          <w:rStyle w:val="FootnoteReference"/>
        </w:rPr>
        <w:footnoteReference w:id="46"/>
      </w:r>
      <w:r w:rsidR="17190515">
        <w:t xml:space="preserve">. </w:t>
      </w:r>
      <w:r w:rsidR="6FFAC7DD">
        <w:t>For the period</w:t>
      </w:r>
      <w:r w:rsidR="17190515">
        <w:t xml:space="preserve"> 2015-2016, one study suggests that </w:t>
      </w:r>
      <w:proofErr w:type="spellStart"/>
      <w:r w:rsidR="17190515">
        <w:t>c.$17.5</w:t>
      </w:r>
      <w:proofErr w:type="spellEnd"/>
      <w:r w:rsidR="00E270B7">
        <w:t xml:space="preserve"> </w:t>
      </w:r>
      <w:r w:rsidR="17190515">
        <w:t>b</w:t>
      </w:r>
      <w:r w:rsidR="00E270B7">
        <w:t>illio</w:t>
      </w:r>
      <w:r w:rsidR="17190515">
        <w:t>n in business giving (2015-16)</w:t>
      </w:r>
      <w:r w:rsidR="00CE2B0C">
        <w:rPr>
          <w:rStyle w:val="FootnoteReference"/>
        </w:rPr>
        <w:footnoteReference w:id="47"/>
      </w:r>
      <w:r w:rsidR="4E790EA2">
        <w:t xml:space="preserve">, </w:t>
      </w:r>
      <w:r w:rsidR="17190515">
        <w:t>including matching of employee donations</w:t>
      </w:r>
      <w:r w:rsidR="4E790EA2">
        <w:t>,</w:t>
      </w:r>
      <w:r w:rsidR="17190515">
        <w:t xml:space="preserve"> was made.</w:t>
      </w:r>
      <w:r w:rsidR="4E790EA2">
        <w:t xml:space="preserve"> </w:t>
      </w:r>
    </w:p>
    <w:p w14:paraId="6BE55749" w14:textId="25536834" w:rsidR="00031322" w:rsidRDefault="00DB49DB" w:rsidP="005B28EF">
      <w:pPr>
        <w:spacing w:after="120"/>
      </w:pPr>
      <w:r>
        <w:t xml:space="preserve">Likewise individual philanthropy is strong with </w:t>
      </w:r>
      <w:r w:rsidR="00DE7AD8">
        <w:t>6</w:t>
      </w:r>
      <w:r w:rsidR="006E273D">
        <w:t>4</w:t>
      </w:r>
      <w:r w:rsidR="006F785F">
        <w:t>-</w:t>
      </w:r>
      <w:r w:rsidR="00145A7D">
        <w:t>8</w:t>
      </w:r>
      <w:r w:rsidR="006F785F">
        <w:t>0</w:t>
      </w:r>
      <w:r w:rsidR="00DE7AD8">
        <w:t>% of individuals actively engaged in giving</w:t>
      </w:r>
      <w:r w:rsidR="006F785F">
        <w:t xml:space="preserve"> in their private capacity</w:t>
      </w:r>
      <w:r w:rsidR="006F785F">
        <w:rPr>
          <w:rStyle w:val="FootnoteReference"/>
        </w:rPr>
        <w:footnoteReference w:id="48"/>
      </w:r>
      <w:r>
        <w:t xml:space="preserve"> (</w:t>
      </w:r>
      <w:r w:rsidR="00145A7D">
        <w:t>with 40% of these being committed givers and the balance being opportunity givers).</w:t>
      </w:r>
      <w:r w:rsidR="00031322">
        <w:t xml:space="preserve"> </w:t>
      </w:r>
      <w:r w:rsidR="00CD50D5">
        <w:t>In 20</w:t>
      </w:r>
      <w:r w:rsidR="000C6E21">
        <w:t>19</w:t>
      </w:r>
      <w:r w:rsidR="00CD50D5">
        <w:t xml:space="preserve">, </w:t>
      </w:r>
      <w:r w:rsidR="000C6E21">
        <w:t>29%</w:t>
      </w:r>
      <w:r w:rsidR="00CD50D5">
        <w:t xml:space="preserve"> of </w:t>
      </w:r>
      <w:r w:rsidR="00822179">
        <w:t>the workforce claimed tax-deductable donations</w:t>
      </w:r>
      <w:r w:rsidR="000C6E21">
        <w:t>.</w:t>
      </w:r>
    </w:p>
    <w:p w14:paraId="4F5C5C6C" w14:textId="3B32D454" w:rsidR="00EB7275" w:rsidRDefault="00DB49DB" w:rsidP="005B28EF">
      <w:pPr>
        <w:spacing w:after="120"/>
      </w:pPr>
      <w:r>
        <w:t>However, d</w:t>
      </w:r>
      <w:r w:rsidR="000F4C19">
        <w:t xml:space="preserve">espite </w:t>
      </w:r>
      <w:r>
        <w:t>this involvement</w:t>
      </w:r>
      <w:r w:rsidR="000F4C19">
        <w:t xml:space="preserve">, </w:t>
      </w:r>
      <w:r w:rsidR="00EB7275">
        <w:t>there is limited overlap</w:t>
      </w:r>
      <w:r w:rsidR="007D3C5F">
        <w:t xml:space="preserve"> and mutual leveraging of efforts</w:t>
      </w:r>
      <w:r w:rsidR="006F40EA">
        <w:t xml:space="preserve"> between corporate and individual giving</w:t>
      </w:r>
      <w:r w:rsidR="007D3C5F">
        <w:t>.</w:t>
      </w:r>
    </w:p>
    <w:p w14:paraId="1B84793B" w14:textId="16579DF7" w:rsidR="00F1259D" w:rsidRDefault="62E48261" w:rsidP="005B28EF">
      <w:pPr>
        <w:spacing w:after="120"/>
      </w:pPr>
      <w:r>
        <w:t>Hence, we see from o</w:t>
      </w:r>
      <w:r w:rsidR="0CF34872">
        <w:t>ne of the primary levers for Workplace giving</w:t>
      </w:r>
      <w:r>
        <w:t xml:space="preserve">, </w:t>
      </w:r>
      <w:r w:rsidR="0CF34872">
        <w:t>payroll giving</w:t>
      </w:r>
      <w:r>
        <w:t xml:space="preserve"> that participation is low. L</w:t>
      </w:r>
      <w:r w:rsidR="794C653D">
        <w:t xml:space="preserve">ess than </w:t>
      </w:r>
      <w:r w:rsidR="211F5201">
        <w:t>2</w:t>
      </w:r>
      <w:r w:rsidR="794C653D">
        <w:t>% of the total Australian workforce</w:t>
      </w:r>
      <w:r w:rsidR="006F40EA">
        <w:rPr>
          <w:rStyle w:val="FootnoteReference"/>
        </w:rPr>
        <w:footnoteReference w:id="49"/>
      </w:r>
      <w:r w:rsidR="794C653D">
        <w:t xml:space="preserve"> with recent ATO data showing a</w:t>
      </w:r>
      <w:r w:rsidR="091E6DC2">
        <w:t xml:space="preserve"> </w:t>
      </w:r>
      <w:bookmarkStart w:id="17" w:name="_Int_YgshFztf"/>
      <w:r w:rsidR="091E6DC2">
        <w:t>relatively</w:t>
      </w:r>
      <w:r w:rsidR="794C653D">
        <w:t xml:space="preserve"> paltry</w:t>
      </w:r>
      <w:bookmarkEnd w:id="17"/>
      <w:r w:rsidR="794C653D">
        <w:t xml:space="preserve"> 206,000 workers of the </w:t>
      </w:r>
      <w:r w:rsidR="5F8C1D5C">
        <w:t>over 13.8</w:t>
      </w:r>
      <w:r w:rsidR="794C653D">
        <w:t xml:space="preserve"> million</w:t>
      </w:r>
      <w:r w:rsidR="003A6188">
        <w:rPr>
          <w:rStyle w:val="FootnoteReference"/>
        </w:rPr>
        <w:footnoteReference w:id="50"/>
      </w:r>
      <w:r w:rsidR="794C653D">
        <w:t xml:space="preserve"> have availed themselves of the pre-tax give as you earn option presented through payroll giving</w:t>
      </w:r>
      <w:r w:rsidR="000F4C19">
        <w:rPr>
          <w:rStyle w:val="FootnoteReference"/>
        </w:rPr>
        <w:footnoteReference w:id="51"/>
      </w:r>
      <w:r w:rsidR="794C653D">
        <w:t>.</w:t>
      </w:r>
      <w:r w:rsidR="12BC3C97">
        <w:t xml:space="preserve"> Of the</w:t>
      </w:r>
      <w:r w:rsidR="211F5201">
        <w:t>se</w:t>
      </w:r>
      <w:r w:rsidR="12BC3C97">
        <w:t xml:space="preserve"> 1</w:t>
      </w:r>
      <w:r w:rsidR="18883D6F">
        <w:t xml:space="preserve">3.8 </w:t>
      </w:r>
      <w:r w:rsidR="12BC3C97">
        <w:t>million</w:t>
      </w:r>
      <w:r w:rsidR="211F5201">
        <w:t xml:space="preserve"> workers</w:t>
      </w:r>
      <w:r w:rsidR="12BC3C97">
        <w:t xml:space="preserve">, </w:t>
      </w:r>
      <w:r w:rsidR="43BDF00A">
        <w:t>over 4.3 million have workplace giving offered by their employer</w:t>
      </w:r>
      <w:r w:rsidR="4E8AE910">
        <w:t xml:space="preserve"> </w:t>
      </w:r>
      <w:r w:rsidR="2D0DAB89">
        <w:t>(~30%)</w:t>
      </w:r>
      <w:r w:rsidR="43BDF00A">
        <w:t>, so</w:t>
      </w:r>
      <w:r w:rsidR="1A9361A7">
        <w:t xml:space="preserve"> even where available,</w:t>
      </w:r>
      <w:r w:rsidR="43BDF00A">
        <w:t xml:space="preserve"> </w:t>
      </w:r>
      <w:r w:rsidR="1A9361A7">
        <w:t xml:space="preserve">we are </w:t>
      </w:r>
      <w:r w:rsidR="3A6FED29">
        <w:t>achieving</w:t>
      </w:r>
      <w:r w:rsidR="43BDF00A">
        <w:t xml:space="preserve"> only 4.7% participation</w:t>
      </w:r>
      <w:r w:rsidR="008934ED">
        <w:rPr>
          <w:rStyle w:val="FootnoteReference"/>
        </w:rPr>
        <w:footnoteReference w:id="52"/>
      </w:r>
      <w:r w:rsidR="43BDF00A">
        <w:t xml:space="preserve">. </w:t>
      </w:r>
    </w:p>
    <w:p w14:paraId="04E65EA0" w14:textId="21FAEDAA" w:rsidR="005F69AB" w:rsidRDefault="681F4D8C" w:rsidP="005B28EF">
      <w:pPr>
        <w:spacing w:after="120"/>
      </w:pPr>
      <w:r>
        <w:t xml:space="preserve">Compare this to the US where philanthropy </w:t>
      </w:r>
      <w:r w:rsidR="62AE99D2">
        <w:t>with</w:t>
      </w:r>
      <w:r>
        <w:t xml:space="preserve"> the workforce</w:t>
      </w:r>
      <w:r w:rsidR="568A6E92">
        <w:t xml:space="preserve"> through regular payroll giving</w:t>
      </w:r>
      <w:r>
        <w:t xml:space="preserve"> is a resonant part of the business culture</w:t>
      </w:r>
      <w:r w:rsidR="693B40C6">
        <w:t xml:space="preserve"> involving close to 25% of employees and being offered by over 90% of businesses.</w:t>
      </w:r>
      <w:r w:rsidR="779AB45E">
        <w:t xml:space="preserve"> The culture of giving is promoted across all aspects of the individual</w:t>
      </w:r>
      <w:r w:rsidR="1A9361A7">
        <w:t>’</w:t>
      </w:r>
      <w:r w:rsidR="779AB45E">
        <w:t>s life.</w:t>
      </w:r>
      <w:r w:rsidR="693B40C6">
        <w:t xml:space="preserve"> The </w:t>
      </w:r>
      <w:r w:rsidR="16E87BA0">
        <w:t>outcome</w:t>
      </w:r>
      <w:r w:rsidR="779AB45E">
        <w:t xml:space="preserve"> </w:t>
      </w:r>
      <w:r w:rsidR="693B40C6">
        <w:t>is that the US boasts donations of</w:t>
      </w:r>
      <w:r w:rsidR="16E87BA0">
        <w:t xml:space="preserve"> </w:t>
      </w:r>
      <w:r w:rsidR="403F7B1E">
        <w:t xml:space="preserve">2.1% of </w:t>
      </w:r>
      <w:r w:rsidR="6835B6AF">
        <w:t>GDP (Gross Domestic Product)</w:t>
      </w:r>
      <w:r w:rsidR="693B40C6">
        <w:t>,</w:t>
      </w:r>
      <w:r w:rsidR="403F7B1E">
        <w:t xml:space="preserve"> compared to 0.81% in Australia</w:t>
      </w:r>
      <w:r w:rsidR="00D154D8">
        <w:rPr>
          <w:rStyle w:val="FootnoteReference"/>
        </w:rPr>
        <w:footnoteReference w:id="53"/>
      </w:r>
      <w:r w:rsidR="16E87BA0">
        <w:t xml:space="preserve">. </w:t>
      </w:r>
      <w:r w:rsidR="79DC6EA4">
        <w:t>Relevantly, the 2022 CAF Global Giving Index places Australia in 6</w:t>
      </w:r>
      <w:r w:rsidR="79DC6EA4" w:rsidRPr="000E6C4A">
        <w:rPr>
          <w:vertAlign w:val="superscript"/>
        </w:rPr>
        <w:t>th</w:t>
      </w:r>
      <w:r w:rsidR="79DC6EA4">
        <w:t xml:space="preserve"> place globally on donating money versus the US at 9</w:t>
      </w:r>
      <w:r w:rsidR="79DC6EA4" w:rsidRPr="000E6C4A">
        <w:rPr>
          <w:vertAlign w:val="superscript"/>
        </w:rPr>
        <w:t>th</w:t>
      </w:r>
      <w:r w:rsidR="79DC6EA4">
        <w:t xml:space="preserve"> place indicating it is not the act of giving, but rather the</w:t>
      </w:r>
      <w:r w:rsidR="1A9361A7">
        <w:t xml:space="preserve"> consistency</w:t>
      </w:r>
      <w:r w:rsidR="79DC6EA4">
        <w:t xml:space="preserve"> of giving that is low</w:t>
      </w:r>
      <w:r w:rsidR="008D5C76">
        <w:rPr>
          <w:rStyle w:val="FootnoteReference"/>
        </w:rPr>
        <w:footnoteReference w:id="54"/>
      </w:r>
      <w:r w:rsidR="79DC6EA4">
        <w:t>.</w:t>
      </w:r>
    </w:p>
    <w:p w14:paraId="7D7DCF4E" w14:textId="00576600" w:rsidR="00696CBD" w:rsidRDefault="46762F77" w:rsidP="005B28EF">
      <w:pPr>
        <w:spacing w:after="120"/>
      </w:pPr>
      <w:r>
        <w:t xml:space="preserve">Choosing to give individually misses the opportunity to receive matching and leaves the donor exposed to the risk that they fail to claim the donation at tax time. It is also likely that they are giving less, as the tax deduction is not considered at the time of giving. </w:t>
      </w:r>
      <w:r w:rsidR="0CF9733F">
        <w:t>It is worth noting here that in the UK where there is “Gift Aid”</w:t>
      </w:r>
      <w:r w:rsidR="00CE53BF">
        <w:rPr>
          <w:rStyle w:val="FootnoteReference"/>
        </w:rPr>
        <w:footnoteReference w:id="55"/>
      </w:r>
      <w:r w:rsidR="0CF9733F">
        <w:t xml:space="preserve"> whereby the individual can forego the deduction and gift the balance to the charity, this is used in</w:t>
      </w:r>
      <w:r w:rsidR="5E6166CE">
        <w:t xml:space="preserve"> over</w:t>
      </w:r>
      <w:r w:rsidR="0CF9733F">
        <w:t xml:space="preserve"> </w:t>
      </w:r>
      <w:r w:rsidR="5E6166CE">
        <w:t>50</w:t>
      </w:r>
      <w:r w:rsidR="0CF9733F">
        <w:t>% of donations</w:t>
      </w:r>
      <w:r w:rsidR="00DC6740">
        <w:rPr>
          <w:rStyle w:val="FootnoteReference"/>
        </w:rPr>
        <w:footnoteReference w:id="56"/>
      </w:r>
      <w:r w:rsidR="0CF9733F">
        <w:t xml:space="preserve">. Similarly, where pre-tax amounts are gifted, these </w:t>
      </w:r>
      <w:r w:rsidR="1D737829">
        <w:t>are the net amount to the charity so the individual can make a single decision on how much they are looking to donate.</w:t>
      </w:r>
    </w:p>
    <w:p w14:paraId="3ADCF2B6" w14:textId="37DC4377" w:rsidR="00B77431" w:rsidRDefault="4C8EEF35" w:rsidP="005B28EF">
      <w:pPr>
        <w:spacing w:after="120"/>
      </w:pPr>
      <w:r>
        <w:t>Co</w:t>
      </w:r>
      <w:r w:rsidR="3F713D41">
        <w:t>mbin</w:t>
      </w:r>
      <w:r w:rsidR="76F02D15">
        <w:t>ing</w:t>
      </w:r>
      <w:r w:rsidR="3F713D41">
        <w:t xml:space="preserve"> the power of Corporate Philanthropy, with the </w:t>
      </w:r>
      <w:r>
        <w:t xml:space="preserve">enthusiasm of the individuals for their causes during working hours has the </w:t>
      </w:r>
      <w:r w:rsidR="0037158E">
        <w:t>bonus</w:t>
      </w:r>
      <w:r>
        <w:t xml:space="preserve"> of creating renewed community and engagement. This in </w:t>
      </w:r>
      <w:r>
        <w:lastRenderedPageBreak/>
        <w:t>turn has a positive impact not only for individual wellbeing but on the business landscape more broadly with uplifts in productivity and innovation and a decrease in costs</w:t>
      </w:r>
      <w:r w:rsidR="007321E2">
        <w:rPr>
          <w:rStyle w:val="FootnoteReference"/>
        </w:rPr>
        <w:footnoteReference w:id="57"/>
      </w:r>
      <w:r>
        <w:t>.</w:t>
      </w:r>
    </w:p>
    <w:p w14:paraId="3104DA73" w14:textId="6505CADE" w:rsidR="00573790" w:rsidRDefault="0082401F" w:rsidP="005B28EF">
      <w:pPr>
        <w:spacing w:after="120"/>
      </w:pPr>
      <w:r>
        <w:t xml:space="preserve">If, through raising awareness and instilling workplace giving through payroll giving was able to reach 50% of that in the US we would achieve participation rates of </w:t>
      </w:r>
      <w:proofErr w:type="spellStart"/>
      <w:r>
        <w:t>c.12.5</w:t>
      </w:r>
      <w:proofErr w:type="spellEnd"/>
      <w:r>
        <w:t>% of the workforce. Leaving aside matching benefits, this would increase the current $53</w:t>
      </w:r>
      <w:r w:rsidR="002E1FB1">
        <w:t xml:space="preserve"> </w:t>
      </w:r>
      <w:r>
        <w:t>m</w:t>
      </w:r>
      <w:r w:rsidR="002E1FB1">
        <w:t>illion</w:t>
      </w:r>
      <w:r>
        <w:t xml:space="preserve"> donated </w:t>
      </w:r>
      <w:r w:rsidR="00124008">
        <w:t xml:space="preserve">by individuals </w:t>
      </w:r>
      <w:r>
        <w:t xml:space="preserve">to </w:t>
      </w:r>
      <w:r w:rsidR="00B8798D">
        <w:t>close to</w:t>
      </w:r>
      <w:r w:rsidR="00821FCC">
        <w:t xml:space="preserve"> $450</w:t>
      </w:r>
      <w:r w:rsidR="002E1FB1">
        <w:t xml:space="preserve"> </w:t>
      </w:r>
      <w:r w:rsidR="00821FCC">
        <w:t>m</w:t>
      </w:r>
      <w:r w:rsidR="002E1FB1">
        <w:t>illion</w:t>
      </w:r>
      <w:r w:rsidR="007072C9">
        <w:t xml:space="preserve">. If </w:t>
      </w:r>
      <w:r w:rsidR="00124008">
        <w:t xml:space="preserve">we assume that the current </w:t>
      </w:r>
      <w:r w:rsidR="007072C9">
        <w:t xml:space="preserve">60% of this amount </w:t>
      </w:r>
      <w:r w:rsidR="00124008">
        <w:t>continues to be</w:t>
      </w:r>
      <w:r w:rsidR="007072C9">
        <w:t xml:space="preserve"> </w:t>
      </w:r>
      <w:r w:rsidR="00821FCC">
        <w:t xml:space="preserve">matched </w:t>
      </w:r>
      <w:r w:rsidR="007072C9">
        <w:t>by the employer on a simple</w:t>
      </w:r>
      <w:r w:rsidR="00821FCC">
        <w:t xml:space="preserve"> 1:1 basis</w:t>
      </w:r>
      <w:r w:rsidR="00124008">
        <w:t>,</w:t>
      </w:r>
      <w:r w:rsidR="00821FCC">
        <w:t xml:space="preserve"> </w:t>
      </w:r>
      <w:r w:rsidR="007072C9">
        <w:t xml:space="preserve">that amount </w:t>
      </w:r>
      <w:r w:rsidR="00821FCC">
        <w:t xml:space="preserve">would increase to </w:t>
      </w:r>
      <w:r w:rsidR="00380B0B">
        <w:t>over $7</w:t>
      </w:r>
      <w:r w:rsidR="00D42A3A">
        <w:t>1</w:t>
      </w:r>
      <w:r w:rsidR="00380B0B">
        <w:t>0</w:t>
      </w:r>
      <w:r w:rsidR="0024487F">
        <w:t xml:space="preserve"> </w:t>
      </w:r>
      <w:r w:rsidR="00380B0B">
        <w:t>m</w:t>
      </w:r>
      <w:r w:rsidR="0024487F">
        <w:t>illion</w:t>
      </w:r>
      <w:r w:rsidR="00380B0B">
        <w:t xml:space="preserve"> annually. </w:t>
      </w:r>
    </w:p>
    <w:p w14:paraId="75AE6F14" w14:textId="2B253DEF" w:rsidR="0082401F" w:rsidRDefault="00124008" w:rsidP="005B28EF">
      <w:pPr>
        <w:spacing w:after="120"/>
      </w:pPr>
      <w:r>
        <w:t>Put simply, f</w:t>
      </w:r>
      <w:r w:rsidR="00D04A44">
        <w:t>or every 1% increase in participation, an additional $57</w:t>
      </w:r>
      <w:r w:rsidR="0024487F">
        <w:t xml:space="preserve"> </w:t>
      </w:r>
      <w:r w:rsidR="00D04A44">
        <w:t>m</w:t>
      </w:r>
      <w:r w:rsidR="0024487F">
        <w:t>illion</w:t>
      </w:r>
      <w:r w:rsidR="00D04A44">
        <w:t xml:space="preserve"> would be available to charities. </w:t>
      </w:r>
    </w:p>
    <w:p w14:paraId="12C961C1" w14:textId="4333A3F4" w:rsidR="00C132DB" w:rsidRPr="00051675" w:rsidRDefault="00C132DB" w:rsidP="000B435E">
      <w:pPr>
        <w:keepNext/>
        <w:spacing w:before="240" w:after="0"/>
        <w:rPr>
          <w:b/>
          <w:bCs/>
        </w:rPr>
      </w:pPr>
      <w:r w:rsidRPr="00051675">
        <w:rPr>
          <w:b/>
          <w:bCs/>
        </w:rPr>
        <w:t xml:space="preserve">Part </w:t>
      </w:r>
      <w:r>
        <w:rPr>
          <w:b/>
          <w:bCs/>
        </w:rPr>
        <w:t>I</w:t>
      </w:r>
      <w:r w:rsidRPr="00051675">
        <w:rPr>
          <w:b/>
          <w:bCs/>
        </w:rPr>
        <w:t>I:</w:t>
      </w:r>
      <w:r>
        <w:rPr>
          <w:b/>
          <w:bCs/>
        </w:rPr>
        <w:t xml:space="preserve"> Areas to Address</w:t>
      </w:r>
      <w:r w:rsidR="00D57800">
        <w:rPr>
          <w:b/>
          <w:bCs/>
        </w:rPr>
        <w:t xml:space="preserve"> and Recommendations</w:t>
      </w:r>
    </w:p>
    <w:p w14:paraId="6185319A" w14:textId="7A294B33" w:rsidR="00105CC9" w:rsidRPr="00FE36B9" w:rsidRDefault="006721A7" w:rsidP="000B435E">
      <w:pPr>
        <w:keepNext/>
        <w:spacing w:before="240" w:after="120"/>
        <w:rPr>
          <w:i/>
          <w:iCs/>
        </w:rPr>
      </w:pPr>
      <w:r w:rsidRPr="00FE36B9">
        <w:rPr>
          <w:i/>
          <w:iCs/>
        </w:rPr>
        <w:t>Areas for Improvement and Change</w:t>
      </w:r>
    </w:p>
    <w:p w14:paraId="0760DA1C" w14:textId="0533BD58" w:rsidR="001C7C48" w:rsidRDefault="3E485C2B" w:rsidP="005B28EF">
      <w:pPr>
        <w:spacing w:after="120"/>
      </w:pPr>
      <w:bookmarkStart w:id="18" w:name="_Int_8tnq0Xk3"/>
      <w:r>
        <w:t>Workers</w:t>
      </w:r>
      <w:bookmarkEnd w:id="18"/>
      <w:r>
        <w:t xml:space="preserve"> face many of the same barriers and challenges in their workplace as they do as individual donors. This is then compounded by the restrictions, real and imagined, imposed on their employers. Those that we highlight herein are:</w:t>
      </w:r>
    </w:p>
    <w:p w14:paraId="7FAA29DB" w14:textId="11B9DC9F" w:rsidR="008F2111" w:rsidRDefault="006B2066" w:rsidP="008F2111">
      <w:pPr>
        <w:spacing w:after="120"/>
      </w:pPr>
      <w:r>
        <w:t>[</w:t>
      </w:r>
      <w:r w:rsidR="00D7683B">
        <w:t>We also note the submission of Philanthropy Australia</w:t>
      </w:r>
      <w:r w:rsidR="00002C78">
        <w:t xml:space="preserve"> and support their positions. We have not repeated areas of overlap for the purpose of expediency.]</w:t>
      </w:r>
    </w:p>
    <w:p w14:paraId="3CB11D35" w14:textId="77777777" w:rsidR="008F2111" w:rsidRDefault="008F2111" w:rsidP="008F2111">
      <w:pPr>
        <w:spacing w:after="120"/>
        <w:rPr>
          <w:i/>
          <w:iCs/>
        </w:rPr>
      </w:pPr>
    </w:p>
    <w:p w14:paraId="3A0107FD" w14:textId="3215128A" w:rsidR="00C93F85" w:rsidRPr="00763D6C" w:rsidRDefault="00C93F85" w:rsidP="008F2111">
      <w:pPr>
        <w:pStyle w:val="ListParagraph"/>
        <w:numPr>
          <w:ilvl w:val="1"/>
          <w:numId w:val="23"/>
        </w:numPr>
        <w:spacing w:after="120"/>
        <w:rPr>
          <w:b/>
          <w:bCs/>
        </w:rPr>
      </w:pPr>
      <w:r w:rsidRPr="00763D6C">
        <w:rPr>
          <w:b/>
          <w:bCs/>
          <w:i/>
          <w:iCs/>
        </w:rPr>
        <w:t xml:space="preserve">Awareness of Workplace Giving and its Benefits </w:t>
      </w:r>
    </w:p>
    <w:tbl>
      <w:tblPr>
        <w:tblStyle w:val="TableGrid"/>
        <w:tblW w:w="0" w:type="auto"/>
        <w:tblLook w:val="04A0" w:firstRow="1" w:lastRow="0" w:firstColumn="1" w:lastColumn="0" w:noHBand="0" w:noVBand="1"/>
      </w:tblPr>
      <w:tblGrid>
        <w:gridCol w:w="9016"/>
      </w:tblGrid>
      <w:tr w:rsidR="004A211D" w14:paraId="104575C7" w14:textId="77777777" w:rsidTr="00C07AE0">
        <w:tc>
          <w:tcPr>
            <w:tcW w:w="9016" w:type="dxa"/>
            <w:shd w:val="clear" w:color="auto" w:fill="F2F2F2" w:themeFill="background1" w:themeFillShade="F2"/>
          </w:tcPr>
          <w:p w14:paraId="081E5F94" w14:textId="77777777" w:rsidR="004A211D" w:rsidRDefault="004A211D" w:rsidP="00CA3216">
            <w:pPr>
              <w:spacing w:before="120" w:after="120"/>
              <w:ind w:left="284" w:right="284"/>
            </w:pPr>
            <w:r w:rsidRPr="0023442F">
              <w:rPr>
                <w:b/>
                <w:bCs/>
              </w:rPr>
              <w:t>Recommendation 1.1:</w:t>
            </w:r>
            <w:r>
              <w:t xml:space="preserve"> Workplace giving in concert with corporate giving be included as a primary pillar in the Federal Government’s strategy for increasing philanthropy. </w:t>
            </w:r>
          </w:p>
        </w:tc>
      </w:tr>
    </w:tbl>
    <w:p w14:paraId="53C411EF" w14:textId="77777777" w:rsidR="004A211D" w:rsidRDefault="004A211D" w:rsidP="004A211D"/>
    <w:tbl>
      <w:tblPr>
        <w:tblStyle w:val="TableGrid"/>
        <w:tblW w:w="0" w:type="auto"/>
        <w:tblLook w:val="04A0" w:firstRow="1" w:lastRow="0" w:firstColumn="1" w:lastColumn="0" w:noHBand="0" w:noVBand="1"/>
      </w:tblPr>
      <w:tblGrid>
        <w:gridCol w:w="9016"/>
      </w:tblGrid>
      <w:tr w:rsidR="004A211D" w14:paraId="68B3F042" w14:textId="77777777" w:rsidTr="00C07AE0">
        <w:tc>
          <w:tcPr>
            <w:tcW w:w="9016" w:type="dxa"/>
            <w:shd w:val="clear" w:color="auto" w:fill="F2F2F2" w:themeFill="background1" w:themeFillShade="F2"/>
          </w:tcPr>
          <w:p w14:paraId="23F0D1F9" w14:textId="77777777" w:rsidR="004A211D" w:rsidRDefault="004A211D" w:rsidP="00CA3216">
            <w:pPr>
              <w:spacing w:before="120" w:after="120"/>
              <w:ind w:left="284" w:right="284"/>
            </w:pPr>
            <w:r w:rsidRPr="00EB703F">
              <w:rPr>
                <w:b/>
                <w:bCs/>
              </w:rPr>
              <w:t>Recommendation 1</w:t>
            </w:r>
            <w:r>
              <w:rPr>
                <w:b/>
                <w:bCs/>
              </w:rPr>
              <w:t>.2</w:t>
            </w:r>
            <w:r w:rsidRPr="00EB703F">
              <w:rPr>
                <w:b/>
                <w:bCs/>
              </w:rPr>
              <w:t>:</w:t>
            </w:r>
            <w:r w:rsidRPr="0023442F">
              <w:rPr>
                <w:b/>
                <w:bCs/>
              </w:rPr>
              <w:t xml:space="preserve"> </w:t>
            </w:r>
            <w:r w:rsidRPr="0023442F">
              <w:t>A nationwide campaign promoting Workplace giving and encouraging workers to demand action by their employers will have an immediate impact on the 4 million plus workers that have access to payroll giving (including 80% of those employed in Government) and motivate the additional 10 million to demand better. For every additional 1% of participation, the prize for charities is conservatively over $</w:t>
            </w:r>
            <w:proofErr w:type="spellStart"/>
            <w:r w:rsidRPr="0023442F">
              <w:t>50m</w:t>
            </w:r>
            <w:proofErr w:type="spellEnd"/>
            <w:r w:rsidRPr="0023442F">
              <w:t xml:space="preserve"> in new funds annually. </w:t>
            </w:r>
          </w:p>
        </w:tc>
      </w:tr>
    </w:tbl>
    <w:p w14:paraId="355AB1F7" w14:textId="63D2B9AF" w:rsidR="00AB1551" w:rsidRDefault="00AB1551" w:rsidP="00FE36B9">
      <w:pPr>
        <w:spacing w:before="120" w:after="120"/>
      </w:pPr>
      <w:r>
        <w:t>Workforce engagement in giving both generates more funds for charities and creates community within the workplace. Importantly, the cost of fundraising is significantly lower than most other forms of fundraising.</w:t>
      </w:r>
      <w:r w:rsidR="00863288">
        <w:t xml:space="preserve"> There are clear benefits to the individual, to the charity, to the employer and to our society more broadly.</w:t>
      </w:r>
    </w:p>
    <w:p w14:paraId="796CDD61" w14:textId="5B99FCE3" w:rsidR="00F45C21" w:rsidRDefault="5379547C" w:rsidP="008F2111">
      <w:pPr>
        <w:spacing w:after="120"/>
        <w:jc w:val="both"/>
      </w:pPr>
      <w:r>
        <w:t xml:space="preserve">There is </w:t>
      </w:r>
      <w:bookmarkStart w:id="19" w:name="_Int_ZUUZ9V3K"/>
      <w:r>
        <w:t>generally a</w:t>
      </w:r>
      <w:bookmarkEnd w:id="19"/>
      <w:r>
        <w:t xml:space="preserve"> strong availability of payroll giving options within corporate Australia available to the workforce. </w:t>
      </w:r>
      <w:r w:rsidR="272892C9">
        <w:t xml:space="preserve">A study conducted by </w:t>
      </w:r>
      <w:r w:rsidR="0DEECAC2">
        <w:t>Workplace Giving Australia</w:t>
      </w:r>
      <w:r w:rsidR="272892C9">
        <w:t xml:space="preserve"> of the </w:t>
      </w:r>
      <w:proofErr w:type="spellStart"/>
      <w:r w:rsidR="272892C9">
        <w:t>FY’19</w:t>
      </w:r>
      <w:proofErr w:type="spellEnd"/>
      <w:r w:rsidR="272892C9">
        <w:t xml:space="preserve"> data showed that </w:t>
      </w:r>
      <w:r w:rsidR="5279209C">
        <w:t>while the SME sector was under</w:t>
      </w:r>
      <w:r w:rsidR="541C698A">
        <w:t>-</w:t>
      </w:r>
      <w:r w:rsidR="5279209C">
        <w:t xml:space="preserve">represented in this area, </w:t>
      </w:r>
      <w:bookmarkStart w:id="20" w:name="_Int_qDHNR6KW"/>
      <w:r w:rsidR="5279209C">
        <w:t>perhaps due</w:t>
      </w:r>
      <w:bookmarkEnd w:id="20"/>
      <w:r w:rsidR="5279209C">
        <w:t xml:space="preserve"> to the perceived and actual costs of participation, for </w:t>
      </w:r>
      <w:bookmarkStart w:id="21" w:name="_Int_7YYYGtfj"/>
      <w:r w:rsidR="5279209C">
        <w:t>Large</w:t>
      </w:r>
      <w:bookmarkEnd w:id="21"/>
      <w:r w:rsidR="5279209C">
        <w:t xml:space="preserve"> companies, for Government and within the </w:t>
      </w:r>
      <w:proofErr w:type="spellStart"/>
      <w:r w:rsidR="5279209C">
        <w:t>NFP</w:t>
      </w:r>
      <w:proofErr w:type="spellEnd"/>
      <w:r w:rsidR="5279209C">
        <w:t xml:space="preserve"> sector, there was a </w:t>
      </w:r>
      <w:bookmarkStart w:id="22" w:name="_Int_64IvCAgF"/>
      <w:r w:rsidR="5279209C">
        <w:t>relatively high</w:t>
      </w:r>
      <w:bookmarkEnd w:id="22"/>
      <w:r w:rsidR="5279209C">
        <w:t xml:space="preserve"> degree of availability</w:t>
      </w:r>
      <w:r w:rsidR="00284FE3">
        <w:rPr>
          <w:rStyle w:val="FootnoteReference"/>
        </w:rPr>
        <w:footnoteReference w:id="58"/>
      </w:r>
      <w:r w:rsidR="5279209C">
        <w:t>.</w:t>
      </w:r>
    </w:p>
    <w:p w14:paraId="24108F58" w14:textId="3D87698E" w:rsidR="00F45C21" w:rsidRDefault="008F2111" w:rsidP="00AB1551">
      <w:r w:rsidRPr="00F45C21">
        <w:rPr>
          <w:noProof/>
        </w:rPr>
        <w:lastRenderedPageBreak/>
        <w:drawing>
          <wp:anchor distT="0" distB="0" distL="114300" distR="114300" simplePos="0" relativeHeight="251658242" behindDoc="0" locked="0" layoutInCell="1" allowOverlap="1" wp14:anchorId="0EE9454E" wp14:editId="2C1ADBB1">
            <wp:simplePos x="0" y="0"/>
            <wp:positionH relativeFrom="margin">
              <wp:align>center</wp:align>
            </wp:positionH>
            <wp:positionV relativeFrom="paragraph">
              <wp:posOffset>333375</wp:posOffset>
            </wp:positionV>
            <wp:extent cx="4933950" cy="3056797"/>
            <wp:effectExtent l="0" t="0" r="0" b="0"/>
            <wp:wrapTopAndBottom/>
            <wp:docPr id="1641042355" name="Picture 164104235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042355" name="Picture 1" descr="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933950" cy="3056797"/>
                    </a:xfrm>
                    <a:prstGeom prst="rect">
                      <a:avLst/>
                    </a:prstGeom>
                  </pic:spPr>
                </pic:pic>
              </a:graphicData>
            </a:graphic>
          </wp:anchor>
        </w:drawing>
      </w:r>
    </w:p>
    <w:p w14:paraId="4C1CC638" w14:textId="2BD11B6B" w:rsidR="00EA43E4" w:rsidRDefault="00AB1551" w:rsidP="00DD607D">
      <w:pPr>
        <w:keepNext/>
        <w:spacing w:before="240" w:after="60"/>
      </w:pPr>
      <w:r>
        <w:t xml:space="preserve">Given </w:t>
      </w:r>
      <w:r w:rsidR="002B59DF">
        <w:t>this availability and the</w:t>
      </w:r>
      <w:r>
        <w:t xml:space="preserve"> ostensible benefits to all parties, the uptake is anomalous. </w:t>
      </w:r>
      <w:r w:rsidR="00487C52">
        <w:t>Our e</w:t>
      </w:r>
      <w:r w:rsidR="00EA43E4">
        <w:t>xperience</w:t>
      </w:r>
      <w:r>
        <w:t xml:space="preserve"> in working to advise corporate clients on increasing the participation of their workforce</w:t>
      </w:r>
      <w:r w:rsidR="007A6F49">
        <w:t xml:space="preserve"> discloses</w:t>
      </w:r>
      <w:r>
        <w:t xml:space="preserve"> that often the workers</w:t>
      </w:r>
      <w:r w:rsidR="00EA43E4">
        <w:t>:</w:t>
      </w:r>
    </w:p>
    <w:p w14:paraId="2E50AACF" w14:textId="77777777" w:rsidR="00EA43E4" w:rsidRDefault="00AB1551" w:rsidP="00D347C7">
      <w:pPr>
        <w:pStyle w:val="ListParagraph"/>
        <w:numPr>
          <w:ilvl w:val="0"/>
          <w:numId w:val="12"/>
        </w:numPr>
      </w:pPr>
      <w:r>
        <w:t>are unaware of the existence of</w:t>
      </w:r>
      <w:r w:rsidR="00EA43E4">
        <w:t xml:space="preserve"> the programme with payroll</w:t>
      </w:r>
      <w:r>
        <w:t xml:space="preserve"> giving options</w:t>
      </w:r>
      <w:r w:rsidR="00EA43E4">
        <w:t xml:space="preserve"> with their employer, </w:t>
      </w:r>
      <w:r>
        <w:t xml:space="preserve"> </w:t>
      </w:r>
    </w:p>
    <w:p w14:paraId="63F1EAD4" w14:textId="77777777" w:rsidR="00EA43E4" w:rsidRDefault="00EA43E4" w:rsidP="00D347C7">
      <w:pPr>
        <w:pStyle w:val="ListParagraph"/>
        <w:numPr>
          <w:ilvl w:val="0"/>
          <w:numId w:val="12"/>
        </w:numPr>
      </w:pPr>
      <w:r>
        <w:t xml:space="preserve">do not appreciate the benefits to them and to their supported cause or charity, </w:t>
      </w:r>
      <w:r w:rsidR="00AB1551">
        <w:t>and</w:t>
      </w:r>
      <w:r>
        <w:t>/or</w:t>
      </w:r>
      <w:r w:rsidR="00AB1551">
        <w:t xml:space="preserve"> </w:t>
      </w:r>
    </w:p>
    <w:p w14:paraId="0CBCC87E" w14:textId="6E4F6D6A" w:rsidR="00AB1551" w:rsidRDefault="00EA43E4" w:rsidP="00D347C7">
      <w:pPr>
        <w:pStyle w:val="ListParagraph"/>
        <w:numPr>
          <w:ilvl w:val="0"/>
          <w:numId w:val="12"/>
        </w:numPr>
      </w:pPr>
      <w:r>
        <w:t xml:space="preserve">have no expectation </w:t>
      </w:r>
      <w:r w:rsidR="00AB1551">
        <w:t xml:space="preserve">as a part of their </w:t>
      </w:r>
      <w:r w:rsidR="00E95173">
        <w:t>employment</w:t>
      </w:r>
      <w:r w:rsidR="00F66FB6">
        <w:rPr>
          <w:rStyle w:val="FootnoteReference"/>
        </w:rPr>
        <w:footnoteReference w:id="59"/>
      </w:r>
      <w:r w:rsidR="00AB1551">
        <w:t xml:space="preserve">. </w:t>
      </w:r>
    </w:p>
    <w:p w14:paraId="4164486A" w14:textId="77777777" w:rsidR="00AB1551" w:rsidRDefault="00AB1551" w:rsidP="005B28EF">
      <w:pPr>
        <w:spacing w:after="120"/>
      </w:pPr>
      <w:r>
        <w:t xml:space="preserve">By highlighting the benefits of the workplace giving and creating the workers’ expectation that this will be offered and supported by their employer, there will be higher demand for, uptake of and involvement in workplace giving. This will both increase the amounts raised for charities and enhance involvement and community development. </w:t>
      </w:r>
    </w:p>
    <w:p w14:paraId="244D69A2" w14:textId="62403360" w:rsidR="00DB4178" w:rsidRDefault="00DB4178" w:rsidP="005B28EF">
      <w:pPr>
        <w:spacing w:after="120"/>
      </w:pPr>
      <w:r>
        <w:t>Ultimately, creating a culture of giving as part of everyday life in Australia is the ambition.</w:t>
      </w:r>
    </w:p>
    <w:p w14:paraId="4D246BAC" w14:textId="5A1B60A0" w:rsidR="00316669" w:rsidRDefault="00316669" w:rsidP="005B28EF">
      <w:pPr>
        <w:spacing w:after="120"/>
      </w:pPr>
      <w:r>
        <w:t xml:space="preserve">As the Federal Government looks to craft and implement its strategy for doubling </w:t>
      </w:r>
      <w:r w:rsidR="00EB1FF6">
        <w:t xml:space="preserve">philanthropy, we would encourage </w:t>
      </w:r>
      <w:r w:rsidR="00280E78">
        <w:t>a chapter be devoted to Workplace Philanthropy alongside Corporate Philanthropy</w:t>
      </w:r>
      <w:r w:rsidR="006C08C9">
        <w:t xml:space="preserve"> as a unique pillar. </w:t>
      </w:r>
      <w:r w:rsidR="008D6712">
        <w:t xml:space="preserve">This grouping might be seen as a significant sector in the same way as the Ultra High and High Net Worth individuals </w:t>
      </w:r>
      <w:r w:rsidR="00BB36C7">
        <w:t>are considered separately to the broader donor population.</w:t>
      </w:r>
    </w:p>
    <w:p w14:paraId="3F3ADEA7" w14:textId="316108CB" w:rsidR="00AB1551" w:rsidRDefault="00AB1551" w:rsidP="005B28EF">
      <w:pPr>
        <w:spacing w:after="120"/>
      </w:pPr>
      <w:r>
        <w:t xml:space="preserve">A significant </w:t>
      </w:r>
      <w:r w:rsidR="00ED28E1">
        <w:t>advance (and element of any strategy) aimed at driving</w:t>
      </w:r>
      <w:r>
        <w:t xml:space="preserve"> </w:t>
      </w:r>
      <w:r w:rsidR="00ED28E1">
        <w:t>uptake and participation</w:t>
      </w:r>
      <w:r>
        <w:t xml:space="preserve"> </w:t>
      </w:r>
      <w:r w:rsidR="005F64EE">
        <w:t>will</w:t>
      </w:r>
      <w:r>
        <w:t xml:space="preserve"> be a broad-based awareness campaign aimed at inspiring action from individuals with their places of employment (such as was the case with the “slip, slop, slap” campaign).</w:t>
      </w:r>
      <w:r w:rsidR="000C528A">
        <w:t xml:space="preserve"> </w:t>
      </w:r>
      <w:r w:rsidR="001031E2">
        <w:t xml:space="preserve">The outcome of such a campaign would be to create awareness of </w:t>
      </w:r>
      <w:r w:rsidR="001159A7">
        <w:t>the options and their benefits to the individuals</w:t>
      </w:r>
      <w:r w:rsidR="00B46A53">
        <w:t>, and</w:t>
      </w:r>
      <w:r w:rsidR="00525755">
        <w:t xml:space="preserve"> </w:t>
      </w:r>
      <w:r w:rsidR="00525755">
        <w:lastRenderedPageBreak/>
        <w:t xml:space="preserve">build the case </w:t>
      </w:r>
      <w:r w:rsidR="00B46A53">
        <w:t>that will engage</w:t>
      </w:r>
      <w:r w:rsidR="00525755">
        <w:t xml:space="preserve"> </w:t>
      </w:r>
      <w:r w:rsidR="00B46A53">
        <w:t xml:space="preserve">the majority of the over 2.5 million Australian employers. </w:t>
      </w:r>
      <w:r w:rsidR="000C528A">
        <w:t>This may be part of a broader campaign as mooted by Philanthropy Australia.</w:t>
      </w:r>
    </w:p>
    <w:p w14:paraId="5100D9E8" w14:textId="76A2CA83" w:rsidR="009D692B" w:rsidRDefault="00E1D37B" w:rsidP="004333EA">
      <w:pPr>
        <w:spacing w:after="120"/>
      </w:pPr>
      <w:r>
        <w:t xml:space="preserve">Further, promoting workplace giving and payroll giving should be considered a </w:t>
      </w:r>
      <w:r w:rsidR="7CB72059">
        <w:t xml:space="preserve">priority </w:t>
      </w:r>
      <w:r>
        <w:t xml:space="preserve">for our </w:t>
      </w:r>
      <w:r w:rsidR="7995CF32">
        <w:t>government</w:t>
      </w:r>
      <w:r>
        <w:t xml:space="preserve"> departments</w:t>
      </w:r>
      <w:r w:rsidR="5EA9DABB">
        <w:t>, which have the highest access to payroll giving of any sector</w:t>
      </w:r>
      <w:r w:rsidR="326B5F27">
        <w:t xml:space="preserve">. </w:t>
      </w:r>
    </w:p>
    <w:p w14:paraId="71A58DBB" w14:textId="6A5EED78" w:rsidR="00ED28E1" w:rsidRPr="00924318" w:rsidRDefault="00B124D9" w:rsidP="004A4B8F">
      <w:pPr>
        <w:pStyle w:val="ListParagraph"/>
        <w:numPr>
          <w:ilvl w:val="0"/>
          <w:numId w:val="23"/>
        </w:numPr>
        <w:ind w:firstLine="66"/>
        <w:rPr>
          <w:b/>
          <w:bCs/>
          <w:i/>
          <w:iCs/>
        </w:rPr>
      </w:pPr>
      <w:r w:rsidRPr="00924318">
        <w:rPr>
          <w:b/>
          <w:bCs/>
        </w:rPr>
        <w:br w:type="page"/>
      </w:r>
      <w:r w:rsidR="00C93F85" w:rsidRPr="00924318">
        <w:rPr>
          <w:b/>
          <w:bCs/>
          <w:i/>
          <w:iCs/>
        </w:rPr>
        <w:lastRenderedPageBreak/>
        <w:t>Transparency on Donated Funds and fundraising aggregator business models</w:t>
      </w:r>
    </w:p>
    <w:tbl>
      <w:tblPr>
        <w:tblStyle w:val="TableGrid"/>
        <w:tblW w:w="0" w:type="auto"/>
        <w:tblLook w:val="04A0" w:firstRow="1" w:lastRow="0" w:firstColumn="1" w:lastColumn="0" w:noHBand="0" w:noVBand="1"/>
      </w:tblPr>
      <w:tblGrid>
        <w:gridCol w:w="9016"/>
      </w:tblGrid>
      <w:tr w:rsidR="00ED28E1" w14:paraId="33AA993A" w14:textId="77777777" w:rsidTr="00924318">
        <w:tc>
          <w:tcPr>
            <w:tcW w:w="9016" w:type="dxa"/>
            <w:shd w:val="clear" w:color="auto" w:fill="F2F2F2" w:themeFill="background1" w:themeFillShade="F2"/>
          </w:tcPr>
          <w:p w14:paraId="773B2941" w14:textId="77777777" w:rsidR="00ED28E1" w:rsidRPr="0023442F" w:rsidRDefault="00ED28E1" w:rsidP="00CA3216">
            <w:pPr>
              <w:spacing w:before="120" w:after="120"/>
              <w:ind w:left="284" w:right="284"/>
              <w:rPr>
                <w:b/>
                <w:bCs/>
              </w:rPr>
            </w:pPr>
            <w:r w:rsidRPr="721DB9EC">
              <w:rPr>
                <w:b/>
                <w:bCs/>
              </w:rPr>
              <w:t>Recommendation 2:</w:t>
            </w:r>
            <w:r w:rsidRPr="0023442F">
              <w:rPr>
                <w:b/>
                <w:bCs/>
              </w:rPr>
              <w:t xml:space="preserve"> </w:t>
            </w:r>
            <w:r w:rsidRPr="0023442F">
              <w:t>The introduction of a register as the Payment Times Reports Register (perhaps even within the same framework) supported by similar conditions on reporting obligations would be a simple method to address this aspect and ensure the right thing is not only being done but is being seen to be done.</w:t>
            </w:r>
          </w:p>
        </w:tc>
      </w:tr>
    </w:tbl>
    <w:p w14:paraId="631DDA80" w14:textId="77777777" w:rsidR="00B6610A" w:rsidRDefault="00B6610A" w:rsidP="00FE36B9">
      <w:pPr>
        <w:spacing w:before="120" w:after="120"/>
      </w:pPr>
      <w:r>
        <w:t>Within the corporate giving landscape there is an increasing number of for-profit players providing services to the charity sector to support peer-to-peer and other fundraising initiatives. While these have a valuable role to play in developing and promoting the sector, it needs to be clear to the donors and the charities the method of operation and where the money is going.</w:t>
      </w:r>
    </w:p>
    <w:p w14:paraId="0B545D7C" w14:textId="56544E8A" w:rsidR="00B6610A" w:rsidRDefault="0A276E0C" w:rsidP="005B28EF">
      <w:pPr>
        <w:spacing w:after="120"/>
      </w:pPr>
      <w:r>
        <w:t xml:space="preserve">Making this more complex is the fact that such entities can be established such that they have a </w:t>
      </w:r>
      <w:proofErr w:type="spellStart"/>
      <w:r>
        <w:t>DGR2</w:t>
      </w:r>
      <w:proofErr w:type="spellEnd"/>
      <w:r>
        <w:t xml:space="preserve"> foundation </w:t>
      </w:r>
      <w:r w:rsidR="1E66DE3D">
        <w:t>to</w:t>
      </w:r>
      <w:r>
        <w:t xml:space="preserve"> provide the charitable deduction</w:t>
      </w:r>
      <w:r w:rsidR="2DFFC494">
        <w:t xml:space="preserve"> and consolidate the funds</w:t>
      </w:r>
      <w:r>
        <w:t>. While these</w:t>
      </w:r>
      <w:r w:rsidR="2DFFC494">
        <w:t xml:space="preserve"> foundations</w:t>
      </w:r>
      <w:r>
        <w:t xml:space="preserve"> are </w:t>
      </w:r>
      <w:bookmarkStart w:id="23" w:name="_Int_g7RhWJBO"/>
      <w:r>
        <w:t>ostensibly held</w:t>
      </w:r>
      <w:bookmarkEnd w:id="23"/>
      <w:r>
        <w:t xml:space="preserve"> separately, they are intimately tied to the for-profit entity which has overhead expenses (and in some cases shareholder</w:t>
      </w:r>
      <w:r w:rsidR="5C99200B">
        <w:t xml:space="preserve"> expectations</w:t>
      </w:r>
      <w:r>
        <w:t xml:space="preserve">) to meet. </w:t>
      </w:r>
    </w:p>
    <w:p w14:paraId="3E9310A0" w14:textId="31648620" w:rsidR="00B6610A" w:rsidRDefault="368E630D" w:rsidP="005B28EF">
      <w:pPr>
        <w:spacing w:after="120"/>
      </w:pPr>
      <w:r>
        <w:t>Currently</w:t>
      </w:r>
      <w:r w:rsidR="0A276E0C">
        <w:t xml:space="preserve"> there is no obligation for any disclosure as to how these businesses operate and how they fund their business needs</w:t>
      </w:r>
      <w:r w:rsidR="5C99200B">
        <w:t xml:space="preserve"> or where the profits go</w:t>
      </w:r>
      <w:r w:rsidR="0A276E0C">
        <w:t>. For example, there are instances where the money raised from donors is held for an extended period, generating additional income</w:t>
      </w:r>
      <w:r w:rsidR="5C99200B">
        <w:t xml:space="preserve"> through interest</w:t>
      </w:r>
      <w:r w:rsidR="0A276E0C">
        <w:t xml:space="preserve">. This has the effect of delaying distribution to the intended </w:t>
      </w:r>
      <w:proofErr w:type="spellStart"/>
      <w:r w:rsidR="0A276E0C">
        <w:t>DGR</w:t>
      </w:r>
      <w:proofErr w:type="spellEnd"/>
      <w:r w:rsidR="0A276E0C">
        <w:t xml:space="preserve"> recipient charity and is not in line with the donor expectation </w:t>
      </w:r>
      <w:r w:rsidR="0584E96B">
        <w:t>and their</w:t>
      </w:r>
      <w:r w:rsidR="0A276E0C">
        <w:t xml:space="preserve"> understanding of how their money will be treated. In some cases, a portion of the donor’s money is filtered to shareholders of a for profit in Australia or overseas. While this is not inappropriate if clear, it should be stated succinctly and not hidden in obfuscating terms, or not at all.</w:t>
      </w:r>
    </w:p>
    <w:p w14:paraId="2AF194E8" w14:textId="49FF5402" w:rsidR="00B6610A" w:rsidRDefault="0A276E0C" w:rsidP="005B28EF">
      <w:pPr>
        <w:spacing w:after="120"/>
      </w:pPr>
      <w:r>
        <w:t>Where a for profit establishes a charity vehicle such as those used for what is termed in the US "donor advised funds” there should be a clear and transparent connection made so that donors are not misled as to where their funds are being directed</w:t>
      </w:r>
      <w:r w:rsidR="0979858F">
        <w:t xml:space="preserve">. </w:t>
      </w:r>
      <w:r>
        <w:t>Where a profit taking entity is involved, this should be made apparent and sufficient detail provided such that the donors are clear on the costs of fundraising.</w:t>
      </w:r>
    </w:p>
    <w:p w14:paraId="1704820E" w14:textId="77777777" w:rsidR="0055127A" w:rsidRDefault="00B6610A" w:rsidP="005B28EF">
      <w:pPr>
        <w:spacing w:after="120"/>
      </w:pPr>
      <w:r>
        <w:t xml:space="preserve">Further, unlike corporate Australia where the Payment Times Reporting Act 2020 and associated regulations apply, there is no regulation regarding the timing of payment of collected donations from aggregators (including </w:t>
      </w:r>
      <w:proofErr w:type="spellStart"/>
      <w:r>
        <w:t>DGR2</w:t>
      </w:r>
      <w:proofErr w:type="spellEnd"/>
      <w:r>
        <w:t xml:space="preserve"> foundations) to the intended recipients. </w:t>
      </w:r>
    </w:p>
    <w:p w14:paraId="10EA4666" w14:textId="4CF417F8" w:rsidR="00B6610A" w:rsidRDefault="00B6610A" w:rsidP="005B28EF">
      <w:pPr>
        <w:spacing w:after="120"/>
      </w:pPr>
      <w:r>
        <w:t xml:space="preserve">However, in the same way in which small business operators are looking for protection against unscrupulous practices from large companies, Australian charities are looking to ensure that they are receiving funding in line with the donor and charity expectations and </w:t>
      </w:r>
      <w:r w:rsidR="0055127A">
        <w:t xml:space="preserve">that </w:t>
      </w:r>
      <w:r>
        <w:t>these funds are not retained unduly by 3</w:t>
      </w:r>
      <w:r w:rsidRPr="00C13256">
        <w:rPr>
          <w:vertAlign w:val="superscript"/>
        </w:rPr>
        <w:t>rd</w:t>
      </w:r>
      <w:r>
        <w:t xml:space="preserve"> party aggregators. </w:t>
      </w:r>
    </w:p>
    <w:p w14:paraId="069B80CA" w14:textId="77777777" w:rsidR="00B6610A" w:rsidRDefault="00B6610A" w:rsidP="00DD607D">
      <w:pPr>
        <w:spacing w:after="60"/>
      </w:pPr>
      <w:r>
        <w:t>Mirroring the Payment Times Reports Register, information on how long the donation is held before reaching its ultimate destination will help donors, charities and corporations make informed decisions on who they support.</w:t>
      </w:r>
    </w:p>
    <w:p w14:paraId="16A86EAC" w14:textId="6E69F8D6" w:rsidR="00B6610A" w:rsidRDefault="0A276E0C" w:rsidP="00D347C7">
      <w:pPr>
        <w:pStyle w:val="ListParagraph"/>
        <w:numPr>
          <w:ilvl w:val="0"/>
          <w:numId w:val="3"/>
        </w:numPr>
      </w:pPr>
      <w:r>
        <w:t xml:space="preserve">Introduce a requirement to provide a clear and simple statement on the </w:t>
      </w:r>
      <w:r w:rsidR="477DCF07">
        <w:t>website</w:t>
      </w:r>
      <w:r>
        <w:t xml:space="preserve"> of entity or affiliate which sets out the relationship between them (including equity funding), the </w:t>
      </w:r>
      <w:r w:rsidR="6EBA76A9">
        <w:t>way</w:t>
      </w:r>
      <w:r>
        <w:t xml:space="preserve"> the operations are funded and where the money goes (including any profit) – this would apply to all </w:t>
      </w:r>
      <w:proofErr w:type="spellStart"/>
      <w:r>
        <w:t>DGR</w:t>
      </w:r>
      <w:proofErr w:type="spellEnd"/>
      <w:r>
        <w:t xml:space="preserve"> registered entities as well as the corporate arm</w:t>
      </w:r>
      <w:r w:rsidR="00B6610A">
        <w:rPr>
          <w:rStyle w:val="FootnoteReference"/>
        </w:rPr>
        <w:footnoteReference w:id="60"/>
      </w:r>
      <w:r>
        <w:t xml:space="preserve"> </w:t>
      </w:r>
    </w:p>
    <w:p w14:paraId="56AA732E" w14:textId="77777777" w:rsidR="00B6610A" w:rsidRDefault="00B6610A" w:rsidP="00D347C7">
      <w:pPr>
        <w:pStyle w:val="ListParagraph"/>
        <w:numPr>
          <w:ilvl w:val="0"/>
          <w:numId w:val="3"/>
        </w:numPr>
      </w:pPr>
      <w:r>
        <w:lastRenderedPageBreak/>
        <w:t>Introduce a requirement to provide clear and simple statement on the timing of distributions of funds from fundraising and/or aggregator charities</w:t>
      </w:r>
    </w:p>
    <w:p w14:paraId="64119C7A" w14:textId="77777777" w:rsidR="00B6610A" w:rsidRDefault="00B6610A" w:rsidP="00D347C7">
      <w:pPr>
        <w:pStyle w:val="ListParagraph"/>
        <w:numPr>
          <w:ilvl w:val="0"/>
          <w:numId w:val="3"/>
        </w:numPr>
      </w:pPr>
      <w:r>
        <w:t xml:space="preserve">Include reporting every 6 months on the payment times and terms to end point charitable causes (publicly available on the </w:t>
      </w:r>
      <w:proofErr w:type="spellStart"/>
      <w:r>
        <w:t>ACNC</w:t>
      </w:r>
      <w:proofErr w:type="spellEnd"/>
      <w:r>
        <w:t xml:space="preserve"> register)</w:t>
      </w:r>
    </w:p>
    <w:p w14:paraId="12ACDC53" w14:textId="77777777" w:rsidR="00B6610A" w:rsidRDefault="00B6610A" w:rsidP="00D347C7">
      <w:pPr>
        <w:pStyle w:val="ListParagraph"/>
        <w:numPr>
          <w:ilvl w:val="0"/>
          <w:numId w:val="3"/>
        </w:numPr>
      </w:pPr>
      <w:r>
        <w:t>Provide an expectation for acceptable timing of payments which are aligned to the expectation of the donor</w:t>
      </w:r>
    </w:p>
    <w:p w14:paraId="599E7BD1" w14:textId="3000D73F" w:rsidR="008F2111" w:rsidRDefault="008F2111">
      <w:r>
        <w:br w:type="page"/>
      </w:r>
    </w:p>
    <w:p w14:paraId="2B4E48F4" w14:textId="77777777" w:rsidR="008F2111" w:rsidRDefault="008F2111" w:rsidP="008F2111">
      <w:pPr>
        <w:pStyle w:val="ListParagraph"/>
      </w:pPr>
    </w:p>
    <w:p w14:paraId="370B7A19" w14:textId="439B37FF" w:rsidR="008D63B4" w:rsidRPr="00DF0F8F" w:rsidRDefault="008307BF" w:rsidP="004333EA">
      <w:pPr>
        <w:pStyle w:val="ListParagraph"/>
        <w:keepNext/>
        <w:numPr>
          <w:ilvl w:val="0"/>
          <w:numId w:val="21"/>
        </w:numPr>
        <w:spacing w:before="360" w:after="120"/>
        <w:ind w:left="714" w:hanging="357"/>
        <w:contextualSpacing w:val="0"/>
        <w:rPr>
          <w:b/>
          <w:bCs/>
          <w:i/>
          <w:iCs/>
        </w:rPr>
      </w:pPr>
      <w:r w:rsidRPr="00DF0F8F">
        <w:rPr>
          <w:b/>
          <w:bCs/>
          <w:i/>
          <w:iCs/>
        </w:rPr>
        <w:t>Reduction of Avoidable Giving Aggregation Overheads</w:t>
      </w:r>
    </w:p>
    <w:tbl>
      <w:tblPr>
        <w:tblStyle w:val="TableGrid"/>
        <w:tblW w:w="0" w:type="auto"/>
        <w:tblLook w:val="04A0" w:firstRow="1" w:lastRow="0" w:firstColumn="1" w:lastColumn="0" w:noHBand="0" w:noVBand="1"/>
      </w:tblPr>
      <w:tblGrid>
        <w:gridCol w:w="9016"/>
      </w:tblGrid>
      <w:tr w:rsidR="008D63B4" w14:paraId="1EAB2819" w14:textId="77777777" w:rsidTr="00DF0F8F">
        <w:tc>
          <w:tcPr>
            <w:tcW w:w="9016" w:type="dxa"/>
            <w:shd w:val="clear" w:color="auto" w:fill="F2F2F2" w:themeFill="background1" w:themeFillShade="F2"/>
          </w:tcPr>
          <w:p w14:paraId="4E57F051" w14:textId="77777777" w:rsidR="008D63B4" w:rsidRPr="0023442F" w:rsidRDefault="008D63B4" w:rsidP="00CA3216">
            <w:pPr>
              <w:spacing w:before="120" w:after="120"/>
              <w:ind w:left="284" w:right="284"/>
              <w:rPr>
                <w:b/>
                <w:bCs/>
              </w:rPr>
            </w:pPr>
            <w:r w:rsidRPr="721DB9EC">
              <w:rPr>
                <w:b/>
                <w:bCs/>
              </w:rPr>
              <w:t>Recommendation 3.1:</w:t>
            </w:r>
            <w:r w:rsidRPr="0023442F">
              <w:rPr>
                <w:b/>
                <w:bCs/>
              </w:rPr>
              <w:t xml:space="preserve"> </w:t>
            </w:r>
            <w:r w:rsidRPr="0023442F">
              <w:t xml:space="preserve">Establishing (or endorsing) an industry body with oversight for developing a set of standards on data and technologies for charitable purposes would complement the current </w:t>
            </w:r>
            <w:proofErr w:type="spellStart"/>
            <w:r w:rsidRPr="0023442F">
              <w:t>ACNC</w:t>
            </w:r>
            <w:proofErr w:type="spellEnd"/>
            <w:r w:rsidRPr="0023442F">
              <w:t xml:space="preserve"> (Australian Charities and Not for profits Commission) data and enable a reduction in the costs which place a drain on the donation pool and the percent which flows to the causes for which donations are made.</w:t>
            </w:r>
          </w:p>
        </w:tc>
      </w:tr>
    </w:tbl>
    <w:p w14:paraId="272E044D" w14:textId="77777777" w:rsidR="008D63B4" w:rsidRPr="008D63B4" w:rsidRDefault="008D63B4" w:rsidP="008D63B4">
      <w:pPr>
        <w:rPr>
          <w:sz w:val="4"/>
          <w:szCs w:val="4"/>
        </w:rPr>
      </w:pPr>
    </w:p>
    <w:tbl>
      <w:tblPr>
        <w:tblStyle w:val="TableGrid"/>
        <w:tblW w:w="0" w:type="auto"/>
        <w:tblLook w:val="04A0" w:firstRow="1" w:lastRow="0" w:firstColumn="1" w:lastColumn="0" w:noHBand="0" w:noVBand="1"/>
      </w:tblPr>
      <w:tblGrid>
        <w:gridCol w:w="9016"/>
      </w:tblGrid>
      <w:tr w:rsidR="008D63B4" w14:paraId="465C9FF0" w14:textId="77777777" w:rsidTr="00DF0F8F">
        <w:tc>
          <w:tcPr>
            <w:tcW w:w="9016" w:type="dxa"/>
            <w:shd w:val="clear" w:color="auto" w:fill="F2F2F2" w:themeFill="background1" w:themeFillShade="F2"/>
          </w:tcPr>
          <w:p w14:paraId="2B67C0CF" w14:textId="77777777" w:rsidR="008D63B4" w:rsidRDefault="008D63B4" w:rsidP="00CA3216">
            <w:pPr>
              <w:spacing w:before="120" w:after="120"/>
              <w:ind w:left="284" w:right="284"/>
            </w:pPr>
            <w:r w:rsidRPr="00244810">
              <w:rPr>
                <w:b/>
                <w:bCs/>
              </w:rPr>
              <w:t>Recommendation 3</w:t>
            </w:r>
            <w:r>
              <w:rPr>
                <w:b/>
                <w:bCs/>
              </w:rPr>
              <w:t>.2</w:t>
            </w:r>
            <w:r w:rsidRPr="00244810">
              <w:rPr>
                <w:b/>
                <w:bCs/>
              </w:rPr>
              <w:t>:</w:t>
            </w:r>
            <w:r w:rsidRPr="0023442F">
              <w:rPr>
                <w:b/>
                <w:bCs/>
              </w:rPr>
              <w:t xml:space="preserve"> </w:t>
            </w:r>
            <w:r w:rsidRPr="0023442F">
              <w:t>Establish a Donor ID (or Social Giving Number) which enables a donor to manage their data independently and regardless of platform being interacted with. Will also enable porting of history to new employment in same manner as mobile phone numbers can be transferred to new providers.</w:t>
            </w:r>
          </w:p>
        </w:tc>
      </w:tr>
    </w:tbl>
    <w:p w14:paraId="658FF3F4" w14:textId="6259AEF6" w:rsidR="00AF530E" w:rsidRDefault="1CC4C3E5" w:rsidP="00FE36B9">
      <w:pPr>
        <w:spacing w:before="120" w:after="120"/>
      </w:pPr>
      <w:r>
        <w:t xml:space="preserve">While workplace giving is extremely cost effective and has the potential to generate significant funds for community causes, there are hidden friction costs </w:t>
      </w:r>
      <w:bookmarkStart w:id="24" w:name="_Int_9j0piavF"/>
      <w:r>
        <w:t>as a result of</w:t>
      </w:r>
      <w:bookmarkEnd w:id="24"/>
      <w:r>
        <w:t xml:space="preserve"> the way in which the sector has evolved. While technology has provided structural advances</w:t>
      </w:r>
      <w:r w:rsidR="0A28F84A">
        <w:t>, it has evolved in fragmented manner</w:t>
      </w:r>
      <w:r w:rsidR="3FD9DAB7">
        <w:t xml:space="preserve"> with multiple players. This is not unique to the philanthropic </w:t>
      </w:r>
      <w:r w:rsidR="009D7AB0">
        <w:t>sector but</w:t>
      </w:r>
      <w:r w:rsidR="3FD9DAB7">
        <w:t xml:space="preserve"> is compounded by the fact that there is no driver to consolidate and harmonize as there may be in other sectors. </w:t>
      </w:r>
    </w:p>
    <w:p w14:paraId="05A1D980" w14:textId="3014AD19" w:rsidR="00FF2F8F" w:rsidRDefault="00FF2F8F" w:rsidP="005B28EF">
      <w:pPr>
        <w:spacing w:after="120"/>
      </w:pPr>
      <w:r>
        <w:t xml:space="preserve">The creation of a set of standards aimed at servicing the various players engaged in workplace and corporate philanthropy (and beyond) and aligning technologies </w:t>
      </w:r>
      <w:r w:rsidR="000F59BC">
        <w:t>is an important step in reducing costs while enhancing transparency for the donors and charities.</w:t>
      </w:r>
    </w:p>
    <w:p w14:paraId="55709AED" w14:textId="641E7118" w:rsidR="00EA0815" w:rsidRDefault="00EA0815" w:rsidP="005B28EF">
      <w:pPr>
        <w:spacing w:after="120"/>
      </w:pPr>
      <w:r>
        <w:t>This would also pave the way for a consistent donor identification system maintained by the individual to enhance their giving experience. This would enable the linking of various methods of giving including peer-to-peer sponsorships, payroll giving, one off donations and volunteering</w:t>
      </w:r>
      <w:r w:rsidR="000A2606">
        <w:t>, as well as automating the tax components.</w:t>
      </w:r>
    </w:p>
    <w:p w14:paraId="107649F6" w14:textId="5ACA4D0A" w:rsidR="00AF530E" w:rsidRDefault="00AF530E" w:rsidP="008D63B4">
      <w:pPr>
        <w:keepNext/>
      </w:pPr>
      <w:r>
        <w:t xml:space="preserve">The current landscape is </w:t>
      </w:r>
      <w:r w:rsidR="006D164D">
        <w:t>broadly set out in the following diagram:</w:t>
      </w:r>
    </w:p>
    <w:p w14:paraId="02F05D7A" w14:textId="0426F4F4" w:rsidR="00AF530E" w:rsidRDefault="00AF530E" w:rsidP="00CF3B0C">
      <w:r>
        <w:rPr>
          <w:noProof/>
        </w:rPr>
        <w:drawing>
          <wp:inline distT="0" distB="0" distL="0" distR="0" wp14:anchorId="5355EE4F" wp14:editId="22A428F0">
            <wp:extent cx="4589897" cy="3069423"/>
            <wp:effectExtent l="0" t="0" r="1270" b="0"/>
            <wp:docPr id="239266244" name="Picture 23926624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266244" name="Picture 1" descr="Graphical user interfac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00085" cy="3076236"/>
                    </a:xfrm>
                    <a:prstGeom prst="rect">
                      <a:avLst/>
                    </a:prstGeom>
                    <a:noFill/>
                  </pic:spPr>
                </pic:pic>
              </a:graphicData>
            </a:graphic>
          </wp:inline>
        </w:drawing>
      </w:r>
    </w:p>
    <w:p w14:paraId="33BD670C" w14:textId="77777777" w:rsidR="00AF530E" w:rsidRDefault="00AF530E" w:rsidP="00CF3B0C"/>
    <w:p w14:paraId="12DE3368" w14:textId="2E0A8F29" w:rsidR="003F5C4E" w:rsidRDefault="003F5C4E" w:rsidP="005B28EF">
      <w:pPr>
        <w:spacing w:after="120"/>
      </w:pPr>
      <w:r>
        <w:lastRenderedPageBreak/>
        <w:t xml:space="preserve">The current, common data is provided by the </w:t>
      </w:r>
      <w:proofErr w:type="spellStart"/>
      <w:r>
        <w:t>ACNC</w:t>
      </w:r>
      <w:proofErr w:type="spellEnd"/>
      <w:r>
        <w:t xml:space="preserve"> and ASIC</w:t>
      </w:r>
      <w:r>
        <w:rPr>
          <w:rStyle w:val="FootnoteReference"/>
        </w:rPr>
        <w:footnoteReference w:id="61"/>
      </w:r>
      <w:r>
        <w:t>. This data is useful but is insufficient. Similarly, several organisations hold their own additional information on the charities with which they engage. However, there is not standard on the information gathered and maintained.</w:t>
      </w:r>
    </w:p>
    <w:p w14:paraId="6A60FA74" w14:textId="6D69E760" w:rsidR="00B0393A" w:rsidRDefault="00CE28C2" w:rsidP="005B28EF">
      <w:pPr>
        <w:spacing w:after="120"/>
      </w:pPr>
      <w:r>
        <w:t>Each of the players involved have information requests of one another</w:t>
      </w:r>
      <w:r w:rsidR="005A266C">
        <w:t>. There is a known desire for harmonisation of this information such that it can be captured once and then made available multiple times and for different purposes. Ho</w:t>
      </w:r>
      <w:r w:rsidR="002C37FA">
        <w:t xml:space="preserve">wever, there is no consolidating pressure nor industry lead that has the backing force to drive this harmonisation. </w:t>
      </w:r>
      <w:r w:rsidR="00A51C46">
        <w:t>The result is that</w:t>
      </w:r>
      <w:r w:rsidR="00CF3B0C">
        <w:t xml:space="preserve"> there is little in the way of standards</w:t>
      </w:r>
      <w:r w:rsidR="002C37FA">
        <w:t xml:space="preserve"> creating</w:t>
      </w:r>
      <w:r w:rsidR="00CF3B0C">
        <w:t xml:space="preserve"> significant friction costs</w:t>
      </w:r>
      <w:r w:rsidR="002C37FA">
        <w:t>. A</w:t>
      </w:r>
      <w:r w:rsidR="00CF3B0C">
        <w:t>ctions are repeated for all players, creating complexity for all concerned and making the process problematic particularly for smaller charities.</w:t>
      </w:r>
    </w:p>
    <w:p w14:paraId="08DB8133" w14:textId="4CF057AA" w:rsidR="00210536" w:rsidRDefault="65B0778D" w:rsidP="005B28EF">
      <w:pPr>
        <w:spacing w:after="120"/>
        <w:rPr>
          <w:noProof/>
        </w:rPr>
      </w:pPr>
      <w:r>
        <w:t>One example of this is the need for information from the individual charities</w:t>
      </w:r>
      <w:r w:rsidR="0031231E">
        <w:t xml:space="preserve"> to enable payroll giving</w:t>
      </w:r>
      <w:r w:rsidR="6893D269">
        <w:t xml:space="preserve">. Each of </w:t>
      </w:r>
      <w:r w:rsidR="0031231E">
        <w:t>charity is</w:t>
      </w:r>
      <w:r w:rsidR="6893D269">
        <w:t xml:space="preserve"> approached for verification and communication information at onboarding and thereafter on an ad hoc basis. The information includes not only that held by the </w:t>
      </w:r>
      <w:proofErr w:type="spellStart"/>
      <w:r w:rsidR="6893D269">
        <w:t>ACNC</w:t>
      </w:r>
      <w:proofErr w:type="spellEnd"/>
      <w:r w:rsidR="6893D269">
        <w:t xml:space="preserve"> and ASIC, but additional items such as </w:t>
      </w:r>
      <w:r w:rsidR="25FC79DF">
        <w:t>current director details,</w:t>
      </w:r>
      <w:r w:rsidR="47BF4AFD">
        <w:t xml:space="preserve"> key person disclosures,</w:t>
      </w:r>
      <w:r w:rsidR="25FC79DF">
        <w:t xml:space="preserve"> bank details, impact assessments </w:t>
      </w:r>
      <w:r w:rsidR="47BF4AFD">
        <w:t xml:space="preserve">and historical information. This same information is required by </w:t>
      </w:r>
      <w:r w:rsidR="4CF4D00C">
        <w:t>each of the aggregation players such a</w:t>
      </w:r>
      <w:r w:rsidR="43BAA7E0">
        <w:t>s</w:t>
      </w:r>
      <w:r w:rsidR="4CF4D00C">
        <w:t xml:space="preserve"> payroll providers, peer to peer platforms and volunteer platforms</w:t>
      </w:r>
      <w:r w:rsidR="00A232D3">
        <w:t xml:space="preserve">. Adding to the complexity and load is the demand from corporations for details </w:t>
      </w:r>
      <w:r w:rsidR="006239EC">
        <w:t xml:space="preserve">for verification and ongoing communication in the course of </w:t>
      </w:r>
      <w:r w:rsidR="4CF4D00C">
        <w:t>maintaining its own program</w:t>
      </w:r>
      <w:r w:rsidR="0704E958">
        <w:t>.</w:t>
      </w:r>
      <w:r w:rsidR="3FD9DAB7" w:rsidRPr="721DB9EC">
        <w:rPr>
          <w:noProof/>
        </w:rPr>
        <w:t xml:space="preserve"> </w:t>
      </w:r>
    </w:p>
    <w:p w14:paraId="79E73E19" w14:textId="12D6B09F" w:rsidR="00CD3844" w:rsidRDefault="00CD3844" w:rsidP="005B28EF">
      <w:pPr>
        <w:spacing w:after="120"/>
      </w:pPr>
      <w:r>
        <w:t xml:space="preserve">Compounding the multiple interactions, is the demand for different formats for the provision of information. </w:t>
      </w:r>
      <w:r w:rsidR="00D600E5">
        <w:t xml:space="preserve">Impact stories, for example, may be of different lengths or have a different API mechanism to feed them. Similarly, any graphics or images may come with different </w:t>
      </w:r>
      <w:r w:rsidR="0033573B">
        <w:t>dimensions and weights.</w:t>
      </w:r>
    </w:p>
    <w:p w14:paraId="25793A4C" w14:textId="5280F303" w:rsidR="0042239F" w:rsidRDefault="73CE006A" w:rsidP="005B28EF">
      <w:pPr>
        <w:pStyle w:val="ListParagraph"/>
        <w:spacing w:after="120"/>
        <w:ind w:left="0"/>
        <w:contextualSpacing w:val="0"/>
      </w:pPr>
      <w:bookmarkStart w:id="25" w:name="_Int_Sihl8cVM"/>
      <w:r>
        <w:t>Clearly,</w:t>
      </w:r>
      <w:r w:rsidR="20612E68">
        <w:t xml:space="preserve"> there</w:t>
      </w:r>
      <w:bookmarkEnd w:id="25"/>
      <w:r w:rsidR="20612E68">
        <w:t xml:space="preserve"> are </w:t>
      </w:r>
      <w:r w:rsidR="32A2104C">
        <w:t>costs that are incurred that could be better mitigated</w:t>
      </w:r>
      <w:r>
        <w:t xml:space="preserve"> and removed from the charities</w:t>
      </w:r>
      <w:r w:rsidR="32A2104C">
        <w:t xml:space="preserve">. </w:t>
      </w:r>
      <w:r w:rsidR="5B9A39B8">
        <w:t>These additional costs are incurred by</w:t>
      </w:r>
      <w:r w:rsidR="4AE9CDB6">
        <w:t xml:space="preserve"> donors,</w:t>
      </w:r>
      <w:r w:rsidR="5B9A39B8">
        <w:t xml:space="preserve"> the charities, the corporations providing workplace giving and to the philanthropic ‘system’ more broadly</w:t>
      </w:r>
      <w:r w:rsidR="0FBDC46B">
        <w:t xml:space="preserve">. </w:t>
      </w:r>
      <w:r w:rsidR="00737353">
        <w:t xml:space="preserve"> While difficult to calculate accurately, estimates on the total cost to the sector places the figure north of $</w:t>
      </w:r>
      <w:proofErr w:type="spellStart"/>
      <w:r w:rsidR="00737353">
        <w:t>100m</w:t>
      </w:r>
      <w:proofErr w:type="spellEnd"/>
      <w:r w:rsidR="00737353">
        <w:t xml:space="preserve"> per annum</w:t>
      </w:r>
      <w:r w:rsidR="00737353">
        <w:rPr>
          <w:rStyle w:val="FootnoteReference"/>
        </w:rPr>
        <w:footnoteReference w:id="62"/>
      </w:r>
      <w:r w:rsidR="00737353">
        <w:t>.</w:t>
      </w:r>
    </w:p>
    <w:p w14:paraId="1799E584" w14:textId="57BE1302" w:rsidR="0094239F" w:rsidRPr="00436570" w:rsidRDefault="0094239F" w:rsidP="00FE36B9">
      <w:pPr>
        <w:keepNext/>
        <w:spacing w:before="240" w:after="120"/>
        <w:rPr>
          <w:i/>
          <w:iCs/>
        </w:rPr>
      </w:pPr>
      <w:r w:rsidRPr="00436570">
        <w:rPr>
          <w:i/>
          <w:iCs/>
        </w:rPr>
        <w:t>Costs to Donors</w:t>
      </w:r>
    </w:p>
    <w:p w14:paraId="76957D14" w14:textId="6DDA5544" w:rsidR="00BA79CF" w:rsidRDefault="542D07D3" w:rsidP="005B28EF">
      <w:pPr>
        <w:spacing w:after="120"/>
      </w:pPr>
      <w:r>
        <w:t>Donors suffer from a lack of visibility on impact and are unsure how to determine which charity (or charities) they will support. 86% of Australians report being more likely to engage with an organisation that clearly communicates its impact and 41% indicating that if they knew where their money would be spent this would encourage them to give more</w:t>
      </w:r>
      <w:r w:rsidR="0094239F">
        <w:rPr>
          <w:rStyle w:val="FootnoteReference"/>
        </w:rPr>
        <w:footnoteReference w:id="63"/>
      </w:r>
      <w:r>
        <w:t xml:space="preserve">. </w:t>
      </w:r>
    </w:p>
    <w:p w14:paraId="6CAA83CC" w14:textId="5B1F6889" w:rsidR="0094239F" w:rsidRDefault="542D07D3" w:rsidP="005B28EF">
      <w:pPr>
        <w:spacing w:after="120"/>
      </w:pPr>
      <w:r>
        <w:t xml:space="preserve">This lack of clarity not only prevents the conversion of intent to </w:t>
      </w:r>
      <w:r w:rsidR="00211CD0">
        <w:t>action but</w:t>
      </w:r>
      <w:r>
        <w:t xml:space="preserve"> creates additional cost to both the donor </w:t>
      </w:r>
      <w:r w:rsidR="6F17BC5B">
        <w:t xml:space="preserve">in investigating and </w:t>
      </w:r>
      <w:r w:rsidR="5257094F">
        <w:t>reviewing the charities they might elect to donate to</w:t>
      </w:r>
      <w:r>
        <w:t>.</w:t>
      </w:r>
    </w:p>
    <w:p w14:paraId="0CA3E727" w14:textId="4D555900" w:rsidR="00181255" w:rsidRDefault="00181255" w:rsidP="005B28EF">
      <w:pPr>
        <w:spacing w:after="120"/>
      </w:pPr>
      <w:r>
        <w:t xml:space="preserve">It is noted that preliminary evidence suggests that those involved with giving through workforce giving are more likely to de-prioritise their involvement in selecting a charity and take more interest in the impact of the donations made (whereas individual givers spend proportionately more time in </w:t>
      </w:r>
      <w:r>
        <w:lastRenderedPageBreak/>
        <w:t>assessing impact as part of their choice process and less involvement in post-donation acquittal of impact).</w:t>
      </w:r>
    </w:p>
    <w:p w14:paraId="7C7511A4" w14:textId="518CCB6B" w:rsidR="00C0668D" w:rsidRDefault="3985FEF9" w:rsidP="005B28EF">
      <w:pPr>
        <w:spacing w:after="120"/>
      </w:pPr>
      <w:r>
        <w:t xml:space="preserve">We also note here that there is an additional cost where the donor moves employment as the current processes are aligned to the corporate and not to the individual. Hence, while employed with one organisation that employee </w:t>
      </w:r>
      <w:r w:rsidR="262C1BE5">
        <w:t>can</w:t>
      </w:r>
      <w:r>
        <w:t xml:space="preserve"> participate simply with their charity, </w:t>
      </w:r>
      <w:r w:rsidR="09A7A842">
        <w:t>in the event they move to another organisation, they must start again as if a new donor. This break in the cycle is frustrating to the donor in many ways including in the lack of any continuous record of their charitable involvement over their years of engagement.</w:t>
      </w:r>
    </w:p>
    <w:p w14:paraId="31ED4416" w14:textId="518B341B" w:rsidR="005E1C29" w:rsidRPr="007F065A" w:rsidRDefault="005E1C29" w:rsidP="00FE36B9">
      <w:pPr>
        <w:keepNext/>
        <w:spacing w:before="240" w:after="120"/>
        <w:rPr>
          <w:i/>
          <w:iCs/>
          <w:u w:val="single"/>
        </w:rPr>
      </w:pPr>
      <w:r w:rsidRPr="007F065A">
        <w:rPr>
          <w:i/>
          <w:iCs/>
          <w:u w:val="single"/>
        </w:rPr>
        <w:t>Costs to Charities</w:t>
      </w:r>
    </w:p>
    <w:p w14:paraId="45F6390C" w14:textId="77777777" w:rsidR="005E1C29" w:rsidRDefault="005E1C29" w:rsidP="005B28EF">
      <w:pPr>
        <w:pStyle w:val="ListParagraph"/>
        <w:spacing w:after="120"/>
        <w:ind w:left="0"/>
        <w:contextualSpacing w:val="0"/>
      </w:pPr>
      <w:r>
        <w:t xml:space="preserve">In discussions with charity members with whom we deal and more closely with those within our Network, we know that there are friction costs in the workplace giving environment. The most notable of these stems </w:t>
      </w:r>
      <w:r w:rsidR="00ED6E1D">
        <w:t xml:space="preserve">from the lack of any common or systemic data regarding the charities themselves. </w:t>
      </w:r>
    </w:p>
    <w:p w14:paraId="58924F49" w14:textId="64B5B17D" w:rsidR="005E1C29" w:rsidRDefault="5B9A39B8" w:rsidP="005B28EF">
      <w:pPr>
        <w:pStyle w:val="ListParagraph"/>
        <w:spacing w:after="120"/>
        <w:ind w:left="0"/>
        <w:contextualSpacing w:val="0"/>
      </w:pPr>
      <w:r>
        <w:t xml:space="preserve">There are </w:t>
      </w:r>
      <w:r w:rsidR="1D3ABCED">
        <w:t>several</w:t>
      </w:r>
      <w:r>
        <w:t xml:space="preserve"> fundraising intermediaries that engage with corporate and workplace giving. This includes those providing</w:t>
      </w:r>
      <w:r w:rsidR="7E0C1152">
        <w:t xml:space="preserve"> payroll</w:t>
      </w:r>
      <w:r>
        <w:t xml:space="preserve"> services such as </w:t>
      </w:r>
      <w:proofErr w:type="spellStart"/>
      <w:r>
        <w:t>Good2Give</w:t>
      </w:r>
      <w:proofErr w:type="spellEnd"/>
      <w:r>
        <w:t xml:space="preserve">, </w:t>
      </w:r>
      <w:r w:rsidR="7E0C1152">
        <w:t>as well as those providing applications and services for fundraising</w:t>
      </w:r>
      <w:r w:rsidR="500AF577">
        <w:t xml:space="preserve"> and volunteering</w:t>
      </w:r>
      <w:r w:rsidR="7E0C1152">
        <w:t>. In addition, many corporations elect to maintain their own payroll an</w:t>
      </w:r>
      <w:r w:rsidR="4C3D3A3B">
        <w:t>d</w:t>
      </w:r>
      <w:r w:rsidR="7E0C1152">
        <w:t xml:space="preserve"> other aggregation services for their workforces </w:t>
      </w:r>
      <w:r w:rsidR="2BCCA8C0">
        <w:t>or who have a foundation (or foundations) which deal directly with charities.</w:t>
      </w:r>
    </w:p>
    <w:p w14:paraId="16031BEE" w14:textId="40521BDB" w:rsidR="009708B4" w:rsidRDefault="009708B4" w:rsidP="005B28EF">
      <w:pPr>
        <w:pStyle w:val="ListParagraph"/>
        <w:spacing w:after="120"/>
        <w:ind w:left="0"/>
        <w:contextualSpacing w:val="0"/>
      </w:pPr>
      <w:r>
        <w:t xml:space="preserve">Hence, a charity which is focused partly or in whole on working with corporate Australia must provide information at various levels to each of these parties. This starts with initial verification information over and above that which is available through the </w:t>
      </w:r>
      <w:proofErr w:type="spellStart"/>
      <w:r>
        <w:t>ACNC</w:t>
      </w:r>
      <w:proofErr w:type="spellEnd"/>
      <w:r>
        <w:t xml:space="preserve"> database and the ASIC information. Examples of this data will be bank account details, current director details and relevant financial information. </w:t>
      </w:r>
    </w:p>
    <w:p w14:paraId="0267D02A" w14:textId="3BB07F82" w:rsidR="009708B4" w:rsidRDefault="2BCCA8C0" w:rsidP="005B28EF">
      <w:pPr>
        <w:pStyle w:val="ListParagraph"/>
        <w:spacing w:after="120"/>
        <w:ind w:left="0"/>
        <w:contextualSpacing w:val="0"/>
      </w:pPr>
      <w:r>
        <w:t xml:space="preserve">The charity will also have the burden of providing ongoing information, not only for ongoing verification, but also regarding impact, </w:t>
      </w:r>
      <w:r w:rsidR="3EFFBB82">
        <w:t>initiatives,</w:t>
      </w:r>
      <w:r>
        <w:t xml:space="preserve"> and programs. </w:t>
      </w:r>
    </w:p>
    <w:p w14:paraId="367544D9" w14:textId="1BDA3336" w:rsidR="009708B4" w:rsidRDefault="2BCCA8C0" w:rsidP="005B28EF">
      <w:pPr>
        <w:pStyle w:val="ListParagraph"/>
        <w:spacing w:after="120"/>
        <w:ind w:left="0"/>
        <w:contextualSpacing w:val="0"/>
      </w:pPr>
      <w:r>
        <w:t xml:space="preserve">Compounding this is the fact that each of these aggregators, fundraisers and corporations may seek the information in a different format and at </w:t>
      </w:r>
      <w:r w:rsidR="6A66E221">
        <w:t>various times</w:t>
      </w:r>
      <w:r>
        <w:t xml:space="preserve">. </w:t>
      </w:r>
    </w:p>
    <w:p w14:paraId="1DBC5513" w14:textId="670A96EC" w:rsidR="0094239F" w:rsidRPr="007F065A" w:rsidRDefault="0094239F" w:rsidP="00FE36B9">
      <w:pPr>
        <w:keepNext/>
        <w:spacing w:before="240" w:after="120"/>
        <w:rPr>
          <w:i/>
          <w:iCs/>
          <w:u w:val="single"/>
        </w:rPr>
      </w:pPr>
      <w:r w:rsidRPr="007F065A">
        <w:rPr>
          <w:i/>
          <w:iCs/>
          <w:u w:val="single"/>
        </w:rPr>
        <w:t>Costs to Corporations Providing Workplace Giving for its Workforce</w:t>
      </w:r>
    </w:p>
    <w:p w14:paraId="031915FC" w14:textId="5C1E6885" w:rsidR="00973AC0" w:rsidRDefault="6E41B299" w:rsidP="005B28EF">
      <w:pPr>
        <w:spacing w:after="120"/>
      </w:pPr>
      <w:r>
        <w:t xml:space="preserve">First, the corporations have overhead in obtaining information from charities. The same information that charities are expending time, </w:t>
      </w:r>
      <w:r w:rsidR="07C1B172">
        <w:t>effort,</w:t>
      </w:r>
      <w:r>
        <w:t xml:space="preserve"> and cost to provide to the multitude of entities as noted above.</w:t>
      </w:r>
    </w:p>
    <w:p w14:paraId="45587926" w14:textId="77777777" w:rsidR="00B013C9" w:rsidRDefault="00B013C9" w:rsidP="005B28EF">
      <w:pPr>
        <w:spacing w:after="120"/>
      </w:pPr>
      <w:r>
        <w:t>Whether the corporate uses a services provider or undertakes the work itself regarding payroll giving, workforce giving and/or volunteer matching, there is the burden of verifying both the donor (where over a certain amount) and the recipient for AML/</w:t>
      </w:r>
      <w:proofErr w:type="spellStart"/>
      <w:r>
        <w:t>CTF</w:t>
      </w:r>
      <w:proofErr w:type="spellEnd"/>
      <w:r>
        <w:t xml:space="preserve"> and other purposes. </w:t>
      </w:r>
    </w:p>
    <w:p w14:paraId="5C861577" w14:textId="402BBCFC" w:rsidR="00C06B6F" w:rsidRDefault="00973AC0" w:rsidP="005B28EF">
      <w:pPr>
        <w:spacing w:after="120"/>
      </w:pPr>
      <w:r>
        <w:t>Further, b</w:t>
      </w:r>
      <w:r w:rsidR="00ED6E1D">
        <w:t>usinesses</w:t>
      </w:r>
      <w:r>
        <w:t xml:space="preserve"> are increasingly aware of the risk reputationally and otherwise in connecting closely to charities. This is particularly the case where they offer, for example, employee matching whereby they donate to charities alongside their workforce as this is often taken as </w:t>
      </w:r>
      <w:r w:rsidR="00C06B6F">
        <w:t>an endorsement of that charity. Hence, they need to not only verify the charity at first instance, but then re-qualify them on a regular basis.</w:t>
      </w:r>
    </w:p>
    <w:p w14:paraId="553DC2F0" w14:textId="06E11573" w:rsidR="00C06B6F" w:rsidRDefault="00B013C9" w:rsidP="005B28EF">
      <w:pPr>
        <w:spacing w:after="120"/>
      </w:pPr>
      <w:r>
        <w:t xml:space="preserve">Hence there is often an overhead burden on the business </w:t>
      </w:r>
      <w:r w:rsidR="00320540">
        <w:t xml:space="preserve">which is compounded by the need to approach each charity alongside the use of the </w:t>
      </w:r>
      <w:proofErr w:type="spellStart"/>
      <w:r w:rsidR="00320540">
        <w:t>ACNC</w:t>
      </w:r>
      <w:proofErr w:type="spellEnd"/>
      <w:r w:rsidR="00320540">
        <w:t xml:space="preserve"> and ASIC data available. </w:t>
      </w:r>
    </w:p>
    <w:p w14:paraId="62217463" w14:textId="0762BF6A" w:rsidR="00444F75" w:rsidRPr="00144A70" w:rsidRDefault="00444F75" w:rsidP="00FE36B9">
      <w:pPr>
        <w:keepNext/>
        <w:spacing w:before="240" w:after="120"/>
        <w:rPr>
          <w:i/>
          <w:iCs/>
          <w:u w:val="single"/>
        </w:rPr>
      </w:pPr>
      <w:r w:rsidRPr="00144A70">
        <w:rPr>
          <w:i/>
          <w:iCs/>
          <w:u w:val="single"/>
        </w:rPr>
        <w:lastRenderedPageBreak/>
        <w:t>Size of the Prize</w:t>
      </w:r>
    </w:p>
    <w:p w14:paraId="19925915" w14:textId="5D7BAB4B" w:rsidR="00AA20D9" w:rsidRDefault="00AA20D9" w:rsidP="00DD607D">
      <w:pPr>
        <w:spacing w:after="60"/>
      </w:pPr>
      <w:r>
        <w:t>The benefits to solving the friction issue are:</w:t>
      </w:r>
    </w:p>
    <w:p w14:paraId="48B2C3C7" w14:textId="3D0FD6A0" w:rsidR="00D6146F" w:rsidRDefault="00D6146F" w:rsidP="00D347C7">
      <w:pPr>
        <w:pStyle w:val="ListParagraph"/>
        <w:numPr>
          <w:ilvl w:val="0"/>
          <w:numId w:val="4"/>
        </w:numPr>
      </w:pPr>
      <w:r>
        <w:t xml:space="preserve">Increase in flowthrough rate to </w:t>
      </w:r>
      <w:r w:rsidR="00820363">
        <w:t xml:space="preserve">not-for-profit </w:t>
      </w:r>
      <w:r>
        <w:t xml:space="preserve">cause areas </w:t>
      </w:r>
      <w:r w:rsidR="005037B8">
        <w:t>(reduction in charitable overheads)</w:t>
      </w:r>
    </w:p>
    <w:p w14:paraId="4E75FCF5" w14:textId="1FB6F3C6" w:rsidR="00AA20D9" w:rsidRDefault="00AA20D9" w:rsidP="00D347C7">
      <w:pPr>
        <w:pStyle w:val="ListParagraph"/>
        <w:numPr>
          <w:ilvl w:val="0"/>
          <w:numId w:val="4"/>
        </w:numPr>
      </w:pPr>
      <w:r>
        <w:t>ease of data capture and provision</w:t>
      </w:r>
    </w:p>
    <w:p w14:paraId="7A247D06" w14:textId="792588C5" w:rsidR="00AA20D9" w:rsidRDefault="00AA20D9" w:rsidP="00D347C7">
      <w:pPr>
        <w:pStyle w:val="ListParagraph"/>
        <w:numPr>
          <w:ilvl w:val="0"/>
          <w:numId w:val="4"/>
        </w:numPr>
      </w:pPr>
      <w:r>
        <w:t>accuracy and validity</w:t>
      </w:r>
    </w:p>
    <w:p w14:paraId="151DB19C" w14:textId="4FFBCA46" w:rsidR="00AA20D9" w:rsidRDefault="00AA20D9" w:rsidP="00D347C7">
      <w:pPr>
        <w:pStyle w:val="ListParagraph"/>
        <w:numPr>
          <w:ilvl w:val="0"/>
          <w:numId w:val="4"/>
        </w:numPr>
      </w:pPr>
      <w:r>
        <w:t>accessibility</w:t>
      </w:r>
    </w:p>
    <w:p w14:paraId="7D50D6C4" w14:textId="300A1409" w:rsidR="00602259" w:rsidRDefault="00AA20D9" w:rsidP="00602259">
      <w:pPr>
        <w:pStyle w:val="ListParagraph"/>
        <w:numPr>
          <w:ilvl w:val="0"/>
          <w:numId w:val="4"/>
        </w:numPr>
      </w:pPr>
      <w:r>
        <w:t>security/privacy.</w:t>
      </w:r>
    </w:p>
    <w:p w14:paraId="5F0A6A3E" w14:textId="13E16E02" w:rsidR="00444F75" w:rsidRDefault="1B28F220" w:rsidP="005B28EF">
      <w:pPr>
        <w:spacing w:after="120"/>
      </w:pPr>
      <w:r>
        <w:t xml:space="preserve">The cost to the sector of the friction in the system generated by the lack of </w:t>
      </w:r>
      <w:bookmarkStart w:id="26" w:name="_Int_QXxjqhqe"/>
      <w:r>
        <w:t>a single source</w:t>
      </w:r>
      <w:bookmarkEnd w:id="26"/>
      <w:r>
        <w:t xml:space="preserve"> of consistent information is difficult to calculate accurately, not least as the lack of action from the donor </w:t>
      </w:r>
      <w:r w:rsidR="31D2B89C">
        <w:t>resulting from indecision is not known.</w:t>
      </w:r>
      <w:r w:rsidR="3C7857EE">
        <w:t xml:space="preserve"> Further, this friction also prevents many businesses from engaging with their workforces </w:t>
      </w:r>
      <w:r w:rsidR="005037B8">
        <w:t>through workplace giving and payroll deductions</w:t>
      </w:r>
      <w:r w:rsidR="3C7857EE">
        <w:t xml:space="preserve">, particularly the small and medium enterprises that have neither the funding nor the staff to </w:t>
      </w:r>
      <w:r w:rsidR="16BE1C58">
        <w:t>conduct this work.</w:t>
      </w:r>
    </w:p>
    <w:p w14:paraId="2AA78898" w14:textId="2C057E49" w:rsidR="005B31D8" w:rsidRDefault="005B31D8" w:rsidP="005B28EF">
      <w:pPr>
        <w:spacing w:after="120"/>
      </w:pPr>
      <w:r>
        <w:t>However,</w:t>
      </w:r>
      <w:r w:rsidR="00DA4069">
        <w:t xml:space="preserve"> even</w:t>
      </w:r>
      <w:r>
        <w:t xml:space="preserve"> if we look at payroll giving alone</w:t>
      </w:r>
      <w:r w:rsidR="00DA4069">
        <w:t xml:space="preserve"> as it currently stands</w:t>
      </w:r>
      <w:r>
        <w:t>, the following suggests an indication of minimum cost and value in addressing.</w:t>
      </w:r>
    </w:p>
    <w:p w14:paraId="23A9E3CD" w14:textId="4A00DE1F" w:rsidR="00A1204D" w:rsidRDefault="52974AD1" w:rsidP="005B28EF">
      <w:pPr>
        <w:spacing w:after="120"/>
      </w:pPr>
      <w:r>
        <w:t xml:space="preserve">In the 2021 Tax Year, the ATO data </w:t>
      </w:r>
      <w:r w:rsidR="0F017B32">
        <w:t xml:space="preserve">and analysis </w:t>
      </w:r>
      <w:r>
        <w:t xml:space="preserve">indicates that </w:t>
      </w:r>
      <w:proofErr w:type="spellStart"/>
      <w:r w:rsidR="0F017B32">
        <w:t>c.</w:t>
      </w:r>
      <w:r>
        <w:t>$</w:t>
      </w:r>
      <w:r w:rsidR="03251BEB">
        <w:t>1</w:t>
      </w:r>
      <w:r w:rsidR="0F017B32">
        <w:t>0</w:t>
      </w:r>
      <w:r w:rsidR="03251BEB">
        <w:t>0</w:t>
      </w:r>
      <w:proofErr w:type="spellEnd"/>
      <w:r w:rsidR="00435335">
        <w:t xml:space="preserve"> </w:t>
      </w:r>
      <w:r w:rsidR="03251BEB">
        <w:t>m</w:t>
      </w:r>
      <w:r w:rsidR="00435335">
        <w:t>illion</w:t>
      </w:r>
      <w:r w:rsidR="03251BEB">
        <w:t xml:space="preserve"> was gifted via payroll giving with matching by employers</w:t>
      </w:r>
      <w:r>
        <w:t>.</w:t>
      </w:r>
      <w:r w:rsidR="03251BEB">
        <w:t xml:space="preserve"> On average, the cost of fundraising is</w:t>
      </w:r>
      <w:r w:rsidR="00574949">
        <w:t xml:space="preserve"> estimated at </w:t>
      </w:r>
      <w:r w:rsidR="048D1569">
        <w:t>18</w:t>
      </w:r>
      <w:r w:rsidR="001B366C">
        <w:t>-32</w:t>
      </w:r>
      <w:r w:rsidR="048D1569">
        <w:t>%</w:t>
      </w:r>
      <w:r w:rsidR="001B366C">
        <w:rPr>
          <w:rStyle w:val="FootnoteReference"/>
        </w:rPr>
        <w:footnoteReference w:id="64"/>
      </w:r>
      <w:r w:rsidR="048D1569">
        <w:t xml:space="preserve"> equating to </w:t>
      </w:r>
      <w:proofErr w:type="spellStart"/>
      <w:r w:rsidR="048D1569">
        <w:t>c.$</w:t>
      </w:r>
      <w:r w:rsidR="005A7562">
        <w:t>20</w:t>
      </w:r>
      <w:r w:rsidR="00EE66F9">
        <w:t>-</w:t>
      </w:r>
      <w:r w:rsidR="005A7562">
        <w:t>30</w:t>
      </w:r>
      <w:proofErr w:type="spellEnd"/>
      <w:r w:rsidR="00435335">
        <w:t xml:space="preserve"> </w:t>
      </w:r>
      <w:r w:rsidR="048D1569">
        <w:t>m</w:t>
      </w:r>
      <w:r w:rsidR="00435335">
        <w:t>illion</w:t>
      </w:r>
      <w:r w:rsidR="048D1569">
        <w:t xml:space="preserve"> per annum. For every 1</w:t>
      </w:r>
      <w:r w:rsidR="53891ABC">
        <w:t>0</w:t>
      </w:r>
      <w:r w:rsidR="048D1569">
        <w:t>% of that cost</w:t>
      </w:r>
      <w:r w:rsidR="53891ABC">
        <w:t xml:space="preserve"> that can be reduced, an additional $2</w:t>
      </w:r>
      <w:r w:rsidR="005A7562">
        <w:t>-3</w:t>
      </w:r>
      <w:r w:rsidR="00435335">
        <w:t xml:space="preserve"> </w:t>
      </w:r>
      <w:r w:rsidR="53891ABC">
        <w:t>m</w:t>
      </w:r>
      <w:r w:rsidR="00435335">
        <w:t>illion</w:t>
      </w:r>
      <w:r w:rsidR="53891ABC">
        <w:t xml:space="preserve"> would be available to the cause rather than in administration</w:t>
      </w:r>
      <w:r w:rsidR="74ED6574">
        <w:t xml:space="preserve"> and overhead</w:t>
      </w:r>
      <w:r w:rsidR="7A1697CE">
        <w:t>.</w:t>
      </w:r>
      <w:r w:rsidR="005A7562">
        <w:t xml:space="preserve"> This does not account for the costs to business outside the donation.</w:t>
      </w:r>
      <w:r w:rsidR="7A1697CE">
        <w:t xml:space="preserve"> </w:t>
      </w:r>
    </w:p>
    <w:p w14:paraId="1A6894B5" w14:textId="289ECAA7" w:rsidR="002A11CC" w:rsidRDefault="53891ABC" w:rsidP="005B28EF">
      <w:pPr>
        <w:spacing w:after="120"/>
      </w:pPr>
      <w:r>
        <w:t xml:space="preserve">If we assume that payroll giving in Australian can be </w:t>
      </w:r>
      <w:r w:rsidR="005A7562">
        <w:t xml:space="preserve">driven to a level equivalent to, say, </w:t>
      </w:r>
      <w:r>
        <w:t xml:space="preserve">the UK at 10%, then the total amount </w:t>
      </w:r>
      <w:r w:rsidR="005A7562">
        <w:t>of savings</w:t>
      </w:r>
      <w:r>
        <w:t xml:space="preserve"> would increase </w:t>
      </w:r>
      <w:r w:rsidR="005A7562">
        <w:t xml:space="preserve">to over </w:t>
      </w:r>
      <w:r>
        <w:t>$1</w:t>
      </w:r>
      <w:r w:rsidR="64996B9D">
        <w:t>0</w:t>
      </w:r>
      <w:r>
        <w:t>0</w:t>
      </w:r>
      <w:r w:rsidR="00435335">
        <w:t xml:space="preserve"> </w:t>
      </w:r>
      <w:proofErr w:type="spellStart"/>
      <w:r>
        <w:t>m</w:t>
      </w:r>
      <w:r w:rsidR="00435335">
        <w:t>illon</w:t>
      </w:r>
      <w:proofErr w:type="spellEnd"/>
      <w:r w:rsidR="3CF74C22">
        <w:t>.</w:t>
      </w:r>
      <w:r w:rsidR="52974AD1">
        <w:t xml:space="preserve"> </w:t>
      </w:r>
    </w:p>
    <w:p w14:paraId="70399B83" w14:textId="56B600C6" w:rsidR="00863DE2" w:rsidRDefault="0743D614" w:rsidP="005B28EF">
      <w:pPr>
        <w:spacing w:after="120"/>
      </w:pPr>
      <w:r>
        <w:t xml:space="preserve">The information a common system would provide would also be of significant value to enable more tailored activities which </w:t>
      </w:r>
      <w:r w:rsidR="589CEB27">
        <w:t>consider</w:t>
      </w:r>
      <w:r>
        <w:t xml:space="preserve"> the trends in donor sentiment in Australia with consistent data tracking.</w:t>
      </w:r>
    </w:p>
    <w:p w14:paraId="7DDE0495" w14:textId="4CBBD1A1" w:rsidR="00E626D0" w:rsidRPr="00444F75" w:rsidRDefault="00E626D0" w:rsidP="005B28EF">
      <w:pPr>
        <w:spacing w:after="120"/>
      </w:pPr>
      <w:r>
        <w:t>Finally, the same barriers exist regardless of whether this is viewed in the context of corporate and workforce giving. Hence, in solving for this area, there are extended benefits more broadly.</w:t>
      </w:r>
    </w:p>
    <w:p w14:paraId="6AD958EF" w14:textId="16C61C4B" w:rsidR="00444F75" w:rsidRPr="00435335" w:rsidRDefault="00444F75" w:rsidP="00FE36B9">
      <w:pPr>
        <w:keepNext/>
        <w:spacing w:before="240" w:after="120"/>
        <w:rPr>
          <w:i/>
          <w:iCs/>
          <w:u w:val="single"/>
        </w:rPr>
      </w:pPr>
      <w:r w:rsidRPr="00435335">
        <w:rPr>
          <w:i/>
          <w:iCs/>
          <w:u w:val="single"/>
        </w:rPr>
        <w:t xml:space="preserve">Addressing </w:t>
      </w:r>
      <w:r w:rsidR="00DE0AF0" w:rsidRPr="00435335">
        <w:rPr>
          <w:i/>
          <w:iCs/>
          <w:u w:val="single"/>
        </w:rPr>
        <w:t>the Friction</w:t>
      </w:r>
    </w:p>
    <w:p w14:paraId="5C96AFC5" w14:textId="100BF725" w:rsidR="00060727" w:rsidRDefault="00983EFB" w:rsidP="005B28EF">
      <w:pPr>
        <w:spacing w:after="120"/>
      </w:pPr>
      <w:r>
        <w:t>W</w:t>
      </w:r>
      <w:r w:rsidR="00F24B98">
        <w:t xml:space="preserve">hile the optimal solution may well be a </w:t>
      </w:r>
      <w:r w:rsidR="004B50B0">
        <w:t>single</w:t>
      </w:r>
      <w:r w:rsidR="00F24B98">
        <w:t xml:space="preserve"> maintained database of information fed from various sources including the charities </w:t>
      </w:r>
      <w:r w:rsidR="004B50B0">
        <w:t>as</w:t>
      </w:r>
      <w:r w:rsidR="00F24B98">
        <w:t xml:space="preserve"> </w:t>
      </w:r>
      <w:r w:rsidR="00007188">
        <w:t xml:space="preserve">the </w:t>
      </w:r>
      <w:r w:rsidR="00060727">
        <w:t>ultimate solution, this is unlikely to be feasible for a multitude of reasons.</w:t>
      </w:r>
      <w:r w:rsidR="00E619E6">
        <w:t xml:space="preserve"> </w:t>
      </w:r>
      <w:r w:rsidR="00060727">
        <w:t xml:space="preserve">Hence, </w:t>
      </w:r>
      <w:r w:rsidR="006A1F76">
        <w:t>we have outlined the elements of a solution which should be considered</w:t>
      </w:r>
      <w:r w:rsidR="00E619E6">
        <w:t xml:space="preserve"> using the more realistic approach of creating standards for use by all</w:t>
      </w:r>
      <w:r w:rsidR="00E36398">
        <w:t xml:space="preserve">, enabling private </w:t>
      </w:r>
      <w:r>
        <w:t>parties, charities and government to collaborate informally to a common end</w:t>
      </w:r>
      <w:r w:rsidR="00E36398">
        <w:t xml:space="preserve">. </w:t>
      </w:r>
      <w:r w:rsidR="006A1F76">
        <w:t xml:space="preserve">Government support </w:t>
      </w:r>
      <w:r w:rsidR="00E36398">
        <w:t xml:space="preserve">and endorsement of this approach </w:t>
      </w:r>
      <w:r w:rsidR="00C76847">
        <w:t xml:space="preserve">would </w:t>
      </w:r>
      <w:r w:rsidR="00E36398">
        <w:t>accelerate the outcomes and provide confidence for the parties to move forward</w:t>
      </w:r>
      <w:r w:rsidR="00C76847">
        <w:t>.</w:t>
      </w:r>
    </w:p>
    <w:p w14:paraId="4DBE91F6" w14:textId="034563E0" w:rsidR="00385F79" w:rsidRDefault="00385F79" w:rsidP="00ED6E1D">
      <w:r w:rsidRPr="00385F79">
        <w:rPr>
          <w:noProof/>
        </w:rPr>
        <w:lastRenderedPageBreak/>
        <w:drawing>
          <wp:inline distT="0" distB="0" distL="0" distR="0" wp14:anchorId="18152D3E" wp14:editId="5EEEB106">
            <wp:extent cx="5731510" cy="2555240"/>
            <wp:effectExtent l="0" t="0" r="2540" b="0"/>
            <wp:docPr id="1389402006" name="Picture 1389402006" descr="Graphical user interfac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402006" name="Picture 1" descr="Graphical user interface, diagram&#10;&#10;Description automatically generated"/>
                    <pic:cNvPicPr/>
                  </pic:nvPicPr>
                  <pic:blipFill>
                    <a:blip r:embed="rId16"/>
                    <a:stretch>
                      <a:fillRect/>
                    </a:stretch>
                  </pic:blipFill>
                  <pic:spPr>
                    <a:xfrm>
                      <a:off x="0" y="0"/>
                      <a:ext cx="5731510" cy="2555240"/>
                    </a:xfrm>
                    <a:prstGeom prst="rect">
                      <a:avLst/>
                    </a:prstGeom>
                  </pic:spPr>
                </pic:pic>
              </a:graphicData>
            </a:graphic>
          </wp:inline>
        </w:drawing>
      </w:r>
    </w:p>
    <w:p w14:paraId="3596E875" w14:textId="03174ACD" w:rsidR="00C76847" w:rsidRPr="008A7E74" w:rsidRDefault="00C76847" w:rsidP="00FE36B9">
      <w:pPr>
        <w:keepNext/>
        <w:spacing w:before="240" w:after="120"/>
        <w:rPr>
          <w:i/>
          <w:iCs/>
        </w:rPr>
      </w:pPr>
      <w:r w:rsidRPr="008A7E74">
        <w:rPr>
          <w:i/>
          <w:iCs/>
        </w:rPr>
        <w:t>Elements</w:t>
      </w:r>
    </w:p>
    <w:p w14:paraId="3C700B58" w14:textId="616DC67A" w:rsidR="00C76847" w:rsidRDefault="004238A9" w:rsidP="005B28EF">
      <w:pPr>
        <w:spacing w:after="120"/>
      </w:pPr>
      <w:r>
        <w:t xml:space="preserve">The ‘minimum viable product’ toward a solution would be the creation of a common set of requirements for a verified charities database. While this would ideally be a single, unique dataset, provided the information was set within a common framework and standard, then </w:t>
      </w:r>
      <w:r w:rsidR="00033DE2">
        <w:t xml:space="preserve">more than one database would be workable. This would contain common information </w:t>
      </w:r>
      <w:r w:rsidR="00AC7998">
        <w:t xml:space="preserve">drawing on the information currently within the </w:t>
      </w:r>
      <w:proofErr w:type="spellStart"/>
      <w:r w:rsidR="00AC7998">
        <w:t>ACNC</w:t>
      </w:r>
      <w:proofErr w:type="spellEnd"/>
      <w:r w:rsidR="00AC7998">
        <w:t xml:space="preserve"> and ASIC but extending the dataset to meet the</w:t>
      </w:r>
      <w:r w:rsidR="004C43D4">
        <w:t xml:space="preserve"> majority of the</w:t>
      </w:r>
      <w:r w:rsidR="00AC7998">
        <w:t xml:space="preserve"> industry needs.</w:t>
      </w:r>
    </w:p>
    <w:p w14:paraId="33C794DE" w14:textId="6143F38E" w:rsidR="00AC7998" w:rsidRDefault="71238EF6" w:rsidP="005B28EF">
      <w:pPr>
        <w:spacing w:after="120"/>
      </w:pPr>
      <w:r>
        <w:t>Ideally, a common and agreed charity verification process would be arrived at</w:t>
      </w:r>
      <w:r w:rsidR="6BA89F75">
        <w:t xml:space="preserve">, such that the charities who engage with this form of giving are able to provide information once and ongoing to </w:t>
      </w:r>
      <w:bookmarkStart w:id="27" w:name="_Int_Nyi3ek3i"/>
      <w:r w:rsidR="6BA89F75">
        <w:t>a central point</w:t>
      </w:r>
      <w:bookmarkEnd w:id="27"/>
      <w:r w:rsidR="6BA89F75">
        <w:t>.</w:t>
      </w:r>
    </w:p>
    <w:p w14:paraId="29C7E200" w14:textId="77777777" w:rsidR="00AC4674" w:rsidRDefault="00033DE2" w:rsidP="005B28EF">
      <w:pPr>
        <w:spacing w:after="120"/>
      </w:pPr>
      <w:r>
        <w:t xml:space="preserve">There is also a </w:t>
      </w:r>
      <w:r w:rsidR="00AC7998">
        <w:t xml:space="preserve">need to ensure standards for integration the platforms (such as giving platforms) to ensure a common industry solution is available. </w:t>
      </w:r>
    </w:p>
    <w:p w14:paraId="4E1F6114" w14:textId="720FB19B" w:rsidR="00033DE2" w:rsidRDefault="00AC4674" w:rsidP="005B28EF">
      <w:pPr>
        <w:spacing w:after="120"/>
      </w:pPr>
      <w:r>
        <w:t xml:space="preserve">As part of </w:t>
      </w:r>
      <w:r w:rsidR="00B11C45">
        <w:t>a first</w:t>
      </w:r>
      <w:r>
        <w:t xml:space="preserve"> wave</w:t>
      </w:r>
      <w:r w:rsidR="00B11C45">
        <w:t xml:space="preserve"> of activity</w:t>
      </w:r>
      <w:r>
        <w:t xml:space="preserve">, a single industry body </w:t>
      </w:r>
      <w:r w:rsidR="004C43D4">
        <w:t>might</w:t>
      </w:r>
      <w:r>
        <w:t xml:space="preserve"> be created to gather and harness the desires of the whole sector rather than playing to the individual needs of the parti</w:t>
      </w:r>
      <w:r w:rsidR="009F4E87">
        <w:t>es.</w:t>
      </w:r>
      <w:r>
        <w:t xml:space="preserve"> </w:t>
      </w:r>
    </w:p>
    <w:p w14:paraId="0ACB2F70" w14:textId="12A62908" w:rsidR="00863DE2" w:rsidRDefault="00BA483D" w:rsidP="005B28EF">
      <w:pPr>
        <w:spacing w:after="120"/>
      </w:pPr>
      <w:r>
        <w:t xml:space="preserve">The second wave of activity would focus on consolidation </w:t>
      </w:r>
      <w:r w:rsidR="0091228B">
        <w:t>of donation data and streamlining of back-end operations. This would be aimed at reducing further the involvement and hence the cost of 3</w:t>
      </w:r>
      <w:r w:rsidR="0091228B" w:rsidRPr="0091228B">
        <w:rPr>
          <w:vertAlign w:val="superscript"/>
        </w:rPr>
        <w:t>rd</w:t>
      </w:r>
      <w:r w:rsidR="0091228B">
        <w:t xml:space="preserve"> party operations which sit between the donor and the charity.</w:t>
      </w:r>
    </w:p>
    <w:p w14:paraId="385B06F0" w14:textId="3BFC405B" w:rsidR="002C2D92" w:rsidRDefault="006C4807" w:rsidP="005B28EF">
      <w:pPr>
        <w:spacing w:after="120"/>
      </w:pPr>
      <w:r>
        <w:t>During this</w:t>
      </w:r>
      <w:r w:rsidR="4207C9DC">
        <w:t xml:space="preserve"> wave of development</w:t>
      </w:r>
      <w:r>
        <w:t>, there might also be included</w:t>
      </w:r>
      <w:r w:rsidR="39BDF522">
        <w:t xml:space="preserve"> </w:t>
      </w:r>
      <w:r w:rsidR="67A38B5B">
        <w:t xml:space="preserve">donor data standardisation, including a donor ID. It is important to note that while the donor ID would be common, the donor information would be retained by the donor and owned by them uniquely. This would allow portability for the individual on their terms while ensuring that privacy aspects are honoured. </w:t>
      </w:r>
      <w:bookmarkStart w:id="28" w:name="_Int_q1u0Kcq3"/>
      <w:r w:rsidR="67A38B5B">
        <w:t>Ultimately this</w:t>
      </w:r>
      <w:bookmarkEnd w:id="28"/>
      <w:r w:rsidR="67A38B5B">
        <w:t xml:space="preserve"> might also link directly to tax filing processes by automatically importing donation records to the ATO using the ID providing further benefit to the donors.</w:t>
      </w:r>
    </w:p>
    <w:p w14:paraId="09A127F2" w14:textId="403DA24E" w:rsidR="0091228B" w:rsidRDefault="00C20CE4" w:rsidP="005B28EF">
      <w:pPr>
        <w:spacing w:after="120"/>
      </w:pPr>
      <w:r>
        <w:t>At this point, there might also be the ability to consider charity search and filter functionality which might be leveraged by donors.</w:t>
      </w:r>
      <w:r w:rsidR="00C40944">
        <w:t xml:space="preserve"> Through the use of available technology such as QR codes</w:t>
      </w:r>
      <w:r w:rsidR="00CF551F">
        <w:t xml:space="preserve"> and mobile devices</w:t>
      </w:r>
      <w:r w:rsidR="00C40944">
        <w:t xml:space="preserve">, the donor would be able to be </w:t>
      </w:r>
      <w:r w:rsidR="001B173C">
        <w:t xml:space="preserve">linked across their activities in real time and a record retained by them of all activities. This would also enable </w:t>
      </w:r>
      <w:r w:rsidR="00D25DCE">
        <w:t>portability on change of employment and enable smooth transitioning between different platforms.</w:t>
      </w:r>
    </w:p>
    <w:p w14:paraId="216819CD" w14:textId="42C032B2" w:rsidR="00D25DCE" w:rsidRDefault="00D25DCE" w:rsidP="005B28EF">
      <w:pPr>
        <w:spacing w:after="120"/>
      </w:pPr>
      <w:r>
        <w:t>Having the information retained by the donor as the central point reduces privacy concerns or the spectre of a Government run program</w:t>
      </w:r>
      <w:r w:rsidR="00CF551F">
        <w:t xml:space="preserve">. </w:t>
      </w:r>
    </w:p>
    <w:p w14:paraId="287F8B3C" w14:textId="11C701E6" w:rsidR="00C20CE4" w:rsidRDefault="00C20CE4" w:rsidP="005B28EF">
      <w:pPr>
        <w:spacing w:after="120"/>
      </w:pPr>
      <w:r>
        <w:lastRenderedPageBreak/>
        <w:t xml:space="preserve">The </w:t>
      </w:r>
      <w:r w:rsidR="00C40944">
        <w:t xml:space="preserve">third and </w:t>
      </w:r>
      <w:r>
        <w:t xml:space="preserve">final </w:t>
      </w:r>
      <w:r w:rsidR="00C40944">
        <w:t xml:space="preserve">wave of </w:t>
      </w:r>
      <w:r>
        <w:t>activity would be focus on improving the front</w:t>
      </w:r>
      <w:r w:rsidR="00AC4674">
        <w:t>-</w:t>
      </w:r>
      <w:r>
        <w:t xml:space="preserve">end user experience </w:t>
      </w:r>
      <w:r w:rsidR="001A115A">
        <w:t>including providing commentary on impact. While it is not anticipated that this would be a rating</w:t>
      </w:r>
      <w:r w:rsidR="00AC4674">
        <w:t>-</w:t>
      </w:r>
      <w:r w:rsidR="001A115A">
        <w:t xml:space="preserve">based system given the inherent differences across the charity sector and the evident inability to dictate impact metrics that would match all, </w:t>
      </w:r>
      <w:r w:rsidR="00A73A33">
        <w:t xml:space="preserve">it is of clear value to enable the charities to provide their statement on their impact in a manner that is </w:t>
      </w:r>
      <w:r w:rsidR="0048604A">
        <w:t xml:space="preserve">relevant to </w:t>
      </w:r>
      <w:r w:rsidR="006010F2">
        <w:t xml:space="preserve">their own </w:t>
      </w:r>
      <w:r w:rsidR="00DC0211">
        <w:t xml:space="preserve">impact measures </w:t>
      </w:r>
      <w:r w:rsidR="00EA4F06">
        <w:t xml:space="preserve">and is </w:t>
      </w:r>
      <w:r w:rsidR="00A73A33">
        <w:t>useful to their donors.</w:t>
      </w:r>
    </w:p>
    <w:p w14:paraId="7544F97E" w14:textId="7223739C" w:rsidR="00A73A33" w:rsidRDefault="31AA046A" w:rsidP="00DD607D">
      <w:pPr>
        <w:spacing w:after="60"/>
      </w:pPr>
      <w:r>
        <w:t xml:space="preserve">Hence this third wave of activity would </w:t>
      </w:r>
      <w:r w:rsidR="4AACDF78">
        <w:t>promote</w:t>
      </w:r>
      <w:r>
        <w:t>:</w:t>
      </w:r>
    </w:p>
    <w:p w14:paraId="63D4EE0A" w14:textId="4062C487" w:rsidR="00A73A33" w:rsidRDefault="00A73A33" w:rsidP="00D347C7">
      <w:pPr>
        <w:pStyle w:val="ListParagraph"/>
        <w:numPr>
          <w:ilvl w:val="0"/>
          <w:numId w:val="5"/>
        </w:numPr>
      </w:pPr>
      <w:r>
        <w:t>standards for base evaluation of charities</w:t>
      </w:r>
    </w:p>
    <w:p w14:paraId="1045FBFD" w14:textId="15F927E4" w:rsidR="00A73A33" w:rsidRDefault="00A73A33" w:rsidP="00D347C7">
      <w:pPr>
        <w:pStyle w:val="ListParagraph"/>
        <w:numPr>
          <w:ilvl w:val="0"/>
          <w:numId w:val="5"/>
        </w:numPr>
      </w:pPr>
      <w:r>
        <w:t>integration of impact reporting statements</w:t>
      </w:r>
      <w:r w:rsidR="00FF49C1">
        <w:t xml:space="preserve"> for common access</w:t>
      </w:r>
    </w:p>
    <w:p w14:paraId="3F6EB99D" w14:textId="4DCE6A99" w:rsidR="00FF49C1" w:rsidRDefault="41E6D7D8" w:rsidP="00D347C7">
      <w:pPr>
        <w:pStyle w:val="ListParagraph"/>
        <w:numPr>
          <w:ilvl w:val="0"/>
          <w:numId w:val="5"/>
        </w:numPr>
      </w:pPr>
      <w:r>
        <w:t>integration with other providers (</w:t>
      </w:r>
      <w:r w:rsidR="001D307B">
        <w:t>for example</w:t>
      </w:r>
      <w:r>
        <w:t xml:space="preserve"> social media)</w:t>
      </w:r>
    </w:p>
    <w:p w14:paraId="05D66FE6" w14:textId="6E98A434" w:rsidR="00041387" w:rsidRDefault="00FF49C1" w:rsidP="004333EA">
      <w:pPr>
        <w:pStyle w:val="ListParagraph"/>
        <w:numPr>
          <w:ilvl w:val="0"/>
          <w:numId w:val="5"/>
        </w:numPr>
      </w:pPr>
      <w:proofErr w:type="spellStart"/>
      <w:r>
        <w:t>UX</w:t>
      </w:r>
      <w:proofErr w:type="spellEnd"/>
      <w:r>
        <w:t xml:space="preserve"> enhancements such as corporate self</w:t>
      </w:r>
      <w:r w:rsidR="164195DB">
        <w:t>-</w:t>
      </w:r>
      <w:r>
        <w:t>service portals, donor portals and the like.</w:t>
      </w:r>
    </w:p>
    <w:p w14:paraId="253BACDA" w14:textId="7D62E54F" w:rsidR="00B124D9" w:rsidRDefault="00B124D9">
      <w:r>
        <w:br w:type="page"/>
      </w:r>
    </w:p>
    <w:p w14:paraId="5603F7CA" w14:textId="77777777" w:rsidR="00B124D9" w:rsidRDefault="00B124D9" w:rsidP="00B124D9">
      <w:pPr>
        <w:pStyle w:val="ListParagraph"/>
      </w:pPr>
    </w:p>
    <w:p w14:paraId="405DB2AF" w14:textId="4A2CEB67" w:rsidR="00CF551F" w:rsidRPr="004C0605" w:rsidRDefault="00510DFE" w:rsidP="004333EA">
      <w:pPr>
        <w:pStyle w:val="ListParagraph"/>
        <w:keepNext/>
        <w:numPr>
          <w:ilvl w:val="0"/>
          <w:numId w:val="21"/>
        </w:numPr>
        <w:spacing w:before="360" w:after="120"/>
        <w:ind w:left="714" w:hanging="357"/>
        <w:contextualSpacing w:val="0"/>
        <w:rPr>
          <w:b/>
          <w:bCs/>
          <w:i/>
          <w:iCs/>
        </w:rPr>
      </w:pPr>
      <w:r w:rsidRPr="004C0605">
        <w:rPr>
          <w:b/>
          <w:bCs/>
          <w:i/>
          <w:iCs/>
        </w:rPr>
        <w:t xml:space="preserve"> </w:t>
      </w:r>
      <w:r w:rsidR="00FA5099" w:rsidRPr="004C0605">
        <w:rPr>
          <w:b/>
          <w:bCs/>
          <w:i/>
          <w:iCs/>
        </w:rPr>
        <w:t>Removal of Barriers to Adoption in the Workplace</w:t>
      </w:r>
    </w:p>
    <w:tbl>
      <w:tblPr>
        <w:tblStyle w:val="TableGrid"/>
        <w:tblW w:w="0" w:type="auto"/>
        <w:tblInd w:w="137" w:type="dxa"/>
        <w:tblLook w:val="04A0" w:firstRow="1" w:lastRow="0" w:firstColumn="1" w:lastColumn="0" w:noHBand="0" w:noVBand="1"/>
      </w:tblPr>
      <w:tblGrid>
        <w:gridCol w:w="8296"/>
      </w:tblGrid>
      <w:tr w:rsidR="00CF551F" w14:paraId="45F96143" w14:textId="77777777" w:rsidTr="004C0605">
        <w:tc>
          <w:tcPr>
            <w:tcW w:w="8296" w:type="dxa"/>
            <w:shd w:val="clear" w:color="auto" w:fill="F2F2F2" w:themeFill="background1" w:themeFillShade="F2"/>
          </w:tcPr>
          <w:p w14:paraId="3CDF9EB9" w14:textId="77777777" w:rsidR="00DB560D" w:rsidRDefault="00CF551F" w:rsidP="00CA3216">
            <w:pPr>
              <w:spacing w:before="120" w:after="120"/>
              <w:ind w:left="284" w:right="284"/>
            </w:pPr>
            <w:r w:rsidRPr="00397C78">
              <w:rPr>
                <w:b/>
                <w:bCs/>
              </w:rPr>
              <w:t>Recommendation 4:</w:t>
            </w:r>
            <w:r w:rsidRPr="0023442F">
              <w:rPr>
                <w:b/>
                <w:bCs/>
              </w:rPr>
              <w:t xml:space="preserve"> </w:t>
            </w:r>
            <w:r w:rsidRPr="0023442F">
              <w:t xml:space="preserve">An amendment to the Fair Work Act to clarify the applicability of </w:t>
            </w:r>
            <w:proofErr w:type="spellStart"/>
            <w:r w:rsidRPr="0023442F">
              <w:t>s.324</w:t>
            </w:r>
            <w:proofErr w:type="spellEnd"/>
            <w:r w:rsidRPr="0023442F">
              <w:t xml:space="preserve"> to workplace giving through pre-tax payroll opting out is recommended. </w:t>
            </w:r>
          </w:p>
          <w:p w14:paraId="659CA882" w14:textId="088DA42A" w:rsidR="00CF551F" w:rsidRDefault="00CF551F" w:rsidP="00CA3216">
            <w:pPr>
              <w:spacing w:before="120" w:after="120"/>
              <w:ind w:left="284" w:right="284"/>
              <w:rPr>
                <w:b/>
                <w:bCs/>
              </w:rPr>
            </w:pPr>
            <w:r w:rsidRPr="0023442F">
              <w:t xml:space="preserve">Alternatively, a ruling or statement that clarifies the intent of </w:t>
            </w:r>
            <w:proofErr w:type="spellStart"/>
            <w:r w:rsidRPr="0023442F">
              <w:t>s.324</w:t>
            </w:r>
            <w:proofErr w:type="spellEnd"/>
            <w:r w:rsidRPr="0023442F">
              <w:t xml:space="preserve"> would assist in reducing the perceived risk to corporates and encourage uptake of this method of engaging with their workforce.</w:t>
            </w:r>
            <w:r w:rsidRPr="0023442F">
              <w:rPr>
                <w:b/>
                <w:bCs/>
              </w:rPr>
              <w:t xml:space="preserve"> </w:t>
            </w:r>
          </w:p>
        </w:tc>
      </w:tr>
    </w:tbl>
    <w:p w14:paraId="7081E829" w14:textId="397B2D92" w:rsidR="00041387" w:rsidRDefault="00041387" w:rsidP="00FE36B9">
      <w:pPr>
        <w:spacing w:before="120" w:after="120"/>
      </w:pPr>
      <w:r>
        <w:t xml:space="preserve">In our pre-budget submissions to Treasury in February 2023 it was suggested that amendment to the Fair Work Act would improve the uptake and impact of workplace giving through payroll donations. While this remains a valid ambition, an interim step would be for clarification of intent regarding the applicability of s. 324 of that Act to payroll giving. </w:t>
      </w:r>
    </w:p>
    <w:p w14:paraId="1ADD5042" w14:textId="15267CF8" w:rsidR="00703E70" w:rsidRDefault="00703E70" w:rsidP="005B28EF">
      <w:pPr>
        <w:spacing w:after="120"/>
      </w:pPr>
      <w:r>
        <w:t xml:space="preserve">It is noted here that one element of the unintended consequence of </w:t>
      </w:r>
      <w:r w:rsidR="00CA380F">
        <w:t>this legislative provision is that simple, one</w:t>
      </w:r>
      <w:r w:rsidR="004333EA">
        <w:t>-</w:t>
      </w:r>
      <w:r w:rsidR="00CA380F">
        <w:t xml:space="preserve">click sign up to workplace giving is thwarted. This adds cost to the providing party in administration and makes </w:t>
      </w:r>
      <w:r w:rsidR="00A02997">
        <w:t>it more likely for the employee to drop out during the sign-up process.</w:t>
      </w:r>
      <w:r w:rsidR="004333EA">
        <w:t xml:space="preserve"> It is also note in line with the </w:t>
      </w:r>
      <w:proofErr w:type="spellStart"/>
      <w:r w:rsidR="004333EA">
        <w:t>UX</w:t>
      </w:r>
      <w:proofErr w:type="spellEnd"/>
      <w:r w:rsidR="004333EA">
        <w:t xml:space="preserve"> expectations of the donors.</w:t>
      </w:r>
    </w:p>
    <w:p w14:paraId="42B44FF3" w14:textId="77777777" w:rsidR="00041387" w:rsidRDefault="00041387" w:rsidP="00B124D9">
      <w:pPr>
        <w:keepNext/>
        <w:spacing w:after="60"/>
      </w:pPr>
      <w:r>
        <w:t>The February 2023 submission is as follows:</w:t>
      </w:r>
    </w:p>
    <w:p w14:paraId="1A6BFC37" w14:textId="77777777" w:rsidR="00041387" w:rsidRPr="00BA5B03" w:rsidRDefault="00041387" w:rsidP="00B124D9">
      <w:pPr>
        <w:spacing w:after="100"/>
        <w:ind w:left="720"/>
        <w:rPr>
          <w:sz w:val="20"/>
          <w:szCs w:val="20"/>
        </w:rPr>
      </w:pPr>
      <w:r w:rsidRPr="00BA5B03">
        <w:rPr>
          <w:sz w:val="20"/>
          <w:szCs w:val="20"/>
        </w:rPr>
        <w:t xml:space="preserve">Workplace giving through regular payroll deductions is a highly effective way to enable workers to gain the support of their employer organisations their charitable giving. The data shows that where an Opt-In approach is implemented, requiring the worker to notify the employer of their desire to be involved, the average take up is less than 5%. Where an Opt-Out approach is adopted, the rate of uptake is over 20%. </w:t>
      </w:r>
    </w:p>
    <w:p w14:paraId="3BB782C7" w14:textId="77777777" w:rsidR="00041387" w:rsidRPr="00BA5B03" w:rsidRDefault="1184839A" w:rsidP="00B124D9">
      <w:pPr>
        <w:spacing w:after="100"/>
        <w:ind w:left="720"/>
        <w:rPr>
          <w:sz w:val="20"/>
          <w:szCs w:val="20"/>
        </w:rPr>
      </w:pPr>
      <w:r w:rsidRPr="721DB9EC">
        <w:rPr>
          <w:sz w:val="20"/>
          <w:szCs w:val="20"/>
        </w:rPr>
        <w:t xml:space="preserve">Opt-Out enables the default position for an organisation to provide for regular giving with notice and as part of the overall remuneration of the worker. In </w:t>
      </w:r>
      <w:bookmarkStart w:id="29" w:name="_Int_6FMFFtuv"/>
      <w:r w:rsidRPr="721DB9EC">
        <w:rPr>
          <w:sz w:val="20"/>
          <w:szCs w:val="20"/>
        </w:rPr>
        <w:t>the majority of</w:t>
      </w:r>
      <w:bookmarkEnd w:id="29"/>
      <w:r w:rsidRPr="721DB9EC">
        <w:rPr>
          <w:sz w:val="20"/>
          <w:szCs w:val="20"/>
        </w:rPr>
        <w:t xml:space="preserve"> cases, it would also be accompanied by matching contributions by the employer. </w:t>
      </w:r>
    </w:p>
    <w:p w14:paraId="0A20D9FF" w14:textId="77777777" w:rsidR="00041387" w:rsidRPr="00BA5B03" w:rsidRDefault="1184839A" w:rsidP="00B124D9">
      <w:pPr>
        <w:spacing w:after="100"/>
        <w:ind w:left="720"/>
        <w:rPr>
          <w:sz w:val="20"/>
          <w:szCs w:val="20"/>
        </w:rPr>
      </w:pPr>
      <w:r w:rsidRPr="721DB9EC">
        <w:rPr>
          <w:sz w:val="20"/>
          <w:szCs w:val="20"/>
        </w:rPr>
        <w:t xml:space="preserve">However, there are barriers to overcome </w:t>
      </w:r>
      <w:bookmarkStart w:id="30" w:name="_Int_auxsT5yZ"/>
      <w:r w:rsidRPr="721DB9EC">
        <w:rPr>
          <w:sz w:val="20"/>
          <w:szCs w:val="20"/>
        </w:rPr>
        <w:t>in order to</w:t>
      </w:r>
      <w:bookmarkEnd w:id="30"/>
      <w:r w:rsidRPr="721DB9EC">
        <w:rPr>
          <w:sz w:val="20"/>
          <w:szCs w:val="20"/>
        </w:rPr>
        <w:t xml:space="preserve"> promote workplace giving. This includes removing risk and complexity for employers as they seek to create programmes aimed at engaging and enabling their workers in giving. One perceived barrier is the unintended consequence of the Fair Work Act, specifically section 324 on the use of opt-out approaches to workplace giving via payroll deductions. </w:t>
      </w:r>
    </w:p>
    <w:p w14:paraId="2957CCFA" w14:textId="77777777" w:rsidR="00041387" w:rsidRPr="00BA5B03" w:rsidRDefault="00041387" w:rsidP="00B124D9">
      <w:pPr>
        <w:spacing w:after="100"/>
        <w:ind w:left="720"/>
        <w:rPr>
          <w:sz w:val="20"/>
          <w:szCs w:val="20"/>
        </w:rPr>
      </w:pPr>
      <w:r w:rsidRPr="00BA5B03">
        <w:rPr>
          <w:sz w:val="20"/>
          <w:szCs w:val="20"/>
        </w:rPr>
        <w:t xml:space="preserve">While </w:t>
      </w:r>
      <w:proofErr w:type="spellStart"/>
      <w:r w:rsidRPr="00BA5B03">
        <w:rPr>
          <w:sz w:val="20"/>
          <w:szCs w:val="20"/>
        </w:rPr>
        <w:t>s.324</w:t>
      </w:r>
      <w:proofErr w:type="spellEnd"/>
      <w:r w:rsidRPr="00BA5B03">
        <w:rPr>
          <w:sz w:val="20"/>
          <w:szCs w:val="20"/>
        </w:rPr>
        <w:t xml:space="preserve"> was clearly not aimed at preventing workplace giving, risk-averse corporates and their advisors are nervous about introducing opt-out based programmes for fear of offending against the section. </w:t>
      </w:r>
    </w:p>
    <w:p w14:paraId="285F5549" w14:textId="77777777" w:rsidR="00041387" w:rsidRPr="00BA5B03" w:rsidRDefault="00041387" w:rsidP="00B124D9">
      <w:pPr>
        <w:spacing w:after="100"/>
        <w:ind w:left="720"/>
        <w:rPr>
          <w:sz w:val="20"/>
          <w:szCs w:val="20"/>
        </w:rPr>
      </w:pPr>
      <w:r w:rsidRPr="00BA5B03">
        <w:rPr>
          <w:sz w:val="20"/>
          <w:szCs w:val="20"/>
        </w:rPr>
        <w:t xml:space="preserve">Historically, the effective immediate tax deductibility of regular payroll giving contributions originally became permissible under a 2 July 2002 ruling of the Australian Taxation Office (ATO) set out in the Commonwealth of Australia Gazette </w:t>
      </w:r>
      <w:proofErr w:type="spellStart"/>
      <w:r w:rsidRPr="00BA5B03">
        <w:rPr>
          <w:sz w:val="20"/>
          <w:szCs w:val="20"/>
        </w:rPr>
        <w:t>S.251</w:t>
      </w:r>
      <w:proofErr w:type="spellEnd"/>
      <w:r w:rsidRPr="00BA5B03">
        <w:rPr>
          <w:sz w:val="20"/>
          <w:szCs w:val="20"/>
        </w:rPr>
        <w:t xml:space="preserve"> (Regular Payroll Giving Instrument). This has been superseded by various legislative instruments (which remained substantively the same as the original ruling), the most recent of which is </w:t>
      </w:r>
      <w:proofErr w:type="spellStart"/>
      <w:r w:rsidRPr="00BA5B03">
        <w:rPr>
          <w:sz w:val="20"/>
          <w:szCs w:val="20"/>
        </w:rPr>
        <w:t>F2016L01641</w:t>
      </w:r>
      <w:proofErr w:type="spellEnd"/>
      <w:r w:rsidRPr="00BA5B03">
        <w:rPr>
          <w:sz w:val="20"/>
          <w:szCs w:val="20"/>
        </w:rPr>
        <w:t xml:space="preserve">. The Regular Payroll Giving Instrument stated that, for the purpose of working out how much a payer (employer) is required to withhold under the </w:t>
      </w:r>
      <w:proofErr w:type="spellStart"/>
      <w:r w:rsidRPr="00BA5B03">
        <w:rPr>
          <w:sz w:val="20"/>
          <w:szCs w:val="20"/>
        </w:rPr>
        <w:t>PAYG</w:t>
      </w:r>
      <w:proofErr w:type="spellEnd"/>
      <w:r w:rsidRPr="00BA5B03">
        <w:rPr>
          <w:sz w:val="20"/>
          <w:szCs w:val="20"/>
        </w:rPr>
        <w:t xml:space="preserve"> tax withholding schedules, the payer may disregard so much of a withholding payment paid by the payer to a Deductible Gift Recipient (</w:t>
      </w:r>
      <w:proofErr w:type="spellStart"/>
      <w:r w:rsidRPr="00BA5B03">
        <w:rPr>
          <w:sz w:val="20"/>
          <w:szCs w:val="20"/>
        </w:rPr>
        <w:t>DGR</w:t>
      </w:r>
      <w:proofErr w:type="spellEnd"/>
      <w:r w:rsidRPr="00BA5B03">
        <w:rPr>
          <w:sz w:val="20"/>
          <w:szCs w:val="20"/>
        </w:rPr>
        <w:t xml:space="preserve">) at the direction of the payee. </w:t>
      </w:r>
    </w:p>
    <w:p w14:paraId="6C57896A" w14:textId="77777777" w:rsidR="00041387" w:rsidRPr="00BA5B03" w:rsidRDefault="1184839A" w:rsidP="00B124D9">
      <w:pPr>
        <w:spacing w:after="100"/>
        <w:ind w:left="720"/>
        <w:rPr>
          <w:sz w:val="20"/>
          <w:szCs w:val="20"/>
        </w:rPr>
      </w:pPr>
      <w:r w:rsidRPr="721DB9EC">
        <w:rPr>
          <w:sz w:val="20"/>
          <w:szCs w:val="20"/>
        </w:rPr>
        <w:t xml:space="preserve">The Regular Payroll Giving Instrument related only to ‘regular planned giving </w:t>
      </w:r>
      <w:bookmarkStart w:id="31" w:name="_Int_lY57bw54"/>
      <w:r w:rsidRPr="721DB9EC">
        <w:rPr>
          <w:sz w:val="20"/>
          <w:szCs w:val="20"/>
        </w:rPr>
        <w:t>arrangements’</w:t>
      </w:r>
      <w:bookmarkEnd w:id="31"/>
      <w:r w:rsidRPr="721DB9EC">
        <w:rPr>
          <w:sz w:val="20"/>
          <w:szCs w:val="20"/>
        </w:rPr>
        <w:t xml:space="preserve">. In 2009, the Government extended the scope of the taxation withholding benefit to ‘occasional giving arrangements’ (such as one-off donations by employees following a natural disaster). The initial Legislative Instrument permitting this was </w:t>
      </w:r>
      <w:proofErr w:type="spellStart"/>
      <w:r w:rsidRPr="721DB9EC">
        <w:rPr>
          <w:sz w:val="20"/>
          <w:szCs w:val="20"/>
        </w:rPr>
        <w:t>F2009L01143</w:t>
      </w:r>
      <w:proofErr w:type="spellEnd"/>
      <w:r w:rsidRPr="721DB9EC">
        <w:rPr>
          <w:sz w:val="20"/>
          <w:szCs w:val="20"/>
        </w:rPr>
        <w:t xml:space="preserve"> (18 March 2009) (Occasional Payroll Giving Instrument). (The most recent version of this is </w:t>
      </w:r>
      <w:proofErr w:type="spellStart"/>
      <w:r w:rsidRPr="721DB9EC">
        <w:rPr>
          <w:sz w:val="20"/>
          <w:szCs w:val="20"/>
        </w:rPr>
        <w:t>F2014L00012</w:t>
      </w:r>
      <w:proofErr w:type="spellEnd"/>
      <w:r w:rsidRPr="721DB9EC">
        <w:rPr>
          <w:sz w:val="20"/>
          <w:szCs w:val="20"/>
        </w:rPr>
        <w:t xml:space="preserve">). </w:t>
      </w:r>
    </w:p>
    <w:p w14:paraId="753F94AD" w14:textId="77777777" w:rsidR="00041387" w:rsidRPr="00BA5B03" w:rsidRDefault="00041387" w:rsidP="00B124D9">
      <w:pPr>
        <w:spacing w:after="100"/>
        <w:ind w:left="720"/>
        <w:rPr>
          <w:sz w:val="20"/>
          <w:szCs w:val="20"/>
        </w:rPr>
      </w:pPr>
      <w:r w:rsidRPr="00BA5B03">
        <w:rPr>
          <w:sz w:val="20"/>
          <w:szCs w:val="20"/>
        </w:rPr>
        <w:lastRenderedPageBreak/>
        <w:t>Despite these Instruments, an ongoing concern in relation to giving to charities through payroll deduction is mooted given section 324 of the Fair Work Act 2009 (</w:t>
      </w:r>
      <w:proofErr w:type="spellStart"/>
      <w:r w:rsidRPr="00BA5B03">
        <w:rPr>
          <w:sz w:val="20"/>
          <w:szCs w:val="20"/>
        </w:rPr>
        <w:t>Cth</w:t>
      </w:r>
      <w:proofErr w:type="spellEnd"/>
      <w:r w:rsidRPr="00BA5B03">
        <w:rPr>
          <w:sz w:val="20"/>
          <w:szCs w:val="20"/>
        </w:rPr>
        <w:t xml:space="preserve">). This section has, as noted, led to some hesitancy among employers about introducing an opt-out program, given that there is some ambiguity as to what the section requires before a payroll deduction is properly authorised by the employee. </w:t>
      </w:r>
    </w:p>
    <w:p w14:paraId="2337A3B7" w14:textId="77777777" w:rsidR="00041387" w:rsidRPr="00BA5B03" w:rsidRDefault="00041387" w:rsidP="00B124D9">
      <w:pPr>
        <w:spacing w:after="60"/>
        <w:ind w:left="720"/>
        <w:rPr>
          <w:sz w:val="20"/>
          <w:szCs w:val="20"/>
        </w:rPr>
      </w:pPr>
      <w:r w:rsidRPr="00BA5B03">
        <w:rPr>
          <w:sz w:val="20"/>
          <w:szCs w:val="20"/>
        </w:rPr>
        <w:t xml:space="preserve">Relevantly, the section provides that a deduction from an employee’s wages is lawful only if: </w:t>
      </w:r>
    </w:p>
    <w:p w14:paraId="2890687E" w14:textId="77777777" w:rsidR="00041387" w:rsidRPr="00BA5B03" w:rsidRDefault="00041387" w:rsidP="00D347C7">
      <w:pPr>
        <w:pStyle w:val="ListParagraph"/>
        <w:numPr>
          <w:ilvl w:val="0"/>
          <w:numId w:val="6"/>
        </w:numPr>
        <w:rPr>
          <w:sz w:val="20"/>
          <w:szCs w:val="20"/>
        </w:rPr>
      </w:pPr>
      <w:r w:rsidRPr="00BA5B03">
        <w:rPr>
          <w:sz w:val="20"/>
          <w:szCs w:val="20"/>
        </w:rPr>
        <w:t xml:space="preserve">the deduction is authorised in writing; and </w:t>
      </w:r>
    </w:p>
    <w:p w14:paraId="4705686A" w14:textId="77777777" w:rsidR="00041387" w:rsidRPr="00BA5B03" w:rsidRDefault="1184839A" w:rsidP="00D347C7">
      <w:pPr>
        <w:pStyle w:val="ListParagraph"/>
        <w:numPr>
          <w:ilvl w:val="0"/>
          <w:numId w:val="6"/>
        </w:numPr>
        <w:rPr>
          <w:sz w:val="20"/>
          <w:szCs w:val="20"/>
        </w:rPr>
      </w:pPr>
      <w:r w:rsidRPr="721DB9EC">
        <w:rPr>
          <w:sz w:val="20"/>
          <w:szCs w:val="20"/>
        </w:rPr>
        <w:t>the deduction is “principally for the employee’s benefit</w:t>
      </w:r>
      <w:bookmarkStart w:id="32" w:name="_Int_7QzZIy7e"/>
      <w:r w:rsidRPr="721DB9EC">
        <w:rPr>
          <w:sz w:val="20"/>
          <w:szCs w:val="20"/>
        </w:rPr>
        <w:t>”.</w:t>
      </w:r>
      <w:bookmarkEnd w:id="32"/>
      <w:r w:rsidRPr="721DB9EC">
        <w:rPr>
          <w:sz w:val="20"/>
          <w:szCs w:val="20"/>
        </w:rPr>
        <w:t xml:space="preserve"> </w:t>
      </w:r>
    </w:p>
    <w:p w14:paraId="35837EA7" w14:textId="77777777" w:rsidR="00041387" w:rsidRPr="00BA5B03" w:rsidRDefault="00041387" w:rsidP="00B124D9">
      <w:pPr>
        <w:spacing w:after="100"/>
        <w:ind w:left="720"/>
        <w:rPr>
          <w:sz w:val="20"/>
          <w:szCs w:val="20"/>
        </w:rPr>
      </w:pPr>
      <w:r w:rsidRPr="00BA5B03">
        <w:rPr>
          <w:sz w:val="20"/>
          <w:szCs w:val="20"/>
        </w:rPr>
        <w:t xml:space="preserve">Both elements of section 324 raise questions. </w:t>
      </w:r>
    </w:p>
    <w:p w14:paraId="109EA5D6" w14:textId="77777777" w:rsidR="00041387" w:rsidRPr="00BA5B03" w:rsidRDefault="00041387" w:rsidP="00B124D9">
      <w:pPr>
        <w:spacing w:after="100"/>
        <w:ind w:left="720"/>
        <w:rPr>
          <w:sz w:val="20"/>
          <w:szCs w:val="20"/>
        </w:rPr>
      </w:pPr>
      <w:r w:rsidRPr="00BA5B03">
        <w:rPr>
          <w:sz w:val="20"/>
          <w:szCs w:val="20"/>
        </w:rPr>
        <w:t xml:space="preserve">First, what is written authorisation – are there any formal requirements, or does there only need to be a record which demonstrates the employee’s assent? There are many ways an employee might authorise a deduction – sending an email, signing a form, or agreeing to it in an employment contract or letter of employment. It is less clear that an agreement to a deduction up front, but with a right to withdraw their authorisation at any time, can provide an ongoing authority. This arrangement might be described as an authorisation, in the sense of the section, and always subject to a right of veto by the employee. </w:t>
      </w:r>
    </w:p>
    <w:p w14:paraId="314CBC10" w14:textId="77777777" w:rsidR="00041387" w:rsidRPr="00BA5B03" w:rsidRDefault="00041387" w:rsidP="00B124D9">
      <w:pPr>
        <w:spacing w:after="100"/>
        <w:ind w:left="720"/>
        <w:rPr>
          <w:sz w:val="20"/>
          <w:szCs w:val="20"/>
        </w:rPr>
      </w:pPr>
      <w:r w:rsidRPr="00BA5B03">
        <w:rPr>
          <w:sz w:val="20"/>
          <w:szCs w:val="20"/>
        </w:rPr>
        <w:t xml:space="preserve">Second, when does the deduction involve a benefit to the employee when the deduction will be paid to a source other than the employee? A salary sacrifice deduction is clearly for the employee’s benefit, given it will typically be structured to minimise tax by taking a non-cash benefit. Similarly, a deduction of a necessary payment, such as mortgage payments, is easily justifiable as being for the employee’s benefit. What is less clear, on a literal reading of the section, is that a charitable donation is for the employee’s benefit. The benefit to an employee is both philanthropic and economic to the extent of the income tax deduction. Yet it is inconceivable that the section would be taken to prevent an employee expressly authorising a deduction to a charity of their choice. </w:t>
      </w:r>
    </w:p>
    <w:p w14:paraId="67D789ED" w14:textId="77777777" w:rsidR="00041387" w:rsidRPr="00BA5B03" w:rsidRDefault="00041387" w:rsidP="00B124D9">
      <w:pPr>
        <w:spacing w:after="100"/>
        <w:ind w:left="720"/>
        <w:rPr>
          <w:sz w:val="20"/>
          <w:szCs w:val="20"/>
        </w:rPr>
      </w:pPr>
      <w:r w:rsidRPr="00BA5B03">
        <w:rPr>
          <w:sz w:val="20"/>
          <w:szCs w:val="20"/>
        </w:rPr>
        <w:t xml:space="preserve">We believe the two elements in the section cannot be read in isolation. In other words, the more clearly the employee’s authorisation, the more easily the section will accept that the payment is for the employee’s benefit. But this lacks certainty. </w:t>
      </w:r>
    </w:p>
    <w:p w14:paraId="52D33A50" w14:textId="266659E9" w:rsidR="00041387" w:rsidRPr="00BA5B03" w:rsidRDefault="00041387" w:rsidP="00B124D9">
      <w:pPr>
        <w:spacing w:after="100"/>
        <w:ind w:left="720"/>
        <w:rPr>
          <w:sz w:val="20"/>
          <w:szCs w:val="20"/>
        </w:rPr>
      </w:pPr>
      <w:r w:rsidRPr="00BA5B03">
        <w:rPr>
          <w:sz w:val="20"/>
          <w:szCs w:val="20"/>
        </w:rPr>
        <w:t xml:space="preserve">The lack of certainty is said to </w:t>
      </w:r>
      <w:r w:rsidR="00057EC4" w:rsidRPr="00BA5B03">
        <w:rPr>
          <w:sz w:val="20"/>
          <w:szCs w:val="20"/>
        </w:rPr>
        <w:t>function as</w:t>
      </w:r>
      <w:r w:rsidRPr="00BA5B03">
        <w:rPr>
          <w:sz w:val="20"/>
          <w:szCs w:val="20"/>
        </w:rPr>
        <w:t xml:space="preserve"> a deterrent to employers embracing deductions for charitable purposes, even if the employee always retains the right to withdraw their authorisation at any time. </w:t>
      </w:r>
    </w:p>
    <w:p w14:paraId="0C70FA83" w14:textId="77777777" w:rsidR="00041387" w:rsidRPr="00BA5B03" w:rsidRDefault="00041387" w:rsidP="00B124D9">
      <w:pPr>
        <w:spacing w:after="100"/>
        <w:ind w:left="720"/>
        <w:rPr>
          <w:sz w:val="20"/>
          <w:szCs w:val="20"/>
        </w:rPr>
      </w:pPr>
      <w:r w:rsidRPr="00BA5B03">
        <w:rPr>
          <w:sz w:val="20"/>
          <w:szCs w:val="20"/>
        </w:rPr>
        <w:t xml:space="preserve">While there are sound policy objectives behind the section, there is a countervailing policy consideration which balances the importance of charitable donations and maintains the policy objective of section 324. We support a review of section 324, in light of this concern, to permit workplace giving not only when an employee authorises the deduction in writing but also when the employee has been advised in writing of the proposed deduction and does not provide the employer with a contrary direction after the employer gives the employee a reasonable opportunity to do so. </w:t>
      </w:r>
    </w:p>
    <w:p w14:paraId="65473932" w14:textId="77777777" w:rsidR="00041387" w:rsidRPr="00BA5B03" w:rsidRDefault="00041387" w:rsidP="00B124D9">
      <w:pPr>
        <w:spacing w:after="100"/>
        <w:ind w:left="720"/>
        <w:rPr>
          <w:sz w:val="20"/>
          <w:szCs w:val="20"/>
        </w:rPr>
      </w:pPr>
      <w:r w:rsidRPr="00BA5B03">
        <w:rPr>
          <w:sz w:val="20"/>
          <w:szCs w:val="20"/>
        </w:rPr>
        <w:t xml:space="preserve">Of course, whichever way the authorisation is given, the employee always has the right to withdraw it, from which time deductions for charitable purposes would immediately cease. </w:t>
      </w:r>
    </w:p>
    <w:p w14:paraId="786A298C" w14:textId="77777777" w:rsidR="00041387" w:rsidRPr="00BA5B03" w:rsidRDefault="00041387" w:rsidP="00B124D9">
      <w:pPr>
        <w:spacing w:after="100"/>
        <w:ind w:left="720"/>
        <w:rPr>
          <w:sz w:val="20"/>
          <w:szCs w:val="20"/>
        </w:rPr>
      </w:pPr>
      <w:r w:rsidRPr="00BA5B03">
        <w:rPr>
          <w:sz w:val="20"/>
          <w:szCs w:val="20"/>
        </w:rPr>
        <w:t>This may be achieved through clarifying the Fair Work Act 2009 (</w:t>
      </w:r>
      <w:proofErr w:type="spellStart"/>
      <w:r w:rsidRPr="00BA5B03">
        <w:rPr>
          <w:sz w:val="20"/>
          <w:szCs w:val="20"/>
        </w:rPr>
        <w:t>Cth</w:t>
      </w:r>
      <w:proofErr w:type="spellEnd"/>
      <w:r w:rsidRPr="00BA5B03">
        <w:rPr>
          <w:sz w:val="20"/>
          <w:szCs w:val="20"/>
        </w:rPr>
        <w:t xml:space="preserve">), as follows: </w:t>
      </w:r>
    </w:p>
    <w:p w14:paraId="1BC8DFC4" w14:textId="77777777" w:rsidR="00041387" w:rsidRPr="00BA5B03" w:rsidRDefault="00041387" w:rsidP="00B124D9">
      <w:pPr>
        <w:spacing w:after="60"/>
        <w:ind w:left="720" w:firstLine="720"/>
        <w:rPr>
          <w:b/>
          <w:bCs/>
          <w:sz w:val="20"/>
          <w:szCs w:val="20"/>
        </w:rPr>
      </w:pPr>
      <w:r w:rsidRPr="00BA5B03">
        <w:rPr>
          <w:b/>
          <w:bCs/>
          <w:sz w:val="20"/>
          <w:szCs w:val="20"/>
        </w:rPr>
        <w:t xml:space="preserve">Section 323 </w:t>
      </w:r>
    </w:p>
    <w:p w14:paraId="043D1815" w14:textId="77777777" w:rsidR="00041387" w:rsidRPr="00BA5B03" w:rsidRDefault="00041387" w:rsidP="00B124D9">
      <w:pPr>
        <w:spacing w:after="120"/>
        <w:ind w:left="2160"/>
        <w:rPr>
          <w:sz w:val="20"/>
          <w:szCs w:val="20"/>
        </w:rPr>
      </w:pPr>
      <w:r w:rsidRPr="00BA5B03">
        <w:rPr>
          <w:sz w:val="20"/>
          <w:szCs w:val="20"/>
        </w:rPr>
        <w:t xml:space="preserve">Insert the words “and section </w:t>
      </w:r>
      <w:proofErr w:type="spellStart"/>
      <w:r w:rsidRPr="00BA5B03">
        <w:rPr>
          <w:sz w:val="20"/>
          <w:szCs w:val="20"/>
        </w:rPr>
        <w:t>324A</w:t>
      </w:r>
      <w:proofErr w:type="spellEnd"/>
      <w:r w:rsidRPr="00BA5B03">
        <w:rPr>
          <w:sz w:val="20"/>
          <w:szCs w:val="20"/>
        </w:rPr>
        <w:t xml:space="preserve">” after “324” in Section 323(1)(a) </w:t>
      </w:r>
    </w:p>
    <w:p w14:paraId="36D181BF" w14:textId="77777777" w:rsidR="00041387" w:rsidRPr="00BA5B03" w:rsidRDefault="00041387" w:rsidP="00B124D9">
      <w:pPr>
        <w:spacing w:after="60"/>
        <w:ind w:left="1440"/>
        <w:rPr>
          <w:b/>
          <w:bCs/>
          <w:sz w:val="20"/>
          <w:szCs w:val="20"/>
        </w:rPr>
      </w:pPr>
      <w:r w:rsidRPr="00BA5B03">
        <w:rPr>
          <w:b/>
          <w:bCs/>
          <w:sz w:val="20"/>
          <w:szCs w:val="20"/>
        </w:rPr>
        <w:t xml:space="preserve">New section </w:t>
      </w:r>
      <w:proofErr w:type="spellStart"/>
      <w:r w:rsidRPr="00BA5B03">
        <w:rPr>
          <w:b/>
          <w:bCs/>
          <w:sz w:val="20"/>
          <w:szCs w:val="20"/>
        </w:rPr>
        <w:t>324A</w:t>
      </w:r>
      <w:proofErr w:type="spellEnd"/>
      <w:r w:rsidRPr="00BA5B03">
        <w:rPr>
          <w:b/>
          <w:bCs/>
          <w:sz w:val="20"/>
          <w:szCs w:val="20"/>
        </w:rPr>
        <w:t xml:space="preserve"> </w:t>
      </w:r>
    </w:p>
    <w:p w14:paraId="1E6B44FF" w14:textId="77777777" w:rsidR="00041387" w:rsidRPr="00BA5B03" w:rsidRDefault="00041387" w:rsidP="00B124D9">
      <w:pPr>
        <w:spacing w:after="60"/>
        <w:ind w:left="2160"/>
        <w:rPr>
          <w:sz w:val="20"/>
          <w:szCs w:val="20"/>
        </w:rPr>
      </w:pPr>
      <w:r w:rsidRPr="00BA5B03">
        <w:rPr>
          <w:sz w:val="20"/>
          <w:szCs w:val="20"/>
        </w:rPr>
        <w:t xml:space="preserve">Insert the following section as a new Section </w:t>
      </w:r>
      <w:proofErr w:type="spellStart"/>
      <w:r w:rsidRPr="00BA5B03">
        <w:rPr>
          <w:sz w:val="20"/>
          <w:szCs w:val="20"/>
        </w:rPr>
        <w:t>324A</w:t>
      </w:r>
      <w:proofErr w:type="spellEnd"/>
      <w:r w:rsidRPr="00BA5B03">
        <w:rPr>
          <w:sz w:val="20"/>
          <w:szCs w:val="20"/>
        </w:rPr>
        <w:t xml:space="preserve">: </w:t>
      </w:r>
    </w:p>
    <w:p w14:paraId="14429E7D" w14:textId="77777777" w:rsidR="00041387" w:rsidRPr="00BA5B03" w:rsidRDefault="00041387" w:rsidP="00B124D9">
      <w:pPr>
        <w:spacing w:after="60"/>
        <w:ind w:left="2160"/>
        <w:rPr>
          <w:b/>
          <w:bCs/>
          <w:sz w:val="20"/>
          <w:szCs w:val="20"/>
        </w:rPr>
      </w:pPr>
      <w:r w:rsidRPr="00BA5B03">
        <w:rPr>
          <w:b/>
          <w:bCs/>
          <w:sz w:val="20"/>
          <w:szCs w:val="20"/>
        </w:rPr>
        <w:t xml:space="preserve">“Payroll giving” </w:t>
      </w:r>
    </w:p>
    <w:p w14:paraId="5AC6EF8F" w14:textId="77777777" w:rsidR="00041387" w:rsidRPr="00BA5B03" w:rsidRDefault="1184839A" w:rsidP="00B124D9">
      <w:pPr>
        <w:spacing w:after="60"/>
        <w:ind w:left="2552" w:hanging="392"/>
        <w:rPr>
          <w:sz w:val="20"/>
          <w:szCs w:val="20"/>
        </w:rPr>
      </w:pPr>
      <w:r w:rsidRPr="721DB9EC">
        <w:rPr>
          <w:sz w:val="20"/>
          <w:szCs w:val="20"/>
        </w:rPr>
        <w:t xml:space="preserve">(1) Deductions for the purposes of donations within the class of cases referred to in Legislative Instruments </w:t>
      </w:r>
      <w:proofErr w:type="spellStart"/>
      <w:r w:rsidRPr="721DB9EC">
        <w:rPr>
          <w:sz w:val="20"/>
          <w:szCs w:val="20"/>
        </w:rPr>
        <w:t>F2016L01641</w:t>
      </w:r>
      <w:proofErr w:type="spellEnd"/>
      <w:r w:rsidRPr="721DB9EC">
        <w:rPr>
          <w:sz w:val="20"/>
          <w:szCs w:val="20"/>
        </w:rPr>
        <w:t xml:space="preserve"> or </w:t>
      </w:r>
      <w:proofErr w:type="spellStart"/>
      <w:r w:rsidRPr="721DB9EC">
        <w:rPr>
          <w:sz w:val="20"/>
          <w:szCs w:val="20"/>
        </w:rPr>
        <w:t>F2014L00012</w:t>
      </w:r>
      <w:proofErr w:type="spellEnd"/>
      <w:r w:rsidRPr="721DB9EC">
        <w:rPr>
          <w:sz w:val="20"/>
          <w:szCs w:val="20"/>
        </w:rPr>
        <w:t xml:space="preserve">, as replaced from time to </w:t>
      </w:r>
      <w:r w:rsidRPr="721DB9EC">
        <w:rPr>
          <w:sz w:val="20"/>
          <w:szCs w:val="20"/>
        </w:rPr>
        <w:lastRenderedPageBreak/>
        <w:t xml:space="preserve">time are taken to satisfy subsection 324(1) if they are made in accordance with one of the requirements of subsection </w:t>
      </w:r>
      <w:proofErr w:type="spellStart"/>
      <w:r w:rsidRPr="721DB9EC">
        <w:rPr>
          <w:sz w:val="20"/>
          <w:szCs w:val="20"/>
        </w:rPr>
        <w:t>324</w:t>
      </w:r>
      <w:bookmarkStart w:id="33" w:name="_Int_WG39N1pg"/>
      <w:r w:rsidRPr="721DB9EC">
        <w:rPr>
          <w:sz w:val="20"/>
          <w:szCs w:val="20"/>
        </w:rPr>
        <w:t>A</w:t>
      </w:r>
      <w:proofErr w:type="spellEnd"/>
      <w:r w:rsidRPr="721DB9EC">
        <w:rPr>
          <w:sz w:val="20"/>
          <w:szCs w:val="20"/>
        </w:rPr>
        <w:t>(</w:t>
      </w:r>
      <w:bookmarkEnd w:id="33"/>
      <w:r w:rsidRPr="721DB9EC">
        <w:rPr>
          <w:sz w:val="20"/>
          <w:szCs w:val="20"/>
        </w:rPr>
        <w:t xml:space="preserve">2). </w:t>
      </w:r>
    </w:p>
    <w:p w14:paraId="1CE12C19" w14:textId="77777777" w:rsidR="00041387" w:rsidRPr="00BA5B03" w:rsidRDefault="1184839A" w:rsidP="00B124D9">
      <w:pPr>
        <w:spacing w:after="60"/>
        <w:ind w:left="2160"/>
        <w:rPr>
          <w:sz w:val="20"/>
          <w:szCs w:val="20"/>
        </w:rPr>
      </w:pPr>
      <w:r w:rsidRPr="721DB9EC">
        <w:rPr>
          <w:sz w:val="20"/>
          <w:szCs w:val="20"/>
        </w:rPr>
        <w:t xml:space="preserve">(2) For the purposes of subsection </w:t>
      </w:r>
      <w:proofErr w:type="spellStart"/>
      <w:r w:rsidRPr="721DB9EC">
        <w:rPr>
          <w:sz w:val="20"/>
          <w:szCs w:val="20"/>
        </w:rPr>
        <w:t>324</w:t>
      </w:r>
      <w:bookmarkStart w:id="34" w:name="_Int_kdeLCBeJ"/>
      <w:r w:rsidRPr="721DB9EC">
        <w:rPr>
          <w:sz w:val="20"/>
          <w:szCs w:val="20"/>
        </w:rPr>
        <w:t>A</w:t>
      </w:r>
      <w:proofErr w:type="spellEnd"/>
      <w:r w:rsidRPr="721DB9EC">
        <w:rPr>
          <w:sz w:val="20"/>
          <w:szCs w:val="20"/>
        </w:rPr>
        <w:t>(</w:t>
      </w:r>
      <w:bookmarkEnd w:id="34"/>
      <w:r w:rsidRPr="721DB9EC">
        <w:rPr>
          <w:sz w:val="20"/>
          <w:szCs w:val="20"/>
        </w:rPr>
        <w:t xml:space="preserve">1), the requirements are: </w:t>
      </w:r>
    </w:p>
    <w:p w14:paraId="05658B2F" w14:textId="77777777" w:rsidR="00041387" w:rsidRPr="00BA5B03" w:rsidRDefault="00041387" w:rsidP="00B124D9">
      <w:pPr>
        <w:spacing w:after="60"/>
        <w:ind w:left="3119" w:hanging="239"/>
        <w:rPr>
          <w:sz w:val="20"/>
          <w:szCs w:val="20"/>
        </w:rPr>
      </w:pPr>
      <w:r w:rsidRPr="00BA5B03">
        <w:rPr>
          <w:sz w:val="20"/>
          <w:szCs w:val="20"/>
        </w:rPr>
        <w:t xml:space="preserve">a. the employee authorises the deduction in writing; or </w:t>
      </w:r>
    </w:p>
    <w:p w14:paraId="23994438" w14:textId="77777777" w:rsidR="00041387" w:rsidRPr="00BA5B03" w:rsidRDefault="00041387" w:rsidP="00B124D9">
      <w:pPr>
        <w:spacing w:after="60"/>
        <w:ind w:left="3119" w:hanging="239"/>
        <w:rPr>
          <w:sz w:val="20"/>
          <w:szCs w:val="20"/>
        </w:rPr>
      </w:pPr>
      <w:r w:rsidRPr="00BA5B03">
        <w:rPr>
          <w:sz w:val="20"/>
          <w:szCs w:val="20"/>
        </w:rPr>
        <w:t xml:space="preserve">b. the employee has been advised in writing by the employer of the proposed deduction and does not provide the employer with a contrary direction after the employer gives the employee a reasonable opportunity to do so. </w:t>
      </w:r>
    </w:p>
    <w:p w14:paraId="49DAF062" w14:textId="77777777" w:rsidR="00041387" w:rsidRPr="00BA5B03" w:rsidRDefault="00041387" w:rsidP="00B124D9">
      <w:pPr>
        <w:spacing w:after="60"/>
        <w:ind w:left="720"/>
        <w:rPr>
          <w:sz w:val="20"/>
          <w:szCs w:val="20"/>
        </w:rPr>
      </w:pPr>
      <w:r w:rsidRPr="00BA5B03">
        <w:rPr>
          <w:sz w:val="20"/>
          <w:szCs w:val="20"/>
        </w:rPr>
        <w:t xml:space="preserve">Practically, this might be supported by a process of written confirmation to employees on a periodic basis, which: </w:t>
      </w:r>
    </w:p>
    <w:p w14:paraId="6F44C9D9" w14:textId="77777777" w:rsidR="00041387" w:rsidRPr="00BA5B03" w:rsidRDefault="00041387" w:rsidP="00D347C7">
      <w:pPr>
        <w:pStyle w:val="ListParagraph"/>
        <w:numPr>
          <w:ilvl w:val="0"/>
          <w:numId w:val="7"/>
        </w:numPr>
        <w:rPr>
          <w:sz w:val="20"/>
          <w:szCs w:val="20"/>
        </w:rPr>
      </w:pPr>
      <w:r w:rsidRPr="00BA5B03">
        <w:rPr>
          <w:sz w:val="20"/>
          <w:szCs w:val="20"/>
        </w:rPr>
        <w:t xml:space="preserve">confirms the standing payroll deduction; and </w:t>
      </w:r>
    </w:p>
    <w:p w14:paraId="3D007967" w14:textId="77777777" w:rsidR="00041387" w:rsidRPr="00BA5B03" w:rsidRDefault="00041387" w:rsidP="00D347C7">
      <w:pPr>
        <w:pStyle w:val="ListParagraph"/>
        <w:numPr>
          <w:ilvl w:val="0"/>
          <w:numId w:val="7"/>
        </w:numPr>
        <w:rPr>
          <w:sz w:val="20"/>
          <w:szCs w:val="20"/>
        </w:rPr>
      </w:pPr>
      <w:r w:rsidRPr="00BA5B03">
        <w:rPr>
          <w:sz w:val="20"/>
          <w:szCs w:val="20"/>
        </w:rPr>
        <w:t xml:space="preserve">reiterates the employee’s right to withdraw their authorisation at any time. </w:t>
      </w:r>
    </w:p>
    <w:p w14:paraId="563E29BA" w14:textId="77777777" w:rsidR="00041387" w:rsidRDefault="1184839A" w:rsidP="00041387">
      <w:pPr>
        <w:ind w:left="720"/>
        <w:rPr>
          <w:sz w:val="20"/>
          <w:szCs w:val="20"/>
        </w:rPr>
      </w:pPr>
      <w:r w:rsidRPr="721DB9EC">
        <w:rPr>
          <w:sz w:val="20"/>
          <w:szCs w:val="20"/>
        </w:rPr>
        <w:t xml:space="preserve">An amendment to section 324, clarifying these matters so as not to discourage charitable donations seems to us both possible and viable, without prejudicing the </w:t>
      </w:r>
      <w:bookmarkStart w:id="35" w:name="_Int_lhQykw5F"/>
      <w:r w:rsidRPr="721DB9EC">
        <w:rPr>
          <w:sz w:val="20"/>
          <w:szCs w:val="20"/>
        </w:rPr>
        <w:t>underlying purpose</w:t>
      </w:r>
      <w:bookmarkEnd w:id="35"/>
      <w:r w:rsidRPr="721DB9EC">
        <w:rPr>
          <w:sz w:val="20"/>
          <w:szCs w:val="20"/>
        </w:rPr>
        <w:t xml:space="preserve"> of the section.</w:t>
      </w:r>
    </w:p>
    <w:p w14:paraId="07A85DBF" w14:textId="7145F664" w:rsidR="00B124D9" w:rsidRDefault="00B124D9">
      <w:pPr>
        <w:rPr>
          <w:sz w:val="20"/>
          <w:szCs w:val="20"/>
        </w:rPr>
      </w:pPr>
      <w:r>
        <w:rPr>
          <w:sz w:val="20"/>
          <w:szCs w:val="20"/>
        </w:rPr>
        <w:br w:type="page"/>
      </w:r>
    </w:p>
    <w:p w14:paraId="240A5DC1" w14:textId="77777777" w:rsidR="00DB560D" w:rsidRPr="00BA5B03" w:rsidRDefault="00DB560D" w:rsidP="00041387">
      <w:pPr>
        <w:ind w:left="720"/>
        <w:rPr>
          <w:sz w:val="20"/>
          <w:szCs w:val="20"/>
        </w:rPr>
      </w:pPr>
    </w:p>
    <w:p w14:paraId="0DBD083D" w14:textId="656049B4" w:rsidR="00603B39" w:rsidRPr="00316BD6" w:rsidRDefault="2EE67D7E" w:rsidP="00DB560D">
      <w:pPr>
        <w:pStyle w:val="ListParagraph"/>
        <w:numPr>
          <w:ilvl w:val="0"/>
          <w:numId w:val="21"/>
        </w:numPr>
        <w:rPr>
          <w:b/>
          <w:bCs/>
          <w:i/>
          <w:iCs/>
        </w:rPr>
      </w:pPr>
      <w:r w:rsidRPr="00316BD6">
        <w:rPr>
          <w:b/>
          <w:bCs/>
          <w:i/>
          <w:iCs/>
        </w:rPr>
        <w:t>Simplification</w:t>
      </w:r>
      <w:r w:rsidR="17BCFD1E" w:rsidRPr="00316BD6">
        <w:rPr>
          <w:b/>
          <w:bCs/>
          <w:i/>
          <w:iCs/>
        </w:rPr>
        <w:t xml:space="preserve"> of International Gift Aid</w:t>
      </w:r>
    </w:p>
    <w:tbl>
      <w:tblPr>
        <w:tblStyle w:val="TableGrid"/>
        <w:tblW w:w="0" w:type="auto"/>
        <w:tblLook w:val="04A0" w:firstRow="1" w:lastRow="0" w:firstColumn="1" w:lastColumn="0" w:noHBand="0" w:noVBand="1"/>
      </w:tblPr>
      <w:tblGrid>
        <w:gridCol w:w="9016"/>
      </w:tblGrid>
      <w:tr w:rsidR="00DB560D" w14:paraId="3D854C52" w14:textId="77777777" w:rsidTr="00316BD6">
        <w:tc>
          <w:tcPr>
            <w:tcW w:w="9016" w:type="dxa"/>
            <w:shd w:val="clear" w:color="auto" w:fill="F2F2F2" w:themeFill="background1" w:themeFillShade="F2"/>
          </w:tcPr>
          <w:p w14:paraId="1FCAAE16" w14:textId="77777777" w:rsidR="00DB560D" w:rsidRPr="0023442F" w:rsidRDefault="00DB560D" w:rsidP="00CA3216">
            <w:pPr>
              <w:spacing w:before="120" w:after="120"/>
              <w:ind w:left="284" w:right="284"/>
              <w:rPr>
                <w:b/>
                <w:bCs/>
              </w:rPr>
            </w:pPr>
            <w:r w:rsidRPr="721DB9EC">
              <w:rPr>
                <w:b/>
                <w:bCs/>
              </w:rPr>
              <w:t>Recommendation 5:</w:t>
            </w:r>
            <w:r w:rsidRPr="0023442F">
              <w:rPr>
                <w:b/>
                <w:bCs/>
              </w:rPr>
              <w:t xml:space="preserve"> </w:t>
            </w:r>
            <w:r w:rsidRPr="0023442F">
              <w:t>Adopting a model akin to the USA whereby there can be an equivalency determination made for a charity anywhere in the world which thereby enables a charitable gift to be made via a Donor Advised Fund to a charity which is equivalent to a local charity. Alternatively, funds can be distributed through expenditure responsibility procedures, whereby the foundation in Australia assumes the liability to ensure that the funds are spent on the charitable purpose intended within an overseas jurisdiction.</w:t>
            </w:r>
          </w:p>
        </w:tc>
      </w:tr>
    </w:tbl>
    <w:p w14:paraId="27F1D0F2" w14:textId="7B84F476" w:rsidR="00603B39" w:rsidRDefault="4462D784" w:rsidP="00FE36B9">
      <w:pPr>
        <w:spacing w:before="120" w:after="120"/>
      </w:pPr>
      <w:r>
        <w:t xml:space="preserve">Australians are engaged in international philanthropy. However, this is often cumbersome in the event </w:t>
      </w:r>
      <w:bookmarkStart w:id="36" w:name="_Int_qK2Y27eC"/>
      <w:r>
        <w:t>as a result of</w:t>
      </w:r>
      <w:bookmarkEnd w:id="36"/>
      <w:r>
        <w:t xml:space="preserve"> the unintended consequences of </w:t>
      </w:r>
      <w:r w:rsidR="131AD9C9">
        <w:t>several</w:t>
      </w:r>
      <w:r>
        <w:t xml:space="preserve"> procedures and regulations. </w:t>
      </w:r>
    </w:p>
    <w:p w14:paraId="02E9A404" w14:textId="42EE2FDF" w:rsidR="00603B39" w:rsidRDefault="4462D784" w:rsidP="005B28EF">
      <w:pPr>
        <w:spacing w:after="120"/>
      </w:pPr>
      <w:r>
        <w:t xml:space="preserve">Australian businesses and their people often have strong overseas connections, with many having affiliated entities </w:t>
      </w:r>
      <w:r w:rsidR="2F430AF7">
        <w:t>offshore</w:t>
      </w:r>
      <w:r>
        <w:t xml:space="preserve">. Employees in Australia have often lived and worked in foreign countries. </w:t>
      </w:r>
    </w:p>
    <w:p w14:paraId="5845E799" w14:textId="00DA18E9" w:rsidR="00603B39" w:rsidRDefault="4462D784" w:rsidP="005B28EF">
      <w:pPr>
        <w:spacing w:after="120"/>
      </w:pPr>
      <w:r>
        <w:t xml:space="preserve">There is also an ongoing need for foreign charities and causes to be supported from outside their own countries. For some this is permanent need and for others based on events driving appeals such as the 2023 earthquakes in Syria and </w:t>
      </w:r>
      <w:proofErr w:type="spellStart"/>
      <w:r w:rsidR="7A32F811">
        <w:t>Türkiye</w:t>
      </w:r>
      <w:proofErr w:type="spellEnd"/>
      <w:r>
        <w:t>. Overseas Aid is one of the top 3 causes that Australian workers choose to support and responding to appeals accounts for over 1/3</w:t>
      </w:r>
      <w:r w:rsidRPr="0047333F">
        <w:rPr>
          <w:vertAlign w:val="superscript"/>
        </w:rPr>
        <w:t>rd</w:t>
      </w:r>
      <w:r>
        <w:t xml:space="preserve"> of payroll giving donations</w:t>
      </w:r>
      <w:r w:rsidR="00603B39">
        <w:rPr>
          <w:rStyle w:val="FootnoteReference"/>
        </w:rPr>
        <w:footnoteReference w:id="65"/>
      </w:r>
      <w:r>
        <w:t>.</w:t>
      </w:r>
    </w:p>
    <w:p w14:paraId="0CD2B0A1" w14:textId="458E15BA" w:rsidR="00603B39" w:rsidRDefault="4462D784" w:rsidP="005B28EF">
      <w:pPr>
        <w:spacing w:after="120"/>
      </w:pPr>
      <w:r>
        <w:t xml:space="preserve">However, to donate to overseas causes, the route for the money is through an Australian charity which has been through the Overseas Aid Gift Deduction Scheme process. This is not </w:t>
      </w:r>
      <w:r w:rsidR="489A0700">
        <w:t>a straightforward process</w:t>
      </w:r>
      <w:r>
        <w:t xml:space="preserve"> and is therefore not practical for most charities. Hence most of the funds are directed via a large, international charity. While has many advantages, and satisfies AML/</w:t>
      </w:r>
      <w:proofErr w:type="spellStart"/>
      <w:r>
        <w:t>CTF</w:t>
      </w:r>
      <w:proofErr w:type="spellEnd"/>
      <w:r>
        <w:t xml:space="preserve"> concerns, it limits choice for many donors.</w:t>
      </w:r>
    </w:p>
    <w:p w14:paraId="09CEC504" w14:textId="77777777" w:rsidR="00603B39" w:rsidRDefault="4462D784" w:rsidP="005B28EF">
      <w:pPr>
        <w:spacing w:after="120"/>
      </w:pPr>
      <w:r>
        <w:t xml:space="preserve">It is also well known that Australian businesses often have New Zealand affiliated businesses and more broadly our relationship with New Zealand is particularly close. It is not surprising therefore that many sought to </w:t>
      </w:r>
      <w:bookmarkStart w:id="37" w:name="_Int_D83XbW9U"/>
      <w:r>
        <w:t>provide assistance</w:t>
      </w:r>
      <w:bookmarkEnd w:id="37"/>
      <w:r>
        <w:t xml:space="preserve"> in the 2023 Auckland floods. What was surprising to many was the fact that their donations would not be deductible, unlike the donations made to Pakistan during the 2022 floods in that country. </w:t>
      </w:r>
    </w:p>
    <w:p w14:paraId="5C68EA97" w14:textId="0733F5D3" w:rsidR="00603B39" w:rsidRDefault="4462D784" w:rsidP="005B28EF">
      <w:pPr>
        <w:spacing w:after="120"/>
      </w:pPr>
      <w:r>
        <w:t xml:space="preserve">Today, </w:t>
      </w:r>
      <w:r w:rsidR="26CCC8A0">
        <w:t>to</w:t>
      </w:r>
      <w:r>
        <w:t xml:space="preserve"> facilitate the donation of money to an international cause, the donor must give to a registered, </w:t>
      </w:r>
      <w:proofErr w:type="spellStart"/>
      <w:r>
        <w:t>DGR</w:t>
      </w:r>
      <w:proofErr w:type="spellEnd"/>
      <w:r>
        <w:t xml:space="preserve">, Australian charity </w:t>
      </w:r>
      <w:r w:rsidR="54ED5323">
        <w:t>to</w:t>
      </w:r>
      <w:r>
        <w:t xml:space="preserve"> obtain the tax deductibility for the gift. If that gift is given to a </w:t>
      </w:r>
      <w:proofErr w:type="spellStart"/>
      <w:r>
        <w:t>DGR2</w:t>
      </w:r>
      <w:proofErr w:type="spellEnd"/>
      <w:r>
        <w:t xml:space="preserve">, which is often the case in circumstances involving a foundation such as those that enable pre-tax workforce giving or are corporate foundations, then that </w:t>
      </w:r>
      <w:proofErr w:type="spellStart"/>
      <w:r>
        <w:t>DGR2</w:t>
      </w:r>
      <w:proofErr w:type="spellEnd"/>
      <w:r>
        <w:t xml:space="preserve"> must find an Australian registered </w:t>
      </w:r>
      <w:proofErr w:type="spellStart"/>
      <w:r>
        <w:t>DGR1</w:t>
      </w:r>
      <w:proofErr w:type="spellEnd"/>
      <w:r>
        <w:t xml:space="preserve"> charity to provide the consolidated funds for, which in turn must have an arm or cause in the place where the funds are being directed.</w:t>
      </w:r>
    </w:p>
    <w:p w14:paraId="3FFC8F47" w14:textId="47198D57" w:rsidR="00603B39" w:rsidRDefault="4462D784" w:rsidP="005B28EF">
      <w:pPr>
        <w:spacing w:after="120"/>
      </w:pPr>
      <w:bookmarkStart w:id="38" w:name="_Int_QyEIsKvN"/>
      <w:r>
        <w:t>The Overseas Aid Gift Deduction Scheme (</w:t>
      </w:r>
      <w:proofErr w:type="spellStart"/>
      <w:r>
        <w:t>OAGDS</w:t>
      </w:r>
      <w:proofErr w:type="spellEnd"/>
      <w:r>
        <w:t xml:space="preserve">) enables the issue of </w:t>
      </w:r>
      <w:r w:rsidR="0E83425F">
        <w:t>tax-deductible</w:t>
      </w:r>
      <w:r>
        <w:t xml:space="preserve"> receipts for donations to “their overseas aid activities</w:t>
      </w:r>
      <w:bookmarkStart w:id="39" w:name="_Int_uROArUzk"/>
      <w:r>
        <w:t>”</w:t>
      </w:r>
      <w:r w:rsidR="00603B39" w:rsidRPr="721DB9EC">
        <w:rPr>
          <w:rStyle w:val="FootnoteReference"/>
        </w:rPr>
        <w:footnoteReference w:id="66"/>
      </w:r>
      <w:r>
        <w:t>.</w:t>
      </w:r>
      <w:bookmarkEnd w:id="38"/>
      <w:bookmarkEnd w:id="39"/>
      <w:r w:rsidR="78B31863">
        <w:t xml:space="preserve"> </w:t>
      </w:r>
      <w:r>
        <w:t xml:space="preserve"> Further, these must be to support aid activities in countries that are declared a ‘developing country’ by the Minister for Foreign Affairs. </w:t>
      </w:r>
    </w:p>
    <w:p w14:paraId="57116A43" w14:textId="77777777" w:rsidR="00603B39" w:rsidRDefault="00603B39" w:rsidP="005B28EF">
      <w:pPr>
        <w:spacing w:after="120"/>
      </w:pPr>
      <w:r>
        <w:t>The organisation must also be an ‘approved organisation’ as declared again by the Minister for Foreign Affairs. To gain this approval, the organisation must apply through the Department of Foreign Affairs (DFAT) and meet the eligibility criteria.</w:t>
      </w:r>
    </w:p>
    <w:p w14:paraId="52267384" w14:textId="248CEC06" w:rsidR="00603B39" w:rsidRDefault="4462D784" w:rsidP="005B28EF">
      <w:pPr>
        <w:spacing w:after="120"/>
      </w:pPr>
      <w:r>
        <w:lastRenderedPageBreak/>
        <w:t xml:space="preserve">Once an approved organisation, the organisation must then establish a Developing Country Relief Fund. This is a public fund administered by the Australian Tax Office (ATO). This is then the subject of </w:t>
      </w:r>
      <w:r w:rsidR="12F8D858">
        <w:t>an</w:t>
      </w:r>
      <w:r>
        <w:t xml:space="preserve"> application to the ATO seeking the Treasurer approve the fund. </w:t>
      </w:r>
    </w:p>
    <w:p w14:paraId="282A6D5D" w14:textId="2CEADB04" w:rsidR="00603B39" w:rsidRDefault="00603B39" w:rsidP="005B28EF">
      <w:pPr>
        <w:spacing w:after="120"/>
      </w:pPr>
      <w:r>
        <w:t xml:space="preserve">If all is in order, and all steps are </w:t>
      </w:r>
      <w:r w:rsidR="00057EC4">
        <w:t>addressed</w:t>
      </w:r>
      <w:r>
        <w:t>, the Treasurer then publishes a notice in the Commonwealth Government Gazette declaring the fund to be a developing country relief fund. The date of the Gazette publication is the date from which donations can be provided with tax deductible status.</w:t>
      </w:r>
    </w:p>
    <w:p w14:paraId="7EB25D87" w14:textId="2CBBECD7" w:rsidR="00603B39" w:rsidRDefault="4462D784" w:rsidP="005B28EF">
      <w:pPr>
        <w:spacing w:after="120"/>
      </w:pPr>
      <w:r>
        <w:t xml:space="preserve">Hence, for example in the recent case of the earthquakes in </w:t>
      </w:r>
      <w:proofErr w:type="spellStart"/>
      <w:r w:rsidR="0C37D355">
        <w:t>Türkiye</w:t>
      </w:r>
      <w:proofErr w:type="spellEnd"/>
      <w:r>
        <w:t xml:space="preserve"> and Syria, to donate via employee giving tax effectively (and with matching), it was necessary for the facilitators of the initial gift to work with Australian based charities with arms in these locations that were engaged in the relevant support aid activities. Their money was, after having been deducted, </w:t>
      </w:r>
      <w:r w:rsidR="3C707138">
        <w:t>matched,</w:t>
      </w:r>
      <w:r>
        <w:t xml:space="preserve"> and consolidated, gifted to the local Australian </w:t>
      </w:r>
      <w:proofErr w:type="spellStart"/>
      <w:r>
        <w:t>DGR1</w:t>
      </w:r>
      <w:proofErr w:type="spellEnd"/>
      <w:r>
        <w:t xml:space="preserve"> with </w:t>
      </w:r>
      <w:proofErr w:type="spellStart"/>
      <w:r>
        <w:t>OAGDS</w:t>
      </w:r>
      <w:proofErr w:type="spellEnd"/>
      <w:r>
        <w:t xml:space="preserve"> status (such as </w:t>
      </w:r>
      <w:r w:rsidR="4E13F1FE">
        <w:t>UNICEF</w:t>
      </w:r>
      <w:r>
        <w:t xml:space="preserve"> or Australian Red Cross) for them to send overseas to their local arms as part of the </w:t>
      </w:r>
      <w:proofErr w:type="spellStart"/>
      <w:r>
        <w:t>OAGDS</w:t>
      </w:r>
      <w:proofErr w:type="spellEnd"/>
      <w:r>
        <w:t>. Whilst cumbersome, this is workable.</w:t>
      </w:r>
    </w:p>
    <w:p w14:paraId="1BBAEE98" w14:textId="77777777" w:rsidR="00603B39" w:rsidRDefault="00603B39" w:rsidP="005B28EF">
      <w:pPr>
        <w:spacing w:after="120"/>
      </w:pPr>
      <w:r>
        <w:t xml:space="preserve">However, compare this to those seeking to help in the recent New Zealand floods by donating from Australia. As New Zealand is not a developing geography, the </w:t>
      </w:r>
      <w:proofErr w:type="spellStart"/>
      <w:r>
        <w:t>OAGDS</w:t>
      </w:r>
      <w:proofErr w:type="spellEnd"/>
      <w:r>
        <w:t xml:space="preserve"> does not apply and so no tax deductibility can be established. Hence, while legitimate New Zealand charities might have well done with financial support in their work, for an Australian to donate they would need to forego the tax deductibility.</w:t>
      </w:r>
    </w:p>
    <w:p w14:paraId="6D5FFC15" w14:textId="77777777" w:rsidR="00603B39" w:rsidRDefault="4462D784" w:rsidP="005B28EF">
      <w:pPr>
        <w:spacing w:after="120"/>
      </w:pPr>
      <w:r>
        <w:t>The secondary issue in all of this is with the term “their activities</w:t>
      </w:r>
      <w:bookmarkStart w:id="40" w:name="_Int_cUqf3iAP"/>
      <w:r>
        <w:t>”.</w:t>
      </w:r>
      <w:bookmarkEnd w:id="40"/>
      <w:r>
        <w:t xml:space="preserve"> While an expanded definition of this term would stretch to include activities that were contracted to a 3</w:t>
      </w:r>
      <w:r w:rsidRPr="721DB9EC">
        <w:rPr>
          <w:vertAlign w:val="superscript"/>
        </w:rPr>
        <w:t>rd</w:t>
      </w:r>
      <w:r>
        <w:t xml:space="preserve"> party, there is no formal definition which would confirm that this is the case. Therefore, at a minimum to donate to an </w:t>
      </w:r>
      <w:proofErr w:type="spellStart"/>
      <w:r>
        <w:t>OAGDS</w:t>
      </w:r>
      <w:proofErr w:type="spellEnd"/>
      <w:r>
        <w:t xml:space="preserve">, the local </w:t>
      </w:r>
      <w:proofErr w:type="spellStart"/>
      <w:r>
        <w:t>DGR1</w:t>
      </w:r>
      <w:proofErr w:type="spellEnd"/>
      <w:r>
        <w:t xml:space="preserve"> charity would need contract with a local delivery agent for a particular purpose (that aligned with their </w:t>
      </w:r>
      <w:proofErr w:type="spellStart"/>
      <w:r>
        <w:t>DGR1</w:t>
      </w:r>
      <w:proofErr w:type="spellEnd"/>
      <w:r>
        <w:t xml:space="preserve"> status and objects) and at the extreme, only use the money for its own activities.</w:t>
      </w:r>
    </w:p>
    <w:p w14:paraId="16569AAE" w14:textId="77777777" w:rsidR="00603B39" w:rsidRPr="00DD607D" w:rsidRDefault="00603B39" w:rsidP="004333EA">
      <w:pPr>
        <w:rPr>
          <w:i/>
          <w:iCs/>
        </w:rPr>
      </w:pPr>
      <w:r w:rsidRPr="00DD607D">
        <w:rPr>
          <w:i/>
          <w:iCs/>
        </w:rPr>
        <w:t>Comparative Approaches</w:t>
      </w:r>
    </w:p>
    <w:p w14:paraId="1378D22A" w14:textId="77777777" w:rsidR="00603B39" w:rsidRPr="0010714C" w:rsidRDefault="00603B39" w:rsidP="00DD607D">
      <w:pPr>
        <w:keepNext/>
        <w:spacing w:before="240" w:after="120"/>
        <w:ind w:firstLine="720"/>
        <w:rPr>
          <w:i/>
          <w:iCs/>
        </w:rPr>
      </w:pPr>
      <w:r w:rsidRPr="0010714C">
        <w:rPr>
          <w:i/>
          <w:iCs/>
        </w:rPr>
        <w:t>United States of America</w:t>
      </w:r>
    </w:p>
    <w:p w14:paraId="1D235DA4" w14:textId="24C7667A" w:rsidR="00603B39" w:rsidRDefault="4462D784" w:rsidP="005B28EF">
      <w:pPr>
        <w:spacing w:after="120"/>
      </w:pPr>
      <w:r>
        <w:t xml:space="preserve">Americans can donate via a US 501 (c)(3) charity and receive a tax benefit accordingly. </w:t>
      </w:r>
      <w:r w:rsidR="490304D0">
        <w:t>To</w:t>
      </w:r>
      <w:r>
        <w:t xml:space="preserve"> donate to overseas charities, they must either be deemed to be the equivalent of a US 501(c)(3) public charity (ED) or meet the Expenditure Responsibility (ER) requirements. Both ED and ER are protocols approved by the IRS for tax effective giving.</w:t>
      </w:r>
    </w:p>
    <w:p w14:paraId="70CC21E2" w14:textId="77777777" w:rsidR="00603B39" w:rsidRDefault="00603B39" w:rsidP="005B28EF">
      <w:pPr>
        <w:spacing w:after="120"/>
      </w:pPr>
      <w:r>
        <w:t>The intermediary must conduct verification of the charitable purpose that the funds are remitted to</w:t>
      </w:r>
      <w:r w:rsidRPr="001D5588">
        <w:t xml:space="preserve">. </w:t>
      </w:r>
    </w:p>
    <w:p w14:paraId="623CDBFA" w14:textId="77777777" w:rsidR="00603B39" w:rsidRPr="001D5588" w:rsidRDefault="00603B39" w:rsidP="005B28EF">
      <w:pPr>
        <w:spacing w:after="120"/>
      </w:pPr>
      <w:r w:rsidRPr="001D5588">
        <w:rPr>
          <w:lang w:val="en-GB"/>
        </w:rPr>
        <w:t>No political activity can be funded through tax-deductible gifts</w:t>
      </w:r>
      <w:r>
        <w:rPr>
          <w:lang w:val="en-GB"/>
        </w:rPr>
        <w:t xml:space="preserve">. </w:t>
      </w:r>
      <w:r w:rsidRPr="001D5588">
        <w:rPr>
          <w:lang w:val="en-GB"/>
        </w:rPr>
        <w:t xml:space="preserve">Donors cannot receive any substantial private or commercial benefit. Extra </w:t>
      </w:r>
      <w:r>
        <w:rPr>
          <w:lang w:val="en-GB"/>
        </w:rPr>
        <w:t>steps exist</w:t>
      </w:r>
      <w:r w:rsidRPr="001D5588">
        <w:rPr>
          <w:lang w:val="en-GB"/>
        </w:rPr>
        <w:t xml:space="preserve"> if directing support to individuals or employees, capital projects, endowments, or scholarships</w:t>
      </w:r>
      <w:r>
        <w:rPr>
          <w:lang w:val="en-GB"/>
        </w:rPr>
        <w:t>.</w:t>
      </w:r>
    </w:p>
    <w:p w14:paraId="6B310C21" w14:textId="77777777" w:rsidR="00603B39" w:rsidRDefault="00603B39" w:rsidP="00DD607D">
      <w:pPr>
        <w:keepNext/>
        <w:spacing w:before="240" w:after="120"/>
        <w:ind w:firstLine="720"/>
        <w:rPr>
          <w:i/>
          <w:iCs/>
        </w:rPr>
      </w:pPr>
      <w:r w:rsidRPr="0010714C">
        <w:rPr>
          <w:i/>
          <w:iCs/>
        </w:rPr>
        <w:t>Canada</w:t>
      </w:r>
    </w:p>
    <w:p w14:paraId="53AB45F3" w14:textId="77777777" w:rsidR="00603B39" w:rsidRDefault="00603B39" w:rsidP="005B28EF">
      <w:pPr>
        <w:spacing w:after="120"/>
      </w:pPr>
      <w:r>
        <w:t xml:space="preserve">The legislation in Canada was changed recently and the sector is awaiting the release of the accompanying regulations to clarify how this will work going forward. However, it is believed that Canada will become more akin to the US in its treatment of foreign giving. </w:t>
      </w:r>
    </w:p>
    <w:p w14:paraId="6CA74DC5" w14:textId="7B0AC9F3" w:rsidR="00603B39" w:rsidRDefault="4462D784" w:rsidP="005B28EF">
      <w:pPr>
        <w:spacing w:after="120"/>
      </w:pPr>
      <w:r>
        <w:t xml:space="preserve">As it currently stands, the Income Tax Act in Canada allows a charity to operate outside of Canada </w:t>
      </w:r>
      <w:bookmarkStart w:id="41" w:name="_Int_hh9E5rH2"/>
      <w:r>
        <w:t>as long as</w:t>
      </w:r>
      <w:bookmarkEnd w:id="41"/>
      <w:r>
        <w:t xml:space="preserve"> the charity is </w:t>
      </w:r>
      <w:r w:rsidR="00057EC4">
        <w:t>conducting</w:t>
      </w:r>
      <w:r>
        <w:t xml:space="preserve"> its own charitable activities through either its own staff or an intermediary.</w:t>
      </w:r>
    </w:p>
    <w:p w14:paraId="695F7E3E" w14:textId="680625C4" w:rsidR="00603B39" w:rsidRPr="00E67C3F" w:rsidRDefault="018ED42D" w:rsidP="00DD607D">
      <w:pPr>
        <w:spacing w:after="60"/>
        <w:rPr>
          <w:lang w:val="en-GB"/>
        </w:rPr>
      </w:pPr>
      <w:r w:rsidRPr="721DB9EC">
        <w:rPr>
          <w:lang w:val="en-GB"/>
        </w:rPr>
        <w:lastRenderedPageBreak/>
        <w:t>To</w:t>
      </w:r>
      <w:r w:rsidR="4462D784" w:rsidRPr="721DB9EC">
        <w:rPr>
          <w:lang w:val="en-GB"/>
        </w:rPr>
        <w:t xml:space="preserve"> be compliant with these regulations, CAF Canada must enter into a Project Agreement with the intermediary and ensure </w:t>
      </w:r>
      <w:r w:rsidR="56C491E8" w:rsidRPr="721DB9EC">
        <w:rPr>
          <w:lang w:val="en-GB"/>
        </w:rPr>
        <w:t>all</w:t>
      </w:r>
      <w:r w:rsidR="4462D784" w:rsidRPr="721DB9EC">
        <w:rPr>
          <w:lang w:val="en-GB"/>
        </w:rPr>
        <w:t xml:space="preserve"> the following: </w:t>
      </w:r>
    </w:p>
    <w:p w14:paraId="0F7AFE26" w14:textId="77777777" w:rsidR="00603B39" w:rsidRPr="00E67C3F" w:rsidRDefault="00603B39" w:rsidP="00DD607D">
      <w:pPr>
        <w:keepNext/>
        <w:numPr>
          <w:ilvl w:val="0"/>
          <w:numId w:val="14"/>
        </w:numPr>
        <w:ind w:left="714" w:hanging="357"/>
        <w:contextualSpacing/>
      </w:pPr>
      <w:r w:rsidRPr="00E67C3F">
        <w:rPr>
          <w:lang w:val="en-GB"/>
        </w:rPr>
        <w:t>The Project Agreement is specific to the funding being received from CAF Canada/Canadian donors and cannot be commingled with funding received from other sources.</w:t>
      </w:r>
    </w:p>
    <w:p w14:paraId="7C74A150" w14:textId="77777777" w:rsidR="00603B39" w:rsidRPr="00E67C3F" w:rsidRDefault="00603B39" w:rsidP="00DD607D">
      <w:pPr>
        <w:keepNext/>
        <w:numPr>
          <w:ilvl w:val="0"/>
          <w:numId w:val="14"/>
        </w:numPr>
        <w:ind w:left="714" w:hanging="357"/>
        <w:contextualSpacing/>
      </w:pPr>
      <w:r w:rsidRPr="00E67C3F">
        <w:rPr>
          <w:lang w:val="en-GB"/>
        </w:rPr>
        <w:t>The Project Agreement must be consistent with CAF Canada’s Charitable Objects.</w:t>
      </w:r>
    </w:p>
    <w:p w14:paraId="215D6C08" w14:textId="77777777" w:rsidR="00603B39" w:rsidRPr="00E67C3F" w:rsidRDefault="00603B39" w:rsidP="00DD607D">
      <w:pPr>
        <w:keepNext/>
        <w:numPr>
          <w:ilvl w:val="0"/>
          <w:numId w:val="14"/>
        </w:numPr>
        <w:ind w:left="714" w:hanging="357"/>
        <w:contextualSpacing/>
      </w:pPr>
      <w:r w:rsidRPr="00E67C3F">
        <w:rPr>
          <w:lang w:val="en-GB"/>
        </w:rPr>
        <w:t>The Project Agreement must detail a timeline of when project reporting is due, to show a record of direction and control throughout the life of the project.</w:t>
      </w:r>
    </w:p>
    <w:p w14:paraId="3FFA08E9" w14:textId="77777777" w:rsidR="00603B39" w:rsidRDefault="00603B39" w:rsidP="00DD607D">
      <w:pPr>
        <w:keepNext/>
        <w:spacing w:before="240" w:after="120"/>
        <w:ind w:firstLine="357"/>
      </w:pPr>
      <w:r w:rsidRPr="00FE36B9">
        <w:rPr>
          <w:i/>
          <w:iCs/>
        </w:rPr>
        <w:t>United</w:t>
      </w:r>
      <w:r>
        <w:t xml:space="preserve"> Kingdom</w:t>
      </w:r>
    </w:p>
    <w:p w14:paraId="6A8E7220" w14:textId="5AB012D9" w:rsidR="0026377A" w:rsidRDefault="4462D784" w:rsidP="004333EA">
      <w:pPr>
        <w:spacing w:after="120"/>
      </w:pPr>
      <w:r>
        <w:t xml:space="preserve">UK charitable tax reliefs are available where the recipient is equivalent to the UK Charities and Community Amateur Sports Clubs for EEA countries (EU, Norway, </w:t>
      </w:r>
      <w:r w:rsidR="14A00434">
        <w:t>Iceland,</w:t>
      </w:r>
      <w:r>
        <w:t xml:space="preserve"> and Liechtenstein). However, these charities would need to be recognised by HMRC. Donations to non-EEA based charities are </w:t>
      </w:r>
      <w:bookmarkStart w:id="42" w:name="_Int_QQkFNMMW"/>
      <w:r>
        <w:t>generally not</w:t>
      </w:r>
      <w:bookmarkEnd w:id="42"/>
      <w:r>
        <w:t xml:space="preserve"> qualified for UK tax relief.</w:t>
      </w:r>
    </w:p>
    <w:p w14:paraId="001D92B3" w14:textId="09918CC3" w:rsidR="00B124D9" w:rsidRDefault="00B124D9">
      <w:r>
        <w:br w:type="page"/>
      </w:r>
    </w:p>
    <w:p w14:paraId="2FD1BD01" w14:textId="77777777" w:rsidR="00B124D9" w:rsidRDefault="00B124D9" w:rsidP="004333EA">
      <w:pPr>
        <w:spacing w:after="120"/>
      </w:pPr>
    </w:p>
    <w:p w14:paraId="75D42201" w14:textId="7EEB2302" w:rsidR="00A359F8" w:rsidRPr="00581DAD" w:rsidRDefault="00287626" w:rsidP="004333EA">
      <w:pPr>
        <w:pStyle w:val="ListParagraph"/>
        <w:keepNext/>
        <w:numPr>
          <w:ilvl w:val="0"/>
          <w:numId w:val="22"/>
        </w:numPr>
        <w:spacing w:before="360" w:after="120"/>
        <w:ind w:left="714" w:hanging="357"/>
        <w:contextualSpacing w:val="0"/>
        <w:rPr>
          <w:b/>
          <w:bCs/>
          <w:i/>
          <w:iCs/>
        </w:rPr>
      </w:pPr>
      <w:r w:rsidRPr="00581DAD">
        <w:rPr>
          <w:b/>
          <w:bCs/>
          <w:i/>
          <w:iCs/>
        </w:rPr>
        <w:t xml:space="preserve">Enhancing Gifting of Non-Cash Items </w:t>
      </w:r>
    </w:p>
    <w:tbl>
      <w:tblPr>
        <w:tblStyle w:val="TableGrid"/>
        <w:tblW w:w="0" w:type="auto"/>
        <w:tblLook w:val="04A0" w:firstRow="1" w:lastRow="0" w:firstColumn="1" w:lastColumn="0" w:noHBand="0" w:noVBand="1"/>
      </w:tblPr>
      <w:tblGrid>
        <w:gridCol w:w="9016"/>
      </w:tblGrid>
      <w:tr w:rsidR="0026377A" w14:paraId="43AD1430" w14:textId="77777777" w:rsidTr="00581DAD">
        <w:tc>
          <w:tcPr>
            <w:tcW w:w="9016" w:type="dxa"/>
            <w:shd w:val="clear" w:color="auto" w:fill="F2F2F2" w:themeFill="background1" w:themeFillShade="F2"/>
          </w:tcPr>
          <w:p w14:paraId="4FE29CFA" w14:textId="77777777" w:rsidR="0026377A" w:rsidRPr="0023442F" w:rsidRDefault="0026377A" w:rsidP="00CA3216">
            <w:pPr>
              <w:spacing w:before="120" w:after="120"/>
              <w:ind w:left="284" w:right="284"/>
              <w:rPr>
                <w:b/>
                <w:bCs/>
              </w:rPr>
            </w:pPr>
            <w:r w:rsidRPr="721DB9EC">
              <w:rPr>
                <w:b/>
                <w:bCs/>
              </w:rPr>
              <w:t>Recommendation 6:</w:t>
            </w:r>
            <w:r w:rsidRPr="0023442F">
              <w:rPr>
                <w:b/>
                <w:bCs/>
              </w:rPr>
              <w:t xml:space="preserve"> </w:t>
            </w:r>
            <w:r w:rsidRPr="0023442F">
              <w:t xml:space="preserve">Removing CGT liability on gifts to </w:t>
            </w:r>
            <w:proofErr w:type="spellStart"/>
            <w:r w:rsidRPr="0023442F">
              <w:t>DGR</w:t>
            </w:r>
            <w:proofErr w:type="spellEnd"/>
            <w:r w:rsidRPr="0023442F">
              <w:t xml:space="preserve"> registered charities would immediately simplify and uplift the donations to charities of non-cash items. This is in line with treatment in the UK, Canada, and the USA (and noting there is no CGT in New Zealand).</w:t>
            </w:r>
          </w:p>
        </w:tc>
      </w:tr>
    </w:tbl>
    <w:p w14:paraId="3E2FD73B" w14:textId="6BE474E4" w:rsidR="00790AB9" w:rsidRDefault="59D77CA0" w:rsidP="00FE36B9">
      <w:pPr>
        <w:spacing w:before="120" w:after="120"/>
      </w:pPr>
      <w:r>
        <w:t>Today, a gift can be given of either money or property</w:t>
      </w:r>
      <w:r w:rsidR="2973C828">
        <w:t xml:space="preserve"> and</w:t>
      </w:r>
      <w:r w:rsidR="70E0661E">
        <w:t>,</w:t>
      </w:r>
      <w:r w:rsidR="2973C828">
        <w:t xml:space="preserve"> provided it complies with the requirements for </w:t>
      </w:r>
      <w:r w:rsidR="4CB9916C">
        <w:t>deductibility</w:t>
      </w:r>
      <w:r w:rsidR="2973C828">
        <w:t>, can claim the value of that gift as a tax deduction</w:t>
      </w:r>
      <w:r>
        <w:t>.</w:t>
      </w:r>
      <w:r w:rsidR="2973C828">
        <w:t xml:space="preserve"> </w:t>
      </w:r>
      <w:r w:rsidR="6707AD35">
        <w:t>T</w:t>
      </w:r>
      <w:r w:rsidR="63A6F78A">
        <w:t>he</w:t>
      </w:r>
      <w:r w:rsidR="6707AD35">
        <w:t xml:space="preserve"> deductibility</w:t>
      </w:r>
      <w:r w:rsidR="63A6F78A">
        <w:t xml:space="preserve"> threshold for a gift of cash is $2, </w:t>
      </w:r>
      <w:r w:rsidR="6707AD35">
        <w:t>and</w:t>
      </w:r>
      <w:r w:rsidR="63A6F78A">
        <w:t xml:space="preserve"> for property is $5,000</w:t>
      </w:r>
      <w:r w:rsidR="00495C6E">
        <w:rPr>
          <w:rStyle w:val="FootnoteReference"/>
        </w:rPr>
        <w:footnoteReference w:id="67"/>
      </w:r>
      <w:r w:rsidR="63A6F78A">
        <w:t xml:space="preserve">. </w:t>
      </w:r>
      <w:r w:rsidR="4CB9916C">
        <w:t xml:space="preserve">Further, property </w:t>
      </w:r>
      <w:r w:rsidR="73CB679C">
        <w:t xml:space="preserve">deduction require a Certificate of Donation </w:t>
      </w:r>
      <w:r w:rsidR="3E3860F2">
        <w:t xml:space="preserve">provided by the </w:t>
      </w:r>
      <w:proofErr w:type="spellStart"/>
      <w:r w:rsidR="3E3860F2">
        <w:t>DGR</w:t>
      </w:r>
      <w:proofErr w:type="spellEnd"/>
      <w:r w:rsidR="3E3860F2">
        <w:t xml:space="preserve"> charity </w:t>
      </w:r>
      <w:r w:rsidR="2098D159">
        <w:t xml:space="preserve">and a valuation from the ATO which is </w:t>
      </w:r>
      <w:r w:rsidR="2F9290A2">
        <w:t>triggered by a request for valuation (and its accompanying fee).</w:t>
      </w:r>
    </w:p>
    <w:p w14:paraId="043A1CFE" w14:textId="67BE4740" w:rsidR="00950D30" w:rsidRDefault="165AA923" w:rsidP="005B28EF">
      <w:pPr>
        <w:spacing w:after="120"/>
      </w:pPr>
      <w:r>
        <w:t>If</w:t>
      </w:r>
      <w:r w:rsidR="305BE1A9">
        <w:t xml:space="preserve"> the item has also attracted a capital gain, that gain </w:t>
      </w:r>
      <w:r w:rsidR="48405C8E">
        <w:t xml:space="preserve">will be included in the </w:t>
      </w:r>
      <w:r w:rsidR="7A05F843">
        <w:t>donor's</w:t>
      </w:r>
      <w:r w:rsidR="48405C8E">
        <w:t xml:space="preserve"> income and be taxable</w:t>
      </w:r>
      <w:r w:rsidR="00493ECA">
        <w:rPr>
          <w:rStyle w:val="FootnoteReference"/>
        </w:rPr>
        <w:footnoteReference w:id="68"/>
      </w:r>
      <w:r w:rsidR="48405C8E">
        <w:t xml:space="preserve">. </w:t>
      </w:r>
      <w:r w:rsidR="00EB617E">
        <w:t xml:space="preserve">Hence, while the donor gains the benefit of the deductibility of the gift, this is negatively impacted by the </w:t>
      </w:r>
      <w:r w:rsidR="6DAAF1E9">
        <w:t>impact of the CGT.</w:t>
      </w:r>
      <w:r w:rsidR="7B53DFA8">
        <w:t xml:space="preserve"> </w:t>
      </w:r>
    </w:p>
    <w:p w14:paraId="653B7AFA" w14:textId="1838FB97" w:rsidR="005B7698" w:rsidRDefault="6DAAF1E9" w:rsidP="005B28EF">
      <w:pPr>
        <w:spacing w:after="120"/>
      </w:pPr>
      <w:r>
        <w:t xml:space="preserve">For example, the donor gifts </w:t>
      </w:r>
      <w:r w:rsidR="218127C8">
        <w:t xml:space="preserve">shares </w:t>
      </w:r>
      <w:r>
        <w:t>valued at $1</w:t>
      </w:r>
      <w:r w:rsidR="7882DF96">
        <w:t>0,0</w:t>
      </w:r>
      <w:r>
        <w:t>00</w:t>
      </w:r>
      <w:r w:rsidR="00E542E9">
        <w:rPr>
          <w:rStyle w:val="FootnoteReference"/>
        </w:rPr>
        <w:footnoteReference w:id="69"/>
      </w:r>
      <w:r w:rsidR="218127C8">
        <w:t xml:space="preserve"> which were acquired for $2,000</w:t>
      </w:r>
      <w:r w:rsidR="00300DA4">
        <w:t>. O</w:t>
      </w:r>
      <w:r w:rsidR="7882DF96">
        <w:t>n the gifting, the</w:t>
      </w:r>
      <w:r w:rsidR="218127C8">
        <w:t xml:space="preserve">re is a crystalising of the capital gain of $8,000. If there is </w:t>
      </w:r>
      <w:r w:rsidR="00C75C0F">
        <w:t xml:space="preserve">capital gains </w:t>
      </w:r>
      <w:r w:rsidR="218127C8">
        <w:t xml:space="preserve">tax payable at, say, </w:t>
      </w:r>
      <w:r w:rsidR="000D2F1F">
        <w:t>37</w:t>
      </w:r>
      <w:r w:rsidR="218127C8">
        <w:t>%, then this would mean the</w:t>
      </w:r>
      <w:r w:rsidR="7882DF96">
        <w:t xml:space="preserve"> donor</w:t>
      </w:r>
      <w:r w:rsidR="218127C8">
        <w:t xml:space="preserve"> will </w:t>
      </w:r>
      <w:bookmarkStart w:id="43" w:name="_Int_e9Oy9ukx"/>
      <w:r w:rsidR="218127C8">
        <w:t>likely incur</w:t>
      </w:r>
      <w:bookmarkEnd w:id="43"/>
      <w:r w:rsidR="218127C8">
        <w:t xml:space="preserve"> a tax obligation of $</w:t>
      </w:r>
      <w:r w:rsidR="000D2F1F">
        <w:t>3</w:t>
      </w:r>
      <w:r w:rsidR="218127C8">
        <w:t>,</w:t>
      </w:r>
      <w:r w:rsidR="000D2F1F">
        <w:t>7</w:t>
      </w:r>
      <w:r w:rsidR="218127C8">
        <w:t>00</w:t>
      </w:r>
      <w:r w:rsidR="000D2F1F">
        <w:t xml:space="preserve">. They would also be entitled to </w:t>
      </w:r>
      <w:r w:rsidR="218127C8">
        <w:t>a</w:t>
      </w:r>
      <w:r w:rsidR="7882DF96">
        <w:t xml:space="preserve"> tax deduction </w:t>
      </w:r>
      <w:r w:rsidR="26147DDB">
        <w:t>for the</w:t>
      </w:r>
      <w:r w:rsidR="7882DF96">
        <w:t xml:space="preserve"> $10,000. </w:t>
      </w:r>
      <w:r w:rsidR="0F8879A5">
        <w:t xml:space="preserve">Hence, there is little incentive to donate the full $10,000 </w:t>
      </w:r>
      <w:r w:rsidR="009D1BAE">
        <w:t xml:space="preserve">in shares </w:t>
      </w:r>
      <w:r w:rsidR="0F8879A5">
        <w:t xml:space="preserve">but </w:t>
      </w:r>
      <w:bookmarkStart w:id="44" w:name="_Int_mNt3G5l4"/>
      <w:r w:rsidR="0F8879A5">
        <w:t>rather to</w:t>
      </w:r>
      <w:bookmarkEnd w:id="44"/>
      <w:r w:rsidR="0F8879A5">
        <w:t xml:space="preserve"> realise the asset and then donate the post-CGT amount</w:t>
      </w:r>
      <w:r w:rsidR="009D1BAE">
        <w:t xml:space="preserve"> cash amount</w:t>
      </w:r>
      <w:r w:rsidR="0F8879A5">
        <w:t xml:space="preserve"> </w:t>
      </w:r>
      <w:r w:rsidR="636E0616">
        <w:t>of $</w:t>
      </w:r>
      <w:r w:rsidR="009D1BAE">
        <w:t>6</w:t>
      </w:r>
      <w:r w:rsidR="00D629E1">
        <w:t>,300</w:t>
      </w:r>
      <w:r w:rsidR="636E0616">
        <w:t xml:space="preserve"> (</w:t>
      </w:r>
      <w:r w:rsidR="00D629E1">
        <w:t xml:space="preserve">perhaps </w:t>
      </w:r>
      <w:r w:rsidR="636E0616">
        <w:t>less once broker fees are taken into consideration)</w:t>
      </w:r>
      <w:r w:rsidR="00D629E1">
        <w:t xml:space="preserve">. The result is </w:t>
      </w:r>
      <w:r w:rsidR="0F8879A5">
        <w:t>a lower gift value</w:t>
      </w:r>
      <w:r w:rsidR="15BEAD1B">
        <w:t xml:space="preserve"> to the charity.</w:t>
      </w:r>
      <w:r w:rsidR="636E0616">
        <w:t xml:space="preserve"> </w:t>
      </w:r>
    </w:p>
    <w:p w14:paraId="1E93B3B4" w14:textId="7656FC4C" w:rsidR="00694EF4" w:rsidRDefault="3A6714AB" w:rsidP="005B28EF">
      <w:pPr>
        <w:spacing w:after="120"/>
      </w:pPr>
      <w:r>
        <w:t>I</w:t>
      </w:r>
      <w:r w:rsidR="6707AD35">
        <w:t>n the US</w:t>
      </w:r>
      <w:r w:rsidR="15BEAD1B">
        <w:t>,</w:t>
      </w:r>
      <w:r w:rsidR="6707AD35">
        <w:t xml:space="preserve"> there is </w:t>
      </w:r>
      <w:bookmarkStart w:id="45" w:name="_Int_vhSakZtZ"/>
      <w:r w:rsidR="6707AD35">
        <w:t>generally an</w:t>
      </w:r>
      <w:bookmarkEnd w:id="45"/>
      <w:r w:rsidR="6707AD35">
        <w:t xml:space="preserve"> exemption from the need to pay capital gains on charitable donations of property</w:t>
      </w:r>
      <w:r w:rsidR="3E20B0B2">
        <w:t xml:space="preserve">. </w:t>
      </w:r>
      <w:r w:rsidR="008C082E">
        <w:t xml:space="preserve">Likewise, in the UK you do not pay CGT on land, property or shares gifted to charity. </w:t>
      </w:r>
      <w:r w:rsidR="007C6DEE">
        <w:t>Hence,</w:t>
      </w:r>
      <w:r w:rsidR="001A7F06">
        <w:t xml:space="preserve"> the donor can take the income tax deduction </w:t>
      </w:r>
      <w:r w:rsidR="005748C7">
        <w:t xml:space="preserve">at the full value. </w:t>
      </w:r>
    </w:p>
    <w:p w14:paraId="398F387B" w14:textId="7018AA90" w:rsidR="00694EF4" w:rsidRDefault="540EB262" w:rsidP="005B28EF">
      <w:pPr>
        <w:spacing w:after="120"/>
      </w:pPr>
      <w:r>
        <w:t xml:space="preserve">Similarly, in Canada, </w:t>
      </w:r>
      <w:r w:rsidR="3E20B0B2">
        <w:t xml:space="preserve">while more limited, </w:t>
      </w:r>
      <w:r>
        <w:t xml:space="preserve">for certain types of property including shares, there is a zeroing of the capital gains implications </w:t>
      </w:r>
      <w:r w:rsidR="53118E98">
        <w:t xml:space="preserve">such that the donor will again benefit by paying no tax on the disposition and will receive a charitable donation receipt for the </w:t>
      </w:r>
      <w:bookmarkStart w:id="46" w:name="_Int_Uuev8SeQ"/>
      <w:r w:rsidR="53118E98">
        <w:t>fair market value</w:t>
      </w:r>
      <w:bookmarkEnd w:id="46"/>
      <w:r w:rsidR="53118E98">
        <w:t xml:space="preserve"> of the gift at the time of donation.</w:t>
      </w:r>
    </w:p>
    <w:p w14:paraId="0B57DC2C" w14:textId="5FEF10B7" w:rsidR="00491074" w:rsidRDefault="7F34AE4F" w:rsidP="005B28EF">
      <w:pPr>
        <w:spacing w:after="120"/>
      </w:pPr>
      <w:r>
        <w:t>The removal of CGT in Australia on charitable donations would increase the value to charities</w:t>
      </w:r>
      <w:r w:rsidR="6B308ECE">
        <w:t xml:space="preserve"> of gifts</w:t>
      </w:r>
      <w:r>
        <w:t xml:space="preserve"> and make matters simpler for the donor. </w:t>
      </w:r>
      <w:r w:rsidR="16B08CBD">
        <w:t>Illustrating</w:t>
      </w:r>
      <w:r w:rsidR="6B308ECE">
        <w:t xml:space="preserve"> this is the example of</w:t>
      </w:r>
      <w:r>
        <w:t xml:space="preserve"> </w:t>
      </w:r>
      <w:proofErr w:type="spellStart"/>
      <w:r>
        <w:t>ShareGift</w:t>
      </w:r>
      <w:proofErr w:type="spellEnd"/>
      <w:r>
        <w:t xml:space="preserve"> UK</w:t>
      </w:r>
      <w:r w:rsidR="6B308ECE">
        <w:t xml:space="preserve"> and </w:t>
      </w:r>
      <w:proofErr w:type="spellStart"/>
      <w:r w:rsidR="6B308ECE">
        <w:t>ShareGift</w:t>
      </w:r>
      <w:proofErr w:type="spellEnd"/>
      <w:r w:rsidR="6B308ECE">
        <w:t xml:space="preserve"> Australia, each set up to facilitate the gifting of shares to charities</w:t>
      </w:r>
      <w:r w:rsidR="09D9414F">
        <w:t xml:space="preserve">. </w:t>
      </w:r>
      <w:r w:rsidR="6B308ECE">
        <w:t>O</w:t>
      </w:r>
      <w:r>
        <w:t>ver 25 years</w:t>
      </w:r>
      <w:r w:rsidR="6B308ECE">
        <w:t>, the former</w:t>
      </w:r>
      <w:r>
        <w:t xml:space="preserve"> has received </w:t>
      </w:r>
      <w:proofErr w:type="spellStart"/>
      <w:r>
        <w:t>GBP44m</w:t>
      </w:r>
      <w:proofErr w:type="spellEnd"/>
      <w:r>
        <w:t xml:space="preserve"> (~$</w:t>
      </w:r>
      <w:proofErr w:type="spellStart"/>
      <w:r>
        <w:t>AUD82m</w:t>
      </w:r>
      <w:proofErr w:type="spellEnd"/>
      <w:r>
        <w:t xml:space="preserve">) in share donations whereas </w:t>
      </w:r>
      <w:proofErr w:type="spellStart"/>
      <w:r>
        <w:t>ShareGift</w:t>
      </w:r>
      <w:proofErr w:type="spellEnd"/>
      <w:r w:rsidR="00491074">
        <w:rPr>
          <w:rStyle w:val="FootnoteReference"/>
        </w:rPr>
        <w:footnoteReference w:id="70"/>
      </w:r>
      <w:r>
        <w:t xml:space="preserve"> in Australia has attracted a total of c.$</w:t>
      </w:r>
      <w:proofErr w:type="spellStart"/>
      <w:r>
        <w:t>AUD7.5m</w:t>
      </w:r>
      <w:proofErr w:type="spellEnd"/>
      <w:r>
        <w:t xml:space="preserve"> since it commenced operations in 2004</w:t>
      </w:r>
      <w:r w:rsidR="6B308ECE">
        <w:t xml:space="preserve"> </w:t>
      </w:r>
      <w:bookmarkStart w:id="47" w:name="_Int_wosLzD4c"/>
      <w:r w:rsidR="6B308ECE">
        <w:t>predominantly for</w:t>
      </w:r>
      <w:bookmarkEnd w:id="47"/>
      <w:r w:rsidR="6B308ECE">
        <w:t xml:space="preserve"> parcels which are unmarketable</w:t>
      </w:r>
      <w:r>
        <w:t>.</w:t>
      </w:r>
    </w:p>
    <w:p w14:paraId="427CB72D" w14:textId="4B79CA1D" w:rsidR="00B124D9" w:rsidRDefault="006110B5" w:rsidP="001E6C1A">
      <w:pPr>
        <w:spacing w:after="120"/>
      </w:pPr>
      <w:r>
        <w:t xml:space="preserve">Alternatively, a gift to a registered charity might be included as an exemption to </w:t>
      </w:r>
      <w:r w:rsidR="005E201D">
        <w:t>capital gains tax as is the case for compensation or damages received for a workplace injury.</w:t>
      </w:r>
      <w:r w:rsidR="00B124D9">
        <w:br w:type="page"/>
      </w:r>
    </w:p>
    <w:p w14:paraId="2A8DD137" w14:textId="77777777" w:rsidR="00B124D9" w:rsidRDefault="00B124D9" w:rsidP="00E34A07">
      <w:pPr>
        <w:spacing w:after="120"/>
      </w:pPr>
    </w:p>
    <w:p w14:paraId="288B49C9" w14:textId="5C899D3B" w:rsidR="005E201D" w:rsidRPr="001E6C1A" w:rsidRDefault="003452A2" w:rsidP="004333EA">
      <w:pPr>
        <w:pStyle w:val="ListParagraph"/>
        <w:keepNext/>
        <w:numPr>
          <w:ilvl w:val="0"/>
          <w:numId w:val="22"/>
        </w:numPr>
        <w:spacing w:before="360" w:after="120"/>
        <w:ind w:left="714" w:hanging="357"/>
        <w:contextualSpacing w:val="0"/>
        <w:rPr>
          <w:b/>
          <w:bCs/>
          <w:i/>
          <w:iCs/>
        </w:rPr>
      </w:pPr>
      <w:r w:rsidRPr="001E6C1A">
        <w:rPr>
          <w:b/>
          <w:bCs/>
          <w:i/>
          <w:iCs/>
        </w:rPr>
        <w:t>Improvements to Corporate Reporting and Communication of their Philanthropic Endeavours</w:t>
      </w:r>
    </w:p>
    <w:tbl>
      <w:tblPr>
        <w:tblStyle w:val="TableGrid"/>
        <w:tblW w:w="0" w:type="auto"/>
        <w:tblLook w:val="04A0" w:firstRow="1" w:lastRow="0" w:firstColumn="1" w:lastColumn="0" w:noHBand="0" w:noVBand="1"/>
      </w:tblPr>
      <w:tblGrid>
        <w:gridCol w:w="9016"/>
      </w:tblGrid>
      <w:tr w:rsidR="005E201D" w14:paraId="7A150706" w14:textId="77777777" w:rsidTr="001E6C1A">
        <w:tc>
          <w:tcPr>
            <w:tcW w:w="9016" w:type="dxa"/>
            <w:shd w:val="clear" w:color="auto" w:fill="F2F2F2" w:themeFill="background1" w:themeFillShade="F2"/>
          </w:tcPr>
          <w:p w14:paraId="029A7206" w14:textId="57D20692" w:rsidR="005E201D" w:rsidRPr="0023442F" w:rsidRDefault="005E201D" w:rsidP="00CA3216">
            <w:pPr>
              <w:spacing w:before="120" w:after="120"/>
              <w:ind w:left="284" w:right="284"/>
              <w:rPr>
                <w:b/>
                <w:bCs/>
              </w:rPr>
            </w:pPr>
            <w:r w:rsidRPr="721DB9EC">
              <w:rPr>
                <w:b/>
                <w:bCs/>
              </w:rPr>
              <w:t xml:space="preserve">Recommendation 7.1: </w:t>
            </w:r>
            <w:r w:rsidRPr="0023442F">
              <w:t>Creating common definition</w:t>
            </w:r>
            <w:r w:rsidR="00C74A21">
              <w:t>s</w:t>
            </w:r>
            <w:r w:rsidRPr="0023442F">
              <w:t xml:space="preserve"> </w:t>
            </w:r>
            <w:r w:rsidR="00ED05D2">
              <w:t>regarding entities in and around the charitable sector</w:t>
            </w:r>
            <w:r w:rsidR="00ED05D2" w:rsidRPr="0023442F">
              <w:t xml:space="preserve"> </w:t>
            </w:r>
            <w:r w:rsidRPr="0023442F">
              <w:t>with the endorsement of the governing body or bodies</w:t>
            </w:r>
            <w:r w:rsidR="00C74A21">
              <w:t xml:space="preserve"> </w:t>
            </w:r>
            <w:r w:rsidRPr="0023442F">
              <w:t xml:space="preserve">(such as the </w:t>
            </w:r>
            <w:proofErr w:type="spellStart"/>
            <w:r w:rsidRPr="0023442F">
              <w:t>ACNC</w:t>
            </w:r>
            <w:proofErr w:type="spellEnd"/>
            <w:r w:rsidRPr="0023442F">
              <w:t xml:space="preserve"> and/or ASIC (Australian Securities &amp; Investments Commission))</w:t>
            </w:r>
            <w:r w:rsidR="00ED05D2">
              <w:t xml:space="preserve"> to provide clarity</w:t>
            </w:r>
            <w:r w:rsidRPr="0023442F">
              <w:t xml:space="preserve"> to the public </w:t>
            </w:r>
            <w:r w:rsidR="00ED05D2">
              <w:t>including on</w:t>
            </w:r>
            <w:r w:rsidRPr="0023442F">
              <w:t xml:space="preserve"> what criteria is met to achieve that classification.</w:t>
            </w:r>
            <w:r w:rsidRPr="0023442F">
              <w:rPr>
                <w:b/>
                <w:bCs/>
              </w:rPr>
              <w:t xml:space="preserve"> </w:t>
            </w:r>
          </w:p>
        </w:tc>
      </w:tr>
    </w:tbl>
    <w:p w14:paraId="1EC61F4E" w14:textId="01FA7845" w:rsidR="005E201D" w:rsidRPr="003B3B32" w:rsidRDefault="005E201D" w:rsidP="005E201D">
      <w:pPr>
        <w:rPr>
          <w:sz w:val="2"/>
          <w:szCs w:val="2"/>
        </w:rPr>
      </w:pPr>
    </w:p>
    <w:tbl>
      <w:tblPr>
        <w:tblStyle w:val="TableGrid"/>
        <w:tblW w:w="0" w:type="auto"/>
        <w:tblLook w:val="04A0" w:firstRow="1" w:lastRow="0" w:firstColumn="1" w:lastColumn="0" w:noHBand="0" w:noVBand="1"/>
      </w:tblPr>
      <w:tblGrid>
        <w:gridCol w:w="9016"/>
      </w:tblGrid>
      <w:tr w:rsidR="005E201D" w14:paraId="242DA894" w14:textId="77777777" w:rsidTr="001E6C1A">
        <w:tc>
          <w:tcPr>
            <w:tcW w:w="9016" w:type="dxa"/>
            <w:shd w:val="clear" w:color="auto" w:fill="F2F2F2" w:themeFill="background1" w:themeFillShade="F2"/>
          </w:tcPr>
          <w:p w14:paraId="31ABBAE5" w14:textId="60C3BAE3" w:rsidR="005E201D" w:rsidRPr="0023442F" w:rsidRDefault="005E201D" w:rsidP="00CA3216">
            <w:pPr>
              <w:spacing w:before="120" w:after="120"/>
              <w:ind w:left="284" w:right="284"/>
              <w:rPr>
                <w:b/>
                <w:bCs/>
              </w:rPr>
            </w:pPr>
            <w:r w:rsidRPr="00397C78">
              <w:rPr>
                <w:b/>
                <w:bCs/>
              </w:rPr>
              <w:t xml:space="preserve">Recommendation </w:t>
            </w:r>
            <w:r>
              <w:rPr>
                <w:b/>
                <w:bCs/>
              </w:rPr>
              <w:t>7.2</w:t>
            </w:r>
            <w:r w:rsidRPr="00397C78">
              <w:rPr>
                <w:b/>
                <w:bCs/>
              </w:rPr>
              <w:t>:</w:t>
            </w:r>
            <w:r w:rsidRPr="0023442F">
              <w:rPr>
                <w:b/>
                <w:bCs/>
              </w:rPr>
              <w:t xml:space="preserve"> </w:t>
            </w:r>
            <w:r w:rsidRPr="0023442F">
              <w:t>A common framework which could be adopted by corporate Australia in reporting would benefit them and the donors in clarifying the efforts that are being made in a comparative manner.</w:t>
            </w:r>
          </w:p>
        </w:tc>
      </w:tr>
    </w:tbl>
    <w:p w14:paraId="4A057AC9" w14:textId="5626AC5E" w:rsidR="00FB06AF" w:rsidRDefault="002423B0" w:rsidP="00FE36B9">
      <w:pPr>
        <w:spacing w:before="120" w:after="120"/>
      </w:pPr>
      <w:r>
        <w:t>There is currently little common ground on how and what corporate Australia reports with respect to its philanthropic engagement</w:t>
      </w:r>
      <w:r w:rsidR="00FB06AF">
        <w:t xml:space="preserve">. This leads to disparate information in the market </w:t>
      </w:r>
      <w:r w:rsidR="000C1F65">
        <w:t>and erodes confidence of the public in the role of corporates to the ultimate detriment of the charity sector.</w:t>
      </w:r>
    </w:p>
    <w:p w14:paraId="13B321E7" w14:textId="329060EF" w:rsidR="00503269" w:rsidRDefault="00503269" w:rsidP="005B28EF">
      <w:pPr>
        <w:spacing w:after="120"/>
      </w:pPr>
      <w:r>
        <w:t>Similarly, there is no common definition or requirement on making claims that tend to suggest organisations are philanthropic when they are not. While there is every reason to continue to encourage involvement of for profits, there should be clear differentiation to charities and to not-for-profits. Th</w:t>
      </w:r>
      <w:r w:rsidR="0036473E">
        <w:t>e current</w:t>
      </w:r>
      <w:r>
        <w:t xml:space="preserve"> confusion is </w:t>
      </w:r>
      <w:r w:rsidR="0036473E">
        <w:t xml:space="preserve">not only detrimental to the sector but also for the </w:t>
      </w:r>
      <w:r>
        <w:t xml:space="preserve">for-profit </w:t>
      </w:r>
      <w:r w:rsidR="0036473E">
        <w:t>players</w:t>
      </w:r>
      <w:r>
        <w:t xml:space="preserve"> that are set up to achieve social good.</w:t>
      </w:r>
    </w:p>
    <w:p w14:paraId="19BFDCCB" w14:textId="2A319D09" w:rsidR="00ED05D2" w:rsidRDefault="00ED05D2" w:rsidP="00DD607D">
      <w:pPr>
        <w:keepNext/>
        <w:spacing w:after="60"/>
      </w:pPr>
      <w:r>
        <w:t>In the absence of any formal definitions, the market is making its own definitions which has a risk of becoming misleading or opaque. Examples of this includes:</w:t>
      </w:r>
    </w:p>
    <w:p w14:paraId="69FE1105" w14:textId="77777777" w:rsidR="00ED05D2" w:rsidRDefault="00ED05D2" w:rsidP="00ED05D2">
      <w:pPr>
        <w:pStyle w:val="ListParagraph"/>
        <w:numPr>
          <w:ilvl w:val="0"/>
          <w:numId w:val="13"/>
        </w:numPr>
      </w:pPr>
      <w:r>
        <w:t xml:space="preserve">B Corp: </w:t>
      </w:r>
      <w:bookmarkStart w:id="48" w:name="_Int_oTO0cRjS"/>
      <w:r>
        <w:t>an</w:t>
      </w:r>
      <w:bookmarkEnd w:id="48"/>
      <w:r>
        <w:t xml:space="preserve"> American invention that boasts 470 Australian companies. For registration as a B Corp the company must be “committed to creating benefit for all people, communities, and the planet”</w:t>
      </w:r>
      <w:r>
        <w:rPr>
          <w:rStyle w:val="FootnoteReference"/>
        </w:rPr>
        <w:footnoteReference w:id="71"/>
      </w:r>
      <w:r>
        <w:t xml:space="preserve"> , be certified by B Corporation and pay an annual certification fee</w:t>
      </w:r>
      <w:r>
        <w:rPr>
          <w:rStyle w:val="FootnoteReference"/>
        </w:rPr>
        <w:footnoteReference w:id="72"/>
      </w:r>
      <w:r>
        <w:t xml:space="preserve"> </w:t>
      </w:r>
    </w:p>
    <w:p w14:paraId="52DFCE99" w14:textId="77777777" w:rsidR="00ED05D2" w:rsidRDefault="00ED05D2" w:rsidP="00ED05D2">
      <w:pPr>
        <w:pStyle w:val="ListParagraph"/>
        <w:numPr>
          <w:ilvl w:val="0"/>
          <w:numId w:val="13"/>
        </w:numPr>
      </w:pPr>
      <w:r>
        <w:t xml:space="preserve">For Purpose, For Profit (and sometimes simply For Purpose): </w:t>
      </w:r>
      <w:bookmarkStart w:id="49" w:name="_Int_jHo24hVr"/>
      <w:r>
        <w:t>Generally used</w:t>
      </w:r>
      <w:bookmarkEnd w:id="49"/>
      <w:r>
        <w:t xml:space="preserve"> for genuine reasons with entities established for purpose motives alongside the profit motive. The risk is that they are mistaken for non-profits or charities</w:t>
      </w:r>
    </w:p>
    <w:p w14:paraId="3B23DDBB" w14:textId="72FC0437" w:rsidR="00ED05D2" w:rsidRDefault="00ED05D2" w:rsidP="00ED05D2">
      <w:pPr>
        <w:pStyle w:val="ListParagraph"/>
        <w:numPr>
          <w:ilvl w:val="0"/>
          <w:numId w:val="13"/>
        </w:numPr>
      </w:pPr>
      <w:r>
        <w:t xml:space="preserve">Social enterprise: As there is no legal structure for social enterprises, these can be not-for-profit, for profit or a hybrid. They have a core social purpose built into their business model. </w:t>
      </w:r>
    </w:p>
    <w:p w14:paraId="5CEDB34C" w14:textId="555314E9" w:rsidR="003F171F" w:rsidRDefault="004D1321" w:rsidP="003F171F">
      <w:pPr>
        <w:spacing w:after="120"/>
      </w:pPr>
      <w:r>
        <w:t xml:space="preserve">Further, when it comes to reporting their philanthropic activities, there is little guidance or guidelines for corporate Australia to follow. While over time bodies such as </w:t>
      </w:r>
      <w:proofErr w:type="spellStart"/>
      <w:r w:rsidR="005B6CC2">
        <w:t>AASB</w:t>
      </w:r>
      <w:proofErr w:type="spellEnd"/>
      <w:r w:rsidR="006344E6">
        <w:t>, GAAP</w:t>
      </w:r>
      <w:r w:rsidR="005B6CC2">
        <w:t xml:space="preserve"> and </w:t>
      </w:r>
      <w:r>
        <w:t xml:space="preserve">IFRS </w:t>
      </w:r>
      <w:r w:rsidR="005B6CC2">
        <w:t>are likely to develop f</w:t>
      </w:r>
      <w:r w:rsidR="68EEE163">
        <w:t>inancial reporting</w:t>
      </w:r>
      <w:r w:rsidR="005B6CC2">
        <w:t xml:space="preserve"> standards to</w:t>
      </w:r>
      <w:r w:rsidR="68EEE163">
        <w:t>, the</w:t>
      </w:r>
      <w:r w:rsidR="005B6CC2">
        <w:t>re already exists a</w:t>
      </w:r>
      <w:r w:rsidR="68EEE163">
        <w:t xml:space="preserve"> short</w:t>
      </w:r>
      <w:r w:rsidR="435CD5F5">
        <w:t>-</w:t>
      </w:r>
      <w:r w:rsidR="68EEE163">
        <w:t>term need</w:t>
      </w:r>
      <w:r w:rsidR="005B6CC2">
        <w:t xml:space="preserve">. Without creating a </w:t>
      </w:r>
      <w:r w:rsidR="009114D0">
        <w:t>strict requirement, a consistent framework</w:t>
      </w:r>
      <w:r w:rsidR="00640308" w:rsidRPr="00640308">
        <w:t xml:space="preserve"> </w:t>
      </w:r>
      <w:r w:rsidR="00640308">
        <w:t>designed for use in measuring social impact</w:t>
      </w:r>
      <w:r w:rsidR="00640308">
        <w:rPr>
          <w:rStyle w:val="FootnoteReference"/>
        </w:rPr>
        <w:footnoteReference w:id="73"/>
      </w:r>
      <w:r w:rsidR="00263687">
        <w:t>,</w:t>
      </w:r>
      <w:r w:rsidR="009114D0">
        <w:t xml:space="preserve"> </w:t>
      </w:r>
      <w:r w:rsidR="00263687">
        <w:t>such as that created by</w:t>
      </w:r>
      <w:r w:rsidR="009114D0">
        <w:t xml:space="preserve"> </w:t>
      </w:r>
      <w:r w:rsidR="003F171F">
        <w:t>Business for Societal Impact (</w:t>
      </w:r>
      <w:proofErr w:type="spellStart"/>
      <w:r w:rsidR="003F171F">
        <w:t>B4SI</w:t>
      </w:r>
      <w:proofErr w:type="spellEnd"/>
      <w:r w:rsidR="003F171F">
        <w:t>)</w:t>
      </w:r>
      <w:r w:rsidR="00640308">
        <w:t xml:space="preserve">, </w:t>
      </w:r>
      <w:r w:rsidR="00263687">
        <w:t>would be advised</w:t>
      </w:r>
      <w:r w:rsidR="003F171F">
        <w:t xml:space="preserve">. </w:t>
      </w:r>
    </w:p>
    <w:p w14:paraId="7A0ACC5A" w14:textId="2C791577" w:rsidR="000C1F65" w:rsidRDefault="005B6CC2" w:rsidP="005B28EF">
      <w:pPr>
        <w:spacing w:after="120"/>
      </w:pPr>
      <w:r>
        <w:t>D</w:t>
      </w:r>
      <w:r w:rsidR="68EEE163">
        <w:t xml:space="preserve">onors, </w:t>
      </w:r>
      <w:r w:rsidR="0FCDE0C2">
        <w:t>consumers,</w:t>
      </w:r>
      <w:r w:rsidR="68EEE163">
        <w:t xml:space="preserve"> and the charities reliant on corporate involvement </w:t>
      </w:r>
      <w:r w:rsidR="7A5C235F">
        <w:t xml:space="preserve">would be </w:t>
      </w:r>
      <w:r>
        <w:t>better</w:t>
      </w:r>
      <w:r w:rsidR="7A5C235F">
        <w:t xml:space="preserve"> served by clarity on what the expectations are for communicating philanthropic engagement.</w:t>
      </w:r>
    </w:p>
    <w:p w14:paraId="01698229" w14:textId="0A1CC611" w:rsidR="00134AE3" w:rsidRPr="005B737C" w:rsidRDefault="005B737C" w:rsidP="005B737C">
      <w:pPr>
        <w:spacing w:after="120"/>
      </w:pPr>
      <w:r w:rsidRPr="002B2CD4">
        <w:rPr>
          <w:noProof/>
        </w:rPr>
        <w:lastRenderedPageBreak/>
        <w:drawing>
          <wp:anchor distT="0" distB="0" distL="114300" distR="114300" simplePos="0" relativeHeight="251658243" behindDoc="0" locked="0" layoutInCell="1" allowOverlap="1" wp14:anchorId="0CC73F60" wp14:editId="2FB36F4A">
            <wp:simplePos x="0" y="0"/>
            <wp:positionH relativeFrom="margin">
              <wp:posOffset>-247650</wp:posOffset>
            </wp:positionH>
            <wp:positionV relativeFrom="paragraph">
              <wp:posOffset>38100</wp:posOffset>
            </wp:positionV>
            <wp:extent cx="1885950" cy="796925"/>
            <wp:effectExtent l="0" t="0" r="0" b="3175"/>
            <wp:wrapTopAndBottom/>
            <wp:docPr id="265236314" name="Picture 2652363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72586" name="Picture 1" descr="Logo, company nam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885950" cy="796925"/>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3DB4A296" w14:textId="77777777" w:rsidR="00134AE3" w:rsidRDefault="00134AE3" w:rsidP="00A5109B">
      <w:pPr>
        <w:spacing w:after="60" w:line="240" w:lineRule="auto"/>
        <w:rPr>
          <w:b/>
          <w:bCs/>
        </w:rPr>
      </w:pPr>
    </w:p>
    <w:p w14:paraId="6C4D22BB" w14:textId="47B31EE2" w:rsidR="007D291F" w:rsidRPr="0098244C" w:rsidRDefault="00DA6544" w:rsidP="005B737C">
      <w:pPr>
        <w:spacing w:after="60" w:line="240" w:lineRule="auto"/>
        <w:rPr>
          <w:b/>
          <w:bCs/>
        </w:rPr>
      </w:pPr>
      <w:r w:rsidRPr="0098244C">
        <w:rPr>
          <w:b/>
          <w:bCs/>
        </w:rPr>
        <w:t>David Mann</w:t>
      </w:r>
    </w:p>
    <w:p w14:paraId="6443C895" w14:textId="7FBDB87F" w:rsidR="00DA6544" w:rsidRDefault="00DA6544" w:rsidP="005B737C">
      <w:pPr>
        <w:spacing w:after="60" w:line="240" w:lineRule="auto"/>
      </w:pPr>
      <w:r>
        <w:t>Chief Executive Officer</w:t>
      </w:r>
    </w:p>
    <w:p w14:paraId="0EAD2948" w14:textId="77777777" w:rsidR="0098244C" w:rsidRDefault="0098244C" w:rsidP="00134AE3">
      <w:pPr>
        <w:spacing w:after="60" w:line="240" w:lineRule="auto"/>
        <w:ind w:left="2410"/>
      </w:pPr>
    </w:p>
    <w:p w14:paraId="73EF87F4" w14:textId="77777777" w:rsidR="006B1403" w:rsidRDefault="006B1403" w:rsidP="00134AE3">
      <w:pPr>
        <w:spacing w:after="60" w:line="240" w:lineRule="auto"/>
        <w:ind w:left="2410"/>
      </w:pPr>
    </w:p>
    <w:p w14:paraId="6F86B0FD" w14:textId="44AA1557" w:rsidR="006B1403" w:rsidRPr="00134AE3" w:rsidRDefault="006B1403" w:rsidP="005B737C">
      <w:pPr>
        <w:spacing w:after="60" w:line="240" w:lineRule="auto"/>
        <w:rPr>
          <w:b/>
          <w:bCs/>
        </w:rPr>
      </w:pPr>
      <w:r w:rsidRPr="00134AE3">
        <w:rPr>
          <w:b/>
          <w:bCs/>
        </w:rPr>
        <w:t xml:space="preserve">Nikki </w:t>
      </w:r>
      <w:proofErr w:type="spellStart"/>
      <w:r w:rsidRPr="00134AE3">
        <w:rPr>
          <w:b/>
          <w:bCs/>
        </w:rPr>
        <w:t>Anstis</w:t>
      </w:r>
      <w:proofErr w:type="spellEnd"/>
      <w:r w:rsidRPr="00134AE3">
        <w:rPr>
          <w:b/>
          <w:bCs/>
        </w:rPr>
        <w:t xml:space="preserve"> </w:t>
      </w:r>
    </w:p>
    <w:p w14:paraId="7203726B" w14:textId="07C91036" w:rsidR="006B1403" w:rsidRDefault="003D77C2" w:rsidP="005B737C">
      <w:pPr>
        <w:spacing w:after="60" w:line="240" w:lineRule="auto"/>
      </w:pPr>
      <w:r>
        <w:t>Head of Advocacy and Engagement</w:t>
      </w:r>
    </w:p>
    <w:p w14:paraId="55B8C5CD" w14:textId="77777777" w:rsidR="003D77C2" w:rsidRDefault="003D77C2" w:rsidP="00134AE3">
      <w:pPr>
        <w:spacing w:after="60" w:line="240" w:lineRule="auto"/>
        <w:ind w:left="2410"/>
      </w:pPr>
    </w:p>
    <w:p w14:paraId="652E23BF" w14:textId="77777777" w:rsidR="00134AE3" w:rsidRDefault="00134AE3" w:rsidP="00134AE3">
      <w:pPr>
        <w:spacing w:after="60" w:line="240" w:lineRule="auto"/>
        <w:ind w:left="2410"/>
      </w:pPr>
    </w:p>
    <w:p w14:paraId="3B1C28CB" w14:textId="671D9848" w:rsidR="003D77C2" w:rsidRPr="00134AE3" w:rsidRDefault="00466A1C" w:rsidP="005B737C">
      <w:pPr>
        <w:spacing w:after="60" w:line="240" w:lineRule="auto"/>
        <w:rPr>
          <w:b/>
          <w:bCs/>
        </w:rPr>
      </w:pPr>
      <w:hyperlink r:id="rId18" w:history="1">
        <w:r w:rsidR="005B737C" w:rsidRPr="00DC5423">
          <w:rPr>
            <w:rStyle w:val="Hyperlink"/>
            <w:b/>
            <w:bCs/>
          </w:rPr>
          <w:t>https://</w:t>
        </w:r>
        <w:proofErr w:type="spellStart"/>
        <w:r w:rsidR="005B737C" w:rsidRPr="00DC5423">
          <w:rPr>
            <w:rStyle w:val="Hyperlink"/>
            <w:b/>
            <w:bCs/>
          </w:rPr>
          <w:t>workplacegivingaustralia.org.au</w:t>
        </w:r>
        <w:proofErr w:type="spellEnd"/>
        <w:r w:rsidR="005B737C" w:rsidRPr="00DC5423">
          <w:rPr>
            <w:rStyle w:val="Hyperlink"/>
            <w:b/>
            <w:bCs/>
          </w:rPr>
          <w:t>/</w:t>
        </w:r>
      </w:hyperlink>
    </w:p>
    <w:p w14:paraId="4E02BC66" w14:textId="77777777" w:rsidR="00134AE3" w:rsidRDefault="00134AE3" w:rsidP="00134AE3">
      <w:pPr>
        <w:spacing w:after="60" w:line="240" w:lineRule="auto"/>
        <w:ind w:left="2410"/>
      </w:pPr>
    </w:p>
    <w:p w14:paraId="5B3993B8" w14:textId="075B0E80" w:rsidR="00925899" w:rsidRDefault="00925899" w:rsidP="00B124D9">
      <w:r>
        <w:t xml:space="preserve"> </w:t>
      </w:r>
    </w:p>
    <w:p w14:paraId="66144CA7" w14:textId="77777777" w:rsidR="007D291F" w:rsidRDefault="007D291F" w:rsidP="00B124D9"/>
    <w:p w14:paraId="708F91F8" w14:textId="77777777" w:rsidR="007D291F" w:rsidRDefault="007D291F" w:rsidP="00B124D9"/>
    <w:p w14:paraId="7A568752" w14:textId="77777777" w:rsidR="007D291F" w:rsidRDefault="007D291F" w:rsidP="00B124D9"/>
    <w:p w14:paraId="592D3020" w14:textId="77777777" w:rsidR="007D291F" w:rsidRDefault="007D291F" w:rsidP="00B124D9"/>
    <w:p w14:paraId="0B5DEB45" w14:textId="24069B3C" w:rsidR="00BA5B03" w:rsidRDefault="00BA5B03" w:rsidP="00B124D9"/>
    <w:sectPr w:rsidR="00BA5B03" w:rsidSect="00C84521">
      <w:footerReference w:type="default" r:id="rId19"/>
      <w:head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779A0" w14:textId="77777777" w:rsidR="00B04680" w:rsidRDefault="00B04680" w:rsidP="004D4B93">
      <w:pPr>
        <w:spacing w:after="0" w:line="240" w:lineRule="auto"/>
      </w:pPr>
      <w:r>
        <w:separator/>
      </w:r>
    </w:p>
  </w:endnote>
  <w:endnote w:type="continuationSeparator" w:id="0">
    <w:p w14:paraId="58236A9C" w14:textId="77777777" w:rsidR="00B04680" w:rsidRDefault="00B04680" w:rsidP="004D4B93">
      <w:pPr>
        <w:spacing w:after="0" w:line="240" w:lineRule="auto"/>
      </w:pPr>
      <w:r>
        <w:continuationSeparator/>
      </w:r>
    </w:p>
  </w:endnote>
  <w:endnote w:type="continuationNotice" w:id="1">
    <w:p w14:paraId="47A5175F" w14:textId="77777777" w:rsidR="00B04680" w:rsidRDefault="00B046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95A5" w14:textId="58C9E1FB" w:rsidR="0061796B" w:rsidRPr="005B28EF" w:rsidRDefault="0061796B" w:rsidP="0061796B">
    <w:pPr>
      <w:pStyle w:val="Footer"/>
      <w:ind w:left="-851"/>
      <w:rPr>
        <w:u w:val="single"/>
      </w:rPr>
    </w:pPr>
    <w:r w:rsidRPr="005B28EF">
      <w:rPr>
        <w:color w:val="538135" w:themeColor="accent6" w:themeShade="BF"/>
        <w:sz w:val="16"/>
        <w:szCs w:val="16"/>
        <w:u w:val="single"/>
      </w:rPr>
      <w:t>Workplace Giving Australia: Initial Submission to Productivity Commission May 2023</w:t>
    </w:r>
    <w:r w:rsidRPr="005B28EF">
      <w:rPr>
        <w:color w:val="538135" w:themeColor="accent6" w:themeShade="BF"/>
        <w:u w:val="single"/>
      </w:rPr>
      <w:tab/>
    </w:r>
    <w:sdt>
      <w:sdtPr>
        <w:rPr>
          <w:color w:val="538135" w:themeColor="accent6" w:themeShade="BF"/>
          <w:u w:val="single"/>
        </w:rPr>
        <w:id w:val="-1408680361"/>
        <w:docPartObj>
          <w:docPartGallery w:val="Page Numbers (Bottom of Page)"/>
          <w:docPartUnique/>
        </w:docPartObj>
      </w:sdtPr>
      <w:sdtEndPr>
        <w:rPr>
          <w:noProof/>
        </w:rPr>
      </w:sdtEndPr>
      <w:sdtContent>
        <w:r w:rsidRPr="005B28EF">
          <w:rPr>
            <w:color w:val="538135" w:themeColor="accent6" w:themeShade="BF"/>
            <w:sz w:val="20"/>
            <w:szCs w:val="20"/>
            <w:u w:val="single"/>
          </w:rPr>
          <w:fldChar w:fldCharType="begin"/>
        </w:r>
        <w:r w:rsidRPr="005B28EF">
          <w:rPr>
            <w:color w:val="538135" w:themeColor="accent6" w:themeShade="BF"/>
            <w:sz w:val="20"/>
            <w:szCs w:val="20"/>
            <w:u w:val="single"/>
          </w:rPr>
          <w:instrText xml:space="preserve"> PAGE   \* MERGEFORMAT </w:instrText>
        </w:r>
        <w:r w:rsidRPr="005B28EF">
          <w:rPr>
            <w:color w:val="538135" w:themeColor="accent6" w:themeShade="BF"/>
            <w:sz w:val="20"/>
            <w:szCs w:val="20"/>
            <w:u w:val="single"/>
          </w:rPr>
          <w:fldChar w:fldCharType="separate"/>
        </w:r>
        <w:r w:rsidRPr="005B28EF">
          <w:rPr>
            <w:noProof/>
            <w:color w:val="538135" w:themeColor="accent6" w:themeShade="BF"/>
            <w:sz w:val="20"/>
            <w:szCs w:val="20"/>
            <w:u w:val="single"/>
          </w:rPr>
          <w:t>2</w:t>
        </w:r>
        <w:r w:rsidRPr="005B28EF">
          <w:rPr>
            <w:noProof/>
            <w:color w:val="538135" w:themeColor="accent6" w:themeShade="BF"/>
            <w:sz w:val="20"/>
            <w:szCs w:val="20"/>
            <w:u w:val="single"/>
          </w:rPr>
          <w:fldChar w:fldCharType="end"/>
        </w:r>
      </w:sdtContent>
    </w:sdt>
  </w:p>
  <w:p w14:paraId="37F243B3" w14:textId="77777777" w:rsidR="0028673E" w:rsidRDefault="00286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A51C5" w14:textId="77777777" w:rsidR="00B04680" w:rsidRDefault="00B04680" w:rsidP="004D4B93">
      <w:pPr>
        <w:spacing w:after="0" w:line="240" w:lineRule="auto"/>
      </w:pPr>
      <w:r>
        <w:separator/>
      </w:r>
    </w:p>
  </w:footnote>
  <w:footnote w:type="continuationSeparator" w:id="0">
    <w:p w14:paraId="7B666564" w14:textId="77777777" w:rsidR="00B04680" w:rsidRDefault="00B04680" w:rsidP="004D4B93">
      <w:pPr>
        <w:spacing w:after="0" w:line="240" w:lineRule="auto"/>
      </w:pPr>
      <w:r>
        <w:continuationSeparator/>
      </w:r>
    </w:p>
  </w:footnote>
  <w:footnote w:type="continuationNotice" w:id="1">
    <w:p w14:paraId="705CC6BD" w14:textId="77777777" w:rsidR="00B04680" w:rsidRDefault="00B04680">
      <w:pPr>
        <w:spacing w:after="0" w:line="240" w:lineRule="auto"/>
      </w:pPr>
    </w:p>
  </w:footnote>
  <w:footnote w:id="2">
    <w:p w14:paraId="7F9B030F" w14:textId="6F52FED8" w:rsidR="004B045B" w:rsidRPr="004B045B" w:rsidRDefault="004B045B" w:rsidP="00624BBD">
      <w:pPr>
        <w:pStyle w:val="FootnoteText"/>
        <w:ind w:left="142" w:hanging="142"/>
        <w:rPr>
          <w:lang w:val="en-GB"/>
        </w:rPr>
      </w:pPr>
      <w:r>
        <w:rPr>
          <w:rStyle w:val="FootnoteReference"/>
        </w:rPr>
        <w:footnoteRef/>
      </w:r>
      <w:r>
        <w:t xml:space="preserve"> </w:t>
      </w:r>
      <w:r>
        <w:rPr>
          <w:lang w:val="en-GB"/>
        </w:rPr>
        <w:t>Workplace Giving Australia research report 2022</w:t>
      </w:r>
    </w:p>
  </w:footnote>
  <w:footnote w:id="3">
    <w:p w14:paraId="65D7B7D6" w14:textId="3127D88D" w:rsidR="005D06A1" w:rsidRPr="00D530FE" w:rsidRDefault="005D06A1">
      <w:pPr>
        <w:pStyle w:val="FootnoteText"/>
        <w:rPr>
          <w:sz w:val="18"/>
          <w:szCs w:val="18"/>
          <w:lang w:val="en-GB"/>
        </w:rPr>
      </w:pPr>
      <w:r w:rsidRPr="00D530FE">
        <w:rPr>
          <w:rStyle w:val="FootnoteReference"/>
          <w:sz w:val="18"/>
          <w:szCs w:val="18"/>
        </w:rPr>
        <w:footnoteRef/>
      </w:r>
      <w:r w:rsidRPr="00D530FE">
        <w:rPr>
          <w:sz w:val="18"/>
          <w:szCs w:val="18"/>
        </w:rPr>
        <w:t xml:space="preserve"> </w:t>
      </w:r>
      <w:proofErr w:type="spellStart"/>
      <w:r w:rsidR="00D530FE" w:rsidRPr="00D530FE">
        <w:rPr>
          <w:sz w:val="18"/>
          <w:szCs w:val="18"/>
        </w:rPr>
        <w:t>ACNC</w:t>
      </w:r>
      <w:proofErr w:type="spellEnd"/>
      <w:r w:rsidR="00D530FE" w:rsidRPr="00D530FE">
        <w:rPr>
          <w:sz w:val="18"/>
          <w:szCs w:val="18"/>
        </w:rPr>
        <w:t xml:space="preserve"> Annual Report 2020-2021</w:t>
      </w:r>
    </w:p>
  </w:footnote>
  <w:footnote w:id="4">
    <w:p w14:paraId="07C750FA" w14:textId="7CFF17E0" w:rsidR="00B2245F" w:rsidRPr="005E4A7B" w:rsidRDefault="00B2245F" w:rsidP="00624BBD">
      <w:pPr>
        <w:pStyle w:val="FootnoteText"/>
        <w:ind w:left="142" w:hanging="142"/>
        <w:rPr>
          <w:rFonts w:ascii="Calibri" w:hAnsi="Calibri" w:cs="Calibri"/>
          <w:sz w:val="18"/>
          <w:szCs w:val="18"/>
          <w:lang w:val="en-GB"/>
        </w:rPr>
      </w:pPr>
      <w:r>
        <w:rPr>
          <w:rStyle w:val="FootnoteReference"/>
        </w:rPr>
        <w:footnoteRef/>
      </w:r>
      <w:r>
        <w:t xml:space="preserve"> </w:t>
      </w:r>
      <w:r w:rsidRPr="005E4A7B">
        <w:rPr>
          <w:rFonts w:ascii="Calibri" w:hAnsi="Calibri" w:cs="Calibri"/>
          <w:sz w:val="18"/>
          <w:szCs w:val="18"/>
          <w:lang w:val="en-GB"/>
        </w:rPr>
        <w:t>For example</w:t>
      </w:r>
      <w:r w:rsidR="00216BA9" w:rsidRPr="005E4A7B">
        <w:rPr>
          <w:rFonts w:ascii="Calibri" w:hAnsi="Calibri" w:cs="Calibri"/>
          <w:sz w:val="18"/>
          <w:szCs w:val="18"/>
          <w:lang w:val="en-GB"/>
        </w:rPr>
        <w:t>,</w:t>
      </w:r>
      <w:r w:rsidRPr="005E4A7B">
        <w:rPr>
          <w:rFonts w:ascii="Calibri" w:hAnsi="Calibri" w:cs="Calibri"/>
          <w:sz w:val="18"/>
          <w:szCs w:val="18"/>
          <w:lang w:val="en-GB"/>
        </w:rPr>
        <w:t xml:space="preserve"> reference work of Michael Norton </w:t>
      </w:r>
      <w:r w:rsidR="00410F76" w:rsidRPr="005E4A7B">
        <w:rPr>
          <w:rFonts w:ascii="Calibri" w:hAnsi="Calibri" w:cs="Calibri"/>
          <w:sz w:val="18"/>
          <w:szCs w:val="18"/>
          <w:lang w:val="en-GB"/>
        </w:rPr>
        <w:t>and Elizabeth Dunn</w:t>
      </w:r>
      <w:r w:rsidR="00AE00C4" w:rsidRPr="005E4A7B">
        <w:rPr>
          <w:rFonts w:ascii="Calibri" w:hAnsi="Calibri" w:cs="Calibri"/>
          <w:sz w:val="18"/>
          <w:szCs w:val="18"/>
          <w:lang w:val="en-GB"/>
        </w:rPr>
        <w:t>: “How Money Actually Buys Happiness” Harvard Business Review</w:t>
      </w:r>
      <w:r w:rsidR="00EA2926" w:rsidRPr="005E4A7B">
        <w:rPr>
          <w:rFonts w:ascii="Calibri" w:hAnsi="Calibri" w:cs="Calibri"/>
          <w:sz w:val="18"/>
          <w:szCs w:val="18"/>
          <w:lang w:val="en-GB"/>
        </w:rPr>
        <w:t xml:space="preserve"> (HBR)</w:t>
      </w:r>
      <w:r w:rsidR="00AE00C4" w:rsidRPr="005E4A7B">
        <w:rPr>
          <w:rFonts w:ascii="Calibri" w:hAnsi="Calibri" w:cs="Calibri"/>
          <w:sz w:val="18"/>
          <w:szCs w:val="18"/>
          <w:lang w:val="en-GB"/>
        </w:rPr>
        <w:t xml:space="preserve"> June 2013, </w:t>
      </w:r>
      <w:r w:rsidR="00EA2926" w:rsidRPr="005E4A7B">
        <w:rPr>
          <w:rFonts w:ascii="Calibri" w:hAnsi="Calibri" w:cs="Calibri"/>
          <w:sz w:val="18"/>
          <w:szCs w:val="18"/>
          <w:lang w:val="en-GB"/>
        </w:rPr>
        <w:t>“Help Employees Give Away Some of That Bonus” HBR July-August 2008</w:t>
      </w:r>
    </w:p>
  </w:footnote>
  <w:footnote w:id="5">
    <w:p w14:paraId="4F6F1E48" w14:textId="542E52FC" w:rsidR="00A92B4C" w:rsidRPr="005E4A7B" w:rsidRDefault="00A92B4C" w:rsidP="00624BBD">
      <w:pPr>
        <w:pStyle w:val="FootnoteText"/>
        <w:ind w:left="142" w:hanging="142"/>
        <w:rPr>
          <w:rFonts w:ascii="Calibri" w:hAnsi="Calibri" w:cs="Calibri"/>
          <w:sz w:val="18"/>
          <w:szCs w:val="18"/>
          <w:lang w:val="en-GB"/>
        </w:rPr>
      </w:pPr>
      <w:r w:rsidRPr="005E4A7B">
        <w:rPr>
          <w:rStyle w:val="FootnoteReference"/>
          <w:rFonts w:ascii="Calibri" w:hAnsi="Calibri" w:cs="Calibri"/>
          <w:sz w:val="18"/>
          <w:szCs w:val="18"/>
        </w:rPr>
        <w:footnoteRef/>
      </w:r>
      <w:r w:rsidRPr="005E4A7B">
        <w:rPr>
          <w:rFonts w:ascii="Calibri" w:hAnsi="Calibri" w:cs="Calibri"/>
          <w:sz w:val="18"/>
          <w:szCs w:val="18"/>
        </w:rPr>
        <w:t xml:space="preserve"> </w:t>
      </w:r>
      <w:r w:rsidRPr="005E4A7B">
        <w:rPr>
          <w:rFonts w:ascii="Calibri" w:hAnsi="Calibri" w:cs="Calibri"/>
          <w:sz w:val="18"/>
          <w:szCs w:val="18"/>
          <w:lang w:val="en-GB"/>
        </w:rPr>
        <w:t xml:space="preserve">54% of Australians </w:t>
      </w:r>
      <w:r w:rsidR="001A6E82" w:rsidRPr="005E4A7B">
        <w:rPr>
          <w:rFonts w:ascii="Calibri" w:hAnsi="Calibri" w:cs="Calibri"/>
          <w:sz w:val="18"/>
          <w:szCs w:val="18"/>
          <w:lang w:val="en-GB"/>
        </w:rPr>
        <w:t>say that the social fabric that once held Australia together has grown too weak to serve as a foundation for unity and common purpose per 2023 Edelman Trust Barometer</w:t>
      </w:r>
    </w:p>
  </w:footnote>
  <w:footnote w:id="6">
    <w:p w14:paraId="68524BC6" w14:textId="77777777" w:rsidR="007725F4" w:rsidRPr="005E4A7B" w:rsidRDefault="007725F4" w:rsidP="005E4A7B">
      <w:pPr>
        <w:pStyle w:val="FootnoteText"/>
        <w:keepNext/>
        <w:spacing w:line="259" w:lineRule="auto"/>
        <w:ind w:left="142" w:hanging="142"/>
        <w:rPr>
          <w:rFonts w:ascii="Calibri" w:hAnsi="Calibri" w:cs="Calibri"/>
          <w:sz w:val="18"/>
          <w:szCs w:val="18"/>
          <w:lang w:val="en-GB"/>
        </w:rPr>
      </w:pPr>
      <w:r w:rsidRPr="005E4A7B">
        <w:rPr>
          <w:rStyle w:val="FootnoteReference"/>
          <w:rFonts w:ascii="Calibri" w:hAnsi="Calibri" w:cs="Calibri"/>
          <w:sz w:val="18"/>
          <w:szCs w:val="18"/>
        </w:rPr>
        <w:footnoteRef/>
      </w:r>
      <w:r w:rsidRPr="005E4A7B">
        <w:rPr>
          <w:rFonts w:ascii="Calibri" w:hAnsi="Calibri" w:cs="Calibri"/>
          <w:sz w:val="18"/>
          <w:szCs w:val="18"/>
        </w:rPr>
        <w:t xml:space="preserve"> </w:t>
      </w:r>
      <w:r w:rsidRPr="005E4A7B">
        <w:rPr>
          <w:rFonts w:ascii="Calibri" w:hAnsi="Calibri" w:cs="Calibri"/>
          <w:sz w:val="18"/>
          <w:szCs w:val="18"/>
          <w:lang w:val="en-GB"/>
        </w:rPr>
        <w:t>This might be termed more accurately Employer Philanthropy as it would include non-corporate entities, such as partnerships and Government departments.</w:t>
      </w:r>
    </w:p>
  </w:footnote>
  <w:footnote w:id="7">
    <w:p w14:paraId="060468E3" w14:textId="67EB99D0" w:rsidR="001A1D5C" w:rsidRPr="005E4A7B" w:rsidRDefault="001A1D5C" w:rsidP="00624BBD">
      <w:pPr>
        <w:pStyle w:val="FootnoteText"/>
        <w:ind w:left="142" w:hanging="142"/>
        <w:rPr>
          <w:rStyle w:val="normaltextrun"/>
          <w:rFonts w:ascii="Calibri" w:eastAsia="Times New Roman" w:hAnsi="Calibri" w:cs="Calibri"/>
          <w:color w:val="000000"/>
          <w:sz w:val="18"/>
          <w:szCs w:val="18"/>
          <w:lang w:val="en-US" w:eastAsia="en-AU"/>
        </w:rPr>
      </w:pPr>
      <w:r w:rsidRPr="005E4A7B">
        <w:rPr>
          <w:rStyle w:val="FootnoteReference"/>
          <w:rFonts w:ascii="Calibri" w:hAnsi="Calibri" w:cs="Calibri"/>
          <w:sz w:val="18"/>
          <w:szCs w:val="18"/>
        </w:rPr>
        <w:footnoteRef/>
      </w:r>
      <w:r w:rsidRPr="005E4A7B">
        <w:rPr>
          <w:rFonts w:ascii="Calibri" w:hAnsi="Calibri" w:cs="Calibri"/>
          <w:sz w:val="18"/>
          <w:szCs w:val="18"/>
        </w:rPr>
        <w:t xml:space="preserve"> </w:t>
      </w:r>
      <w:r w:rsidR="00B14449" w:rsidRPr="005E4A7B">
        <w:rPr>
          <w:rStyle w:val="normaltextrun"/>
          <w:rFonts w:ascii="Calibri" w:eastAsia="Times New Roman" w:hAnsi="Calibri" w:cs="Calibri"/>
          <w:color w:val="000000"/>
          <w:sz w:val="18"/>
          <w:szCs w:val="18"/>
          <w:lang w:val="en-US" w:eastAsia="en-AU"/>
        </w:rPr>
        <w:t>Late 20</w:t>
      </w:r>
      <w:r w:rsidR="00B14449" w:rsidRPr="005E4A7B">
        <w:rPr>
          <w:rStyle w:val="normaltextrun"/>
          <w:rFonts w:ascii="Calibri" w:eastAsia="Times New Roman" w:hAnsi="Calibri" w:cs="Calibri"/>
          <w:color w:val="000000"/>
          <w:sz w:val="18"/>
          <w:szCs w:val="18"/>
          <w:vertAlign w:val="superscript"/>
          <w:lang w:val="en-US" w:eastAsia="en-AU"/>
        </w:rPr>
        <w:t>th</w:t>
      </w:r>
      <w:r w:rsidR="00B14449" w:rsidRPr="005E4A7B">
        <w:rPr>
          <w:rStyle w:val="normaltextrun"/>
          <w:rFonts w:ascii="Calibri" w:eastAsia="Times New Roman" w:hAnsi="Calibri" w:cs="Calibri"/>
          <w:color w:val="000000"/>
          <w:sz w:val="18"/>
          <w:szCs w:val="18"/>
          <w:lang w:val="en-US" w:eastAsia="en-AU"/>
        </w:rPr>
        <w:t xml:space="preserve"> century economic views such as agency theory </w:t>
      </w:r>
      <w:r w:rsidR="007947F0" w:rsidRPr="005E4A7B">
        <w:rPr>
          <w:rStyle w:val="normaltextrun"/>
          <w:rFonts w:ascii="Calibri" w:eastAsia="Times New Roman" w:hAnsi="Calibri" w:cs="Calibri"/>
          <w:color w:val="000000"/>
          <w:sz w:val="18"/>
          <w:szCs w:val="18"/>
          <w:lang w:val="en-US" w:eastAsia="en-AU"/>
        </w:rPr>
        <w:t>dismissed</w:t>
      </w:r>
      <w:r w:rsidR="00B14449" w:rsidRPr="005E4A7B">
        <w:rPr>
          <w:rStyle w:val="normaltextrun"/>
          <w:rFonts w:ascii="Calibri" w:eastAsia="Times New Roman" w:hAnsi="Calibri" w:cs="Calibri"/>
          <w:color w:val="000000"/>
          <w:sz w:val="18"/>
          <w:szCs w:val="18"/>
          <w:lang w:val="en-US" w:eastAsia="en-AU"/>
        </w:rPr>
        <w:t xml:space="preserve"> corporate philanthropy </w:t>
      </w:r>
      <w:r w:rsidR="007947F0" w:rsidRPr="005E4A7B">
        <w:rPr>
          <w:rStyle w:val="normaltextrun"/>
          <w:rFonts w:ascii="Calibri" w:eastAsia="Times New Roman" w:hAnsi="Calibri" w:cs="Calibri"/>
          <w:color w:val="000000"/>
          <w:sz w:val="18"/>
          <w:szCs w:val="18"/>
          <w:lang w:val="en-US" w:eastAsia="en-AU"/>
        </w:rPr>
        <w:t xml:space="preserve">contending that corporates existed for </w:t>
      </w:r>
      <w:r w:rsidR="00B14449" w:rsidRPr="005E4A7B">
        <w:rPr>
          <w:rStyle w:val="normaltextrun"/>
          <w:rFonts w:ascii="Calibri" w:eastAsia="Times New Roman" w:hAnsi="Calibri" w:cs="Calibri"/>
          <w:color w:val="000000"/>
          <w:sz w:val="18"/>
          <w:szCs w:val="18"/>
          <w:lang w:val="en-US" w:eastAsia="en-AU"/>
        </w:rPr>
        <w:t xml:space="preserve">the sole purpose of </w:t>
      </w:r>
      <w:r w:rsidR="007947F0" w:rsidRPr="005E4A7B">
        <w:rPr>
          <w:rStyle w:val="normaltextrun"/>
          <w:rFonts w:ascii="Calibri" w:eastAsia="Times New Roman" w:hAnsi="Calibri" w:cs="Calibri"/>
          <w:color w:val="000000"/>
          <w:sz w:val="18"/>
          <w:szCs w:val="18"/>
          <w:lang w:val="en-US" w:eastAsia="en-AU"/>
        </w:rPr>
        <w:t xml:space="preserve">maximizing </w:t>
      </w:r>
      <w:r w:rsidR="00B14449" w:rsidRPr="005E4A7B">
        <w:rPr>
          <w:rStyle w:val="normaltextrun"/>
          <w:rFonts w:ascii="Calibri" w:eastAsia="Times New Roman" w:hAnsi="Calibri" w:cs="Calibri"/>
          <w:color w:val="000000"/>
          <w:sz w:val="18"/>
          <w:szCs w:val="18"/>
          <w:lang w:val="en-US" w:eastAsia="en-AU"/>
        </w:rPr>
        <w:t>shareholder wealth (</w:t>
      </w:r>
      <w:r w:rsidR="008A307E" w:rsidRPr="005E4A7B">
        <w:rPr>
          <w:rStyle w:val="normaltextrun"/>
          <w:rFonts w:ascii="Calibri" w:eastAsia="Times New Roman" w:hAnsi="Calibri" w:cs="Calibri"/>
          <w:color w:val="000000"/>
          <w:sz w:val="18"/>
          <w:szCs w:val="18"/>
          <w:lang w:val="en-US" w:eastAsia="en-AU"/>
        </w:rPr>
        <w:t xml:space="preserve">“Comparing big givers and small givers: Financial correlates of corporate philanthropy.” Journal of Business Ethics, 45, 195-211 by </w:t>
      </w:r>
      <w:r w:rsidR="00B14449" w:rsidRPr="005E4A7B">
        <w:rPr>
          <w:rStyle w:val="normaltextrun"/>
          <w:rFonts w:ascii="Calibri" w:eastAsia="Times New Roman" w:hAnsi="Calibri" w:cs="Calibri"/>
          <w:color w:val="000000"/>
          <w:sz w:val="18"/>
          <w:szCs w:val="18"/>
          <w:lang w:val="en-US" w:eastAsia="en-AU"/>
        </w:rPr>
        <w:t xml:space="preserve">Seifert, Morris, &amp; </w:t>
      </w:r>
      <w:proofErr w:type="spellStart"/>
      <w:r w:rsidR="00B14449" w:rsidRPr="005E4A7B">
        <w:rPr>
          <w:rStyle w:val="normaltextrun"/>
          <w:rFonts w:ascii="Calibri" w:eastAsia="Times New Roman" w:hAnsi="Calibri" w:cs="Calibri"/>
          <w:color w:val="000000"/>
          <w:sz w:val="18"/>
          <w:szCs w:val="18"/>
          <w:lang w:val="en-US" w:eastAsia="en-AU"/>
        </w:rPr>
        <w:t>Bartkus</w:t>
      </w:r>
      <w:proofErr w:type="spellEnd"/>
      <w:r w:rsidR="00B14449" w:rsidRPr="005E4A7B">
        <w:rPr>
          <w:rStyle w:val="normaltextrun"/>
          <w:rFonts w:ascii="Calibri" w:eastAsia="Times New Roman" w:hAnsi="Calibri" w:cs="Calibri"/>
          <w:color w:val="000000"/>
          <w:sz w:val="18"/>
          <w:szCs w:val="18"/>
          <w:lang w:val="en-US" w:eastAsia="en-AU"/>
        </w:rPr>
        <w:t xml:space="preserve">, 2003; </w:t>
      </w:r>
      <w:proofErr w:type="spellStart"/>
      <w:r w:rsidR="00B14449" w:rsidRPr="005E4A7B">
        <w:rPr>
          <w:rStyle w:val="normaltextrun"/>
          <w:rFonts w:ascii="Calibri" w:eastAsia="Times New Roman" w:hAnsi="Calibri" w:cs="Calibri"/>
          <w:color w:val="000000"/>
          <w:sz w:val="18"/>
          <w:szCs w:val="18"/>
          <w:lang w:val="en-US" w:eastAsia="en-AU"/>
        </w:rPr>
        <w:t>Weyzig</w:t>
      </w:r>
      <w:proofErr w:type="spellEnd"/>
      <w:r w:rsidR="00B14449" w:rsidRPr="005E4A7B">
        <w:rPr>
          <w:rStyle w:val="normaltextrun"/>
          <w:rFonts w:ascii="Calibri" w:eastAsia="Times New Roman" w:hAnsi="Calibri" w:cs="Calibri"/>
          <w:color w:val="000000"/>
          <w:sz w:val="18"/>
          <w:szCs w:val="18"/>
          <w:lang w:val="en-US" w:eastAsia="en-AU"/>
        </w:rPr>
        <w:t>, 2009).</w:t>
      </w:r>
      <w:r w:rsidR="00A6256D" w:rsidRPr="005E4A7B">
        <w:rPr>
          <w:rStyle w:val="normaltextrun"/>
          <w:rFonts w:ascii="Calibri" w:eastAsia="Times New Roman" w:hAnsi="Calibri" w:cs="Calibri"/>
          <w:color w:val="000000"/>
          <w:sz w:val="18"/>
          <w:szCs w:val="18"/>
          <w:lang w:val="en-US" w:eastAsia="en-AU"/>
        </w:rPr>
        <w:t xml:space="preserve"> Competing theories including </w:t>
      </w:r>
      <w:r w:rsidR="00786E54" w:rsidRPr="005E4A7B">
        <w:rPr>
          <w:rStyle w:val="normaltextrun"/>
          <w:rFonts w:ascii="Calibri" w:eastAsia="Times New Roman" w:hAnsi="Calibri" w:cs="Calibri"/>
          <w:color w:val="000000"/>
          <w:sz w:val="18"/>
          <w:szCs w:val="18"/>
          <w:lang w:val="en-US" w:eastAsia="en-AU"/>
        </w:rPr>
        <w:t xml:space="preserve">those of </w:t>
      </w:r>
      <w:r w:rsidR="009C04AB" w:rsidRPr="005E4A7B">
        <w:rPr>
          <w:rStyle w:val="normaltextrun"/>
          <w:rFonts w:ascii="Calibri" w:eastAsia="Times New Roman" w:hAnsi="Calibri" w:cs="Calibri"/>
          <w:color w:val="000000"/>
          <w:sz w:val="18"/>
          <w:szCs w:val="18"/>
          <w:lang w:val="en-US" w:eastAsia="en-AU"/>
        </w:rPr>
        <w:t>s</w:t>
      </w:r>
      <w:r w:rsidR="00786E54" w:rsidRPr="005E4A7B">
        <w:rPr>
          <w:rStyle w:val="normaltextrun"/>
          <w:rFonts w:ascii="Calibri" w:eastAsia="Times New Roman" w:hAnsi="Calibri" w:cs="Calibri"/>
          <w:color w:val="000000"/>
          <w:sz w:val="18"/>
          <w:szCs w:val="18"/>
          <w:lang w:val="en-US" w:eastAsia="en-AU"/>
        </w:rPr>
        <w:t xml:space="preserve">trategic </w:t>
      </w:r>
      <w:r w:rsidR="009C04AB" w:rsidRPr="005E4A7B">
        <w:rPr>
          <w:rStyle w:val="normaltextrun"/>
          <w:rFonts w:ascii="Calibri" w:eastAsia="Times New Roman" w:hAnsi="Calibri" w:cs="Calibri"/>
          <w:color w:val="000000"/>
          <w:sz w:val="18"/>
          <w:szCs w:val="18"/>
          <w:lang w:val="en-US" w:eastAsia="en-AU"/>
        </w:rPr>
        <w:t>p</w:t>
      </w:r>
      <w:r w:rsidR="00786E54" w:rsidRPr="005E4A7B">
        <w:rPr>
          <w:rStyle w:val="normaltextrun"/>
          <w:rFonts w:ascii="Calibri" w:eastAsia="Times New Roman" w:hAnsi="Calibri" w:cs="Calibri"/>
          <w:color w:val="000000"/>
          <w:sz w:val="18"/>
          <w:szCs w:val="18"/>
          <w:lang w:val="en-US" w:eastAsia="en-AU"/>
        </w:rPr>
        <w:t xml:space="preserve">hilanthropy </w:t>
      </w:r>
      <w:r w:rsidR="00E046DE" w:rsidRPr="005E4A7B">
        <w:rPr>
          <w:rStyle w:val="normaltextrun"/>
          <w:rFonts w:ascii="Calibri" w:eastAsia="Times New Roman" w:hAnsi="Calibri" w:cs="Calibri"/>
          <w:color w:val="000000"/>
          <w:sz w:val="18"/>
          <w:szCs w:val="18"/>
          <w:lang w:val="en-US" w:eastAsia="en-AU"/>
        </w:rPr>
        <w:t xml:space="preserve">“The competitive advantage of corporate philanthropy.” Harvard Business Review, 80(12), 56-69 </w:t>
      </w:r>
      <w:r w:rsidR="009C04AB" w:rsidRPr="005E4A7B">
        <w:rPr>
          <w:rStyle w:val="normaltextrun"/>
          <w:rFonts w:ascii="Calibri" w:eastAsia="Times New Roman" w:hAnsi="Calibri" w:cs="Calibri"/>
          <w:color w:val="000000"/>
          <w:sz w:val="18"/>
          <w:szCs w:val="18"/>
          <w:lang w:val="en-US" w:eastAsia="en-AU"/>
        </w:rPr>
        <w:t>Porter &amp; Kramer, 2002 and</w:t>
      </w:r>
      <w:r w:rsidR="00C4318A" w:rsidRPr="005E4A7B">
        <w:rPr>
          <w:rStyle w:val="normaltextrun"/>
          <w:rFonts w:ascii="Calibri" w:eastAsia="Times New Roman" w:hAnsi="Calibri" w:cs="Calibri"/>
          <w:color w:val="000000"/>
          <w:sz w:val="18"/>
          <w:szCs w:val="18"/>
          <w:lang w:val="en-US" w:eastAsia="en-AU"/>
        </w:rPr>
        <w:t xml:space="preserve"> </w:t>
      </w:r>
      <w:hyperlink r:id="rId1" w:history="1">
        <w:r w:rsidR="00C436C1" w:rsidRPr="005E4A7B">
          <w:rPr>
            <w:rStyle w:val="normaltextrun"/>
            <w:rFonts w:ascii="Calibri" w:eastAsia="Times New Roman" w:hAnsi="Calibri" w:cs="Calibri"/>
            <w:color w:val="000000"/>
            <w:sz w:val="18"/>
            <w:szCs w:val="18"/>
            <w:lang w:val="en-US" w:eastAsia="en-AU"/>
          </w:rPr>
          <w:t>The Shape of Corporate Philanthropy Yesterday and Today | Grantmakers in the Arts (</w:t>
        </w:r>
        <w:proofErr w:type="spellStart"/>
        <w:r w:rsidR="00C436C1" w:rsidRPr="005E4A7B">
          <w:rPr>
            <w:rStyle w:val="normaltextrun"/>
            <w:rFonts w:ascii="Calibri" w:eastAsia="Times New Roman" w:hAnsi="Calibri" w:cs="Calibri"/>
            <w:color w:val="000000"/>
            <w:sz w:val="18"/>
            <w:szCs w:val="18"/>
            <w:lang w:val="en-US" w:eastAsia="en-AU"/>
          </w:rPr>
          <w:t>giarts.org</w:t>
        </w:r>
        <w:proofErr w:type="spellEnd"/>
        <w:r w:rsidR="00C436C1" w:rsidRPr="005E4A7B">
          <w:rPr>
            <w:rStyle w:val="normaltextrun"/>
            <w:rFonts w:ascii="Calibri" w:eastAsia="Times New Roman" w:hAnsi="Calibri" w:cs="Calibri"/>
            <w:color w:val="000000"/>
            <w:sz w:val="18"/>
            <w:szCs w:val="18"/>
            <w:lang w:val="en-US" w:eastAsia="en-AU"/>
          </w:rPr>
          <w:t>)</w:t>
        </w:r>
      </w:hyperlink>
      <w:r w:rsidR="009C04AB" w:rsidRPr="005E4A7B">
        <w:rPr>
          <w:rStyle w:val="normaltextrun"/>
          <w:rFonts w:ascii="Calibri" w:eastAsia="Times New Roman" w:hAnsi="Calibri" w:cs="Calibri"/>
          <w:color w:val="000000"/>
          <w:sz w:val="18"/>
          <w:szCs w:val="18"/>
          <w:lang w:val="en-US" w:eastAsia="en-AU"/>
        </w:rPr>
        <w:t xml:space="preserve"> </w:t>
      </w:r>
      <w:r w:rsidR="00786E54" w:rsidRPr="005E4A7B">
        <w:rPr>
          <w:rStyle w:val="normaltextrun"/>
          <w:rFonts w:ascii="Calibri" w:eastAsia="Times New Roman" w:hAnsi="Calibri" w:cs="Calibri"/>
          <w:color w:val="000000"/>
          <w:sz w:val="18"/>
          <w:szCs w:val="18"/>
          <w:lang w:val="en-US" w:eastAsia="en-AU"/>
        </w:rPr>
        <w:t>McClinton 2004</w:t>
      </w:r>
      <w:r w:rsidR="009C04AB" w:rsidRPr="005E4A7B">
        <w:rPr>
          <w:rStyle w:val="normaltextrun"/>
          <w:rFonts w:ascii="Calibri" w:eastAsia="Times New Roman" w:hAnsi="Calibri" w:cs="Calibri"/>
          <w:color w:val="000000"/>
          <w:sz w:val="18"/>
          <w:szCs w:val="18"/>
          <w:lang w:val="en-US" w:eastAsia="en-AU"/>
        </w:rPr>
        <w:t xml:space="preserve">), </w:t>
      </w:r>
      <w:r w:rsidR="00B14449" w:rsidRPr="005E4A7B">
        <w:rPr>
          <w:rStyle w:val="normaltextrun"/>
          <w:rFonts w:ascii="Calibri" w:eastAsia="Times New Roman" w:hAnsi="Calibri" w:cs="Calibri"/>
          <w:color w:val="000000"/>
          <w:sz w:val="18"/>
          <w:szCs w:val="18"/>
          <w:lang w:val="en-US" w:eastAsia="en-AU"/>
        </w:rPr>
        <w:t xml:space="preserve">stakeholder theory, corporate citizenship theory, and ethical theories </w:t>
      </w:r>
      <w:r w:rsidR="009C04AB" w:rsidRPr="005E4A7B">
        <w:rPr>
          <w:rStyle w:val="normaltextrun"/>
          <w:rFonts w:ascii="Calibri" w:eastAsia="Times New Roman" w:hAnsi="Calibri" w:cs="Calibri"/>
          <w:color w:val="000000"/>
          <w:sz w:val="18"/>
          <w:szCs w:val="18"/>
          <w:lang w:val="en-US" w:eastAsia="en-AU"/>
        </w:rPr>
        <w:t>contend that</w:t>
      </w:r>
      <w:r w:rsidR="00B14449" w:rsidRPr="005E4A7B">
        <w:rPr>
          <w:rStyle w:val="normaltextrun"/>
          <w:rFonts w:ascii="Calibri" w:eastAsia="Times New Roman" w:hAnsi="Calibri" w:cs="Calibri"/>
          <w:color w:val="000000"/>
          <w:sz w:val="18"/>
          <w:szCs w:val="18"/>
          <w:lang w:val="en-US" w:eastAsia="en-AU"/>
        </w:rPr>
        <w:t xml:space="preserve"> societal benefits of corporate philanthropy </w:t>
      </w:r>
      <w:r w:rsidR="00D346E3" w:rsidRPr="005E4A7B">
        <w:rPr>
          <w:rStyle w:val="normaltextrun"/>
          <w:rFonts w:ascii="Calibri" w:eastAsia="Times New Roman" w:hAnsi="Calibri" w:cs="Calibri"/>
          <w:color w:val="000000"/>
          <w:sz w:val="18"/>
          <w:szCs w:val="18"/>
          <w:lang w:val="en-US" w:eastAsia="en-AU"/>
        </w:rPr>
        <w:t xml:space="preserve">are part of the corporate purpose </w:t>
      </w:r>
      <w:r w:rsidR="00B14449" w:rsidRPr="005E4A7B">
        <w:rPr>
          <w:rStyle w:val="normaltextrun"/>
          <w:rFonts w:ascii="Calibri" w:eastAsia="Times New Roman" w:hAnsi="Calibri" w:cs="Calibri"/>
          <w:color w:val="000000"/>
          <w:sz w:val="18"/>
          <w:szCs w:val="18"/>
          <w:lang w:val="en-US" w:eastAsia="en-AU"/>
        </w:rPr>
        <w:t>(</w:t>
      </w:r>
      <w:r w:rsidR="00C5260C" w:rsidRPr="005E4A7B">
        <w:rPr>
          <w:rStyle w:val="normaltextrun"/>
          <w:rFonts w:ascii="Calibri" w:eastAsia="Times New Roman" w:hAnsi="Calibri" w:cs="Calibri"/>
          <w:color w:val="000000"/>
          <w:sz w:val="18"/>
          <w:szCs w:val="18"/>
          <w:lang w:val="en-US" w:eastAsia="en-AU"/>
        </w:rPr>
        <w:t xml:space="preserve">“A stakeholder framework for </w:t>
      </w:r>
      <w:r w:rsidR="00734E98" w:rsidRPr="005E4A7B">
        <w:rPr>
          <w:rStyle w:val="normaltextrun"/>
          <w:rFonts w:ascii="Calibri" w:eastAsia="Times New Roman" w:hAnsi="Calibri" w:cs="Calibri"/>
          <w:color w:val="000000"/>
          <w:sz w:val="18"/>
          <w:szCs w:val="18"/>
          <w:lang w:val="en-US" w:eastAsia="en-AU"/>
        </w:rPr>
        <w:t>analyzing</w:t>
      </w:r>
      <w:r w:rsidR="00C5260C" w:rsidRPr="005E4A7B">
        <w:rPr>
          <w:rStyle w:val="normaltextrun"/>
          <w:rFonts w:ascii="Calibri" w:eastAsia="Times New Roman" w:hAnsi="Calibri" w:cs="Calibri"/>
          <w:color w:val="000000"/>
          <w:sz w:val="18"/>
          <w:szCs w:val="18"/>
          <w:lang w:val="en-US" w:eastAsia="en-AU"/>
        </w:rPr>
        <w:t xml:space="preserve"> and evaluating corporate social performance.” Academy of Management Review, 20, 92-117 </w:t>
      </w:r>
      <w:r w:rsidR="00B14449" w:rsidRPr="005E4A7B">
        <w:rPr>
          <w:rStyle w:val="normaltextrun"/>
          <w:rFonts w:ascii="Calibri" w:eastAsia="Times New Roman" w:hAnsi="Calibri" w:cs="Calibri"/>
          <w:color w:val="000000"/>
          <w:sz w:val="18"/>
          <w:szCs w:val="18"/>
          <w:lang w:val="en-US" w:eastAsia="en-AU"/>
        </w:rPr>
        <w:t xml:space="preserve">Clarkson, 1995; </w:t>
      </w:r>
      <w:r w:rsidR="002E77F1" w:rsidRPr="005E4A7B">
        <w:rPr>
          <w:rStyle w:val="normaltextrun"/>
          <w:rFonts w:ascii="Calibri" w:eastAsia="Times New Roman" w:hAnsi="Calibri" w:cs="Calibri"/>
          <w:color w:val="000000"/>
          <w:sz w:val="18"/>
          <w:szCs w:val="18"/>
          <w:lang w:val="en-US" w:eastAsia="en-AU"/>
        </w:rPr>
        <w:t xml:space="preserve">“A stakeholder approach to corporate social responsibility: A fresh perspective into theory and practice.” Journal of Business Ethics, 82, 213-231 </w:t>
      </w:r>
      <w:r w:rsidR="00B14449" w:rsidRPr="005E4A7B">
        <w:rPr>
          <w:rStyle w:val="normaltextrun"/>
          <w:rFonts w:ascii="Calibri" w:eastAsia="Times New Roman" w:hAnsi="Calibri" w:cs="Calibri"/>
          <w:color w:val="000000"/>
          <w:sz w:val="18"/>
          <w:szCs w:val="18"/>
          <w:lang w:val="en-US" w:eastAsia="en-AU"/>
        </w:rPr>
        <w:t>Jamali, 2008)</w:t>
      </w:r>
      <w:r w:rsidR="00D346E3" w:rsidRPr="005E4A7B">
        <w:rPr>
          <w:rStyle w:val="normaltextrun"/>
          <w:rFonts w:ascii="Calibri" w:eastAsia="Times New Roman" w:hAnsi="Calibri" w:cs="Calibri"/>
          <w:color w:val="000000"/>
          <w:sz w:val="18"/>
          <w:szCs w:val="18"/>
          <w:lang w:val="en-US" w:eastAsia="en-AU"/>
        </w:rPr>
        <w:t xml:space="preserve">. </w:t>
      </w:r>
      <w:r w:rsidR="00AC3FBD" w:rsidRPr="005E4A7B">
        <w:rPr>
          <w:rStyle w:val="normaltextrun"/>
          <w:rFonts w:ascii="Calibri" w:eastAsia="Times New Roman" w:hAnsi="Calibri" w:cs="Calibri"/>
          <w:color w:val="000000"/>
          <w:sz w:val="18"/>
          <w:szCs w:val="18"/>
          <w:lang w:val="en-US" w:eastAsia="en-AU"/>
        </w:rPr>
        <w:t>See also “Strategic Phila</w:t>
      </w:r>
      <w:r w:rsidR="00734E98" w:rsidRPr="005E4A7B">
        <w:rPr>
          <w:rStyle w:val="normaltextrun"/>
          <w:rFonts w:ascii="Calibri" w:eastAsia="Times New Roman" w:hAnsi="Calibri" w:cs="Calibri"/>
          <w:color w:val="000000"/>
          <w:sz w:val="18"/>
          <w:szCs w:val="18"/>
          <w:lang w:val="en-US" w:eastAsia="en-AU"/>
        </w:rPr>
        <w:t>n</w:t>
      </w:r>
      <w:r w:rsidR="00AC3FBD" w:rsidRPr="005E4A7B">
        <w:rPr>
          <w:rStyle w:val="normaltextrun"/>
          <w:rFonts w:ascii="Calibri" w:eastAsia="Times New Roman" w:hAnsi="Calibri" w:cs="Calibri"/>
          <w:color w:val="000000"/>
          <w:sz w:val="18"/>
          <w:szCs w:val="18"/>
          <w:lang w:val="en-US" w:eastAsia="en-AU"/>
        </w:rPr>
        <w:t xml:space="preserve">thropy: Corporate Measurement of Philanthropic Impacts as a Requirement for a </w:t>
      </w:r>
      <w:r w:rsidR="00554527" w:rsidRPr="005E4A7B">
        <w:rPr>
          <w:rStyle w:val="normaltextrun"/>
          <w:rFonts w:ascii="Calibri" w:eastAsia="Times New Roman" w:hAnsi="Calibri" w:cs="Calibri"/>
          <w:color w:val="000000"/>
          <w:sz w:val="18"/>
          <w:szCs w:val="18"/>
          <w:lang w:val="en-US" w:eastAsia="en-AU"/>
        </w:rPr>
        <w:t xml:space="preserve">‘Happy Marriage’ of Business and Society” by </w:t>
      </w:r>
      <w:proofErr w:type="spellStart"/>
      <w:r w:rsidR="00554527" w:rsidRPr="005E4A7B">
        <w:rPr>
          <w:rStyle w:val="normaltextrun"/>
          <w:rFonts w:ascii="Calibri" w:eastAsia="Times New Roman" w:hAnsi="Calibri" w:cs="Calibri"/>
          <w:color w:val="000000"/>
          <w:sz w:val="18"/>
          <w:szCs w:val="18"/>
          <w:lang w:val="en-US" w:eastAsia="en-AU"/>
        </w:rPr>
        <w:t>Liket</w:t>
      </w:r>
      <w:proofErr w:type="spellEnd"/>
      <w:r w:rsidR="00554527" w:rsidRPr="005E4A7B">
        <w:rPr>
          <w:rStyle w:val="normaltextrun"/>
          <w:rFonts w:ascii="Calibri" w:eastAsia="Times New Roman" w:hAnsi="Calibri" w:cs="Calibri"/>
          <w:color w:val="000000"/>
          <w:sz w:val="18"/>
          <w:szCs w:val="18"/>
          <w:lang w:val="en-US" w:eastAsia="en-AU"/>
        </w:rPr>
        <w:t xml:space="preserve"> and Maas, Business &amp; Society 2016, </w:t>
      </w:r>
      <w:proofErr w:type="spellStart"/>
      <w:r w:rsidR="00554527" w:rsidRPr="005E4A7B">
        <w:rPr>
          <w:rStyle w:val="normaltextrun"/>
          <w:rFonts w:ascii="Calibri" w:eastAsia="Times New Roman" w:hAnsi="Calibri" w:cs="Calibri"/>
          <w:color w:val="000000"/>
          <w:sz w:val="18"/>
          <w:szCs w:val="18"/>
          <w:lang w:val="en-US" w:eastAsia="en-AU"/>
        </w:rPr>
        <w:t>Vol.55</w:t>
      </w:r>
      <w:proofErr w:type="spellEnd"/>
      <w:r w:rsidR="00554527" w:rsidRPr="005E4A7B">
        <w:rPr>
          <w:rStyle w:val="normaltextrun"/>
          <w:rFonts w:ascii="Calibri" w:eastAsia="Times New Roman" w:hAnsi="Calibri" w:cs="Calibri"/>
          <w:color w:val="000000"/>
          <w:sz w:val="18"/>
          <w:szCs w:val="18"/>
          <w:lang w:val="en-US" w:eastAsia="en-AU"/>
        </w:rPr>
        <w:t>(6) at 889-921.</w:t>
      </w:r>
    </w:p>
  </w:footnote>
  <w:footnote w:id="8">
    <w:p w14:paraId="08269CEC" w14:textId="4B804AC9" w:rsidR="003E0DED" w:rsidRPr="004A77DC" w:rsidRDefault="003E0DED" w:rsidP="00624BBD">
      <w:pPr>
        <w:pStyle w:val="FootnoteText"/>
        <w:ind w:left="142" w:hanging="142"/>
        <w:rPr>
          <w:sz w:val="18"/>
          <w:szCs w:val="18"/>
          <w:lang w:val="en-GB"/>
        </w:rPr>
      </w:pPr>
      <w:r w:rsidRPr="004A77DC">
        <w:rPr>
          <w:rStyle w:val="FootnoteReference"/>
          <w:sz w:val="18"/>
          <w:szCs w:val="18"/>
        </w:rPr>
        <w:footnoteRef/>
      </w:r>
      <w:r w:rsidRPr="004A77DC">
        <w:rPr>
          <w:sz w:val="18"/>
          <w:szCs w:val="18"/>
        </w:rPr>
        <w:t xml:space="preserve"> </w:t>
      </w:r>
      <w:r w:rsidR="006B7ED0" w:rsidRPr="004A77DC">
        <w:rPr>
          <w:sz w:val="18"/>
          <w:szCs w:val="18"/>
          <w:lang w:val="en-GB"/>
        </w:rPr>
        <w:t>See</w:t>
      </w:r>
      <w:r w:rsidRPr="004A77DC">
        <w:rPr>
          <w:sz w:val="18"/>
          <w:szCs w:val="18"/>
          <w:lang w:val="en-GB"/>
        </w:rPr>
        <w:t xml:space="preserve"> also </w:t>
      </w:r>
      <w:r w:rsidR="006B7ED0" w:rsidRPr="004A77DC">
        <w:rPr>
          <w:sz w:val="18"/>
          <w:szCs w:val="18"/>
          <w:lang w:val="en-GB"/>
        </w:rPr>
        <w:t xml:space="preserve">case studies </w:t>
      </w:r>
      <w:r w:rsidR="00EA12E8" w:rsidRPr="004A77DC">
        <w:rPr>
          <w:sz w:val="18"/>
          <w:szCs w:val="18"/>
          <w:lang w:val="en-GB"/>
        </w:rPr>
        <w:t>including</w:t>
      </w:r>
      <w:r w:rsidR="006B7ED0" w:rsidRPr="004A77DC">
        <w:rPr>
          <w:sz w:val="18"/>
          <w:szCs w:val="18"/>
          <w:lang w:val="en-GB"/>
        </w:rPr>
        <w:t xml:space="preserve"> </w:t>
      </w:r>
      <w:r w:rsidRPr="004A77DC">
        <w:rPr>
          <w:sz w:val="18"/>
          <w:szCs w:val="18"/>
          <w:lang w:val="en-GB"/>
        </w:rPr>
        <w:t>JB Hi-Fi</w:t>
      </w:r>
      <w:r w:rsidR="005E2165" w:rsidRPr="004A77DC">
        <w:rPr>
          <w:sz w:val="18"/>
          <w:szCs w:val="18"/>
          <w:lang w:val="en-GB"/>
        </w:rPr>
        <w:t xml:space="preserve">, </w:t>
      </w:r>
      <w:proofErr w:type="spellStart"/>
      <w:r w:rsidR="005E2165" w:rsidRPr="004A77DC">
        <w:rPr>
          <w:sz w:val="18"/>
          <w:szCs w:val="18"/>
          <w:lang w:val="en-GB"/>
        </w:rPr>
        <w:t>Dominoes</w:t>
      </w:r>
      <w:proofErr w:type="spellEnd"/>
      <w:r w:rsidR="005E2165" w:rsidRPr="004A77DC">
        <w:rPr>
          <w:sz w:val="18"/>
          <w:szCs w:val="18"/>
          <w:lang w:val="en-GB"/>
        </w:rPr>
        <w:t xml:space="preserve"> Pizza, CBA</w:t>
      </w:r>
      <w:r w:rsidR="00045CDA" w:rsidRPr="004A77DC">
        <w:rPr>
          <w:sz w:val="18"/>
          <w:szCs w:val="18"/>
          <w:lang w:val="en-GB"/>
        </w:rPr>
        <w:t xml:space="preserve">, </w:t>
      </w:r>
      <w:proofErr w:type="spellStart"/>
      <w:r w:rsidR="00045CDA" w:rsidRPr="004A77DC">
        <w:rPr>
          <w:sz w:val="18"/>
          <w:szCs w:val="18"/>
          <w:lang w:val="en-GB"/>
        </w:rPr>
        <w:t>Tomago</w:t>
      </w:r>
      <w:proofErr w:type="spellEnd"/>
      <w:r w:rsidR="00045CDA" w:rsidRPr="004A77DC">
        <w:rPr>
          <w:sz w:val="18"/>
          <w:szCs w:val="18"/>
          <w:lang w:val="en-GB"/>
        </w:rPr>
        <w:t xml:space="preserve"> </w:t>
      </w:r>
      <w:r w:rsidR="00C71756" w:rsidRPr="004A77DC">
        <w:rPr>
          <w:sz w:val="18"/>
          <w:szCs w:val="18"/>
          <w:lang w:val="en-GB"/>
        </w:rPr>
        <w:t>Aluminium</w:t>
      </w:r>
      <w:r w:rsidR="00835C20" w:rsidRPr="004A77DC">
        <w:rPr>
          <w:sz w:val="18"/>
          <w:szCs w:val="18"/>
          <w:lang w:val="en-GB"/>
        </w:rPr>
        <w:t xml:space="preserve"> inter alia </w:t>
      </w:r>
      <w:hyperlink r:id="rId2" w:history="1">
        <w:r w:rsidR="00835C20" w:rsidRPr="004A77DC">
          <w:rPr>
            <w:rStyle w:val="Hyperlink"/>
            <w:sz w:val="18"/>
            <w:szCs w:val="18"/>
            <w:lang w:val="en-GB"/>
          </w:rPr>
          <w:t>https://library.workplacegivingaustralia.org.au/?p=1&amp;f=case-studies</w:t>
        </w:r>
      </w:hyperlink>
      <w:r w:rsidR="00835C20" w:rsidRPr="004A77DC">
        <w:rPr>
          <w:sz w:val="18"/>
          <w:szCs w:val="18"/>
          <w:lang w:val="en-GB"/>
        </w:rPr>
        <w:t xml:space="preserve"> </w:t>
      </w:r>
      <w:r w:rsidRPr="004A77DC">
        <w:rPr>
          <w:sz w:val="18"/>
          <w:szCs w:val="18"/>
          <w:lang w:val="en-GB"/>
        </w:rPr>
        <w:t xml:space="preserve"> </w:t>
      </w:r>
    </w:p>
  </w:footnote>
  <w:footnote w:id="9">
    <w:p w14:paraId="26805027" w14:textId="69514C9F" w:rsidR="00FF6430" w:rsidRPr="00FF6430" w:rsidRDefault="00FF6430" w:rsidP="00624BBD">
      <w:pPr>
        <w:pStyle w:val="paragraph"/>
        <w:spacing w:before="0" w:beforeAutospacing="0" w:after="0" w:afterAutospacing="0"/>
        <w:ind w:left="142" w:hanging="142"/>
        <w:textAlignment w:val="baseline"/>
        <w:rPr>
          <w:lang w:val="en-GB"/>
        </w:rPr>
      </w:pPr>
      <w:r w:rsidRPr="003A2D72">
        <w:rPr>
          <w:rStyle w:val="FootnoteReference"/>
          <w:rFonts w:asciiTheme="majorHAnsi" w:hAnsiTheme="majorHAnsi" w:cstheme="majorHAnsi"/>
          <w:sz w:val="18"/>
          <w:szCs w:val="18"/>
        </w:rPr>
        <w:footnoteRef/>
      </w:r>
      <w:r w:rsidRPr="003A2D72">
        <w:rPr>
          <w:rFonts w:asciiTheme="majorHAnsi" w:hAnsiTheme="majorHAnsi" w:cstheme="majorHAnsi"/>
          <w:sz w:val="18"/>
          <w:szCs w:val="18"/>
        </w:rPr>
        <w:t xml:space="preserve"> </w:t>
      </w:r>
      <w:r w:rsidR="003A2D72" w:rsidRPr="003A2D72">
        <w:rPr>
          <w:rStyle w:val="normaltextrun"/>
          <w:rFonts w:asciiTheme="majorHAnsi" w:hAnsiTheme="majorHAnsi" w:cstheme="majorHAnsi"/>
          <w:color w:val="000000"/>
          <w:sz w:val="18"/>
          <w:szCs w:val="18"/>
          <w:lang w:val="en-US"/>
        </w:rPr>
        <w:t>Donations claimed refers to tax deductions made by individual taxpayers for donations to deductible gift recipients.</w:t>
      </w:r>
      <w:r w:rsidR="003A2D72" w:rsidRPr="003A2D72">
        <w:rPr>
          <w:rStyle w:val="eop"/>
          <w:rFonts w:asciiTheme="majorHAnsi" w:hAnsiTheme="majorHAnsi" w:cstheme="majorHAnsi"/>
          <w:color w:val="000000"/>
          <w:sz w:val="18"/>
          <w:szCs w:val="18"/>
          <w:lang w:val="en-US"/>
        </w:rPr>
        <w:t>​</w:t>
      </w:r>
      <w:r w:rsidR="003A2D72" w:rsidRPr="003A2D72">
        <w:rPr>
          <w:rStyle w:val="normaltextrun"/>
          <w:rFonts w:asciiTheme="majorHAnsi" w:hAnsiTheme="majorHAnsi" w:cstheme="majorHAnsi"/>
          <w:color w:val="000000"/>
          <w:sz w:val="18"/>
          <w:szCs w:val="18"/>
          <w:lang w:val="en-US"/>
        </w:rPr>
        <w:t>Total number of taxpayers is based on the number of tax returns lodged by individuals.</w:t>
      </w:r>
      <w:r w:rsidR="003A2D72" w:rsidRPr="003A2D72">
        <w:rPr>
          <w:rStyle w:val="eop"/>
          <w:rFonts w:asciiTheme="majorHAnsi" w:hAnsiTheme="majorHAnsi" w:cstheme="majorHAnsi"/>
          <w:color w:val="000000"/>
          <w:sz w:val="18"/>
          <w:szCs w:val="18"/>
          <w:lang w:val="en-US"/>
        </w:rPr>
        <w:t>​</w:t>
      </w:r>
      <w:r w:rsidR="003A2D72" w:rsidRPr="003A2D72">
        <w:rPr>
          <w:rFonts w:asciiTheme="majorHAnsi" w:hAnsiTheme="majorHAnsi" w:cstheme="majorHAnsi"/>
          <w:sz w:val="18"/>
          <w:szCs w:val="18"/>
          <w:lang w:val="en-US"/>
        </w:rPr>
        <w:t xml:space="preserve"> </w:t>
      </w:r>
      <w:r w:rsidR="003A2D72" w:rsidRPr="003A2D72">
        <w:rPr>
          <w:rStyle w:val="normaltextrun"/>
          <w:rFonts w:asciiTheme="majorHAnsi" w:hAnsiTheme="majorHAnsi" w:cstheme="majorHAnsi"/>
          <w:color w:val="000000"/>
          <w:sz w:val="18"/>
          <w:szCs w:val="18"/>
          <w:lang w:val="en-US"/>
        </w:rPr>
        <w:t>Data for the period 2016–17 to 2018–19 income years were sourced from individual income tax returns processed by 31 October 2020. The statistics are not necessarily complete</w:t>
      </w:r>
      <w:r w:rsidR="003A2D72" w:rsidRPr="003A2D72">
        <w:rPr>
          <w:rStyle w:val="eop"/>
          <w:rFonts w:asciiTheme="majorHAnsi" w:hAnsiTheme="majorHAnsi" w:cstheme="majorHAnsi"/>
          <w:color w:val="000000"/>
          <w:sz w:val="18"/>
          <w:szCs w:val="18"/>
          <w:lang w:val="en-US"/>
        </w:rPr>
        <w:t>​.</w:t>
      </w:r>
      <w:r w:rsidR="003A2D72" w:rsidRPr="003A2D72">
        <w:rPr>
          <w:rStyle w:val="normaltextrun"/>
          <w:rFonts w:asciiTheme="majorHAnsi" w:hAnsiTheme="majorHAnsi" w:cstheme="majorHAnsi"/>
          <w:color w:val="000000"/>
          <w:sz w:val="18"/>
          <w:szCs w:val="18"/>
          <w:lang w:val="en-US"/>
        </w:rPr>
        <w:t> </w:t>
      </w:r>
      <w:r w:rsidR="003A2D72" w:rsidRPr="003A2D72">
        <w:rPr>
          <w:rStyle w:val="normaltextrun"/>
          <w:rFonts w:asciiTheme="majorHAnsi" w:hAnsiTheme="majorHAnsi" w:cstheme="majorHAnsi"/>
          <w:color w:val="000000"/>
          <w:sz w:val="18"/>
          <w:szCs w:val="18"/>
        </w:rPr>
        <w:t>2019 global charitable giving by individuals as a % of GDP data shows consistency with the CAF 2016 report; individuals in countries with lower levels of employer social security contribution are more likely to give more </w:t>
      </w:r>
      <w:r w:rsidR="003A2D72" w:rsidRPr="003A2D72">
        <w:rPr>
          <w:rStyle w:val="eop"/>
          <w:rFonts w:asciiTheme="majorHAnsi" w:hAnsiTheme="majorHAnsi" w:cstheme="majorHAnsi"/>
          <w:color w:val="000000"/>
          <w:sz w:val="18"/>
          <w:szCs w:val="18"/>
        </w:rPr>
        <w:t>​.</w:t>
      </w:r>
      <w:r w:rsidR="003A2D72" w:rsidRPr="003A2D72">
        <w:rPr>
          <w:rStyle w:val="normaltextrun"/>
          <w:rFonts w:asciiTheme="majorHAnsi" w:hAnsiTheme="majorHAnsi" w:cstheme="majorHAnsi"/>
          <w:color w:val="000000"/>
          <w:sz w:val="18"/>
          <w:szCs w:val="18"/>
        </w:rPr>
        <w:t>Source:</w:t>
      </w:r>
      <w:r w:rsidR="003A2D72" w:rsidRPr="003A2D72">
        <w:rPr>
          <w:rStyle w:val="normaltextrun"/>
          <w:rFonts w:asciiTheme="majorHAnsi" w:hAnsiTheme="majorHAnsi" w:cstheme="majorHAnsi"/>
          <w:color w:val="000000"/>
          <w:sz w:val="18"/>
          <w:szCs w:val="18"/>
          <w:lang w:val="en-US"/>
        </w:rPr>
        <w:t xml:space="preserve"> ATO </w:t>
      </w:r>
      <w:proofErr w:type="spellStart"/>
      <w:r w:rsidR="003A2D72" w:rsidRPr="003A2D72">
        <w:rPr>
          <w:rStyle w:val="normaltextrun"/>
          <w:rFonts w:asciiTheme="majorHAnsi" w:hAnsiTheme="majorHAnsi" w:cstheme="majorHAnsi"/>
          <w:color w:val="000000"/>
          <w:sz w:val="18"/>
          <w:szCs w:val="18"/>
          <w:lang w:val="en-US"/>
        </w:rPr>
        <w:t>2021a</w:t>
      </w:r>
      <w:proofErr w:type="spellEnd"/>
      <w:r w:rsidR="003A2D72" w:rsidRPr="003A2D72">
        <w:rPr>
          <w:rStyle w:val="normaltextrun"/>
          <w:rFonts w:asciiTheme="majorHAnsi" w:hAnsiTheme="majorHAnsi" w:cstheme="majorHAnsi"/>
          <w:color w:val="000000"/>
          <w:sz w:val="18"/>
          <w:szCs w:val="18"/>
          <w:lang w:val="en-US"/>
        </w:rPr>
        <w:t xml:space="preserve"> (Individuals–Table 1), </w:t>
      </w:r>
      <w:proofErr w:type="spellStart"/>
      <w:r w:rsidR="003A2D72" w:rsidRPr="003A2D72">
        <w:rPr>
          <w:rStyle w:val="normaltextrun"/>
          <w:rFonts w:asciiTheme="majorHAnsi" w:hAnsiTheme="majorHAnsi" w:cstheme="majorHAnsi"/>
          <w:color w:val="000000"/>
          <w:sz w:val="18"/>
          <w:szCs w:val="18"/>
          <w:lang w:val="en-US"/>
        </w:rPr>
        <w:t>AIHW</w:t>
      </w:r>
      <w:proofErr w:type="spellEnd"/>
      <w:r w:rsidR="003A2D72" w:rsidRPr="003A2D72">
        <w:rPr>
          <w:rStyle w:val="normaltextrun"/>
          <w:rFonts w:asciiTheme="majorHAnsi" w:hAnsiTheme="majorHAnsi" w:cstheme="majorHAnsi"/>
          <w:color w:val="000000"/>
          <w:sz w:val="18"/>
          <w:szCs w:val="18"/>
          <w:lang w:val="en-US"/>
        </w:rPr>
        <w:t xml:space="preserve"> analysis of ABS 2021;</w:t>
      </w:r>
      <w:r w:rsidR="003A2D72" w:rsidRPr="003A2D72">
        <w:rPr>
          <w:rStyle w:val="normaltextrun"/>
          <w:rFonts w:asciiTheme="majorHAnsi" w:hAnsiTheme="majorHAnsi" w:cstheme="majorHAnsi"/>
          <w:color w:val="000000"/>
          <w:sz w:val="18"/>
          <w:szCs w:val="18"/>
        </w:rPr>
        <w:t> Gross Domestic Philosophy: An international analysis of GDP, tax and giving (CAF 2016)</w:t>
      </w:r>
    </w:p>
  </w:footnote>
  <w:footnote w:id="10">
    <w:p w14:paraId="28B8292E" w14:textId="00551AA2" w:rsidR="003A2D72" w:rsidRPr="004107C2" w:rsidRDefault="003A2D72" w:rsidP="00624BBD">
      <w:pPr>
        <w:pStyle w:val="FootnoteText"/>
        <w:ind w:left="142" w:hanging="142"/>
        <w:rPr>
          <w:sz w:val="18"/>
          <w:szCs w:val="18"/>
          <w:lang w:val="en-GB"/>
        </w:rPr>
      </w:pPr>
      <w:r w:rsidRPr="004107C2">
        <w:rPr>
          <w:rStyle w:val="FootnoteReference"/>
          <w:sz w:val="18"/>
          <w:szCs w:val="18"/>
        </w:rPr>
        <w:footnoteRef/>
      </w:r>
      <w:r w:rsidRPr="004107C2">
        <w:rPr>
          <w:sz w:val="18"/>
          <w:szCs w:val="18"/>
        </w:rPr>
        <w:t xml:space="preserve"> </w:t>
      </w:r>
      <w:r w:rsidRPr="00C65EE2">
        <w:rPr>
          <w:rFonts w:asciiTheme="majorHAnsi" w:hAnsiTheme="majorHAnsi" w:cstheme="majorHAnsi"/>
          <w:sz w:val="18"/>
          <w:szCs w:val="18"/>
          <w:lang w:val="en-GB"/>
        </w:rPr>
        <w:t>Workplace Giving Australia</w:t>
      </w:r>
      <w:r w:rsidR="00DA32BB">
        <w:rPr>
          <w:rFonts w:asciiTheme="majorHAnsi" w:hAnsiTheme="majorHAnsi" w:cstheme="majorHAnsi"/>
          <w:sz w:val="18"/>
          <w:szCs w:val="18"/>
          <w:lang w:val="en-GB"/>
        </w:rPr>
        <w:t xml:space="preserve"> research report 2022,</w:t>
      </w:r>
      <w:r w:rsidRPr="00C65EE2">
        <w:rPr>
          <w:rFonts w:asciiTheme="majorHAnsi" w:hAnsiTheme="majorHAnsi" w:cstheme="majorHAnsi"/>
          <w:sz w:val="18"/>
          <w:szCs w:val="18"/>
          <w:lang w:val="en-GB"/>
        </w:rPr>
        <w:t xml:space="preserve"> data and analysis</w:t>
      </w:r>
    </w:p>
  </w:footnote>
  <w:footnote w:id="11">
    <w:p w14:paraId="3D20AE45" w14:textId="59A166FC" w:rsidR="00E34854" w:rsidRPr="00E34854" w:rsidRDefault="00E34854">
      <w:pPr>
        <w:pStyle w:val="FootnoteText"/>
        <w:rPr>
          <w:sz w:val="18"/>
          <w:szCs w:val="18"/>
          <w:lang w:val="en-GB"/>
        </w:rPr>
      </w:pPr>
      <w:r w:rsidRPr="00E34854">
        <w:rPr>
          <w:rStyle w:val="FootnoteReference"/>
          <w:sz w:val="18"/>
          <w:szCs w:val="18"/>
        </w:rPr>
        <w:footnoteRef/>
      </w:r>
      <w:r w:rsidRPr="00E34854">
        <w:rPr>
          <w:sz w:val="18"/>
          <w:szCs w:val="18"/>
        </w:rPr>
        <w:t xml:space="preserve"> </w:t>
      </w:r>
      <w:r w:rsidRPr="00E34854">
        <w:rPr>
          <w:sz w:val="18"/>
          <w:szCs w:val="18"/>
          <w:lang w:val="en-GB"/>
        </w:rPr>
        <w:t xml:space="preserve">Workplace Giving Australia data: </w:t>
      </w:r>
      <w:proofErr w:type="spellStart"/>
      <w:r w:rsidRPr="00E34854">
        <w:rPr>
          <w:sz w:val="18"/>
          <w:szCs w:val="18"/>
          <w:lang w:val="en-GB"/>
        </w:rPr>
        <w:t>Good2Give</w:t>
      </w:r>
      <w:proofErr w:type="spellEnd"/>
      <w:r w:rsidRPr="00E34854">
        <w:rPr>
          <w:sz w:val="18"/>
          <w:szCs w:val="18"/>
          <w:lang w:val="en-GB"/>
        </w:rPr>
        <w:t xml:space="preserve"> client experience, </w:t>
      </w:r>
      <w:proofErr w:type="spellStart"/>
      <w:r w:rsidRPr="00E34854">
        <w:rPr>
          <w:sz w:val="18"/>
          <w:szCs w:val="18"/>
          <w:lang w:val="en-GB"/>
        </w:rPr>
        <w:t>OneMillion</w:t>
      </w:r>
      <w:proofErr w:type="spellEnd"/>
      <w:r w:rsidRPr="00E34854">
        <w:rPr>
          <w:sz w:val="18"/>
          <w:szCs w:val="18"/>
          <w:lang w:val="en-GB"/>
        </w:rPr>
        <w:t xml:space="preserve"> Donors website.</w:t>
      </w:r>
    </w:p>
  </w:footnote>
  <w:footnote w:id="12">
    <w:p w14:paraId="7F0AB07C" w14:textId="13945336" w:rsidR="00CE1DAF" w:rsidRPr="00CE1DAF" w:rsidRDefault="00CE1DAF" w:rsidP="000F2571">
      <w:pPr>
        <w:pStyle w:val="ListParagraph"/>
        <w:spacing w:after="0"/>
        <w:ind w:left="142" w:hanging="142"/>
        <w:contextualSpacing w:val="0"/>
        <w:rPr>
          <w:rFonts w:cstheme="minorHAnsi"/>
          <w:sz w:val="18"/>
          <w:szCs w:val="18"/>
        </w:rPr>
      </w:pPr>
      <w:r w:rsidRPr="00CE1DAF">
        <w:rPr>
          <w:rStyle w:val="FootnoteReference"/>
          <w:rFonts w:cstheme="minorHAnsi"/>
          <w:sz w:val="18"/>
          <w:szCs w:val="18"/>
        </w:rPr>
        <w:footnoteRef/>
      </w:r>
      <w:r w:rsidRPr="00CE1DAF">
        <w:rPr>
          <w:rFonts w:cstheme="minorHAnsi"/>
          <w:sz w:val="18"/>
          <w:szCs w:val="18"/>
        </w:rPr>
        <w:t xml:space="preserve"> </w:t>
      </w:r>
      <w:r w:rsidRPr="00CE1DAF">
        <w:rPr>
          <w:rStyle w:val="cf01"/>
          <w:rFonts w:asciiTheme="minorHAnsi" w:hAnsiTheme="minorHAnsi" w:cstheme="minorHAnsi"/>
        </w:rPr>
        <w:t xml:space="preserve">Apart from member based standards organisations like </w:t>
      </w:r>
      <w:proofErr w:type="spellStart"/>
      <w:r w:rsidRPr="00CE1DAF">
        <w:rPr>
          <w:rStyle w:val="cf01"/>
          <w:rFonts w:asciiTheme="minorHAnsi" w:hAnsiTheme="minorHAnsi" w:cstheme="minorHAnsi"/>
        </w:rPr>
        <w:t>B4SI</w:t>
      </w:r>
      <w:proofErr w:type="spellEnd"/>
      <w:r w:rsidRPr="00CE1DAF">
        <w:rPr>
          <w:rStyle w:val="cf01"/>
          <w:rFonts w:asciiTheme="minorHAnsi" w:hAnsiTheme="minorHAnsi" w:cstheme="minorHAnsi"/>
        </w:rPr>
        <w:t>, there is no standardised reporting framework for corporates and their support of charities. This allows non-transparent claims and will erode trust. It also places more strain on the charity sector who needs to respond to each corporate for reporting differently.</w:t>
      </w:r>
    </w:p>
  </w:footnote>
  <w:footnote w:id="13">
    <w:p w14:paraId="1D51E389" w14:textId="1A6F9587" w:rsidR="00426AE6" w:rsidRPr="00110357" w:rsidRDefault="00426AE6" w:rsidP="00317ABD">
      <w:pPr>
        <w:pStyle w:val="FootnoteText"/>
        <w:ind w:left="142" w:hanging="142"/>
        <w:rPr>
          <w:sz w:val="18"/>
          <w:szCs w:val="18"/>
          <w:lang w:val="en-GB"/>
        </w:rPr>
      </w:pPr>
      <w:r w:rsidRPr="00110357">
        <w:rPr>
          <w:rStyle w:val="FootnoteReference"/>
          <w:sz w:val="18"/>
          <w:szCs w:val="18"/>
        </w:rPr>
        <w:footnoteRef/>
      </w:r>
      <w:r w:rsidRPr="00110357">
        <w:rPr>
          <w:sz w:val="18"/>
          <w:szCs w:val="18"/>
        </w:rPr>
        <w:t xml:space="preserve"> </w:t>
      </w:r>
      <w:r w:rsidRPr="00110357">
        <w:rPr>
          <w:sz w:val="18"/>
          <w:szCs w:val="18"/>
          <w:lang w:val="en-GB"/>
        </w:rPr>
        <w:t>“Double the Donation”</w:t>
      </w:r>
      <w:r w:rsidR="0020548F" w:rsidRPr="00110357">
        <w:rPr>
          <w:sz w:val="18"/>
          <w:szCs w:val="18"/>
          <w:lang w:val="en-GB"/>
        </w:rPr>
        <w:t xml:space="preserve"> </w:t>
      </w:r>
      <w:hyperlink r:id="rId3" w:history="1">
        <w:r w:rsidR="0020548F" w:rsidRPr="00110357">
          <w:rPr>
            <w:rStyle w:val="Hyperlink"/>
            <w:sz w:val="18"/>
            <w:szCs w:val="18"/>
            <w:lang w:val="en-GB"/>
          </w:rPr>
          <w:t>https://</w:t>
        </w:r>
        <w:proofErr w:type="spellStart"/>
        <w:r w:rsidR="0020548F" w:rsidRPr="00110357">
          <w:rPr>
            <w:rStyle w:val="Hyperlink"/>
            <w:sz w:val="18"/>
            <w:szCs w:val="18"/>
            <w:lang w:val="en-GB"/>
          </w:rPr>
          <w:t>doublethedonation.com</w:t>
        </w:r>
        <w:proofErr w:type="spellEnd"/>
        <w:r w:rsidR="0020548F" w:rsidRPr="00110357">
          <w:rPr>
            <w:rStyle w:val="Hyperlink"/>
            <w:sz w:val="18"/>
            <w:szCs w:val="18"/>
            <w:lang w:val="en-GB"/>
          </w:rPr>
          <w:t>/matching-gift-statistics/</w:t>
        </w:r>
      </w:hyperlink>
      <w:r w:rsidR="0020548F" w:rsidRPr="00110357">
        <w:rPr>
          <w:sz w:val="18"/>
          <w:szCs w:val="18"/>
          <w:lang w:val="en-GB"/>
        </w:rPr>
        <w:t xml:space="preserve"> </w:t>
      </w:r>
    </w:p>
  </w:footnote>
  <w:footnote w:id="14">
    <w:p w14:paraId="30DB8F09" w14:textId="466AECDD" w:rsidR="00E44A2A" w:rsidRPr="00E44A2A" w:rsidRDefault="00E44A2A" w:rsidP="00BF76CD">
      <w:pPr>
        <w:pStyle w:val="FootnoteText"/>
        <w:keepNext/>
        <w:spacing w:line="259" w:lineRule="auto"/>
        <w:ind w:left="142" w:hanging="142"/>
        <w:rPr>
          <w:sz w:val="18"/>
          <w:szCs w:val="18"/>
          <w:lang w:val="en-GB"/>
        </w:rPr>
      </w:pPr>
      <w:r w:rsidRPr="00E44A2A">
        <w:rPr>
          <w:rStyle w:val="FootnoteReference"/>
          <w:sz w:val="18"/>
          <w:szCs w:val="18"/>
        </w:rPr>
        <w:footnoteRef/>
      </w:r>
      <w:r w:rsidRPr="00E44A2A">
        <w:rPr>
          <w:sz w:val="18"/>
          <w:szCs w:val="18"/>
        </w:rPr>
        <w:t xml:space="preserve"> </w:t>
      </w:r>
      <w:r w:rsidRPr="00E44A2A">
        <w:rPr>
          <w:sz w:val="18"/>
          <w:szCs w:val="18"/>
          <w:lang w:val="en-GB"/>
        </w:rPr>
        <w:t>This</w:t>
      </w:r>
      <w:r>
        <w:rPr>
          <w:sz w:val="18"/>
          <w:szCs w:val="18"/>
          <w:lang w:val="en-GB"/>
        </w:rPr>
        <w:t xml:space="preserve"> might be termed </w:t>
      </w:r>
      <w:r w:rsidRPr="00E44A2A">
        <w:rPr>
          <w:sz w:val="18"/>
          <w:szCs w:val="18"/>
          <w:lang w:val="en-GB"/>
        </w:rPr>
        <w:t xml:space="preserve">more </w:t>
      </w:r>
      <w:r>
        <w:rPr>
          <w:sz w:val="18"/>
          <w:szCs w:val="18"/>
          <w:lang w:val="en-GB"/>
        </w:rPr>
        <w:t>accurately</w:t>
      </w:r>
      <w:r w:rsidRPr="00E44A2A">
        <w:rPr>
          <w:sz w:val="18"/>
          <w:szCs w:val="18"/>
          <w:lang w:val="en-GB"/>
        </w:rPr>
        <w:t xml:space="preserve"> Employer Philanthropy as </w:t>
      </w:r>
      <w:r>
        <w:rPr>
          <w:sz w:val="18"/>
          <w:szCs w:val="18"/>
          <w:lang w:val="en-GB"/>
        </w:rPr>
        <w:t xml:space="preserve">it </w:t>
      </w:r>
      <w:r w:rsidRPr="00E44A2A">
        <w:rPr>
          <w:sz w:val="18"/>
          <w:szCs w:val="18"/>
          <w:lang w:val="en-GB"/>
        </w:rPr>
        <w:t>would include non-corporate entities</w:t>
      </w:r>
      <w:r w:rsidR="005E54E3">
        <w:rPr>
          <w:sz w:val="18"/>
          <w:szCs w:val="18"/>
          <w:lang w:val="en-GB"/>
        </w:rPr>
        <w:t>,</w:t>
      </w:r>
      <w:r w:rsidRPr="00E44A2A">
        <w:rPr>
          <w:sz w:val="18"/>
          <w:szCs w:val="18"/>
          <w:lang w:val="en-GB"/>
        </w:rPr>
        <w:t xml:space="preserve"> such as partnerships and Government departments.</w:t>
      </w:r>
    </w:p>
  </w:footnote>
  <w:footnote w:id="15">
    <w:p w14:paraId="2F6BD517" w14:textId="0BEA0669" w:rsidR="009D5C18" w:rsidRPr="00E34854" w:rsidRDefault="009D5C18" w:rsidP="00BF76CD">
      <w:pPr>
        <w:pStyle w:val="FootnoteText"/>
        <w:ind w:left="142" w:hanging="142"/>
        <w:rPr>
          <w:sz w:val="18"/>
          <w:szCs w:val="18"/>
          <w:lang w:val="en-GB"/>
        </w:rPr>
      </w:pPr>
      <w:r>
        <w:rPr>
          <w:rStyle w:val="FootnoteReference"/>
        </w:rPr>
        <w:footnoteRef/>
      </w:r>
      <w:r>
        <w:t xml:space="preserve"> </w:t>
      </w:r>
      <w:r w:rsidRPr="00E34854">
        <w:rPr>
          <w:sz w:val="18"/>
          <w:szCs w:val="18"/>
          <w:lang w:val="en-GB"/>
        </w:rPr>
        <w:t xml:space="preserve">Workplace Giving Australia data: </w:t>
      </w:r>
      <w:proofErr w:type="spellStart"/>
      <w:r w:rsidRPr="00E34854">
        <w:rPr>
          <w:sz w:val="18"/>
          <w:szCs w:val="18"/>
          <w:lang w:val="en-GB"/>
        </w:rPr>
        <w:t>Good2Give</w:t>
      </w:r>
      <w:proofErr w:type="spellEnd"/>
      <w:r w:rsidRPr="00E34854">
        <w:rPr>
          <w:sz w:val="18"/>
          <w:szCs w:val="18"/>
          <w:lang w:val="en-GB"/>
        </w:rPr>
        <w:t xml:space="preserve"> client experience, </w:t>
      </w:r>
      <w:proofErr w:type="spellStart"/>
      <w:r w:rsidRPr="00E34854">
        <w:rPr>
          <w:sz w:val="18"/>
          <w:szCs w:val="18"/>
          <w:lang w:val="en-GB"/>
        </w:rPr>
        <w:t>OneMillion</w:t>
      </w:r>
      <w:proofErr w:type="spellEnd"/>
      <w:r w:rsidRPr="00E34854">
        <w:rPr>
          <w:sz w:val="18"/>
          <w:szCs w:val="18"/>
          <w:lang w:val="en-GB"/>
        </w:rPr>
        <w:t xml:space="preserve"> Donors website.</w:t>
      </w:r>
      <w:r w:rsidR="00BF76CD">
        <w:rPr>
          <w:sz w:val="18"/>
          <w:szCs w:val="18"/>
          <w:lang w:val="en-GB"/>
        </w:rPr>
        <w:t xml:space="preserve"> Case studies can be found at: </w:t>
      </w:r>
      <w:hyperlink r:id="rId4" w:history="1">
        <w:r w:rsidR="00BF76CD" w:rsidRPr="003D0E09">
          <w:rPr>
            <w:rStyle w:val="Hyperlink"/>
            <w:sz w:val="18"/>
            <w:szCs w:val="18"/>
            <w:lang w:val="en-GB"/>
          </w:rPr>
          <w:t>https://</w:t>
        </w:r>
        <w:proofErr w:type="spellStart"/>
        <w:r w:rsidR="00BF76CD" w:rsidRPr="003D0E09">
          <w:rPr>
            <w:rStyle w:val="Hyperlink"/>
            <w:sz w:val="18"/>
            <w:szCs w:val="18"/>
            <w:lang w:val="en-GB"/>
          </w:rPr>
          <w:t>www.1mdonors.org.au</w:t>
        </w:r>
        <w:proofErr w:type="spellEnd"/>
        <w:r w:rsidR="00BF76CD" w:rsidRPr="003D0E09">
          <w:rPr>
            <w:rStyle w:val="Hyperlink"/>
            <w:sz w:val="18"/>
            <w:szCs w:val="18"/>
            <w:lang w:val="en-GB"/>
          </w:rPr>
          <w:t>/the-case-for-workplace-giving/</w:t>
        </w:r>
      </w:hyperlink>
      <w:r w:rsidR="00BF76CD">
        <w:rPr>
          <w:sz w:val="18"/>
          <w:szCs w:val="18"/>
          <w:lang w:val="en-GB"/>
        </w:rPr>
        <w:t xml:space="preserve"> </w:t>
      </w:r>
    </w:p>
    <w:p w14:paraId="1FA8259E" w14:textId="56DAA567" w:rsidR="009D5C18" w:rsidRPr="009D5C18" w:rsidRDefault="009D5C18">
      <w:pPr>
        <w:pStyle w:val="FootnoteText"/>
        <w:rPr>
          <w:lang w:val="en-GB"/>
        </w:rPr>
      </w:pPr>
    </w:p>
  </w:footnote>
  <w:footnote w:id="16">
    <w:p w14:paraId="7C3468D8" w14:textId="748A79D7" w:rsidR="00607D8C" w:rsidRPr="00990F8D" w:rsidRDefault="00607D8C" w:rsidP="00317ABD">
      <w:pPr>
        <w:pStyle w:val="FootnoteText"/>
        <w:ind w:left="142" w:hanging="142"/>
        <w:rPr>
          <w:sz w:val="18"/>
          <w:szCs w:val="18"/>
          <w:lang w:val="en-GB"/>
        </w:rPr>
      </w:pPr>
      <w:r w:rsidRPr="008A0B43">
        <w:rPr>
          <w:rStyle w:val="FootnoteReference"/>
          <w:sz w:val="18"/>
          <w:szCs w:val="18"/>
        </w:rPr>
        <w:footnoteRef/>
      </w:r>
      <w:r w:rsidRPr="008A0B43">
        <w:rPr>
          <w:sz w:val="18"/>
          <w:szCs w:val="18"/>
        </w:rPr>
        <w:t xml:space="preserve"> </w:t>
      </w:r>
      <w:r w:rsidRPr="00990F8D">
        <w:rPr>
          <w:sz w:val="18"/>
          <w:szCs w:val="18"/>
          <w:lang w:val="en-GB"/>
        </w:rPr>
        <w:t>ATO data 2022 indicates 29% of taxpayers claimed tax deductible donations</w:t>
      </w:r>
    </w:p>
  </w:footnote>
  <w:footnote w:id="17">
    <w:p w14:paraId="4E7D6EE9" w14:textId="42B556CF" w:rsidR="00F450F1" w:rsidRPr="00990F8D" w:rsidRDefault="00F450F1" w:rsidP="00317ABD">
      <w:pPr>
        <w:pStyle w:val="FootnoteText"/>
        <w:ind w:left="142" w:hanging="142"/>
        <w:rPr>
          <w:sz w:val="18"/>
          <w:szCs w:val="18"/>
          <w:lang w:val="en-GB"/>
        </w:rPr>
      </w:pPr>
      <w:r w:rsidRPr="00990F8D">
        <w:rPr>
          <w:rStyle w:val="FootnoteReference"/>
          <w:sz w:val="18"/>
          <w:szCs w:val="18"/>
        </w:rPr>
        <w:footnoteRef/>
      </w:r>
      <w:r w:rsidRPr="00990F8D">
        <w:rPr>
          <w:sz w:val="18"/>
          <w:szCs w:val="18"/>
        </w:rPr>
        <w:t xml:space="preserve"> </w:t>
      </w:r>
      <w:r w:rsidRPr="00990F8D">
        <w:rPr>
          <w:sz w:val="18"/>
          <w:szCs w:val="18"/>
          <w:lang w:val="en-GB"/>
        </w:rPr>
        <w:t xml:space="preserve">This may have the added benefit of increasing the donation to charity as many individuals will elect to pay the full amount rather than the deducted amount to the cause as is evidenced in the outcome for the UK Gift Aid </w:t>
      </w:r>
      <w:r w:rsidR="00C71756" w:rsidRPr="00990F8D">
        <w:rPr>
          <w:sz w:val="18"/>
          <w:szCs w:val="18"/>
          <w:lang w:val="en-GB"/>
        </w:rPr>
        <w:t>program</w:t>
      </w:r>
      <w:r w:rsidRPr="00990F8D">
        <w:rPr>
          <w:sz w:val="18"/>
          <w:szCs w:val="18"/>
          <w:lang w:val="en-GB"/>
        </w:rPr>
        <w:t>.</w:t>
      </w:r>
    </w:p>
  </w:footnote>
  <w:footnote w:id="18">
    <w:p w14:paraId="0E48FF9E" w14:textId="2B01E87E" w:rsidR="0041570C" w:rsidRPr="00990F8D" w:rsidRDefault="0041570C" w:rsidP="00317ABD">
      <w:pPr>
        <w:pStyle w:val="FootnoteText"/>
        <w:ind w:left="142" w:hanging="142"/>
        <w:rPr>
          <w:sz w:val="18"/>
          <w:szCs w:val="18"/>
          <w:lang w:val="en-GB"/>
        </w:rPr>
      </w:pPr>
      <w:r w:rsidRPr="00990F8D">
        <w:rPr>
          <w:rStyle w:val="FootnoteReference"/>
          <w:sz w:val="18"/>
          <w:szCs w:val="18"/>
        </w:rPr>
        <w:footnoteRef/>
      </w:r>
      <w:r w:rsidRPr="00990F8D">
        <w:rPr>
          <w:sz w:val="18"/>
          <w:szCs w:val="18"/>
        </w:rPr>
        <w:t xml:space="preserve"> </w:t>
      </w:r>
      <w:r w:rsidR="009619BD" w:rsidRPr="00990F8D">
        <w:rPr>
          <w:sz w:val="18"/>
          <w:szCs w:val="18"/>
        </w:rPr>
        <w:t>Workplace Giving Australia</w:t>
      </w:r>
      <w:r w:rsidRPr="00990F8D">
        <w:rPr>
          <w:sz w:val="18"/>
          <w:szCs w:val="18"/>
        </w:rPr>
        <w:t xml:space="preserve"> analysis of </w:t>
      </w:r>
      <w:proofErr w:type="spellStart"/>
      <w:r w:rsidRPr="00990F8D">
        <w:rPr>
          <w:sz w:val="18"/>
          <w:szCs w:val="18"/>
        </w:rPr>
        <w:t>Good2Give</w:t>
      </w:r>
      <w:proofErr w:type="spellEnd"/>
      <w:r w:rsidRPr="00990F8D">
        <w:rPr>
          <w:sz w:val="18"/>
          <w:szCs w:val="18"/>
        </w:rPr>
        <w:t xml:space="preserve"> 5 year data shows that only 40% of donors want to be contacted directly by the charity they chose to support, while the remaining 60% prefer the anonymity of workplace giving.</w:t>
      </w:r>
    </w:p>
  </w:footnote>
  <w:footnote w:id="19">
    <w:p w14:paraId="256EE642" w14:textId="7AAF3139" w:rsidR="00097B39" w:rsidRPr="00990F8D" w:rsidRDefault="00097B39" w:rsidP="00317ABD">
      <w:pPr>
        <w:pStyle w:val="FootnoteText"/>
        <w:ind w:left="142" w:hanging="142"/>
        <w:rPr>
          <w:sz w:val="18"/>
          <w:szCs w:val="18"/>
          <w:lang w:val="en-GB"/>
        </w:rPr>
      </w:pPr>
      <w:r w:rsidRPr="00990F8D">
        <w:rPr>
          <w:rStyle w:val="FootnoteReference"/>
          <w:sz w:val="18"/>
          <w:szCs w:val="18"/>
        </w:rPr>
        <w:footnoteRef/>
      </w:r>
      <w:r w:rsidRPr="00990F8D">
        <w:rPr>
          <w:sz w:val="18"/>
          <w:szCs w:val="18"/>
        </w:rPr>
        <w:t xml:space="preserve"> </w:t>
      </w:r>
      <w:r w:rsidR="0094220F" w:rsidRPr="00990F8D">
        <w:rPr>
          <w:sz w:val="18"/>
          <w:szCs w:val="18"/>
        </w:rPr>
        <w:t>“</w:t>
      </w:r>
      <w:r w:rsidR="0094220F" w:rsidRPr="00990F8D">
        <w:rPr>
          <w:sz w:val="18"/>
          <w:szCs w:val="18"/>
          <w:lang w:val="en-GB"/>
        </w:rPr>
        <w:t xml:space="preserve">Project ROI: Defining the competitive and financial advantages of corporate responsibility and sustainability” </w:t>
      </w:r>
      <w:r w:rsidR="005D1B92" w:rsidRPr="00990F8D">
        <w:rPr>
          <w:sz w:val="18"/>
          <w:szCs w:val="18"/>
          <w:lang w:val="en-GB"/>
        </w:rPr>
        <w:t xml:space="preserve">Babson Social Innovation Lab, </w:t>
      </w:r>
      <w:r w:rsidR="00B34EF1" w:rsidRPr="00990F8D">
        <w:rPr>
          <w:sz w:val="18"/>
          <w:szCs w:val="18"/>
          <w:lang w:val="en-GB"/>
        </w:rPr>
        <w:t xml:space="preserve">(2015) S </w:t>
      </w:r>
      <w:proofErr w:type="spellStart"/>
      <w:r w:rsidR="00B34EF1" w:rsidRPr="00990F8D">
        <w:rPr>
          <w:sz w:val="18"/>
          <w:szCs w:val="18"/>
          <w:lang w:val="en-GB"/>
        </w:rPr>
        <w:t>Rochlin</w:t>
      </w:r>
      <w:proofErr w:type="spellEnd"/>
      <w:r w:rsidR="00B34EF1" w:rsidRPr="00990F8D">
        <w:rPr>
          <w:sz w:val="18"/>
          <w:szCs w:val="18"/>
          <w:lang w:val="en-GB"/>
        </w:rPr>
        <w:t xml:space="preserve">, R Bliss, S Jordan &amp; C </w:t>
      </w:r>
      <w:proofErr w:type="spellStart"/>
      <w:r w:rsidR="00B34EF1" w:rsidRPr="00990F8D">
        <w:rPr>
          <w:sz w:val="18"/>
          <w:szCs w:val="18"/>
          <w:lang w:val="en-GB"/>
        </w:rPr>
        <w:t>Yaffe</w:t>
      </w:r>
      <w:proofErr w:type="spellEnd"/>
      <w:r w:rsidR="00B34EF1" w:rsidRPr="00990F8D">
        <w:rPr>
          <w:sz w:val="18"/>
          <w:szCs w:val="18"/>
          <w:lang w:val="en-GB"/>
        </w:rPr>
        <w:t xml:space="preserve"> Kiser</w:t>
      </w:r>
      <w:r w:rsidR="0094220F" w:rsidRPr="00990F8D">
        <w:rPr>
          <w:sz w:val="18"/>
          <w:szCs w:val="18"/>
          <w:lang w:val="en-GB"/>
        </w:rPr>
        <w:t xml:space="preserve"> </w:t>
      </w:r>
    </w:p>
  </w:footnote>
  <w:footnote w:id="20">
    <w:p w14:paraId="4085371E" w14:textId="472F1C7B" w:rsidR="00F95A23" w:rsidRPr="00990F8D" w:rsidRDefault="00F95A23" w:rsidP="00317ABD">
      <w:pPr>
        <w:pStyle w:val="FootnoteText"/>
        <w:ind w:left="142" w:hanging="142"/>
        <w:rPr>
          <w:sz w:val="18"/>
          <w:szCs w:val="18"/>
          <w:lang w:val="en-GB"/>
        </w:rPr>
      </w:pPr>
      <w:r w:rsidRPr="00990F8D">
        <w:rPr>
          <w:rStyle w:val="FootnoteReference"/>
          <w:sz w:val="18"/>
          <w:szCs w:val="18"/>
        </w:rPr>
        <w:footnoteRef/>
      </w:r>
      <w:r w:rsidRPr="00990F8D">
        <w:rPr>
          <w:sz w:val="18"/>
          <w:szCs w:val="18"/>
        </w:rPr>
        <w:t xml:space="preserve"> </w:t>
      </w:r>
      <w:r w:rsidR="00C372B2" w:rsidRPr="00990F8D">
        <w:rPr>
          <w:sz w:val="18"/>
          <w:szCs w:val="18"/>
          <w:lang w:val="en-GB"/>
        </w:rPr>
        <w:t>69% of employees report that having societal impact is a strong expectation or deal breaker when considering a job per 2022 Edelman Trust Barometer</w:t>
      </w:r>
    </w:p>
  </w:footnote>
  <w:footnote w:id="21">
    <w:p w14:paraId="50DB11C5" w14:textId="3D3B634A" w:rsidR="00012117" w:rsidRPr="00990F8D" w:rsidRDefault="00012117" w:rsidP="00317ABD">
      <w:pPr>
        <w:spacing w:after="0"/>
        <w:ind w:left="142" w:hanging="142"/>
        <w:rPr>
          <w:sz w:val="18"/>
          <w:szCs w:val="18"/>
          <w:lang w:val="en-GB"/>
        </w:rPr>
      </w:pPr>
      <w:r w:rsidRPr="00990F8D">
        <w:rPr>
          <w:rStyle w:val="FootnoteReference"/>
          <w:sz w:val="18"/>
          <w:szCs w:val="18"/>
        </w:rPr>
        <w:footnoteRef/>
      </w:r>
      <w:r w:rsidRPr="00990F8D">
        <w:rPr>
          <w:rStyle w:val="FootnoteReference"/>
          <w:sz w:val="18"/>
          <w:szCs w:val="18"/>
        </w:rPr>
        <w:t xml:space="preserve"> </w:t>
      </w:r>
      <w:r w:rsidRPr="00990F8D">
        <w:rPr>
          <w:rStyle w:val="FootnoteReference"/>
          <w:sz w:val="18"/>
          <w:szCs w:val="18"/>
          <w:vertAlign w:val="baseline"/>
        </w:rPr>
        <w:t>“Becoming</w:t>
      </w:r>
      <w:r w:rsidRPr="00990F8D">
        <w:rPr>
          <w:sz w:val="18"/>
          <w:szCs w:val="18"/>
          <w:lang w:val="en-GB"/>
        </w:rPr>
        <w:t xml:space="preserve"> Irresistible: A New Model for Employee Engagement” Deloitte Review Jan 27, 2015. “For </w:t>
      </w:r>
      <w:r w:rsidR="00C71756" w:rsidRPr="00990F8D">
        <w:rPr>
          <w:sz w:val="18"/>
          <w:szCs w:val="18"/>
          <w:lang w:val="en-GB"/>
        </w:rPr>
        <w:t>Millennials</w:t>
      </w:r>
      <w:r w:rsidRPr="00990F8D">
        <w:rPr>
          <w:sz w:val="18"/>
          <w:szCs w:val="18"/>
          <w:lang w:val="en-GB"/>
        </w:rPr>
        <w:t xml:space="preserve">, Is Job-Hopping Inevitable” By B </w:t>
      </w:r>
      <w:proofErr w:type="spellStart"/>
      <w:r w:rsidRPr="00990F8D">
        <w:rPr>
          <w:sz w:val="18"/>
          <w:szCs w:val="18"/>
          <w:lang w:val="en-GB"/>
        </w:rPr>
        <w:t>Rigoni</w:t>
      </w:r>
      <w:proofErr w:type="spellEnd"/>
      <w:r w:rsidRPr="00990F8D">
        <w:rPr>
          <w:sz w:val="18"/>
          <w:szCs w:val="18"/>
          <w:lang w:val="en-GB"/>
        </w:rPr>
        <w:t xml:space="preserve"> and B Nelson, November 2016</w:t>
      </w:r>
    </w:p>
  </w:footnote>
  <w:footnote w:id="22">
    <w:p w14:paraId="7F45880E" w14:textId="77777777" w:rsidR="00012117" w:rsidRPr="00990F8D" w:rsidRDefault="00012117" w:rsidP="00317ABD">
      <w:pPr>
        <w:pStyle w:val="FootnoteText"/>
        <w:ind w:left="142" w:hanging="142"/>
        <w:rPr>
          <w:sz w:val="18"/>
          <w:szCs w:val="18"/>
          <w:lang w:val="en-GB"/>
        </w:rPr>
      </w:pPr>
      <w:r w:rsidRPr="00990F8D">
        <w:rPr>
          <w:rStyle w:val="FootnoteReference"/>
          <w:sz w:val="18"/>
          <w:szCs w:val="18"/>
        </w:rPr>
        <w:footnoteRef/>
      </w:r>
      <w:r w:rsidRPr="00990F8D">
        <w:rPr>
          <w:sz w:val="18"/>
          <w:szCs w:val="18"/>
        </w:rPr>
        <w:t xml:space="preserve"> </w:t>
      </w:r>
      <w:r w:rsidRPr="00990F8D">
        <w:rPr>
          <w:rStyle w:val="FootnoteReference"/>
          <w:sz w:val="18"/>
          <w:szCs w:val="18"/>
          <w:vertAlign w:val="baseline"/>
        </w:rPr>
        <w:t>“Becoming</w:t>
      </w:r>
      <w:r w:rsidRPr="00990F8D">
        <w:rPr>
          <w:sz w:val="18"/>
          <w:szCs w:val="18"/>
          <w:lang w:val="en-GB"/>
        </w:rPr>
        <w:t xml:space="preserve"> Irresistible: A New Model for Employee Engagement” Deloitte Review Jan 27, 2015.</w:t>
      </w:r>
    </w:p>
  </w:footnote>
  <w:footnote w:id="23">
    <w:p w14:paraId="29818AF5" w14:textId="77777777" w:rsidR="00012117" w:rsidRPr="00990F8D" w:rsidRDefault="00012117" w:rsidP="00317ABD">
      <w:pPr>
        <w:pStyle w:val="FootnoteText"/>
        <w:ind w:left="142" w:hanging="142"/>
        <w:rPr>
          <w:sz w:val="18"/>
          <w:szCs w:val="18"/>
          <w:lang w:val="en-GB"/>
        </w:rPr>
      </w:pPr>
      <w:r w:rsidRPr="00990F8D">
        <w:rPr>
          <w:rStyle w:val="FootnoteReference"/>
          <w:sz w:val="18"/>
          <w:szCs w:val="18"/>
        </w:rPr>
        <w:footnoteRef/>
      </w:r>
      <w:r w:rsidRPr="00990F8D">
        <w:rPr>
          <w:sz w:val="18"/>
          <w:szCs w:val="18"/>
        </w:rPr>
        <w:t xml:space="preserve"> </w:t>
      </w:r>
      <w:r w:rsidRPr="00990F8D">
        <w:rPr>
          <w:sz w:val="18"/>
          <w:szCs w:val="18"/>
          <w:lang w:val="en-GB"/>
        </w:rPr>
        <w:t xml:space="preserve">“The Relationship between Engagement at Work and Organisational Outcomes 2020 </w:t>
      </w:r>
      <w:proofErr w:type="spellStart"/>
      <w:r w:rsidRPr="00990F8D">
        <w:rPr>
          <w:sz w:val="18"/>
          <w:szCs w:val="18"/>
          <w:lang w:val="en-GB"/>
        </w:rPr>
        <w:t>Q12</w:t>
      </w:r>
      <w:proofErr w:type="spellEnd"/>
      <w:r w:rsidRPr="00990F8D">
        <w:rPr>
          <w:sz w:val="18"/>
          <w:szCs w:val="18"/>
          <w:lang w:val="en-GB"/>
        </w:rPr>
        <w:t xml:space="preserve"> Meta Analysis 10</w:t>
      </w:r>
      <w:r w:rsidRPr="00990F8D">
        <w:rPr>
          <w:sz w:val="18"/>
          <w:szCs w:val="18"/>
          <w:vertAlign w:val="superscript"/>
          <w:lang w:val="en-GB"/>
        </w:rPr>
        <w:t>th</w:t>
      </w:r>
      <w:r w:rsidRPr="00990F8D">
        <w:rPr>
          <w:sz w:val="18"/>
          <w:szCs w:val="18"/>
          <w:lang w:val="en-GB"/>
        </w:rPr>
        <w:t xml:space="preserve"> edition” Gallup, October 2020</w:t>
      </w:r>
    </w:p>
  </w:footnote>
  <w:footnote w:id="24">
    <w:p w14:paraId="69BC94DF" w14:textId="5D841515" w:rsidR="00012117" w:rsidRPr="00990F8D" w:rsidRDefault="00012117" w:rsidP="00317ABD">
      <w:pPr>
        <w:pStyle w:val="FootnoteText"/>
        <w:ind w:left="142" w:hanging="142"/>
        <w:rPr>
          <w:sz w:val="18"/>
          <w:szCs w:val="18"/>
          <w:lang w:val="en-GB"/>
        </w:rPr>
      </w:pPr>
      <w:r w:rsidRPr="00990F8D">
        <w:rPr>
          <w:rStyle w:val="FootnoteReference"/>
          <w:sz w:val="18"/>
          <w:szCs w:val="18"/>
        </w:rPr>
        <w:footnoteRef/>
      </w:r>
      <w:r w:rsidRPr="00990F8D">
        <w:rPr>
          <w:sz w:val="18"/>
          <w:szCs w:val="18"/>
        </w:rPr>
        <w:t xml:space="preserve"> </w:t>
      </w:r>
      <w:r w:rsidRPr="00990F8D">
        <w:rPr>
          <w:sz w:val="18"/>
          <w:szCs w:val="18"/>
          <w:lang w:val="en-GB"/>
        </w:rPr>
        <w:t xml:space="preserve">Op </w:t>
      </w:r>
      <w:proofErr w:type="spellStart"/>
      <w:r w:rsidRPr="00990F8D">
        <w:rPr>
          <w:sz w:val="18"/>
          <w:szCs w:val="18"/>
          <w:lang w:val="en-GB"/>
        </w:rPr>
        <w:t>cit</w:t>
      </w:r>
      <w:proofErr w:type="spellEnd"/>
    </w:p>
  </w:footnote>
  <w:footnote w:id="25">
    <w:p w14:paraId="02A80DE0" w14:textId="77777777" w:rsidR="00012117" w:rsidRPr="00990F8D" w:rsidRDefault="00012117" w:rsidP="00317ABD">
      <w:pPr>
        <w:pStyle w:val="FootnoteText"/>
        <w:ind w:left="142" w:hanging="142"/>
        <w:rPr>
          <w:sz w:val="18"/>
          <w:szCs w:val="18"/>
          <w:lang w:val="en-GB"/>
        </w:rPr>
      </w:pPr>
      <w:r w:rsidRPr="00990F8D">
        <w:rPr>
          <w:rStyle w:val="FootnoteReference"/>
          <w:sz w:val="18"/>
          <w:szCs w:val="18"/>
        </w:rPr>
        <w:footnoteRef/>
      </w:r>
      <w:r w:rsidRPr="00990F8D">
        <w:rPr>
          <w:sz w:val="18"/>
          <w:szCs w:val="18"/>
        </w:rPr>
        <w:t xml:space="preserve"> </w:t>
      </w:r>
      <w:r w:rsidRPr="00990F8D">
        <w:rPr>
          <w:sz w:val="18"/>
          <w:szCs w:val="18"/>
          <w:lang w:val="en-GB"/>
        </w:rPr>
        <w:t xml:space="preserve">Op </w:t>
      </w:r>
      <w:proofErr w:type="spellStart"/>
      <w:r w:rsidRPr="00990F8D">
        <w:rPr>
          <w:sz w:val="18"/>
          <w:szCs w:val="18"/>
          <w:lang w:val="en-GB"/>
        </w:rPr>
        <w:t>cit</w:t>
      </w:r>
      <w:proofErr w:type="spellEnd"/>
    </w:p>
  </w:footnote>
  <w:footnote w:id="26">
    <w:p w14:paraId="084FE251" w14:textId="5F0347F4" w:rsidR="00280D22" w:rsidRPr="00990F8D" w:rsidRDefault="00280D22" w:rsidP="00317ABD">
      <w:pPr>
        <w:pStyle w:val="FootnoteText"/>
        <w:ind w:left="142" w:hanging="142"/>
        <w:rPr>
          <w:sz w:val="18"/>
          <w:szCs w:val="18"/>
          <w:lang w:val="en-GB"/>
        </w:rPr>
      </w:pPr>
      <w:r w:rsidRPr="00990F8D">
        <w:rPr>
          <w:rStyle w:val="FootnoteReference"/>
          <w:sz w:val="18"/>
          <w:szCs w:val="18"/>
        </w:rPr>
        <w:footnoteRef/>
      </w:r>
      <w:r w:rsidRPr="00990F8D">
        <w:rPr>
          <w:sz w:val="18"/>
          <w:szCs w:val="18"/>
        </w:rPr>
        <w:t xml:space="preserve"> </w:t>
      </w:r>
      <w:r w:rsidRPr="00990F8D">
        <w:rPr>
          <w:sz w:val="18"/>
          <w:szCs w:val="18"/>
          <w:lang w:val="en-GB"/>
        </w:rPr>
        <w:t xml:space="preserve">Workplace Giving Australia primary research 2022, “True Gen: Generation Z and its implications for companies” by T Francis &amp; F </w:t>
      </w:r>
      <w:proofErr w:type="spellStart"/>
      <w:r w:rsidRPr="00990F8D">
        <w:rPr>
          <w:sz w:val="18"/>
          <w:szCs w:val="18"/>
          <w:lang w:val="en-GB"/>
        </w:rPr>
        <w:t>Hoefel</w:t>
      </w:r>
      <w:proofErr w:type="spellEnd"/>
      <w:r w:rsidRPr="00990F8D">
        <w:rPr>
          <w:sz w:val="18"/>
          <w:szCs w:val="18"/>
          <w:lang w:val="en-GB"/>
        </w:rPr>
        <w:t xml:space="preserve">, McKinsey &amp; Company </w:t>
      </w:r>
    </w:p>
  </w:footnote>
  <w:footnote w:id="27">
    <w:p w14:paraId="57F409D9" w14:textId="08BF3AE4" w:rsidR="00430644" w:rsidRPr="00990F8D" w:rsidRDefault="00430644" w:rsidP="00317ABD">
      <w:pPr>
        <w:pStyle w:val="FootnoteText"/>
        <w:ind w:left="142" w:hanging="142"/>
        <w:rPr>
          <w:sz w:val="18"/>
          <w:szCs w:val="18"/>
          <w:lang w:val="en-GB"/>
        </w:rPr>
      </w:pPr>
      <w:r w:rsidRPr="00990F8D">
        <w:rPr>
          <w:rStyle w:val="FootnoteReference"/>
          <w:sz w:val="18"/>
          <w:szCs w:val="18"/>
        </w:rPr>
        <w:footnoteRef/>
      </w:r>
      <w:r w:rsidRPr="00990F8D">
        <w:rPr>
          <w:sz w:val="18"/>
          <w:szCs w:val="18"/>
        </w:rPr>
        <w:t xml:space="preserve"> </w:t>
      </w:r>
      <w:r w:rsidRPr="00990F8D">
        <w:rPr>
          <w:sz w:val="18"/>
          <w:szCs w:val="18"/>
          <w:lang w:val="en-GB"/>
        </w:rPr>
        <w:t>“Corporate Philanthropy, Reputation Risk Management and Shareholder Value</w:t>
      </w:r>
      <w:r w:rsidR="00FF74AC" w:rsidRPr="00990F8D">
        <w:rPr>
          <w:sz w:val="18"/>
          <w:szCs w:val="18"/>
          <w:lang w:val="en-GB"/>
        </w:rPr>
        <w:t xml:space="preserve">: A Study of Australian Corporate </w:t>
      </w:r>
      <w:r w:rsidR="00C71756" w:rsidRPr="00990F8D">
        <w:rPr>
          <w:sz w:val="18"/>
          <w:szCs w:val="18"/>
          <w:lang w:val="en-GB"/>
        </w:rPr>
        <w:t>Giving” by</w:t>
      </w:r>
      <w:r w:rsidR="00FF74AC" w:rsidRPr="00990F8D">
        <w:rPr>
          <w:sz w:val="18"/>
          <w:szCs w:val="18"/>
          <w:lang w:val="en-GB"/>
        </w:rPr>
        <w:t xml:space="preserve"> Hogarth. Hutchison and Scaife, 2018.</w:t>
      </w:r>
    </w:p>
  </w:footnote>
  <w:footnote w:id="28">
    <w:p w14:paraId="3DD287AE" w14:textId="1A5B0EE8" w:rsidR="003E796C" w:rsidRPr="00990F8D" w:rsidRDefault="003E796C" w:rsidP="00317ABD">
      <w:pPr>
        <w:pStyle w:val="FootnoteText"/>
        <w:ind w:left="142" w:hanging="142"/>
        <w:rPr>
          <w:sz w:val="18"/>
          <w:szCs w:val="18"/>
          <w:lang w:val="en-GB"/>
        </w:rPr>
      </w:pPr>
      <w:r w:rsidRPr="00990F8D">
        <w:rPr>
          <w:rStyle w:val="FootnoteReference"/>
          <w:sz w:val="18"/>
          <w:szCs w:val="18"/>
        </w:rPr>
        <w:footnoteRef/>
      </w:r>
      <w:r w:rsidRPr="00990F8D">
        <w:rPr>
          <w:sz w:val="18"/>
          <w:szCs w:val="18"/>
        </w:rPr>
        <w:t xml:space="preserve"> </w:t>
      </w:r>
      <w:r w:rsidRPr="00990F8D">
        <w:rPr>
          <w:sz w:val="18"/>
          <w:szCs w:val="18"/>
          <w:lang w:val="en-GB"/>
        </w:rPr>
        <w:t xml:space="preserve">“Disaster Relief </w:t>
      </w:r>
      <w:r w:rsidR="00C71756" w:rsidRPr="00990F8D">
        <w:rPr>
          <w:sz w:val="18"/>
          <w:szCs w:val="18"/>
          <w:lang w:val="en-GB"/>
        </w:rPr>
        <w:t>Inc.” by</w:t>
      </w:r>
      <w:r w:rsidRPr="00990F8D">
        <w:rPr>
          <w:sz w:val="18"/>
          <w:szCs w:val="18"/>
          <w:lang w:val="en-GB"/>
        </w:rPr>
        <w:t xml:space="preserve"> Hao Liang and Cara </w:t>
      </w:r>
      <w:proofErr w:type="spellStart"/>
      <w:r w:rsidRPr="00990F8D">
        <w:rPr>
          <w:sz w:val="18"/>
          <w:szCs w:val="18"/>
          <w:lang w:val="en-GB"/>
        </w:rPr>
        <w:t>Vansteenkiste</w:t>
      </w:r>
      <w:proofErr w:type="spellEnd"/>
      <w:r w:rsidR="007113EA" w:rsidRPr="00990F8D">
        <w:rPr>
          <w:sz w:val="18"/>
          <w:szCs w:val="18"/>
          <w:lang w:val="en-GB"/>
        </w:rPr>
        <w:t>, 2020</w:t>
      </w:r>
    </w:p>
  </w:footnote>
  <w:footnote w:id="29">
    <w:p w14:paraId="345546C7" w14:textId="0259FDB9" w:rsidR="006862A1" w:rsidRPr="00990F8D" w:rsidRDefault="006862A1" w:rsidP="00317ABD">
      <w:pPr>
        <w:spacing w:after="0"/>
        <w:ind w:left="142" w:hanging="142"/>
        <w:rPr>
          <w:sz w:val="18"/>
          <w:szCs w:val="18"/>
          <w:lang w:val="en-GB"/>
        </w:rPr>
      </w:pPr>
      <w:r w:rsidRPr="00990F8D">
        <w:rPr>
          <w:rStyle w:val="FootnoteReference"/>
          <w:sz w:val="18"/>
          <w:szCs w:val="18"/>
        </w:rPr>
        <w:footnoteRef/>
      </w:r>
      <w:r w:rsidRPr="00990F8D">
        <w:rPr>
          <w:sz w:val="18"/>
          <w:szCs w:val="18"/>
        </w:rPr>
        <w:t xml:space="preserve"> </w:t>
      </w:r>
      <w:r w:rsidR="00E12F02" w:rsidRPr="00990F8D">
        <w:rPr>
          <w:sz w:val="18"/>
          <w:szCs w:val="18"/>
          <w:lang w:val="en-GB"/>
        </w:rPr>
        <w:t>Workplace Giving Au</w:t>
      </w:r>
      <w:r w:rsidR="00084A66" w:rsidRPr="00990F8D">
        <w:rPr>
          <w:sz w:val="18"/>
          <w:szCs w:val="18"/>
          <w:lang w:val="en-GB"/>
        </w:rPr>
        <w:t>s</w:t>
      </w:r>
      <w:r w:rsidR="00E12F02" w:rsidRPr="00990F8D">
        <w:rPr>
          <w:sz w:val="18"/>
          <w:szCs w:val="18"/>
          <w:lang w:val="en-GB"/>
        </w:rPr>
        <w:t xml:space="preserve">tralia primary research 2022. </w:t>
      </w:r>
      <w:r w:rsidR="00AC1B5E" w:rsidRPr="00990F8D">
        <w:rPr>
          <w:sz w:val="18"/>
          <w:szCs w:val="18"/>
          <w:lang w:val="en-GB"/>
        </w:rPr>
        <w:t xml:space="preserve">McKinsey Quarterly – September 2021 “Great Attrition or Great Attraction”. </w:t>
      </w:r>
      <w:r w:rsidRPr="00990F8D">
        <w:rPr>
          <w:sz w:val="18"/>
          <w:szCs w:val="18"/>
          <w:lang w:val="en-GB"/>
        </w:rPr>
        <w:t>“Engagement in Corporate Giving: How Companies Can Involve Consumers and Employees in Financial Donations” by Wakefield</w:t>
      </w:r>
    </w:p>
  </w:footnote>
  <w:footnote w:id="30">
    <w:p w14:paraId="2C7B1667" w14:textId="2F73FC85" w:rsidR="001A1EAA" w:rsidRPr="00F52DCB" w:rsidRDefault="001A1EAA" w:rsidP="00317ABD">
      <w:pPr>
        <w:pStyle w:val="FootnoteText"/>
        <w:ind w:left="142" w:hanging="142"/>
        <w:rPr>
          <w:sz w:val="18"/>
          <w:szCs w:val="18"/>
          <w:lang w:val="en-GB"/>
        </w:rPr>
      </w:pPr>
      <w:r w:rsidRPr="00990F8D">
        <w:rPr>
          <w:rStyle w:val="FootnoteReference"/>
          <w:sz w:val="18"/>
          <w:szCs w:val="18"/>
        </w:rPr>
        <w:footnoteRef/>
      </w:r>
      <w:r w:rsidRPr="00990F8D">
        <w:rPr>
          <w:sz w:val="18"/>
          <w:szCs w:val="18"/>
        </w:rPr>
        <w:t xml:space="preserve"> </w:t>
      </w:r>
      <w:r w:rsidR="00413B85" w:rsidRPr="00990F8D">
        <w:rPr>
          <w:sz w:val="18"/>
          <w:szCs w:val="18"/>
        </w:rPr>
        <w:t>60% of consumers cite an i</w:t>
      </w:r>
      <w:r w:rsidR="006E7A96" w:rsidRPr="00990F8D">
        <w:rPr>
          <w:sz w:val="18"/>
          <w:szCs w:val="18"/>
        </w:rPr>
        <w:t>ncrease in willingness to pay</w:t>
      </w:r>
      <w:r w:rsidR="00413B85" w:rsidRPr="00990F8D">
        <w:rPr>
          <w:sz w:val="18"/>
          <w:szCs w:val="18"/>
        </w:rPr>
        <w:t xml:space="preserve"> up to 17% more for socially responsible products and services</w:t>
      </w:r>
      <w:r w:rsidR="00750948" w:rsidRPr="00990F8D">
        <w:rPr>
          <w:sz w:val="18"/>
          <w:szCs w:val="18"/>
        </w:rPr>
        <w:t xml:space="preserve">. </w:t>
      </w:r>
      <w:r w:rsidRPr="00990F8D">
        <w:rPr>
          <w:sz w:val="18"/>
          <w:szCs w:val="18"/>
          <w:lang w:val="en-GB"/>
        </w:rPr>
        <w:t>Workplace Giving Australia primary research 2022,</w:t>
      </w:r>
      <w:r w:rsidR="00B11E83" w:rsidRPr="00990F8D">
        <w:rPr>
          <w:sz w:val="18"/>
          <w:szCs w:val="18"/>
          <w:lang w:val="en-GB"/>
        </w:rPr>
        <w:t xml:space="preserve"> 63% report that they buy or advocate for brands based on their beliefs and values per 2022 Edelman Trust Barometer</w:t>
      </w:r>
      <w:r w:rsidR="00427A2D" w:rsidRPr="00990F8D">
        <w:rPr>
          <w:sz w:val="18"/>
          <w:szCs w:val="18"/>
          <w:lang w:val="en-GB"/>
        </w:rPr>
        <w:t>. See also</w:t>
      </w:r>
      <w:r w:rsidRPr="00990F8D">
        <w:rPr>
          <w:sz w:val="18"/>
          <w:szCs w:val="18"/>
          <w:lang w:val="en-GB"/>
        </w:rPr>
        <w:t xml:space="preserve"> “True Gen: Generation Z and its implications for companies” by T Francis &amp; F </w:t>
      </w:r>
      <w:proofErr w:type="spellStart"/>
      <w:r w:rsidRPr="00990F8D">
        <w:rPr>
          <w:sz w:val="18"/>
          <w:szCs w:val="18"/>
          <w:lang w:val="en-GB"/>
        </w:rPr>
        <w:t>Hoefel</w:t>
      </w:r>
      <w:proofErr w:type="spellEnd"/>
      <w:r w:rsidRPr="00990F8D">
        <w:rPr>
          <w:sz w:val="18"/>
          <w:szCs w:val="18"/>
          <w:lang w:val="en-GB"/>
        </w:rPr>
        <w:t>, McKinsey &amp; Company</w:t>
      </w:r>
      <w:r w:rsidR="009476E5" w:rsidRPr="00990F8D">
        <w:rPr>
          <w:sz w:val="18"/>
          <w:szCs w:val="18"/>
          <w:lang w:val="en-GB"/>
        </w:rPr>
        <w:t xml:space="preserve">. 2018 Cone/Porter </w:t>
      </w:r>
      <w:proofErr w:type="spellStart"/>
      <w:r w:rsidR="009476E5" w:rsidRPr="00990F8D">
        <w:rPr>
          <w:sz w:val="18"/>
          <w:szCs w:val="18"/>
          <w:lang w:val="en-GB"/>
        </w:rPr>
        <w:t>Novelli</w:t>
      </w:r>
      <w:proofErr w:type="spellEnd"/>
      <w:r w:rsidR="009476E5" w:rsidRPr="00990F8D">
        <w:rPr>
          <w:sz w:val="18"/>
          <w:szCs w:val="18"/>
          <w:lang w:val="en-GB"/>
        </w:rPr>
        <w:t xml:space="preserve"> Purpose Study: How to Build Deeper Bonds, Amplify Your Message and Expand the Consumer Base” by Cone Communications March 2021</w:t>
      </w:r>
      <w:r w:rsidR="00D521A6" w:rsidRPr="00990F8D">
        <w:rPr>
          <w:sz w:val="18"/>
          <w:szCs w:val="18"/>
          <w:lang w:val="en-GB"/>
        </w:rPr>
        <w:t xml:space="preserve">. </w:t>
      </w:r>
      <w:r w:rsidR="001E0240" w:rsidRPr="00990F8D">
        <w:rPr>
          <w:sz w:val="18"/>
          <w:szCs w:val="18"/>
          <w:lang w:val="en-GB"/>
        </w:rPr>
        <w:t>“The</w:t>
      </w:r>
      <w:r w:rsidR="001E0240">
        <w:rPr>
          <w:sz w:val="18"/>
          <w:szCs w:val="18"/>
          <w:lang w:val="en-GB"/>
        </w:rPr>
        <w:t xml:space="preserve"> </w:t>
      </w:r>
      <w:r w:rsidR="001E0240" w:rsidRPr="00F52DCB">
        <w:rPr>
          <w:sz w:val="18"/>
          <w:szCs w:val="18"/>
          <w:lang w:val="en-GB"/>
        </w:rPr>
        <w:t>Corporate support Report: The Evolution of Corporate Giving and Community Investment in Australia” by John McCleod, March 2022</w:t>
      </w:r>
    </w:p>
  </w:footnote>
  <w:footnote w:id="31">
    <w:p w14:paraId="7C32574C" w14:textId="6BDDC883" w:rsidR="008B27DC" w:rsidRPr="00F52DCB" w:rsidRDefault="008B27DC" w:rsidP="005D61C0">
      <w:pPr>
        <w:pStyle w:val="FootnoteText"/>
        <w:ind w:left="142" w:hanging="142"/>
        <w:rPr>
          <w:sz w:val="18"/>
          <w:szCs w:val="18"/>
          <w:lang w:val="en-GB"/>
        </w:rPr>
      </w:pPr>
      <w:r w:rsidRPr="00F52DCB">
        <w:rPr>
          <w:rStyle w:val="FootnoteReference"/>
          <w:sz w:val="18"/>
          <w:szCs w:val="18"/>
        </w:rPr>
        <w:footnoteRef/>
      </w:r>
      <w:r w:rsidRPr="00F52DCB">
        <w:rPr>
          <w:sz w:val="18"/>
          <w:szCs w:val="18"/>
        </w:rPr>
        <w:t xml:space="preserve"> </w:t>
      </w:r>
      <w:r w:rsidR="005D61C0" w:rsidRPr="00F52DCB">
        <w:rPr>
          <w:sz w:val="18"/>
          <w:szCs w:val="18"/>
        </w:rPr>
        <w:t>“Project ROI: Defining the Competitive and Financial Advantages of Corporate Responsibility and Sustainability” (2015) Babson Social Innovation Lab</w:t>
      </w:r>
      <w:r w:rsidR="00802671" w:rsidRPr="00F52DCB">
        <w:rPr>
          <w:sz w:val="18"/>
          <w:szCs w:val="18"/>
        </w:rPr>
        <w:t xml:space="preserve"> </w:t>
      </w:r>
      <w:proofErr w:type="spellStart"/>
      <w:r w:rsidR="00802671" w:rsidRPr="00F52DCB">
        <w:rPr>
          <w:sz w:val="18"/>
          <w:szCs w:val="18"/>
        </w:rPr>
        <w:t>meta analysis</w:t>
      </w:r>
      <w:proofErr w:type="spellEnd"/>
      <w:r w:rsidR="005D61C0" w:rsidRPr="00F52DCB">
        <w:rPr>
          <w:sz w:val="18"/>
          <w:szCs w:val="18"/>
        </w:rPr>
        <w:t xml:space="preserve"> report</w:t>
      </w:r>
      <w:r w:rsidR="00CC44F2" w:rsidRPr="00F52DCB">
        <w:rPr>
          <w:sz w:val="18"/>
          <w:szCs w:val="18"/>
        </w:rPr>
        <w:t xml:space="preserve"> (USA)</w:t>
      </w:r>
      <w:r w:rsidR="005D61C0" w:rsidRPr="00F52DCB">
        <w:rPr>
          <w:sz w:val="18"/>
          <w:szCs w:val="18"/>
        </w:rPr>
        <w:t xml:space="preserve"> includes findings of 4-6% uplift in market value, 1% discount in cost of equity and reduction in share price volatility between 2-10%</w:t>
      </w:r>
      <w:r w:rsidR="00CC44F2" w:rsidRPr="00F52DCB">
        <w:rPr>
          <w:sz w:val="18"/>
          <w:szCs w:val="18"/>
        </w:rPr>
        <w:t xml:space="preserve"> for corporate responsibility &amp; sustainability performers</w:t>
      </w:r>
      <w:r w:rsidR="005D61C0" w:rsidRPr="00F52DCB">
        <w:rPr>
          <w:sz w:val="18"/>
          <w:szCs w:val="18"/>
        </w:rPr>
        <w:t xml:space="preserve"> </w:t>
      </w:r>
    </w:p>
  </w:footnote>
  <w:footnote w:id="32">
    <w:p w14:paraId="7B3AC836" w14:textId="77CC398F" w:rsidR="00144F57" w:rsidRPr="00F52DCB" w:rsidRDefault="00144F57" w:rsidP="00144F57">
      <w:pPr>
        <w:pStyle w:val="FootnoteText"/>
        <w:ind w:left="142" w:hanging="142"/>
        <w:rPr>
          <w:sz w:val="18"/>
          <w:szCs w:val="18"/>
          <w:lang w:val="en-GB"/>
        </w:rPr>
      </w:pPr>
      <w:r w:rsidRPr="00F52DCB">
        <w:rPr>
          <w:rStyle w:val="FootnoteReference"/>
          <w:sz w:val="18"/>
          <w:szCs w:val="18"/>
        </w:rPr>
        <w:footnoteRef/>
      </w:r>
      <w:r w:rsidRPr="00F52DCB">
        <w:rPr>
          <w:sz w:val="18"/>
          <w:szCs w:val="18"/>
        </w:rPr>
        <w:t xml:space="preserve"> </w:t>
      </w:r>
      <w:r w:rsidRPr="00F52DCB">
        <w:rPr>
          <w:sz w:val="18"/>
          <w:szCs w:val="18"/>
          <w:lang w:val="en-GB"/>
        </w:rPr>
        <w:t>For example, 79% of Australians believe CEOs are obligated to ensure their home community is safe and thriving per 2022 Edelman Trust Barometer</w:t>
      </w:r>
    </w:p>
  </w:footnote>
  <w:footnote w:id="33">
    <w:p w14:paraId="001FD397" w14:textId="21D69212" w:rsidR="006D200F" w:rsidRPr="00F52DCB" w:rsidRDefault="006D200F" w:rsidP="006D200F">
      <w:pPr>
        <w:spacing w:after="0"/>
        <w:ind w:left="142" w:hanging="142"/>
        <w:rPr>
          <w:sz w:val="18"/>
          <w:szCs w:val="18"/>
          <w:lang w:val="en-GB"/>
        </w:rPr>
      </w:pPr>
      <w:r w:rsidRPr="00F52DCB">
        <w:rPr>
          <w:rStyle w:val="FootnoteReference"/>
          <w:sz w:val="18"/>
          <w:szCs w:val="18"/>
        </w:rPr>
        <w:footnoteRef/>
      </w:r>
      <w:r w:rsidRPr="00F52DCB">
        <w:rPr>
          <w:sz w:val="18"/>
          <w:szCs w:val="18"/>
        </w:rPr>
        <w:t xml:space="preserve"> </w:t>
      </w:r>
      <w:r w:rsidRPr="00F52DCB">
        <w:rPr>
          <w:sz w:val="18"/>
          <w:szCs w:val="18"/>
          <w:lang w:val="en-GB"/>
        </w:rPr>
        <w:t xml:space="preserve">In English law from which Australian law and models evolved, the corporation evolved to fill the void in partnership law that existed due to the unlimited liability which the partners exposed each other to in any joint venture. In 1844 the first corporation in the current form was created with the Registration Act 1844 enactment that both enabled individuals to register a company and to define its purpose. This was further advanced in the Joint Stock Company Act 1855, which severed the role of Government oversight and thereby, the connection with social purpose, and the Limited Liability Act 1855 whereby shareholders were awarded limited liability. Some 30 years later the US Supreme Court first recognised the corporation as a ‘natural person’ (a legally distinct entity that has the rights attributed to individuals) in 1886 in the case Santa Clara County v Southern Pacific Railroad Co., 118 U.S. 394 (1886). </w:t>
      </w:r>
    </w:p>
  </w:footnote>
  <w:footnote w:id="34">
    <w:p w14:paraId="275D45DA" w14:textId="77777777" w:rsidR="00417CFA" w:rsidRPr="00F52DCB" w:rsidRDefault="00417CFA" w:rsidP="00417CFA">
      <w:pPr>
        <w:pStyle w:val="FootnoteText"/>
        <w:ind w:left="142" w:hanging="142"/>
        <w:rPr>
          <w:sz w:val="18"/>
          <w:szCs w:val="18"/>
          <w:lang w:val="en-GB"/>
        </w:rPr>
      </w:pPr>
      <w:r w:rsidRPr="00F52DCB">
        <w:rPr>
          <w:rStyle w:val="FootnoteReference"/>
          <w:sz w:val="18"/>
          <w:szCs w:val="18"/>
        </w:rPr>
        <w:footnoteRef/>
      </w:r>
      <w:r w:rsidRPr="00F52DCB">
        <w:rPr>
          <w:sz w:val="18"/>
          <w:szCs w:val="18"/>
        </w:rPr>
        <w:t xml:space="preserve"> </w:t>
      </w:r>
      <w:r w:rsidRPr="00F52DCB">
        <w:rPr>
          <w:sz w:val="18"/>
          <w:szCs w:val="18"/>
          <w:lang w:val="en-GB"/>
        </w:rPr>
        <w:t xml:space="preserve">Reference also Milton Friedman and the Chicago School of Economics </w:t>
      </w:r>
    </w:p>
  </w:footnote>
  <w:footnote w:id="35">
    <w:p w14:paraId="22CCB995" w14:textId="77777777" w:rsidR="00E25E16" w:rsidRPr="00F52DCB" w:rsidRDefault="00E25E16" w:rsidP="00C65EE2">
      <w:pPr>
        <w:pStyle w:val="FootnoteText"/>
        <w:ind w:left="142" w:hanging="142"/>
        <w:rPr>
          <w:sz w:val="18"/>
          <w:szCs w:val="18"/>
          <w:lang w:val="en-GB"/>
        </w:rPr>
      </w:pPr>
      <w:r w:rsidRPr="00F52DCB">
        <w:rPr>
          <w:rStyle w:val="FootnoteReference"/>
          <w:sz w:val="18"/>
          <w:szCs w:val="18"/>
        </w:rPr>
        <w:footnoteRef/>
      </w:r>
      <w:r w:rsidRPr="00F52DCB">
        <w:rPr>
          <w:sz w:val="18"/>
          <w:szCs w:val="18"/>
        </w:rPr>
        <w:t xml:space="preserve"> Corporate Powers as Powers in Trust” </w:t>
      </w:r>
      <w:proofErr w:type="spellStart"/>
      <w:r w:rsidRPr="00F52DCB">
        <w:rPr>
          <w:sz w:val="18"/>
          <w:szCs w:val="18"/>
          <w:lang w:val="en-GB"/>
        </w:rPr>
        <w:t>Berle</w:t>
      </w:r>
      <w:proofErr w:type="spellEnd"/>
      <w:r w:rsidRPr="00F52DCB">
        <w:rPr>
          <w:sz w:val="18"/>
          <w:szCs w:val="18"/>
          <w:lang w:val="en-GB"/>
        </w:rPr>
        <w:t xml:space="preserve"> (1931) 44 Harvard Law Review 1049, “For Whom are Corporate Managers Trustees”(1932) Merrick Dodd, 45 Harvard Law Review 1145, “Shareholders as Stakeholders; Changing Metaphors of Corporate Governance” (1993) 50 Washington &amp; Lee Law Review 1409, “Corporate Governance in these Exciting Times” Hanrahan (2017) 32 Australian Journal of Corporate Law 142, “Corporate Social Responsibility” </w:t>
      </w:r>
      <w:proofErr w:type="spellStart"/>
      <w:r w:rsidRPr="00F52DCB">
        <w:rPr>
          <w:sz w:val="18"/>
          <w:szCs w:val="18"/>
          <w:lang w:val="en-GB"/>
        </w:rPr>
        <w:t>Hanarahan</w:t>
      </w:r>
      <w:proofErr w:type="spellEnd"/>
      <w:r w:rsidRPr="00F52DCB">
        <w:rPr>
          <w:sz w:val="18"/>
          <w:szCs w:val="18"/>
          <w:lang w:val="en-GB"/>
        </w:rPr>
        <w:t xml:space="preserve"> (2019) 36 Corporate and Securities Law Journal 665</w:t>
      </w:r>
    </w:p>
  </w:footnote>
  <w:footnote w:id="36">
    <w:p w14:paraId="69364D93" w14:textId="77777777" w:rsidR="002C048C" w:rsidRPr="006D200F" w:rsidRDefault="002C048C" w:rsidP="00C65EE2">
      <w:pPr>
        <w:pStyle w:val="FootnoteText"/>
        <w:ind w:left="142" w:hanging="142"/>
        <w:rPr>
          <w:sz w:val="18"/>
          <w:szCs w:val="18"/>
          <w:lang w:val="en-GB"/>
        </w:rPr>
      </w:pPr>
      <w:r w:rsidRPr="006D200F">
        <w:rPr>
          <w:rStyle w:val="FootnoteReference"/>
          <w:sz w:val="18"/>
          <w:szCs w:val="18"/>
        </w:rPr>
        <w:footnoteRef/>
      </w:r>
      <w:r w:rsidRPr="006D200F">
        <w:rPr>
          <w:sz w:val="18"/>
          <w:szCs w:val="18"/>
        </w:rPr>
        <w:t xml:space="preserve"> </w:t>
      </w:r>
      <w:r w:rsidRPr="006D200F">
        <w:rPr>
          <w:sz w:val="18"/>
          <w:szCs w:val="18"/>
          <w:lang w:val="en-GB"/>
        </w:rPr>
        <w:t>Treatise on Law of Corporations – Stewart Kyd 1793</w:t>
      </w:r>
    </w:p>
  </w:footnote>
  <w:footnote w:id="37">
    <w:p w14:paraId="4CB6EAC2" w14:textId="77777777" w:rsidR="002C048C" w:rsidRPr="006D200F" w:rsidRDefault="002C048C" w:rsidP="00C65EE2">
      <w:pPr>
        <w:pStyle w:val="FootnoteText"/>
        <w:ind w:left="142" w:hanging="142"/>
        <w:rPr>
          <w:sz w:val="18"/>
          <w:szCs w:val="18"/>
          <w:lang w:val="en-GB"/>
        </w:rPr>
      </w:pPr>
      <w:r w:rsidRPr="006D200F">
        <w:rPr>
          <w:rStyle w:val="FootnoteReference"/>
          <w:sz w:val="18"/>
          <w:szCs w:val="18"/>
        </w:rPr>
        <w:footnoteRef/>
      </w:r>
      <w:r w:rsidRPr="006D200F">
        <w:rPr>
          <w:sz w:val="18"/>
          <w:szCs w:val="18"/>
        </w:rPr>
        <w:t xml:space="preserve"> </w:t>
      </w:r>
      <w:r w:rsidRPr="006D200F">
        <w:rPr>
          <w:sz w:val="18"/>
          <w:szCs w:val="18"/>
          <w:lang w:val="en-GB"/>
        </w:rPr>
        <w:t>Reference also Rhine Capitalism or the Social Market Economy</w:t>
      </w:r>
    </w:p>
  </w:footnote>
  <w:footnote w:id="38">
    <w:p w14:paraId="3F5EA4AF" w14:textId="1954C63A" w:rsidR="00083F42" w:rsidRPr="00C65EE2" w:rsidRDefault="00083F42" w:rsidP="00C65EE2">
      <w:pPr>
        <w:pStyle w:val="FootnoteText"/>
        <w:ind w:left="142" w:hanging="142"/>
        <w:rPr>
          <w:sz w:val="18"/>
          <w:szCs w:val="18"/>
          <w:lang w:val="en-GB"/>
        </w:rPr>
      </w:pPr>
      <w:r w:rsidRPr="00C65EE2">
        <w:rPr>
          <w:rStyle w:val="FootnoteReference"/>
          <w:sz w:val="18"/>
          <w:szCs w:val="18"/>
        </w:rPr>
        <w:footnoteRef/>
      </w:r>
      <w:r w:rsidRPr="00C65EE2">
        <w:rPr>
          <w:sz w:val="18"/>
          <w:szCs w:val="18"/>
        </w:rPr>
        <w:t xml:space="preserve"> </w:t>
      </w:r>
      <w:r w:rsidR="003A7472">
        <w:rPr>
          <w:sz w:val="18"/>
          <w:szCs w:val="18"/>
          <w:lang w:val="en-GB"/>
        </w:rPr>
        <w:t>Workplace Giving Australia</w:t>
      </w:r>
      <w:r w:rsidRPr="00C65EE2">
        <w:rPr>
          <w:sz w:val="18"/>
          <w:szCs w:val="18"/>
          <w:lang w:val="en-GB"/>
        </w:rPr>
        <w:t xml:space="preserve"> analysis of </w:t>
      </w:r>
      <w:proofErr w:type="spellStart"/>
      <w:r w:rsidRPr="00C65EE2">
        <w:rPr>
          <w:sz w:val="18"/>
          <w:szCs w:val="18"/>
          <w:lang w:val="en-GB"/>
        </w:rPr>
        <w:t>Good2Give</w:t>
      </w:r>
      <w:proofErr w:type="spellEnd"/>
      <w:r w:rsidRPr="00C65EE2">
        <w:rPr>
          <w:sz w:val="18"/>
          <w:szCs w:val="18"/>
          <w:lang w:val="en-GB"/>
        </w:rPr>
        <w:t xml:space="preserve"> data </w:t>
      </w:r>
      <w:r w:rsidR="00FB7C42" w:rsidRPr="00C65EE2">
        <w:rPr>
          <w:sz w:val="18"/>
          <w:szCs w:val="18"/>
          <w:lang w:val="en-GB"/>
        </w:rPr>
        <w:t xml:space="preserve">(53% to </w:t>
      </w:r>
      <w:r w:rsidRPr="00C65EE2">
        <w:rPr>
          <w:sz w:val="18"/>
          <w:szCs w:val="18"/>
          <w:lang w:val="en-GB"/>
        </w:rPr>
        <w:t>6</w:t>
      </w:r>
      <w:r w:rsidR="008B359E" w:rsidRPr="00C65EE2">
        <w:rPr>
          <w:sz w:val="18"/>
          <w:szCs w:val="18"/>
          <w:lang w:val="en-GB"/>
        </w:rPr>
        <w:t>1</w:t>
      </w:r>
      <w:r w:rsidRPr="00C65EE2">
        <w:rPr>
          <w:sz w:val="18"/>
          <w:szCs w:val="18"/>
          <w:lang w:val="en-GB"/>
        </w:rPr>
        <w:t xml:space="preserve">%) and of </w:t>
      </w:r>
      <w:proofErr w:type="spellStart"/>
      <w:r w:rsidR="007B1785" w:rsidRPr="00C65EE2">
        <w:rPr>
          <w:sz w:val="18"/>
          <w:szCs w:val="18"/>
          <w:lang w:val="en-GB"/>
        </w:rPr>
        <w:t>OneMillion</w:t>
      </w:r>
      <w:proofErr w:type="spellEnd"/>
      <w:r w:rsidRPr="00C65EE2">
        <w:rPr>
          <w:sz w:val="18"/>
          <w:szCs w:val="18"/>
          <w:lang w:val="en-GB"/>
        </w:rPr>
        <w:t xml:space="preserve"> Donors data (</w:t>
      </w:r>
      <w:r w:rsidR="008B359E" w:rsidRPr="00C65EE2">
        <w:rPr>
          <w:sz w:val="18"/>
          <w:szCs w:val="18"/>
          <w:lang w:val="en-GB"/>
        </w:rPr>
        <w:t>61%</w:t>
      </w:r>
      <w:r w:rsidRPr="00C65EE2">
        <w:rPr>
          <w:sz w:val="18"/>
          <w:szCs w:val="18"/>
          <w:lang w:val="en-GB"/>
        </w:rPr>
        <w:t>) as at March 2023</w:t>
      </w:r>
      <w:r w:rsidR="00030A96" w:rsidRPr="00C65EE2">
        <w:rPr>
          <w:sz w:val="18"/>
          <w:szCs w:val="18"/>
          <w:lang w:val="en-GB"/>
        </w:rPr>
        <w:t xml:space="preserve"> </w:t>
      </w:r>
      <w:r w:rsidR="008B359E" w:rsidRPr="00C65EE2">
        <w:rPr>
          <w:sz w:val="18"/>
          <w:szCs w:val="18"/>
          <w:lang w:val="en-GB"/>
        </w:rPr>
        <w:t>over</w:t>
      </w:r>
      <w:r w:rsidR="00030A96" w:rsidRPr="00C65EE2">
        <w:rPr>
          <w:sz w:val="18"/>
          <w:szCs w:val="18"/>
          <w:lang w:val="en-GB"/>
        </w:rPr>
        <w:t xml:space="preserve"> 5 year</w:t>
      </w:r>
      <w:r w:rsidR="008B359E" w:rsidRPr="00C65EE2">
        <w:rPr>
          <w:sz w:val="18"/>
          <w:szCs w:val="18"/>
          <w:lang w:val="en-GB"/>
        </w:rPr>
        <w:t>s</w:t>
      </w:r>
      <w:r w:rsidR="0020548F">
        <w:rPr>
          <w:sz w:val="18"/>
          <w:szCs w:val="18"/>
          <w:lang w:val="en-GB"/>
        </w:rPr>
        <w:t>. USA reports indicate 65% matching by Fortune 500 companies</w:t>
      </w:r>
      <w:r w:rsidR="001F1581">
        <w:rPr>
          <w:sz w:val="18"/>
          <w:szCs w:val="18"/>
          <w:lang w:val="en-GB"/>
        </w:rPr>
        <w:t xml:space="preserve"> per Double the Donation.</w:t>
      </w:r>
    </w:p>
  </w:footnote>
  <w:footnote w:id="39">
    <w:p w14:paraId="3B210E8B" w14:textId="2294E847" w:rsidR="00F42D48" w:rsidRPr="00C65EE2" w:rsidRDefault="00F42D48" w:rsidP="00C65EE2">
      <w:pPr>
        <w:pStyle w:val="FootnoteText"/>
        <w:ind w:left="142" w:hanging="142"/>
        <w:rPr>
          <w:sz w:val="18"/>
          <w:szCs w:val="18"/>
          <w:lang w:val="en-GB"/>
        </w:rPr>
      </w:pPr>
      <w:r w:rsidRPr="00C65EE2">
        <w:rPr>
          <w:rStyle w:val="FootnoteReference"/>
          <w:sz w:val="18"/>
          <w:szCs w:val="18"/>
        </w:rPr>
        <w:footnoteRef/>
      </w:r>
      <w:r w:rsidRPr="00C65EE2">
        <w:rPr>
          <w:sz w:val="18"/>
          <w:szCs w:val="18"/>
        </w:rPr>
        <w:t xml:space="preserve"> </w:t>
      </w:r>
      <w:r w:rsidRPr="00C65EE2">
        <w:rPr>
          <w:sz w:val="18"/>
          <w:szCs w:val="18"/>
          <w:lang w:val="en-GB"/>
        </w:rPr>
        <w:t>One to One matching is offered in over 98% of instances examined with the remaining set a 50% matching</w:t>
      </w:r>
    </w:p>
  </w:footnote>
  <w:footnote w:id="40">
    <w:p w14:paraId="6012D981" w14:textId="79CFAF14" w:rsidR="00566D36" w:rsidRPr="003829B1" w:rsidRDefault="00566D36" w:rsidP="00C65EE2">
      <w:pPr>
        <w:pStyle w:val="FootnoteText"/>
        <w:ind w:left="142" w:hanging="142"/>
        <w:rPr>
          <w:sz w:val="18"/>
          <w:szCs w:val="18"/>
          <w:lang w:val="en-GB"/>
        </w:rPr>
      </w:pPr>
      <w:r w:rsidRPr="00C65EE2">
        <w:rPr>
          <w:rStyle w:val="FootnoteReference"/>
          <w:sz w:val="18"/>
          <w:szCs w:val="18"/>
        </w:rPr>
        <w:footnoteRef/>
      </w:r>
      <w:r w:rsidRPr="00C65EE2">
        <w:rPr>
          <w:sz w:val="18"/>
          <w:szCs w:val="18"/>
        </w:rPr>
        <w:t xml:space="preserve"> </w:t>
      </w:r>
      <w:r w:rsidRPr="00C65EE2">
        <w:rPr>
          <w:sz w:val="18"/>
          <w:szCs w:val="18"/>
          <w:lang w:val="en-GB"/>
        </w:rPr>
        <w:t>See also for example “Non-standard Matches and Charitable Giving” by M Sanders, S Smith &amp; M Norton – Harvard Business</w:t>
      </w:r>
      <w:r w:rsidRPr="003829B1">
        <w:rPr>
          <w:sz w:val="18"/>
          <w:szCs w:val="18"/>
          <w:lang w:val="en-GB"/>
        </w:rPr>
        <w:t xml:space="preserve"> School working paper 13-094 May 2013</w:t>
      </w:r>
    </w:p>
  </w:footnote>
  <w:footnote w:id="41">
    <w:p w14:paraId="348B7DCE" w14:textId="09DF1046" w:rsidR="002A7E22" w:rsidRPr="002A7E22" w:rsidRDefault="002A7E22">
      <w:pPr>
        <w:pStyle w:val="FootnoteText"/>
        <w:rPr>
          <w:sz w:val="18"/>
          <w:szCs w:val="18"/>
          <w:lang w:val="en-GB"/>
        </w:rPr>
      </w:pPr>
      <w:r w:rsidRPr="002A7E22">
        <w:rPr>
          <w:rStyle w:val="FootnoteReference"/>
          <w:sz w:val="18"/>
          <w:szCs w:val="18"/>
        </w:rPr>
        <w:footnoteRef/>
      </w:r>
      <w:r w:rsidRPr="002A7E22">
        <w:rPr>
          <w:sz w:val="18"/>
          <w:szCs w:val="18"/>
        </w:rPr>
        <w:t xml:space="preserve"> </w:t>
      </w:r>
      <w:r w:rsidRPr="002A7E22">
        <w:rPr>
          <w:sz w:val="18"/>
          <w:szCs w:val="18"/>
          <w:lang w:val="en-GB"/>
        </w:rPr>
        <w:t xml:space="preserve">McNair </w:t>
      </w:r>
      <w:proofErr w:type="spellStart"/>
      <w:r w:rsidRPr="002A7E22">
        <w:rPr>
          <w:sz w:val="18"/>
          <w:szCs w:val="18"/>
          <w:lang w:val="en-GB"/>
        </w:rPr>
        <w:t>YellowSquares</w:t>
      </w:r>
      <w:proofErr w:type="spellEnd"/>
      <w:r w:rsidRPr="002A7E22">
        <w:rPr>
          <w:sz w:val="18"/>
          <w:szCs w:val="18"/>
          <w:lang w:val="en-GB"/>
        </w:rPr>
        <w:t xml:space="preserve"> June 7, 2022 “Donations Decrease for First Time since 2015”</w:t>
      </w:r>
    </w:p>
  </w:footnote>
  <w:footnote w:id="42">
    <w:p w14:paraId="40BEA0D5" w14:textId="024A3153" w:rsidR="00C92488" w:rsidRPr="00C92488" w:rsidRDefault="00C92488" w:rsidP="00317ABD">
      <w:pPr>
        <w:pStyle w:val="FootnoteText"/>
        <w:ind w:left="142" w:hanging="142"/>
        <w:rPr>
          <w:sz w:val="18"/>
          <w:szCs w:val="18"/>
          <w:lang w:val="en-GB"/>
        </w:rPr>
      </w:pPr>
      <w:r w:rsidRPr="00C92488">
        <w:rPr>
          <w:rStyle w:val="FootnoteReference"/>
          <w:sz w:val="18"/>
          <w:szCs w:val="18"/>
        </w:rPr>
        <w:footnoteRef/>
      </w:r>
      <w:r w:rsidRPr="00C92488">
        <w:rPr>
          <w:sz w:val="18"/>
          <w:szCs w:val="18"/>
        </w:rPr>
        <w:t xml:space="preserve"> </w:t>
      </w:r>
      <w:r w:rsidRPr="00C92488">
        <w:rPr>
          <w:sz w:val="18"/>
          <w:szCs w:val="18"/>
          <w:lang w:val="en-GB"/>
        </w:rPr>
        <w:t>There are different forms and types of hybrid programmes that can be implemented</w:t>
      </w:r>
    </w:p>
  </w:footnote>
  <w:footnote w:id="43">
    <w:p w14:paraId="0550EFF2" w14:textId="4DD07882" w:rsidR="00664293" w:rsidRPr="00E40006" w:rsidRDefault="00664293" w:rsidP="00422F97">
      <w:pPr>
        <w:pStyle w:val="FootnoteText"/>
        <w:ind w:left="142" w:hanging="142"/>
        <w:rPr>
          <w:sz w:val="18"/>
          <w:szCs w:val="18"/>
          <w:lang w:val="en-GB"/>
        </w:rPr>
      </w:pPr>
      <w:r>
        <w:rPr>
          <w:rStyle w:val="FootnoteReference"/>
        </w:rPr>
        <w:footnoteRef/>
      </w:r>
      <w:r>
        <w:t xml:space="preserve"> </w:t>
      </w:r>
      <w:r w:rsidR="00E40006">
        <w:rPr>
          <w:sz w:val="18"/>
          <w:szCs w:val="18"/>
          <w:lang w:val="en-GB"/>
        </w:rPr>
        <w:t xml:space="preserve">“Different Drivers: Exploring employee involvement in corporate philanthropy” by </w:t>
      </w:r>
      <w:r w:rsidR="004905FE">
        <w:rPr>
          <w:sz w:val="18"/>
          <w:szCs w:val="18"/>
          <w:lang w:val="en-GB"/>
        </w:rPr>
        <w:t xml:space="preserve">B Breeze and P </w:t>
      </w:r>
      <w:proofErr w:type="spellStart"/>
      <w:r w:rsidR="004905FE">
        <w:rPr>
          <w:sz w:val="18"/>
          <w:szCs w:val="18"/>
          <w:lang w:val="en-GB"/>
        </w:rPr>
        <w:t>Wiep</w:t>
      </w:r>
      <w:r w:rsidR="00422F97">
        <w:rPr>
          <w:sz w:val="18"/>
          <w:szCs w:val="18"/>
          <w:lang w:val="en-GB"/>
        </w:rPr>
        <w:t>king</w:t>
      </w:r>
      <w:proofErr w:type="spellEnd"/>
      <w:r w:rsidR="00422F97">
        <w:rPr>
          <w:sz w:val="18"/>
          <w:szCs w:val="18"/>
          <w:lang w:val="en-GB"/>
        </w:rPr>
        <w:t xml:space="preserve"> (2018) Journal of Business Ethics</w:t>
      </w:r>
    </w:p>
  </w:footnote>
  <w:footnote w:id="44">
    <w:p w14:paraId="4E5CFBBA" w14:textId="2302301E" w:rsidR="00D25BC8" w:rsidRPr="001A1EAA" w:rsidRDefault="00D25BC8" w:rsidP="00D25BC8">
      <w:pPr>
        <w:pStyle w:val="FootnoteText"/>
        <w:rPr>
          <w:sz w:val="18"/>
          <w:szCs w:val="18"/>
          <w:lang w:val="en-GB"/>
        </w:rPr>
      </w:pPr>
      <w:r>
        <w:rPr>
          <w:rStyle w:val="FootnoteReference"/>
        </w:rPr>
        <w:footnoteRef/>
      </w:r>
      <w:r>
        <w:t xml:space="preserve"> </w:t>
      </w:r>
      <w:r w:rsidRPr="001A1EAA">
        <w:rPr>
          <w:sz w:val="18"/>
          <w:szCs w:val="18"/>
          <w:lang w:val="en-GB"/>
        </w:rPr>
        <w:t>ATO data</w:t>
      </w:r>
      <w:r w:rsidR="008410C9">
        <w:rPr>
          <w:sz w:val="18"/>
          <w:szCs w:val="18"/>
          <w:lang w:val="en-GB"/>
        </w:rPr>
        <w:t xml:space="preserve"> </w:t>
      </w:r>
      <w:proofErr w:type="spellStart"/>
      <w:r w:rsidR="008410C9">
        <w:rPr>
          <w:sz w:val="18"/>
          <w:szCs w:val="18"/>
          <w:lang w:val="en-GB"/>
        </w:rPr>
        <w:t>FY20</w:t>
      </w:r>
      <w:proofErr w:type="spellEnd"/>
      <w:r w:rsidR="008410C9">
        <w:rPr>
          <w:sz w:val="18"/>
          <w:szCs w:val="18"/>
          <w:lang w:val="en-GB"/>
        </w:rPr>
        <w:t>-21</w:t>
      </w:r>
    </w:p>
  </w:footnote>
  <w:footnote w:id="45">
    <w:p w14:paraId="3FD0A4B5" w14:textId="0E8CDCD7" w:rsidR="006513EF" w:rsidRPr="007C72B6" w:rsidRDefault="006513EF" w:rsidP="008410C9">
      <w:pPr>
        <w:pStyle w:val="FootnoteText"/>
        <w:ind w:left="142" w:hanging="142"/>
        <w:rPr>
          <w:sz w:val="18"/>
          <w:szCs w:val="18"/>
          <w:lang w:val="en-GB"/>
        </w:rPr>
      </w:pPr>
      <w:r>
        <w:rPr>
          <w:rStyle w:val="FootnoteReference"/>
        </w:rPr>
        <w:footnoteRef/>
      </w:r>
      <w:r>
        <w:t xml:space="preserve"> </w:t>
      </w:r>
      <w:r w:rsidRPr="007C72B6">
        <w:rPr>
          <w:sz w:val="18"/>
          <w:szCs w:val="18"/>
          <w:lang w:val="en-GB"/>
        </w:rPr>
        <w:t>Giving Large Report 2022 and 2023, Bain &amp; Company</w:t>
      </w:r>
      <w:r w:rsidR="00715F19" w:rsidRPr="007C72B6">
        <w:rPr>
          <w:sz w:val="18"/>
          <w:szCs w:val="18"/>
          <w:lang w:val="en-GB"/>
        </w:rPr>
        <w:t xml:space="preserve"> and Workplace Giving Australia</w:t>
      </w:r>
      <w:r w:rsidRPr="007C72B6">
        <w:rPr>
          <w:sz w:val="18"/>
          <w:szCs w:val="18"/>
          <w:lang w:val="en-GB"/>
        </w:rPr>
        <w:t xml:space="preserve"> analysis – including goods &amp; services donated</w:t>
      </w:r>
      <w:r w:rsidR="00715F19" w:rsidRPr="007C72B6">
        <w:rPr>
          <w:sz w:val="18"/>
          <w:szCs w:val="18"/>
          <w:lang w:val="en-GB"/>
        </w:rPr>
        <w:t xml:space="preserve">. Bain &amp; Company analysis:  </w:t>
      </w:r>
      <w:proofErr w:type="spellStart"/>
      <w:r w:rsidR="00715F19" w:rsidRPr="007C72B6">
        <w:rPr>
          <w:sz w:val="18"/>
          <w:szCs w:val="18"/>
          <w:lang w:val="en-GB"/>
        </w:rPr>
        <w:t>NFP</w:t>
      </w:r>
      <w:proofErr w:type="spellEnd"/>
      <w:r w:rsidR="00715F19" w:rsidRPr="007C72B6">
        <w:rPr>
          <w:sz w:val="18"/>
          <w:szCs w:val="18"/>
          <w:lang w:val="en-GB"/>
        </w:rPr>
        <w:t xml:space="preserve"> = employees of not-for-profit institutions; 60% of individuals donate money to charities; 71% is a weighted-average based on number of businesses (99% of corporates, 95% of mid-tier businesses and 70% of SMEs give (incl. money, goods &amp; services donated).</w:t>
      </w:r>
      <w:r w:rsidR="00715F19" w:rsidRPr="007C72B6">
        <w:rPr>
          <w:rStyle w:val="normaltextrun"/>
          <w:rFonts w:ascii="Arial" w:hAnsi="Arial" w:cs="Arial"/>
          <w:color w:val="000000"/>
          <w:sz w:val="18"/>
          <w:szCs w:val="18"/>
          <w:shd w:val="clear" w:color="auto" w:fill="EDEBE9"/>
          <w:lang w:val="en-US"/>
        </w:rPr>
        <w:t> </w:t>
      </w:r>
    </w:p>
  </w:footnote>
  <w:footnote w:id="46">
    <w:p w14:paraId="378E93C6" w14:textId="77777777" w:rsidR="00CE2B0C" w:rsidRPr="001E602A" w:rsidRDefault="00CE2B0C" w:rsidP="00C65EE2">
      <w:pPr>
        <w:pStyle w:val="FootnoteText"/>
        <w:ind w:left="142" w:hanging="142"/>
        <w:rPr>
          <w:sz w:val="18"/>
          <w:szCs w:val="18"/>
          <w:lang w:val="en-GB"/>
        </w:rPr>
      </w:pPr>
      <w:r w:rsidRPr="001E602A">
        <w:rPr>
          <w:rStyle w:val="FootnoteReference"/>
          <w:sz w:val="18"/>
          <w:szCs w:val="18"/>
        </w:rPr>
        <w:footnoteRef/>
      </w:r>
      <w:r w:rsidRPr="001E602A">
        <w:rPr>
          <w:sz w:val="18"/>
          <w:szCs w:val="18"/>
        </w:rPr>
        <w:t xml:space="preserve"> </w:t>
      </w:r>
      <w:r w:rsidRPr="001E602A">
        <w:rPr>
          <w:sz w:val="18"/>
          <w:szCs w:val="18"/>
          <w:lang w:val="en-GB"/>
        </w:rPr>
        <w:t>“</w:t>
      </w:r>
      <w:proofErr w:type="spellStart"/>
      <w:r w:rsidRPr="001E602A">
        <w:rPr>
          <w:sz w:val="18"/>
          <w:szCs w:val="18"/>
          <w:lang w:val="en-GB"/>
        </w:rPr>
        <w:t>GivingLarge</w:t>
      </w:r>
      <w:proofErr w:type="spellEnd"/>
      <w:r w:rsidRPr="001E602A">
        <w:rPr>
          <w:sz w:val="18"/>
          <w:szCs w:val="18"/>
          <w:lang w:val="en-GB"/>
        </w:rPr>
        <w:t xml:space="preserve"> 2022 Report” Strive Philanthropy</w:t>
      </w:r>
    </w:p>
  </w:footnote>
  <w:footnote w:id="47">
    <w:p w14:paraId="73C7F29C" w14:textId="77777777" w:rsidR="00CE2B0C" w:rsidRPr="00312EDF" w:rsidRDefault="00CE2B0C" w:rsidP="00C65EE2">
      <w:pPr>
        <w:pStyle w:val="FootnoteText"/>
        <w:ind w:left="142" w:hanging="142"/>
        <w:rPr>
          <w:sz w:val="18"/>
          <w:szCs w:val="18"/>
          <w:lang w:val="en-GB"/>
        </w:rPr>
      </w:pPr>
      <w:r w:rsidRPr="00312EDF">
        <w:rPr>
          <w:rStyle w:val="FootnoteReference"/>
          <w:sz w:val="18"/>
          <w:szCs w:val="18"/>
        </w:rPr>
        <w:footnoteRef/>
      </w:r>
      <w:r w:rsidRPr="00312EDF">
        <w:rPr>
          <w:sz w:val="18"/>
          <w:szCs w:val="18"/>
        </w:rPr>
        <w:t xml:space="preserve"> </w:t>
      </w:r>
      <w:r w:rsidRPr="00312EDF">
        <w:rPr>
          <w:sz w:val="18"/>
          <w:szCs w:val="18"/>
          <w:lang w:val="en-GB"/>
        </w:rPr>
        <w:t xml:space="preserve">Giving Australia 2016; Business Giving and Volunteering” August 2017, Australian Centre for Philanthropy and </w:t>
      </w:r>
      <w:proofErr w:type="spellStart"/>
      <w:r w:rsidRPr="00312EDF">
        <w:rPr>
          <w:sz w:val="18"/>
          <w:szCs w:val="18"/>
          <w:lang w:val="en-GB"/>
        </w:rPr>
        <w:t>Nonprofit</w:t>
      </w:r>
      <w:proofErr w:type="spellEnd"/>
      <w:r w:rsidRPr="00312EDF">
        <w:rPr>
          <w:sz w:val="18"/>
          <w:szCs w:val="18"/>
          <w:lang w:val="en-GB"/>
        </w:rPr>
        <w:t xml:space="preserve"> Studies </w:t>
      </w:r>
      <w:proofErr w:type="spellStart"/>
      <w:r w:rsidRPr="00312EDF">
        <w:rPr>
          <w:sz w:val="18"/>
          <w:szCs w:val="18"/>
          <w:lang w:val="en-GB"/>
        </w:rPr>
        <w:t>QUT</w:t>
      </w:r>
      <w:proofErr w:type="spellEnd"/>
      <w:r w:rsidRPr="00312EDF">
        <w:rPr>
          <w:sz w:val="18"/>
          <w:szCs w:val="18"/>
          <w:lang w:val="en-GB"/>
        </w:rPr>
        <w:t xml:space="preserve">, Centre for Corporate Public Affairs, and Centre for Social Impact Swinburne University of Technology </w:t>
      </w:r>
    </w:p>
  </w:footnote>
  <w:footnote w:id="48">
    <w:p w14:paraId="590955DE" w14:textId="49142B05" w:rsidR="006F785F" w:rsidRPr="001533B3" w:rsidRDefault="006F785F" w:rsidP="00C65EE2">
      <w:pPr>
        <w:pStyle w:val="FootnoteText"/>
        <w:ind w:left="142" w:hanging="142"/>
        <w:rPr>
          <w:sz w:val="18"/>
          <w:szCs w:val="18"/>
          <w:lang w:val="en-GB"/>
        </w:rPr>
      </w:pPr>
      <w:r>
        <w:rPr>
          <w:rStyle w:val="FootnoteReference"/>
        </w:rPr>
        <w:footnoteRef/>
      </w:r>
      <w:r>
        <w:t xml:space="preserve"> </w:t>
      </w:r>
      <w:r w:rsidR="00E758C6" w:rsidRPr="001533B3">
        <w:rPr>
          <w:sz w:val="18"/>
          <w:szCs w:val="18"/>
          <w:lang w:val="en-GB"/>
        </w:rPr>
        <w:t>CAF World Giving Index 2022 = 6</w:t>
      </w:r>
      <w:r w:rsidR="006E273D" w:rsidRPr="001533B3">
        <w:rPr>
          <w:sz w:val="18"/>
          <w:szCs w:val="18"/>
          <w:lang w:val="en-GB"/>
        </w:rPr>
        <w:t>4</w:t>
      </w:r>
      <w:r w:rsidR="00E758C6" w:rsidRPr="001533B3">
        <w:rPr>
          <w:sz w:val="18"/>
          <w:szCs w:val="18"/>
          <w:lang w:val="en-GB"/>
        </w:rPr>
        <w:t>%</w:t>
      </w:r>
      <w:r w:rsidR="00646A73" w:rsidRPr="001533B3">
        <w:rPr>
          <w:sz w:val="18"/>
          <w:szCs w:val="18"/>
          <w:lang w:val="en-GB"/>
        </w:rPr>
        <w:t xml:space="preserve">; The Future Donor Report </w:t>
      </w:r>
      <w:proofErr w:type="spellStart"/>
      <w:r w:rsidR="00646A73" w:rsidRPr="001533B3">
        <w:rPr>
          <w:sz w:val="18"/>
          <w:szCs w:val="18"/>
          <w:lang w:val="en-GB"/>
        </w:rPr>
        <w:t>McCrindle</w:t>
      </w:r>
      <w:proofErr w:type="spellEnd"/>
      <w:r w:rsidR="00646A73" w:rsidRPr="001533B3">
        <w:rPr>
          <w:sz w:val="18"/>
          <w:szCs w:val="18"/>
          <w:lang w:val="en-GB"/>
        </w:rPr>
        <w:t xml:space="preserve"> Research 2023 = </w:t>
      </w:r>
      <w:r w:rsidR="00E758C6" w:rsidRPr="001533B3">
        <w:rPr>
          <w:sz w:val="18"/>
          <w:szCs w:val="18"/>
          <w:lang w:val="en-GB"/>
        </w:rPr>
        <w:t xml:space="preserve"> </w:t>
      </w:r>
      <w:r w:rsidR="00142847" w:rsidRPr="001533B3">
        <w:rPr>
          <w:sz w:val="18"/>
          <w:szCs w:val="18"/>
          <w:lang w:val="en-GB"/>
        </w:rPr>
        <w:t>80%</w:t>
      </w:r>
      <w:r w:rsidR="001B53E0" w:rsidRPr="001533B3">
        <w:rPr>
          <w:sz w:val="18"/>
          <w:szCs w:val="18"/>
          <w:lang w:val="en-GB"/>
        </w:rPr>
        <w:t xml:space="preserve">; </w:t>
      </w:r>
      <w:r w:rsidR="003D4855" w:rsidRPr="001533B3">
        <w:rPr>
          <w:sz w:val="18"/>
          <w:szCs w:val="18"/>
          <w:lang w:val="en-GB"/>
        </w:rPr>
        <w:t>Melbourne Institute &amp; Roy Morgan Partnership</w:t>
      </w:r>
      <w:r w:rsidR="00597459" w:rsidRPr="001533B3">
        <w:rPr>
          <w:sz w:val="18"/>
          <w:szCs w:val="18"/>
          <w:lang w:val="en-GB"/>
        </w:rPr>
        <w:t xml:space="preserve"> at 72% per</w:t>
      </w:r>
      <w:r w:rsidR="003D4855" w:rsidRPr="001533B3">
        <w:rPr>
          <w:sz w:val="18"/>
          <w:szCs w:val="18"/>
          <w:lang w:val="en-GB"/>
        </w:rPr>
        <w:t xml:space="preserve"> “Taking the pulse of the Nation”</w:t>
      </w:r>
      <w:r w:rsidR="00597459" w:rsidRPr="001533B3">
        <w:rPr>
          <w:sz w:val="18"/>
          <w:szCs w:val="18"/>
          <w:lang w:val="en-GB"/>
        </w:rPr>
        <w:t xml:space="preserve"> (December 2022)</w:t>
      </w:r>
    </w:p>
  </w:footnote>
  <w:footnote w:id="49">
    <w:p w14:paraId="6D41F78F" w14:textId="2D2D3ABB" w:rsidR="006F40EA" w:rsidRPr="001533B3" w:rsidRDefault="006F40EA">
      <w:pPr>
        <w:pStyle w:val="FootnoteText"/>
        <w:rPr>
          <w:sz w:val="18"/>
          <w:szCs w:val="18"/>
          <w:lang w:val="en-GB"/>
        </w:rPr>
      </w:pPr>
      <w:r w:rsidRPr="001533B3">
        <w:rPr>
          <w:rStyle w:val="FootnoteReference"/>
          <w:sz w:val="18"/>
          <w:szCs w:val="18"/>
        </w:rPr>
        <w:footnoteRef/>
      </w:r>
      <w:r w:rsidRPr="001533B3">
        <w:rPr>
          <w:sz w:val="18"/>
          <w:szCs w:val="18"/>
        </w:rPr>
        <w:t xml:space="preserve"> </w:t>
      </w:r>
      <w:r w:rsidRPr="001533B3">
        <w:rPr>
          <w:sz w:val="18"/>
          <w:szCs w:val="18"/>
          <w:lang w:val="en-GB"/>
        </w:rPr>
        <w:t xml:space="preserve">4.7% of those with access to a payroll giving program </w:t>
      </w:r>
    </w:p>
  </w:footnote>
  <w:footnote w:id="50">
    <w:p w14:paraId="6E9A1477" w14:textId="215BBDA0" w:rsidR="003A6188" w:rsidRPr="001533B3" w:rsidRDefault="003A6188" w:rsidP="00C65EE2">
      <w:pPr>
        <w:pStyle w:val="FootnoteText"/>
        <w:ind w:left="142" w:hanging="142"/>
        <w:rPr>
          <w:sz w:val="18"/>
          <w:szCs w:val="18"/>
          <w:lang w:val="en-GB"/>
        </w:rPr>
      </w:pPr>
      <w:r w:rsidRPr="001533B3">
        <w:rPr>
          <w:rStyle w:val="FootnoteReference"/>
          <w:sz w:val="18"/>
          <w:szCs w:val="18"/>
        </w:rPr>
        <w:footnoteRef/>
      </w:r>
      <w:r w:rsidRPr="001533B3">
        <w:rPr>
          <w:sz w:val="18"/>
          <w:szCs w:val="18"/>
        </w:rPr>
        <w:t xml:space="preserve"> </w:t>
      </w:r>
      <w:r w:rsidR="00B12401" w:rsidRPr="001533B3">
        <w:rPr>
          <w:sz w:val="18"/>
          <w:szCs w:val="18"/>
          <w:lang w:val="en-GB"/>
        </w:rPr>
        <w:t>13,883,100 as at March 2023 per Australian Bureau of Statistics</w:t>
      </w:r>
      <w:r w:rsidR="00F32F8E" w:rsidRPr="001533B3">
        <w:rPr>
          <w:sz w:val="18"/>
          <w:szCs w:val="18"/>
          <w:lang w:val="en-GB"/>
        </w:rPr>
        <w:t xml:space="preserve"> release 13/4/2023</w:t>
      </w:r>
    </w:p>
  </w:footnote>
  <w:footnote w:id="51">
    <w:p w14:paraId="362E178B" w14:textId="197D0DAC" w:rsidR="000F4C19" w:rsidRPr="001533B3" w:rsidRDefault="000F4C19" w:rsidP="00C65EE2">
      <w:pPr>
        <w:pStyle w:val="FootnoteText"/>
        <w:ind w:left="142" w:hanging="142"/>
        <w:rPr>
          <w:sz w:val="18"/>
          <w:szCs w:val="18"/>
          <w:lang w:val="en-GB"/>
        </w:rPr>
      </w:pPr>
      <w:r w:rsidRPr="001533B3">
        <w:rPr>
          <w:rStyle w:val="FootnoteReference"/>
          <w:sz w:val="18"/>
          <w:szCs w:val="18"/>
        </w:rPr>
        <w:footnoteRef/>
      </w:r>
      <w:r w:rsidRPr="001533B3">
        <w:rPr>
          <w:sz w:val="18"/>
          <w:szCs w:val="18"/>
        </w:rPr>
        <w:t xml:space="preserve"> </w:t>
      </w:r>
      <w:r w:rsidRPr="001533B3">
        <w:rPr>
          <w:sz w:val="18"/>
          <w:szCs w:val="18"/>
          <w:lang w:val="en-GB"/>
        </w:rPr>
        <w:t xml:space="preserve">ATO data </w:t>
      </w:r>
      <w:proofErr w:type="spellStart"/>
      <w:r w:rsidRPr="001533B3">
        <w:rPr>
          <w:sz w:val="18"/>
          <w:szCs w:val="18"/>
          <w:lang w:val="en-GB"/>
        </w:rPr>
        <w:t>FY’22</w:t>
      </w:r>
      <w:proofErr w:type="spellEnd"/>
      <w:r w:rsidRPr="001533B3">
        <w:rPr>
          <w:sz w:val="18"/>
          <w:szCs w:val="18"/>
          <w:lang w:val="en-GB"/>
        </w:rPr>
        <w:t xml:space="preserve">, Bain &amp; Company and </w:t>
      </w:r>
      <w:r w:rsidR="004A2D47" w:rsidRPr="001533B3">
        <w:rPr>
          <w:sz w:val="18"/>
          <w:szCs w:val="18"/>
          <w:lang w:val="en-GB"/>
        </w:rPr>
        <w:t>Workplace Giving Australia</w:t>
      </w:r>
      <w:r w:rsidRPr="001533B3">
        <w:rPr>
          <w:sz w:val="18"/>
          <w:szCs w:val="18"/>
          <w:lang w:val="en-GB"/>
        </w:rPr>
        <w:t xml:space="preserve"> analysis</w:t>
      </w:r>
    </w:p>
  </w:footnote>
  <w:footnote w:id="52">
    <w:p w14:paraId="3A53DBA1" w14:textId="33C083D6" w:rsidR="008934ED" w:rsidRPr="001533B3" w:rsidRDefault="008934ED" w:rsidP="004A2D47">
      <w:pPr>
        <w:pStyle w:val="FootnoteText"/>
        <w:ind w:left="142" w:hanging="142"/>
        <w:rPr>
          <w:sz w:val="18"/>
          <w:szCs w:val="18"/>
          <w:lang w:val="en-GB"/>
        </w:rPr>
      </w:pPr>
      <w:r w:rsidRPr="001533B3">
        <w:rPr>
          <w:rStyle w:val="FootnoteReference"/>
          <w:sz w:val="18"/>
          <w:szCs w:val="18"/>
        </w:rPr>
        <w:footnoteRef/>
      </w:r>
      <w:r w:rsidRPr="001533B3">
        <w:rPr>
          <w:sz w:val="18"/>
          <w:szCs w:val="18"/>
        </w:rPr>
        <w:t xml:space="preserve"> </w:t>
      </w:r>
      <w:r w:rsidR="0076460A" w:rsidRPr="001533B3">
        <w:rPr>
          <w:sz w:val="18"/>
          <w:szCs w:val="18"/>
          <w:lang w:val="en-GB"/>
        </w:rPr>
        <w:t xml:space="preserve">There were over </w:t>
      </w:r>
      <w:proofErr w:type="spellStart"/>
      <w:r w:rsidR="0076460A" w:rsidRPr="001533B3">
        <w:rPr>
          <w:sz w:val="18"/>
          <w:szCs w:val="18"/>
          <w:lang w:val="en-GB"/>
        </w:rPr>
        <w:t>2.5m</w:t>
      </w:r>
      <w:proofErr w:type="spellEnd"/>
      <w:r w:rsidR="0076460A" w:rsidRPr="001533B3">
        <w:rPr>
          <w:sz w:val="18"/>
          <w:szCs w:val="18"/>
          <w:lang w:val="en-GB"/>
        </w:rPr>
        <w:t xml:space="preserve"> employers in Australia as at 30 June 2022 </w:t>
      </w:r>
      <w:r w:rsidR="004A2D47" w:rsidRPr="001533B3">
        <w:rPr>
          <w:sz w:val="18"/>
          <w:szCs w:val="18"/>
          <w:lang w:val="en-GB"/>
        </w:rPr>
        <w:t xml:space="preserve">of which </w:t>
      </w:r>
      <w:proofErr w:type="spellStart"/>
      <w:r w:rsidR="004A2D47" w:rsidRPr="001533B3">
        <w:rPr>
          <w:sz w:val="18"/>
          <w:szCs w:val="18"/>
          <w:lang w:val="en-GB"/>
        </w:rPr>
        <w:t>c.93</w:t>
      </w:r>
      <w:proofErr w:type="spellEnd"/>
      <w:r w:rsidR="004A2D47" w:rsidRPr="001533B3">
        <w:rPr>
          <w:sz w:val="18"/>
          <w:szCs w:val="18"/>
          <w:lang w:val="en-GB"/>
        </w:rPr>
        <w:t>% had a turnover of less than $</w:t>
      </w:r>
      <w:proofErr w:type="spellStart"/>
      <w:r w:rsidR="004A2D47" w:rsidRPr="001533B3">
        <w:rPr>
          <w:sz w:val="18"/>
          <w:szCs w:val="18"/>
          <w:lang w:val="en-GB"/>
        </w:rPr>
        <w:t>2m</w:t>
      </w:r>
      <w:proofErr w:type="spellEnd"/>
      <w:r w:rsidR="009243FF" w:rsidRPr="001533B3">
        <w:rPr>
          <w:sz w:val="18"/>
          <w:szCs w:val="18"/>
          <w:lang w:val="en-GB"/>
        </w:rPr>
        <w:t xml:space="preserve"> (Australian Bureau of Statistics)</w:t>
      </w:r>
      <w:r w:rsidR="00A349AB" w:rsidRPr="001533B3">
        <w:rPr>
          <w:sz w:val="18"/>
          <w:szCs w:val="18"/>
          <w:lang w:val="en-GB"/>
        </w:rPr>
        <w:t xml:space="preserve">. </w:t>
      </w:r>
      <w:r w:rsidR="00C60463" w:rsidRPr="001533B3">
        <w:rPr>
          <w:sz w:val="18"/>
          <w:szCs w:val="18"/>
          <w:lang w:val="en-GB"/>
        </w:rPr>
        <w:t>The total business profit for 2023 is estimated to be c.$</w:t>
      </w:r>
      <w:proofErr w:type="spellStart"/>
      <w:r w:rsidR="00C60463" w:rsidRPr="001533B3">
        <w:rPr>
          <w:sz w:val="18"/>
          <w:szCs w:val="18"/>
          <w:lang w:val="en-GB"/>
        </w:rPr>
        <w:t>550bn</w:t>
      </w:r>
      <w:proofErr w:type="spellEnd"/>
      <w:r w:rsidR="00C60463" w:rsidRPr="001533B3">
        <w:rPr>
          <w:sz w:val="18"/>
          <w:szCs w:val="18"/>
          <w:lang w:val="en-GB"/>
        </w:rPr>
        <w:t xml:space="preserve"> (IBISWorld </w:t>
      </w:r>
      <w:r w:rsidR="009243FF" w:rsidRPr="001533B3">
        <w:rPr>
          <w:sz w:val="18"/>
          <w:szCs w:val="18"/>
          <w:lang w:val="en-GB"/>
        </w:rPr>
        <w:t>forecast)</w:t>
      </w:r>
      <w:r w:rsidR="00C60463" w:rsidRPr="001533B3">
        <w:rPr>
          <w:sz w:val="18"/>
          <w:szCs w:val="18"/>
          <w:lang w:val="en-GB"/>
        </w:rPr>
        <w:t>.</w:t>
      </w:r>
    </w:p>
  </w:footnote>
  <w:footnote w:id="53">
    <w:p w14:paraId="561271B9" w14:textId="7D365A29" w:rsidR="00D154D8" w:rsidRPr="001533B3" w:rsidRDefault="00D154D8" w:rsidP="00C65EE2">
      <w:pPr>
        <w:pStyle w:val="FootnoteText"/>
        <w:ind w:left="142" w:hanging="142"/>
        <w:rPr>
          <w:sz w:val="18"/>
          <w:szCs w:val="18"/>
          <w:lang w:val="en-GB"/>
        </w:rPr>
      </w:pPr>
      <w:r w:rsidRPr="001533B3">
        <w:rPr>
          <w:rStyle w:val="FootnoteReference"/>
          <w:sz w:val="18"/>
          <w:szCs w:val="18"/>
        </w:rPr>
        <w:footnoteRef/>
      </w:r>
      <w:r w:rsidRPr="001533B3">
        <w:rPr>
          <w:sz w:val="18"/>
          <w:szCs w:val="18"/>
        </w:rPr>
        <w:t xml:space="preserve"> </w:t>
      </w:r>
      <w:r w:rsidRPr="001533B3">
        <w:rPr>
          <w:sz w:val="18"/>
          <w:szCs w:val="18"/>
          <w:lang w:val="en-GB"/>
        </w:rPr>
        <w:t>Philanthropy Australia</w:t>
      </w:r>
      <w:r w:rsidR="00B937B3" w:rsidRPr="001533B3">
        <w:rPr>
          <w:sz w:val="18"/>
          <w:szCs w:val="18"/>
          <w:lang w:val="en-GB"/>
        </w:rPr>
        <w:t xml:space="preserve">. CAF </w:t>
      </w:r>
      <w:r w:rsidR="00EF1B6B" w:rsidRPr="001533B3">
        <w:rPr>
          <w:sz w:val="18"/>
          <w:szCs w:val="18"/>
          <w:lang w:val="en-GB"/>
        </w:rPr>
        <w:t>Gross Domestic Phila</w:t>
      </w:r>
      <w:r w:rsidR="008D5C76" w:rsidRPr="001533B3">
        <w:rPr>
          <w:sz w:val="18"/>
          <w:szCs w:val="18"/>
          <w:lang w:val="en-GB"/>
        </w:rPr>
        <w:t>n</w:t>
      </w:r>
      <w:r w:rsidR="00EF1B6B" w:rsidRPr="001533B3">
        <w:rPr>
          <w:sz w:val="18"/>
          <w:szCs w:val="18"/>
          <w:lang w:val="en-GB"/>
        </w:rPr>
        <w:t xml:space="preserve">thropy Report 2016 showed US at 1.44% (first placed) versus Australia </w:t>
      </w:r>
      <w:r w:rsidR="005005DA" w:rsidRPr="001533B3">
        <w:rPr>
          <w:sz w:val="18"/>
          <w:szCs w:val="18"/>
          <w:lang w:val="en-GB"/>
        </w:rPr>
        <w:t>(11</w:t>
      </w:r>
      <w:r w:rsidR="005005DA" w:rsidRPr="001533B3">
        <w:rPr>
          <w:sz w:val="18"/>
          <w:szCs w:val="18"/>
          <w:vertAlign w:val="superscript"/>
          <w:lang w:val="en-GB"/>
        </w:rPr>
        <w:t>th</w:t>
      </w:r>
      <w:r w:rsidR="005005DA" w:rsidRPr="001533B3">
        <w:rPr>
          <w:sz w:val="18"/>
          <w:szCs w:val="18"/>
          <w:lang w:val="en-GB"/>
        </w:rPr>
        <w:t xml:space="preserve">) </w:t>
      </w:r>
      <w:r w:rsidR="00EF1B6B" w:rsidRPr="001533B3">
        <w:rPr>
          <w:sz w:val="18"/>
          <w:szCs w:val="18"/>
          <w:lang w:val="en-GB"/>
        </w:rPr>
        <w:t>at 0.23%, New Zealand</w:t>
      </w:r>
      <w:r w:rsidR="005005DA" w:rsidRPr="001533B3">
        <w:rPr>
          <w:sz w:val="18"/>
          <w:szCs w:val="18"/>
          <w:lang w:val="en-GB"/>
        </w:rPr>
        <w:t xml:space="preserve"> (2</w:t>
      </w:r>
      <w:r w:rsidR="005005DA" w:rsidRPr="001533B3">
        <w:rPr>
          <w:sz w:val="18"/>
          <w:szCs w:val="18"/>
          <w:vertAlign w:val="superscript"/>
          <w:lang w:val="en-GB"/>
        </w:rPr>
        <w:t>nd</w:t>
      </w:r>
      <w:r w:rsidR="005005DA" w:rsidRPr="001533B3">
        <w:rPr>
          <w:sz w:val="18"/>
          <w:szCs w:val="18"/>
          <w:lang w:val="en-GB"/>
        </w:rPr>
        <w:t>)</w:t>
      </w:r>
      <w:r w:rsidR="00EF1B6B" w:rsidRPr="001533B3">
        <w:rPr>
          <w:sz w:val="18"/>
          <w:szCs w:val="18"/>
          <w:lang w:val="en-GB"/>
        </w:rPr>
        <w:t xml:space="preserve"> at 0.79%, Canad</w:t>
      </w:r>
      <w:r w:rsidR="005005DA" w:rsidRPr="001533B3">
        <w:rPr>
          <w:sz w:val="18"/>
          <w:szCs w:val="18"/>
          <w:lang w:val="en-GB"/>
        </w:rPr>
        <w:t>a (3</w:t>
      </w:r>
      <w:r w:rsidR="005005DA" w:rsidRPr="001533B3">
        <w:rPr>
          <w:sz w:val="18"/>
          <w:szCs w:val="18"/>
          <w:vertAlign w:val="superscript"/>
          <w:lang w:val="en-GB"/>
        </w:rPr>
        <w:t>rd</w:t>
      </w:r>
      <w:r w:rsidR="005005DA" w:rsidRPr="001533B3">
        <w:rPr>
          <w:sz w:val="18"/>
          <w:szCs w:val="18"/>
          <w:lang w:val="en-GB"/>
        </w:rPr>
        <w:t>)</w:t>
      </w:r>
      <w:r w:rsidR="00EF1B6B" w:rsidRPr="001533B3">
        <w:rPr>
          <w:sz w:val="18"/>
          <w:szCs w:val="18"/>
          <w:lang w:val="en-GB"/>
        </w:rPr>
        <w:t xml:space="preserve"> at 0.77% and UK </w:t>
      </w:r>
      <w:r w:rsidR="005005DA" w:rsidRPr="001533B3">
        <w:rPr>
          <w:sz w:val="18"/>
          <w:szCs w:val="18"/>
          <w:lang w:val="en-GB"/>
        </w:rPr>
        <w:t>(4</w:t>
      </w:r>
      <w:r w:rsidR="005005DA" w:rsidRPr="001533B3">
        <w:rPr>
          <w:sz w:val="18"/>
          <w:szCs w:val="18"/>
          <w:vertAlign w:val="superscript"/>
          <w:lang w:val="en-GB"/>
        </w:rPr>
        <w:t>th</w:t>
      </w:r>
      <w:r w:rsidR="005005DA" w:rsidRPr="001533B3">
        <w:rPr>
          <w:sz w:val="18"/>
          <w:szCs w:val="18"/>
          <w:lang w:val="en-GB"/>
        </w:rPr>
        <w:t xml:space="preserve">) </w:t>
      </w:r>
      <w:r w:rsidR="00EF1B6B" w:rsidRPr="001533B3">
        <w:rPr>
          <w:sz w:val="18"/>
          <w:szCs w:val="18"/>
          <w:lang w:val="en-GB"/>
        </w:rPr>
        <w:t>at 0.54%.</w:t>
      </w:r>
    </w:p>
  </w:footnote>
  <w:footnote w:id="54">
    <w:p w14:paraId="76137950" w14:textId="6EDBB186" w:rsidR="008D5C76" w:rsidRPr="001533B3" w:rsidRDefault="008D5C76" w:rsidP="00C65EE2">
      <w:pPr>
        <w:pStyle w:val="FootnoteText"/>
        <w:ind w:left="142" w:hanging="142"/>
        <w:rPr>
          <w:sz w:val="18"/>
          <w:szCs w:val="18"/>
          <w:lang w:val="en-GB"/>
        </w:rPr>
      </w:pPr>
      <w:r w:rsidRPr="001533B3">
        <w:rPr>
          <w:rStyle w:val="FootnoteReference"/>
          <w:sz w:val="18"/>
          <w:szCs w:val="18"/>
        </w:rPr>
        <w:footnoteRef/>
      </w:r>
      <w:r w:rsidRPr="001533B3">
        <w:rPr>
          <w:sz w:val="18"/>
          <w:szCs w:val="18"/>
        </w:rPr>
        <w:t xml:space="preserve"> </w:t>
      </w:r>
      <w:r w:rsidRPr="001533B3">
        <w:rPr>
          <w:sz w:val="18"/>
          <w:szCs w:val="18"/>
          <w:lang w:val="en-GB"/>
        </w:rPr>
        <w:t>It is also noted that elements such as the social security contributions have an impact on giving as per CAF Gross Domestic Philanthropy Report</w:t>
      </w:r>
    </w:p>
  </w:footnote>
  <w:footnote w:id="55">
    <w:p w14:paraId="5D3D8AA3" w14:textId="68292F8D" w:rsidR="00CE53BF" w:rsidRPr="001533B3" w:rsidRDefault="00CE53BF" w:rsidP="00C65EE2">
      <w:pPr>
        <w:pStyle w:val="FootnoteText"/>
        <w:ind w:left="142" w:hanging="142"/>
        <w:rPr>
          <w:sz w:val="18"/>
          <w:szCs w:val="18"/>
          <w:lang w:val="en-GB"/>
        </w:rPr>
      </w:pPr>
      <w:r w:rsidRPr="001533B3">
        <w:rPr>
          <w:rStyle w:val="FootnoteReference"/>
          <w:sz w:val="18"/>
          <w:szCs w:val="18"/>
        </w:rPr>
        <w:footnoteRef/>
      </w:r>
      <w:r w:rsidRPr="001533B3">
        <w:rPr>
          <w:sz w:val="18"/>
          <w:szCs w:val="18"/>
        </w:rPr>
        <w:t xml:space="preserve"> </w:t>
      </w:r>
      <w:r w:rsidR="008E7C70" w:rsidRPr="001533B3">
        <w:rPr>
          <w:sz w:val="18"/>
          <w:szCs w:val="18"/>
          <w:lang w:val="en-GB"/>
        </w:rPr>
        <w:t>Introduced in 2000 the Gift Aid</w:t>
      </w:r>
      <w:r w:rsidRPr="001533B3">
        <w:rPr>
          <w:sz w:val="18"/>
          <w:szCs w:val="18"/>
          <w:lang w:val="en-GB"/>
        </w:rPr>
        <w:t xml:space="preserve"> tax incentive scheme provides for 25% of the donation to be claimed from the Government by the charity if the donor elects to forego the tax deduction they would otherwise </w:t>
      </w:r>
      <w:r w:rsidR="0062420D" w:rsidRPr="001533B3">
        <w:rPr>
          <w:sz w:val="18"/>
          <w:szCs w:val="18"/>
          <w:lang w:val="en-GB"/>
        </w:rPr>
        <w:t>be entitled to.</w:t>
      </w:r>
    </w:p>
  </w:footnote>
  <w:footnote w:id="56">
    <w:p w14:paraId="33F0B26B" w14:textId="681DC6E7" w:rsidR="00DC6740" w:rsidRPr="001533B3" w:rsidRDefault="00DC6740" w:rsidP="00C65EE2">
      <w:pPr>
        <w:pStyle w:val="FootnoteText"/>
        <w:ind w:left="142" w:hanging="142"/>
        <w:rPr>
          <w:sz w:val="18"/>
          <w:szCs w:val="18"/>
          <w:lang w:val="en-GB"/>
        </w:rPr>
      </w:pPr>
      <w:r w:rsidRPr="001533B3">
        <w:rPr>
          <w:rStyle w:val="FootnoteReference"/>
          <w:sz w:val="18"/>
          <w:szCs w:val="18"/>
        </w:rPr>
        <w:footnoteRef/>
      </w:r>
      <w:r w:rsidRPr="001533B3">
        <w:rPr>
          <w:sz w:val="18"/>
          <w:szCs w:val="18"/>
        </w:rPr>
        <w:t xml:space="preserve"> </w:t>
      </w:r>
      <w:r w:rsidRPr="001533B3">
        <w:rPr>
          <w:sz w:val="18"/>
          <w:szCs w:val="18"/>
          <w:lang w:val="en-GB"/>
        </w:rPr>
        <w:t>“Charitable Giving and Gift Aid: Research Report for HM Revenue &amp; Customs” Report 482 September 2016</w:t>
      </w:r>
      <w:r w:rsidR="00193845" w:rsidRPr="001533B3">
        <w:rPr>
          <w:sz w:val="18"/>
          <w:szCs w:val="18"/>
          <w:lang w:val="en-GB"/>
        </w:rPr>
        <w:t xml:space="preserve"> published March 2018</w:t>
      </w:r>
    </w:p>
  </w:footnote>
  <w:footnote w:id="57">
    <w:p w14:paraId="745F00E6" w14:textId="6B0E28F9" w:rsidR="007321E2" w:rsidRPr="007321E2" w:rsidRDefault="007321E2">
      <w:pPr>
        <w:pStyle w:val="FootnoteText"/>
        <w:rPr>
          <w:lang w:val="en-GB"/>
        </w:rPr>
      </w:pPr>
      <w:r w:rsidRPr="001533B3">
        <w:rPr>
          <w:rStyle w:val="FootnoteReference"/>
          <w:sz w:val="18"/>
          <w:szCs w:val="18"/>
        </w:rPr>
        <w:footnoteRef/>
      </w:r>
      <w:r w:rsidRPr="001533B3">
        <w:rPr>
          <w:sz w:val="18"/>
          <w:szCs w:val="18"/>
        </w:rPr>
        <w:t xml:space="preserve"> </w:t>
      </w:r>
      <w:r w:rsidRPr="001533B3">
        <w:rPr>
          <w:sz w:val="18"/>
          <w:szCs w:val="18"/>
          <w:lang w:val="en-GB"/>
        </w:rPr>
        <w:t>Proof points:</w:t>
      </w:r>
      <w:r>
        <w:rPr>
          <w:lang w:val="en-GB"/>
        </w:rPr>
        <w:t xml:space="preserve"> </w:t>
      </w:r>
    </w:p>
  </w:footnote>
  <w:footnote w:id="58">
    <w:p w14:paraId="14B5AA71" w14:textId="42C72E7E" w:rsidR="00284FE3" w:rsidRPr="00A20B40" w:rsidRDefault="00284FE3" w:rsidP="00C65EE2">
      <w:pPr>
        <w:pStyle w:val="FootnoteText"/>
        <w:ind w:left="-284" w:hanging="142"/>
        <w:rPr>
          <w:sz w:val="18"/>
          <w:szCs w:val="18"/>
          <w:lang w:val="en-GB"/>
        </w:rPr>
      </w:pPr>
      <w:r>
        <w:rPr>
          <w:rStyle w:val="FootnoteReference"/>
        </w:rPr>
        <w:footnoteRef/>
      </w:r>
      <w:r>
        <w:t xml:space="preserve"> </w:t>
      </w:r>
      <w:r w:rsidR="00F66FB6">
        <w:rPr>
          <w:sz w:val="18"/>
          <w:szCs w:val="18"/>
          <w:lang w:val="en-GB"/>
        </w:rPr>
        <w:t>Workplace Giving Australia</w:t>
      </w:r>
      <w:r w:rsidRPr="00A20B40">
        <w:rPr>
          <w:sz w:val="18"/>
          <w:szCs w:val="18"/>
          <w:lang w:val="en-GB"/>
        </w:rPr>
        <w:t xml:space="preserve"> Study in conjunction with Bain &amp; Company</w:t>
      </w:r>
      <w:r w:rsidR="00A20B40" w:rsidRPr="00A20B40">
        <w:rPr>
          <w:sz w:val="18"/>
          <w:szCs w:val="18"/>
          <w:lang w:val="en-GB"/>
        </w:rPr>
        <w:t xml:space="preserve">. Note: SME = 1-199 employees; Corp. = 200+ employees; Gov. = public sector employees (local, state &amp; federal); </w:t>
      </w:r>
      <w:proofErr w:type="spellStart"/>
      <w:r w:rsidR="00A20B40" w:rsidRPr="00A20B40">
        <w:rPr>
          <w:sz w:val="18"/>
          <w:szCs w:val="18"/>
          <w:lang w:val="en-GB"/>
        </w:rPr>
        <w:t>NFP</w:t>
      </w:r>
      <w:proofErr w:type="spellEnd"/>
      <w:r w:rsidR="00A20B40" w:rsidRPr="00A20B40">
        <w:rPr>
          <w:sz w:val="18"/>
          <w:szCs w:val="18"/>
          <w:lang w:val="en-GB"/>
        </w:rPr>
        <w:t xml:space="preserve"> = employees of not-for-profit institutions; 60% of individuals donate money to charities; 71% is </w:t>
      </w:r>
      <w:r w:rsidR="00C8365A" w:rsidRPr="00A20B40">
        <w:rPr>
          <w:sz w:val="18"/>
          <w:szCs w:val="18"/>
          <w:lang w:val="en-GB"/>
        </w:rPr>
        <w:t>a</w:t>
      </w:r>
      <w:r w:rsidR="00A20B40" w:rsidRPr="00A20B40">
        <w:rPr>
          <w:sz w:val="18"/>
          <w:szCs w:val="18"/>
          <w:lang w:val="en-GB"/>
        </w:rPr>
        <w:t xml:space="preserve"> weighted-average based on number of businesses (99% of corporates, 95% of mid-tier businesses and 70% of SMEs give (incl. money, goods &amp; services donated). ​Source: Directly from ATO Workplace Giving taxation statistics </w:t>
      </w:r>
      <w:proofErr w:type="spellStart"/>
      <w:r w:rsidR="00A20B40" w:rsidRPr="00A20B40">
        <w:rPr>
          <w:sz w:val="18"/>
          <w:szCs w:val="18"/>
          <w:lang w:val="en-GB"/>
        </w:rPr>
        <w:t>FY10-FY19</w:t>
      </w:r>
      <w:proofErr w:type="spellEnd"/>
      <w:r w:rsidR="00A20B40" w:rsidRPr="00A20B40">
        <w:rPr>
          <w:sz w:val="18"/>
          <w:szCs w:val="18"/>
          <w:lang w:val="en-GB"/>
        </w:rPr>
        <w:t>; No. of employees: ABS 6202 Labour Force </w:t>
      </w:r>
      <w:proofErr w:type="spellStart"/>
      <w:r w:rsidR="00A20B40" w:rsidRPr="00A20B40">
        <w:rPr>
          <w:sz w:val="18"/>
          <w:szCs w:val="18"/>
          <w:lang w:val="en-GB"/>
        </w:rPr>
        <w:t>Aus</w:t>
      </w:r>
      <w:proofErr w:type="spellEnd"/>
      <w:r w:rsidR="00A20B40" w:rsidRPr="00A20B40">
        <w:rPr>
          <w:sz w:val="18"/>
          <w:szCs w:val="18"/>
          <w:lang w:val="en-GB"/>
        </w:rPr>
        <w:t> June 2019; SME: ABS 8155 </w:t>
      </w:r>
      <w:proofErr w:type="spellStart"/>
      <w:r w:rsidR="00A20B40" w:rsidRPr="00A20B40">
        <w:rPr>
          <w:sz w:val="18"/>
          <w:szCs w:val="18"/>
          <w:lang w:val="en-GB"/>
        </w:rPr>
        <w:t>Aus</w:t>
      </w:r>
      <w:proofErr w:type="spellEnd"/>
      <w:r w:rsidR="00A20B40" w:rsidRPr="00A20B40">
        <w:rPr>
          <w:sz w:val="18"/>
          <w:szCs w:val="18"/>
          <w:lang w:val="en-GB"/>
        </w:rPr>
        <w:t> Industry data 2018-19; Corp: ABS 8165 </w:t>
      </w:r>
      <w:proofErr w:type="spellStart"/>
      <w:r w:rsidR="00A20B40" w:rsidRPr="00A20B40">
        <w:rPr>
          <w:sz w:val="18"/>
          <w:szCs w:val="18"/>
          <w:lang w:val="en-GB"/>
        </w:rPr>
        <w:t>Aus</w:t>
      </w:r>
      <w:proofErr w:type="spellEnd"/>
      <w:r w:rsidR="00A20B40" w:rsidRPr="00A20B40">
        <w:rPr>
          <w:sz w:val="18"/>
          <w:szCs w:val="18"/>
          <w:lang w:val="en-GB"/>
        </w:rPr>
        <w:t xml:space="preserve"> Business data 2018-19; Gov &amp; </w:t>
      </w:r>
      <w:proofErr w:type="spellStart"/>
      <w:r w:rsidR="00A20B40" w:rsidRPr="00A20B40">
        <w:rPr>
          <w:sz w:val="18"/>
          <w:szCs w:val="18"/>
          <w:lang w:val="en-GB"/>
        </w:rPr>
        <w:t>NFP</w:t>
      </w:r>
      <w:proofErr w:type="spellEnd"/>
      <w:r w:rsidR="00A20B40" w:rsidRPr="00A20B40">
        <w:rPr>
          <w:sz w:val="18"/>
          <w:szCs w:val="18"/>
          <w:lang w:val="en-GB"/>
        </w:rPr>
        <w:t xml:space="preserve">: ABS 6248 Public Sector Employment data 2018-19; Average donation size by type of company: </w:t>
      </w:r>
      <w:proofErr w:type="spellStart"/>
      <w:r w:rsidR="00A20B40" w:rsidRPr="00A20B40">
        <w:rPr>
          <w:sz w:val="18"/>
          <w:szCs w:val="18"/>
          <w:lang w:val="en-GB"/>
        </w:rPr>
        <w:t>ACNC</w:t>
      </w:r>
      <w:proofErr w:type="spellEnd"/>
      <w:r w:rsidR="00A20B40" w:rsidRPr="00A20B40">
        <w:rPr>
          <w:sz w:val="18"/>
          <w:szCs w:val="18"/>
          <w:lang w:val="en-GB"/>
        </w:rPr>
        <w:t xml:space="preserve"> Annual Charities Report 2018-19; CAF; Giving Australia 2016</w:t>
      </w:r>
      <w:r w:rsidRPr="00A20B40">
        <w:rPr>
          <w:sz w:val="18"/>
          <w:szCs w:val="18"/>
          <w:lang w:val="en-GB"/>
        </w:rPr>
        <w:t xml:space="preserve"> </w:t>
      </w:r>
    </w:p>
  </w:footnote>
  <w:footnote w:id="59">
    <w:p w14:paraId="2E71F0C1" w14:textId="4A4BB8B2" w:rsidR="004A5573" w:rsidRPr="001533B3" w:rsidRDefault="00F66FB6" w:rsidP="00404CBB">
      <w:pPr>
        <w:pStyle w:val="FootnoteText"/>
        <w:ind w:left="142" w:hanging="142"/>
        <w:rPr>
          <w:sz w:val="18"/>
          <w:szCs w:val="18"/>
          <w:lang w:val="en-GB"/>
        </w:rPr>
      </w:pPr>
      <w:r w:rsidRPr="001533B3">
        <w:rPr>
          <w:rStyle w:val="FootnoteReference"/>
          <w:sz w:val="18"/>
          <w:szCs w:val="18"/>
        </w:rPr>
        <w:footnoteRef/>
      </w:r>
      <w:r w:rsidRPr="001533B3">
        <w:rPr>
          <w:sz w:val="18"/>
          <w:szCs w:val="18"/>
        </w:rPr>
        <w:t xml:space="preserve"> </w:t>
      </w:r>
      <w:r w:rsidRPr="001533B3">
        <w:rPr>
          <w:sz w:val="18"/>
          <w:szCs w:val="18"/>
          <w:lang w:val="en-GB"/>
        </w:rPr>
        <w:t xml:space="preserve">US study indicates 78% of donors are unaware of their company program and 16% of </w:t>
      </w:r>
      <w:r w:rsidR="004A5573" w:rsidRPr="001533B3">
        <w:rPr>
          <w:sz w:val="18"/>
          <w:szCs w:val="18"/>
          <w:lang w:val="en-GB"/>
        </w:rPr>
        <w:t>donors are unsure if they are eligible per Double the Donation survey of donors. https://</w:t>
      </w:r>
      <w:proofErr w:type="spellStart"/>
      <w:r w:rsidR="004A5573" w:rsidRPr="001533B3">
        <w:rPr>
          <w:sz w:val="18"/>
          <w:szCs w:val="18"/>
          <w:lang w:val="en-GB"/>
        </w:rPr>
        <w:t>doublethedonation.com</w:t>
      </w:r>
      <w:proofErr w:type="spellEnd"/>
      <w:r w:rsidR="004A5573" w:rsidRPr="001533B3">
        <w:rPr>
          <w:sz w:val="18"/>
          <w:szCs w:val="18"/>
          <w:lang w:val="en-GB"/>
        </w:rPr>
        <w:t>/matching-gift-statistics/</w:t>
      </w:r>
    </w:p>
  </w:footnote>
  <w:footnote w:id="60">
    <w:p w14:paraId="0C8D1421" w14:textId="698989F7" w:rsidR="00B6610A" w:rsidRPr="001533B3" w:rsidRDefault="00B6610A" w:rsidP="00404CBB">
      <w:pPr>
        <w:pStyle w:val="FootnoteText"/>
        <w:ind w:left="142" w:hanging="141"/>
        <w:rPr>
          <w:sz w:val="18"/>
          <w:szCs w:val="18"/>
          <w:lang w:val="en-GB"/>
        </w:rPr>
      </w:pPr>
      <w:r w:rsidRPr="001533B3">
        <w:rPr>
          <w:rStyle w:val="FootnoteReference"/>
          <w:sz w:val="18"/>
          <w:szCs w:val="18"/>
        </w:rPr>
        <w:footnoteRef/>
      </w:r>
      <w:r w:rsidRPr="001533B3">
        <w:rPr>
          <w:sz w:val="18"/>
          <w:szCs w:val="18"/>
        </w:rPr>
        <w:t xml:space="preserve"> </w:t>
      </w:r>
      <w:r w:rsidRPr="001533B3">
        <w:rPr>
          <w:sz w:val="18"/>
          <w:szCs w:val="18"/>
          <w:lang w:val="en-GB"/>
        </w:rPr>
        <w:t xml:space="preserve">It is noted here that there is a legal veil that can be relied on here as the </w:t>
      </w:r>
      <w:proofErr w:type="spellStart"/>
      <w:r w:rsidRPr="001533B3">
        <w:rPr>
          <w:sz w:val="18"/>
          <w:szCs w:val="18"/>
          <w:lang w:val="en-GB"/>
        </w:rPr>
        <w:t>DGR</w:t>
      </w:r>
      <w:proofErr w:type="spellEnd"/>
      <w:r w:rsidRPr="001533B3">
        <w:rPr>
          <w:sz w:val="18"/>
          <w:szCs w:val="18"/>
          <w:lang w:val="en-GB"/>
        </w:rPr>
        <w:t xml:space="preserve"> Trust is ostensibly wholly independent to the corporate. This is technically accurate but </w:t>
      </w:r>
      <w:r w:rsidR="00FF2F8F" w:rsidRPr="001533B3">
        <w:rPr>
          <w:sz w:val="18"/>
          <w:szCs w:val="18"/>
          <w:lang w:val="en-GB"/>
        </w:rPr>
        <w:t>can still be</w:t>
      </w:r>
      <w:r w:rsidRPr="001533B3">
        <w:rPr>
          <w:sz w:val="18"/>
          <w:szCs w:val="18"/>
          <w:lang w:val="en-GB"/>
        </w:rPr>
        <w:t xml:space="preserve"> misleading. A ‘reasonable man’ test would quickly lead to a more realistic and open disclosure of how the business operate</w:t>
      </w:r>
      <w:r w:rsidR="00FF2F8F" w:rsidRPr="001533B3">
        <w:rPr>
          <w:sz w:val="18"/>
          <w:szCs w:val="18"/>
          <w:lang w:val="en-GB"/>
        </w:rPr>
        <w:t>s</w:t>
      </w:r>
      <w:r w:rsidRPr="001533B3">
        <w:rPr>
          <w:sz w:val="18"/>
          <w:szCs w:val="18"/>
          <w:lang w:val="en-GB"/>
        </w:rPr>
        <w:t>.</w:t>
      </w:r>
    </w:p>
  </w:footnote>
  <w:footnote w:id="61">
    <w:p w14:paraId="042743DA" w14:textId="77777777" w:rsidR="003F5C4E" w:rsidRPr="00D14A94" w:rsidRDefault="003F5C4E" w:rsidP="00404CBB">
      <w:pPr>
        <w:pStyle w:val="FootnoteText"/>
        <w:ind w:left="142" w:hanging="142"/>
        <w:rPr>
          <w:rFonts w:cstheme="minorHAnsi"/>
          <w:sz w:val="18"/>
          <w:szCs w:val="18"/>
          <w:lang w:val="en-GB"/>
        </w:rPr>
      </w:pPr>
      <w:r w:rsidRPr="00D14A94">
        <w:rPr>
          <w:rStyle w:val="FootnoteReference"/>
          <w:rFonts w:cstheme="minorHAnsi"/>
          <w:sz w:val="18"/>
          <w:szCs w:val="18"/>
        </w:rPr>
        <w:footnoteRef/>
      </w:r>
      <w:r w:rsidRPr="00D14A94">
        <w:rPr>
          <w:rFonts w:cstheme="minorHAnsi"/>
          <w:sz w:val="18"/>
          <w:szCs w:val="18"/>
        </w:rPr>
        <w:t xml:space="preserve"> </w:t>
      </w:r>
      <w:r w:rsidRPr="00D14A94">
        <w:rPr>
          <w:rFonts w:cstheme="minorHAnsi"/>
          <w:sz w:val="18"/>
          <w:szCs w:val="18"/>
          <w:lang w:val="en-GB"/>
        </w:rPr>
        <w:t xml:space="preserve">Includes ABN, </w:t>
      </w:r>
      <w:proofErr w:type="spellStart"/>
      <w:r w:rsidRPr="00D14A94">
        <w:rPr>
          <w:rFonts w:cstheme="minorHAnsi"/>
          <w:sz w:val="18"/>
          <w:szCs w:val="18"/>
          <w:lang w:val="en-GB"/>
        </w:rPr>
        <w:t>DGR</w:t>
      </w:r>
      <w:proofErr w:type="spellEnd"/>
      <w:r w:rsidRPr="00D14A94">
        <w:rPr>
          <w:rFonts w:cstheme="minorHAnsi"/>
          <w:sz w:val="18"/>
          <w:szCs w:val="18"/>
          <w:lang w:val="en-GB"/>
        </w:rPr>
        <w:t xml:space="preserve"> status, </w:t>
      </w:r>
      <w:proofErr w:type="spellStart"/>
      <w:r w:rsidRPr="00D14A94">
        <w:rPr>
          <w:rFonts w:cstheme="minorHAnsi"/>
          <w:sz w:val="18"/>
          <w:szCs w:val="18"/>
          <w:lang w:val="en-GB"/>
        </w:rPr>
        <w:t>ACN</w:t>
      </w:r>
      <w:proofErr w:type="spellEnd"/>
      <w:r w:rsidRPr="00D14A94">
        <w:rPr>
          <w:rFonts w:cstheme="minorHAnsi"/>
          <w:sz w:val="18"/>
          <w:szCs w:val="18"/>
          <w:lang w:val="en-GB"/>
        </w:rPr>
        <w:t xml:space="preserve">, Charity Name, Address, email, Phone, Website, charity size, who helps, date established, financial year end, financial report/s, AIS.  Does not include financial institution details such as </w:t>
      </w:r>
      <w:proofErr w:type="spellStart"/>
      <w:r w:rsidRPr="00D14A94">
        <w:rPr>
          <w:rFonts w:cstheme="minorHAnsi"/>
          <w:sz w:val="18"/>
          <w:szCs w:val="18"/>
          <w:lang w:val="en-GB"/>
        </w:rPr>
        <w:t>BSB</w:t>
      </w:r>
      <w:proofErr w:type="spellEnd"/>
      <w:r w:rsidRPr="00D14A94">
        <w:rPr>
          <w:rFonts w:cstheme="minorHAnsi"/>
          <w:sz w:val="18"/>
          <w:szCs w:val="18"/>
          <w:lang w:val="en-GB"/>
        </w:rPr>
        <w:t xml:space="preserve"> and account numbers, charitable cause impact, images and stories, donor information, appeal information, up to date financial and governance information &amp;c.</w:t>
      </w:r>
    </w:p>
  </w:footnote>
  <w:footnote w:id="62">
    <w:p w14:paraId="595A491E" w14:textId="781AE55E" w:rsidR="00737353" w:rsidRPr="00D14A94" w:rsidRDefault="00737353" w:rsidP="00624BBD">
      <w:pPr>
        <w:pStyle w:val="paragraph"/>
        <w:spacing w:before="0" w:beforeAutospacing="0" w:after="0" w:afterAutospacing="0"/>
        <w:ind w:left="142" w:hanging="142"/>
        <w:textAlignment w:val="baseline"/>
        <w:rPr>
          <w:rFonts w:asciiTheme="minorHAnsi" w:hAnsiTheme="minorHAnsi" w:cstheme="minorHAnsi"/>
          <w:sz w:val="18"/>
          <w:szCs w:val="18"/>
          <w:lang w:val="en-US"/>
        </w:rPr>
      </w:pPr>
      <w:r w:rsidRPr="00D14A94">
        <w:rPr>
          <w:rStyle w:val="FootnoteReference"/>
          <w:rFonts w:asciiTheme="minorHAnsi" w:hAnsiTheme="minorHAnsi" w:cstheme="minorHAnsi"/>
          <w:sz w:val="18"/>
          <w:szCs w:val="18"/>
        </w:rPr>
        <w:footnoteRef/>
      </w:r>
      <w:r w:rsidRPr="00D14A94">
        <w:rPr>
          <w:rFonts w:asciiTheme="minorHAnsi" w:hAnsiTheme="minorHAnsi" w:cstheme="minorHAnsi"/>
          <w:sz w:val="18"/>
          <w:szCs w:val="18"/>
        </w:rPr>
        <w:t xml:space="preserve"> </w:t>
      </w:r>
      <w:r w:rsidRPr="00D14A94">
        <w:rPr>
          <w:rFonts w:asciiTheme="minorHAnsi" w:hAnsiTheme="minorHAnsi" w:cstheme="minorHAnsi"/>
          <w:sz w:val="18"/>
          <w:szCs w:val="18"/>
          <w:lang w:val="en-GB"/>
        </w:rPr>
        <w:t>Workplace Giving Australia</w:t>
      </w:r>
      <w:r w:rsidR="00BC05D4" w:rsidRPr="00D14A94">
        <w:rPr>
          <w:rFonts w:asciiTheme="minorHAnsi" w:hAnsiTheme="minorHAnsi" w:cstheme="minorHAnsi"/>
          <w:sz w:val="18"/>
          <w:szCs w:val="18"/>
          <w:lang w:val="en-GB"/>
        </w:rPr>
        <w:t>; Bain &amp; Company</w:t>
      </w:r>
      <w:r w:rsidRPr="00D14A94">
        <w:rPr>
          <w:rFonts w:asciiTheme="minorHAnsi" w:hAnsiTheme="minorHAnsi" w:cstheme="minorHAnsi"/>
          <w:sz w:val="18"/>
          <w:szCs w:val="18"/>
          <w:lang w:val="en-GB"/>
        </w:rPr>
        <w:t xml:space="preserve"> analysis and calculations</w:t>
      </w:r>
      <w:r w:rsidR="000A622F" w:rsidRPr="00D14A94">
        <w:rPr>
          <w:rFonts w:asciiTheme="minorHAnsi" w:hAnsiTheme="minorHAnsi" w:cstheme="minorHAnsi"/>
          <w:sz w:val="18"/>
          <w:szCs w:val="18"/>
          <w:lang w:val="en-GB"/>
        </w:rPr>
        <w:t>. Assuming c.$</w:t>
      </w:r>
      <w:proofErr w:type="spellStart"/>
      <w:r w:rsidR="00BA3984" w:rsidRPr="00D14A94">
        <w:rPr>
          <w:rFonts w:asciiTheme="minorHAnsi" w:hAnsiTheme="minorHAnsi" w:cstheme="minorHAnsi"/>
          <w:sz w:val="18"/>
          <w:szCs w:val="18"/>
          <w:lang w:val="en-GB"/>
        </w:rPr>
        <w:t>13</w:t>
      </w:r>
      <w:r w:rsidR="000A622F" w:rsidRPr="00D14A94">
        <w:rPr>
          <w:rFonts w:asciiTheme="minorHAnsi" w:hAnsiTheme="minorHAnsi" w:cstheme="minorHAnsi"/>
          <w:sz w:val="18"/>
          <w:szCs w:val="18"/>
          <w:lang w:val="en-GB"/>
        </w:rPr>
        <w:t>bn</w:t>
      </w:r>
      <w:proofErr w:type="spellEnd"/>
      <w:r w:rsidR="000A622F" w:rsidRPr="00D14A94">
        <w:rPr>
          <w:rFonts w:asciiTheme="minorHAnsi" w:hAnsiTheme="minorHAnsi" w:cstheme="minorHAnsi"/>
          <w:sz w:val="18"/>
          <w:szCs w:val="18"/>
          <w:lang w:val="en-GB"/>
        </w:rPr>
        <w:t xml:space="preserve"> in </w:t>
      </w:r>
      <w:r w:rsidR="00AE6B6B" w:rsidRPr="00D14A94">
        <w:rPr>
          <w:rFonts w:asciiTheme="minorHAnsi" w:hAnsiTheme="minorHAnsi" w:cstheme="minorHAnsi"/>
          <w:sz w:val="18"/>
          <w:szCs w:val="18"/>
          <w:lang w:val="en-GB"/>
        </w:rPr>
        <w:t>reported</w:t>
      </w:r>
      <w:r w:rsidR="000A622F" w:rsidRPr="00D14A94">
        <w:rPr>
          <w:rFonts w:asciiTheme="minorHAnsi" w:hAnsiTheme="minorHAnsi" w:cstheme="minorHAnsi"/>
          <w:sz w:val="18"/>
          <w:szCs w:val="18"/>
          <w:lang w:val="en-GB"/>
        </w:rPr>
        <w:t xml:space="preserve"> donations</w:t>
      </w:r>
      <w:r w:rsidR="00F640ED" w:rsidRPr="00D14A94">
        <w:rPr>
          <w:rFonts w:asciiTheme="minorHAnsi" w:hAnsiTheme="minorHAnsi" w:cstheme="minorHAnsi"/>
          <w:sz w:val="18"/>
          <w:szCs w:val="18"/>
          <w:lang w:val="en-GB"/>
        </w:rPr>
        <w:t xml:space="preserve"> plus </w:t>
      </w:r>
      <w:r w:rsidR="008F6346" w:rsidRPr="00D14A94">
        <w:rPr>
          <w:rFonts w:asciiTheme="minorHAnsi" w:hAnsiTheme="minorHAnsi" w:cstheme="minorHAnsi"/>
          <w:sz w:val="18"/>
          <w:szCs w:val="18"/>
          <w:lang w:val="en-GB"/>
        </w:rPr>
        <w:t xml:space="preserve"> (total revenue in sector per </w:t>
      </w:r>
      <w:proofErr w:type="spellStart"/>
      <w:r w:rsidR="008F6346" w:rsidRPr="00D14A94">
        <w:rPr>
          <w:rFonts w:asciiTheme="minorHAnsi" w:hAnsiTheme="minorHAnsi" w:cstheme="minorHAnsi"/>
          <w:sz w:val="18"/>
          <w:szCs w:val="18"/>
          <w:lang w:val="en-GB"/>
        </w:rPr>
        <w:t>ACNC</w:t>
      </w:r>
      <w:proofErr w:type="spellEnd"/>
      <w:r w:rsidR="008F6346" w:rsidRPr="00D14A94">
        <w:rPr>
          <w:rFonts w:asciiTheme="minorHAnsi" w:hAnsiTheme="minorHAnsi" w:cstheme="minorHAnsi"/>
          <w:sz w:val="18"/>
          <w:szCs w:val="18"/>
          <w:lang w:val="en-GB"/>
        </w:rPr>
        <w:t xml:space="preserve"> for 2020 </w:t>
      </w:r>
      <w:r w:rsidR="00574276" w:rsidRPr="00D14A94">
        <w:rPr>
          <w:rFonts w:asciiTheme="minorHAnsi" w:hAnsiTheme="minorHAnsi" w:cstheme="minorHAnsi"/>
          <w:sz w:val="18"/>
          <w:szCs w:val="18"/>
          <w:lang w:val="en-GB"/>
        </w:rPr>
        <w:t>= $</w:t>
      </w:r>
      <w:proofErr w:type="spellStart"/>
      <w:r w:rsidR="00574276" w:rsidRPr="00D14A94">
        <w:rPr>
          <w:rFonts w:asciiTheme="minorHAnsi" w:hAnsiTheme="minorHAnsi" w:cstheme="minorHAnsi"/>
          <w:sz w:val="18"/>
          <w:szCs w:val="18"/>
          <w:lang w:val="en-GB"/>
        </w:rPr>
        <w:t>176bn</w:t>
      </w:r>
      <w:proofErr w:type="spellEnd"/>
      <w:r w:rsidR="00574276" w:rsidRPr="00D14A94">
        <w:rPr>
          <w:rFonts w:asciiTheme="minorHAnsi" w:hAnsiTheme="minorHAnsi" w:cstheme="minorHAnsi"/>
          <w:sz w:val="18"/>
          <w:szCs w:val="18"/>
          <w:lang w:val="en-GB"/>
        </w:rPr>
        <w:t xml:space="preserve"> with $</w:t>
      </w:r>
      <w:proofErr w:type="spellStart"/>
      <w:r w:rsidR="00574276" w:rsidRPr="00D14A94">
        <w:rPr>
          <w:rFonts w:asciiTheme="minorHAnsi" w:hAnsiTheme="minorHAnsi" w:cstheme="minorHAnsi"/>
          <w:sz w:val="18"/>
          <w:szCs w:val="18"/>
          <w:lang w:val="en-GB"/>
        </w:rPr>
        <w:t>8</w:t>
      </w:r>
      <w:r w:rsidR="001A04EA" w:rsidRPr="00D14A94">
        <w:rPr>
          <w:rFonts w:asciiTheme="minorHAnsi" w:hAnsiTheme="minorHAnsi" w:cstheme="minorHAnsi"/>
          <w:sz w:val="18"/>
          <w:szCs w:val="18"/>
          <w:lang w:val="en-GB"/>
        </w:rPr>
        <w:t>9</w:t>
      </w:r>
      <w:r w:rsidR="00574276" w:rsidRPr="00D14A94">
        <w:rPr>
          <w:rFonts w:asciiTheme="minorHAnsi" w:hAnsiTheme="minorHAnsi" w:cstheme="minorHAnsi"/>
          <w:sz w:val="18"/>
          <w:szCs w:val="18"/>
          <w:lang w:val="en-GB"/>
        </w:rPr>
        <w:t>bn</w:t>
      </w:r>
      <w:proofErr w:type="spellEnd"/>
      <w:r w:rsidR="00574276" w:rsidRPr="00D14A94">
        <w:rPr>
          <w:rFonts w:asciiTheme="minorHAnsi" w:hAnsiTheme="minorHAnsi" w:cstheme="minorHAnsi"/>
          <w:sz w:val="18"/>
          <w:szCs w:val="18"/>
          <w:lang w:val="en-GB"/>
        </w:rPr>
        <w:t xml:space="preserve"> from government)</w:t>
      </w:r>
      <w:r w:rsidR="000A622F" w:rsidRPr="00D14A94">
        <w:rPr>
          <w:rFonts w:asciiTheme="minorHAnsi" w:hAnsiTheme="minorHAnsi" w:cstheme="minorHAnsi"/>
          <w:sz w:val="18"/>
          <w:szCs w:val="18"/>
          <w:lang w:val="en-GB"/>
        </w:rPr>
        <w:t xml:space="preserve"> and an average administration cost of 18% </w:t>
      </w:r>
      <w:r w:rsidR="00BA3984" w:rsidRPr="00D14A94">
        <w:rPr>
          <w:rStyle w:val="normaltextrun"/>
          <w:rFonts w:asciiTheme="minorHAnsi" w:hAnsiTheme="minorHAnsi" w:cstheme="minorHAnsi"/>
          <w:color w:val="000000"/>
          <w:sz w:val="18"/>
          <w:szCs w:val="18"/>
        </w:rPr>
        <w:t>based on UK data,</w:t>
      </w:r>
      <w:r w:rsidR="00BA3984" w:rsidRPr="00D14A94">
        <w:rPr>
          <w:rFonts w:asciiTheme="minorHAnsi" w:hAnsiTheme="minorHAnsi" w:cstheme="minorHAnsi"/>
          <w:sz w:val="18"/>
          <w:szCs w:val="18"/>
          <w:lang w:val="en-GB"/>
        </w:rPr>
        <w:t xml:space="preserve"> </w:t>
      </w:r>
      <w:r w:rsidR="000A622F" w:rsidRPr="00D14A94">
        <w:rPr>
          <w:rFonts w:asciiTheme="minorHAnsi" w:hAnsiTheme="minorHAnsi" w:cstheme="minorHAnsi"/>
          <w:sz w:val="18"/>
          <w:szCs w:val="18"/>
          <w:lang w:val="en-GB"/>
        </w:rPr>
        <w:t xml:space="preserve">a 1% reduction in the overhead would equate to </w:t>
      </w:r>
      <w:r w:rsidR="00C03C29" w:rsidRPr="00D14A94">
        <w:rPr>
          <w:rFonts w:asciiTheme="minorHAnsi" w:hAnsiTheme="minorHAnsi" w:cstheme="minorHAnsi"/>
          <w:sz w:val="18"/>
          <w:szCs w:val="18"/>
          <w:lang w:val="en-GB"/>
        </w:rPr>
        <w:t>$</w:t>
      </w:r>
      <w:proofErr w:type="spellStart"/>
      <w:r w:rsidR="00BA3984" w:rsidRPr="00D14A94">
        <w:rPr>
          <w:rFonts w:asciiTheme="minorHAnsi" w:hAnsiTheme="minorHAnsi" w:cstheme="minorHAnsi"/>
          <w:sz w:val="18"/>
          <w:szCs w:val="18"/>
          <w:lang w:val="en-GB"/>
        </w:rPr>
        <w:t>23</w:t>
      </w:r>
      <w:r w:rsidR="00C03C29" w:rsidRPr="00D14A94">
        <w:rPr>
          <w:rFonts w:asciiTheme="minorHAnsi" w:hAnsiTheme="minorHAnsi" w:cstheme="minorHAnsi"/>
          <w:sz w:val="18"/>
          <w:szCs w:val="18"/>
          <w:lang w:val="en-GB"/>
        </w:rPr>
        <w:t>m</w:t>
      </w:r>
      <w:proofErr w:type="spellEnd"/>
      <w:r w:rsidR="00BA3984" w:rsidRPr="00D14A94">
        <w:rPr>
          <w:rStyle w:val="normaltextrun"/>
          <w:rFonts w:asciiTheme="minorHAnsi" w:hAnsiTheme="minorHAnsi" w:cstheme="minorHAnsi"/>
          <w:color w:val="000000"/>
          <w:sz w:val="18"/>
          <w:szCs w:val="18"/>
        </w:rPr>
        <w:t xml:space="preserve">. </w:t>
      </w:r>
      <w:r w:rsidR="00AB307B" w:rsidRPr="00D14A94">
        <w:rPr>
          <w:rStyle w:val="eop"/>
          <w:rFonts w:asciiTheme="minorHAnsi" w:hAnsiTheme="minorHAnsi" w:cstheme="minorHAnsi"/>
          <w:color w:val="000000"/>
          <w:sz w:val="18"/>
          <w:szCs w:val="18"/>
          <w:lang w:val="en-US"/>
        </w:rPr>
        <w:t>​</w:t>
      </w:r>
      <w:r w:rsidR="00AB307B" w:rsidRPr="00D14A94">
        <w:rPr>
          <w:rStyle w:val="normaltextrun"/>
          <w:rFonts w:asciiTheme="minorHAnsi" w:hAnsiTheme="minorHAnsi" w:cstheme="minorHAnsi"/>
          <w:color w:val="000000"/>
          <w:sz w:val="18"/>
          <w:szCs w:val="18"/>
        </w:rPr>
        <w:t>Source: Australian Charities Report 8</w:t>
      </w:r>
      <w:proofErr w:type="spellStart"/>
      <w:r w:rsidR="00AB307B" w:rsidRPr="00D14A94">
        <w:rPr>
          <w:rStyle w:val="normaltextrun"/>
          <w:rFonts w:asciiTheme="minorHAnsi" w:hAnsiTheme="minorHAnsi" w:cstheme="minorHAnsi"/>
          <w:color w:val="000000"/>
          <w:position w:val="4"/>
          <w:sz w:val="18"/>
          <w:szCs w:val="18"/>
        </w:rPr>
        <w:t>th</w:t>
      </w:r>
      <w:proofErr w:type="spellEnd"/>
      <w:r w:rsidR="00AB307B" w:rsidRPr="00D14A94">
        <w:rPr>
          <w:rStyle w:val="normaltextrun"/>
          <w:rFonts w:asciiTheme="minorHAnsi" w:hAnsiTheme="minorHAnsi" w:cstheme="minorHAnsi"/>
          <w:color w:val="000000"/>
          <w:sz w:val="18"/>
          <w:szCs w:val="18"/>
        </w:rPr>
        <w:t> edition; </w:t>
      </w:r>
      <w:proofErr w:type="spellStart"/>
      <w:r w:rsidR="00AB307B" w:rsidRPr="00D14A94">
        <w:rPr>
          <w:rStyle w:val="spellingerror"/>
          <w:rFonts w:asciiTheme="minorHAnsi" w:hAnsiTheme="minorHAnsi" w:cstheme="minorHAnsi"/>
          <w:color w:val="000000"/>
          <w:sz w:val="18"/>
          <w:szCs w:val="18"/>
        </w:rPr>
        <w:t>Fundratios</w:t>
      </w:r>
      <w:proofErr w:type="spellEnd"/>
      <w:r w:rsidR="00AB307B" w:rsidRPr="00D14A94">
        <w:rPr>
          <w:rStyle w:val="normaltextrun"/>
          <w:rFonts w:asciiTheme="minorHAnsi" w:hAnsiTheme="minorHAnsi" w:cstheme="minorHAnsi"/>
          <w:color w:val="000000"/>
          <w:sz w:val="18"/>
          <w:szCs w:val="18"/>
        </w:rPr>
        <w:t xml:space="preserve">, 2014; </w:t>
      </w:r>
      <w:proofErr w:type="spellStart"/>
      <w:r w:rsidR="00AB307B" w:rsidRPr="00D14A94">
        <w:rPr>
          <w:rStyle w:val="normaltextrun"/>
          <w:rFonts w:asciiTheme="minorHAnsi" w:hAnsiTheme="minorHAnsi" w:cstheme="minorHAnsi"/>
          <w:color w:val="000000"/>
          <w:sz w:val="18"/>
          <w:szCs w:val="18"/>
        </w:rPr>
        <w:t>AIHW</w:t>
      </w:r>
      <w:proofErr w:type="spellEnd"/>
      <w:r w:rsidR="00AB307B" w:rsidRPr="00D14A94">
        <w:rPr>
          <w:rStyle w:val="normaltextrun"/>
          <w:rFonts w:asciiTheme="minorHAnsi" w:hAnsiTheme="minorHAnsi" w:cstheme="minorHAnsi"/>
          <w:color w:val="000000"/>
          <w:sz w:val="18"/>
          <w:szCs w:val="18"/>
        </w:rPr>
        <w:t xml:space="preserve"> analysis of ABS 2021; ATO </w:t>
      </w:r>
      <w:proofErr w:type="spellStart"/>
      <w:r w:rsidR="00AB307B" w:rsidRPr="00D14A94">
        <w:rPr>
          <w:rStyle w:val="normaltextrun"/>
          <w:rFonts w:asciiTheme="minorHAnsi" w:hAnsiTheme="minorHAnsi" w:cstheme="minorHAnsi"/>
          <w:color w:val="000000"/>
          <w:sz w:val="18"/>
          <w:szCs w:val="18"/>
        </w:rPr>
        <w:t>2021b</w:t>
      </w:r>
      <w:proofErr w:type="spellEnd"/>
      <w:r w:rsidR="00AB307B" w:rsidRPr="00D14A94">
        <w:rPr>
          <w:rStyle w:val="normaltextrun"/>
          <w:rFonts w:asciiTheme="minorHAnsi" w:hAnsiTheme="minorHAnsi" w:cstheme="minorHAnsi"/>
          <w:color w:val="000000"/>
          <w:sz w:val="18"/>
          <w:szCs w:val="18"/>
        </w:rPr>
        <w:t>; IRS 2019</w:t>
      </w:r>
    </w:p>
  </w:footnote>
  <w:footnote w:id="63">
    <w:p w14:paraId="648F2484" w14:textId="5527D94D" w:rsidR="0094239F" w:rsidRPr="00404CBB" w:rsidRDefault="0094239F" w:rsidP="00624BBD">
      <w:pPr>
        <w:pStyle w:val="FootnoteText"/>
        <w:ind w:left="142" w:hanging="142"/>
        <w:rPr>
          <w:sz w:val="18"/>
          <w:szCs w:val="18"/>
          <w:lang w:val="en-GB"/>
        </w:rPr>
      </w:pPr>
      <w:r w:rsidRPr="00D14A94">
        <w:rPr>
          <w:rStyle w:val="FootnoteReference"/>
          <w:rFonts w:cstheme="minorHAnsi"/>
          <w:sz w:val="18"/>
          <w:szCs w:val="18"/>
        </w:rPr>
        <w:footnoteRef/>
      </w:r>
      <w:r w:rsidRPr="00D14A94">
        <w:rPr>
          <w:rFonts w:cstheme="minorHAnsi"/>
          <w:sz w:val="18"/>
          <w:szCs w:val="18"/>
        </w:rPr>
        <w:t xml:space="preserve"> </w:t>
      </w:r>
      <w:proofErr w:type="spellStart"/>
      <w:r w:rsidRPr="00D14A94">
        <w:rPr>
          <w:rFonts w:cstheme="minorHAnsi"/>
          <w:sz w:val="18"/>
          <w:szCs w:val="18"/>
          <w:lang w:val="en-GB"/>
        </w:rPr>
        <w:t>McCrindle</w:t>
      </w:r>
      <w:proofErr w:type="spellEnd"/>
      <w:r w:rsidRPr="00D14A94">
        <w:rPr>
          <w:rFonts w:cstheme="minorHAnsi"/>
          <w:sz w:val="18"/>
          <w:szCs w:val="18"/>
          <w:lang w:val="en-GB"/>
        </w:rPr>
        <w:t xml:space="preserve"> </w:t>
      </w:r>
      <w:r w:rsidR="00652E0F" w:rsidRPr="00D14A94">
        <w:rPr>
          <w:rFonts w:cstheme="minorHAnsi"/>
          <w:sz w:val="18"/>
          <w:szCs w:val="18"/>
          <w:lang w:val="en-GB"/>
        </w:rPr>
        <w:t xml:space="preserve">Report </w:t>
      </w:r>
      <w:r w:rsidRPr="00D14A94">
        <w:rPr>
          <w:rFonts w:cstheme="minorHAnsi"/>
          <w:sz w:val="18"/>
          <w:szCs w:val="18"/>
          <w:lang w:val="en-GB"/>
        </w:rPr>
        <w:t>2021</w:t>
      </w:r>
    </w:p>
  </w:footnote>
  <w:footnote w:id="64">
    <w:p w14:paraId="64D41B01" w14:textId="4AFA0D89" w:rsidR="001B366C" w:rsidRPr="00404CBB" w:rsidRDefault="001B366C" w:rsidP="00404CBB">
      <w:pPr>
        <w:pStyle w:val="FootnoteText"/>
        <w:ind w:left="142" w:hanging="142"/>
        <w:rPr>
          <w:sz w:val="18"/>
          <w:szCs w:val="18"/>
          <w:lang w:val="en-GB"/>
        </w:rPr>
      </w:pPr>
      <w:r w:rsidRPr="00404CBB">
        <w:rPr>
          <w:rStyle w:val="FootnoteReference"/>
          <w:sz w:val="18"/>
          <w:szCs w:val="18"/>
        </w:rPr>
        <w:footnoteRef/>
      </w:r>
      <w:r w:rsidRPr="00404CBB">
        <w:rPr>
          <w:sz w:val="18"/>
          <w:szCs w:val="18"/>
        </w:rPr>
        <w:t xml:space="preserve"> </w:t>
      </w:r>
      <w:r w:rsidRPr="00404CBB">
        <w:rPr>
          <w:sz w:val="18"/>
          <w:szCs w:val="18"/>
          <w:lang w:val="en-GB"/>
        </w:rPr>
        <w:t>More Strategic 2013 analysis of 32%, UK data indicates 18%</w:t>
      </w:r>
    </w:p>
  </w:footnote>
  <w:footnote w:id="65">
    <w:p w14:paraId="5C42F44E" w14:textId="77777777" w:rsidR="00603B39" w:rsidRPr="00404CBB" w:rsidRDefault="00603B39" w:rsidP="00404CBB">
      <w:pPr>
        <w:pStyle w:val="FootnoteText"/>
        <w:ind w:left="142" w:hanging="141"/>
        <w:rPr>
          <w:sz w:val="18"/>
          <w:szCs w:val="18"/>
          <w:lang w:val="en-GB"/>
        </w:rPr>
      </w:pPr>
      <w:r w:rsidRPr="0047333F">
        <w:rPr>
          <w:rStyle w:val="FootnoteReference"/>
          <w:sz w:val="18"/>
          <w:szCs w:val="18"/>
        </w:rPr>
        <w:footnoteRef/>
      </w:r>
      <w:r w:rsidRPr="0047333F">
        <w:rPr>
          <w:sz w:val="18"/>
          <w:szCs w:val="18"/>
        </w:rPr>
        <w:t xml:space="preserve"> </w:t>
      </w:r>
      <w:r w:rsidRPr="00404CBB">
        <w:rPr>
          <w:sz w:val="18"/>
          <w:szCs w:val="18"/>
          <w:lang w:val="en-GB"/>
        </w:rPr>
        <w:t xml:space="preserve">Workplace Giving Analysis of </w:t>
      </w:r>
      <w:proofErr w:type="spellStart"/>
      <w:r w:rsidRPr="00404CBB">
        <w:rPr>
          <w:sz w:val="18"/>
          <w:szCs w:val="18"/>
          <w:lang w:val="en-GB"/>
        </w:rPr>
        <w:t>Good2Give</w:t>
      </w:r>
      <w:proofErr w:type="spellEnd"/>
      <w:r w:rsidRPr="00404CBB">
        <w:rPr>
          <w:sz w:val="18"/>
          <w:szCs w:val="18"/>
          <w:lang w:val="en-GB"/>
        </w:rPr>
        <w:t xml:space="preserve"> data set over 5 years.</w:t>
      </w:r>
    </w:p>
  </w:footnote>
  <w:footnote w:id="66">
    <w:p w14:paraId="7F59F6BC" w14:textId="12A69053" w:rsidR="721DB9EC" w:rsidRDefault="721DB9EC" w:rsidP="004D7A68">
      <w:pPr>
        <w:pStyle w:val="FootnoteText"/>
        <w:ind w:left="142" w:hanging="142"/>
      </w:pPr>
      <w:r w:rsidRPr="00404CBB">
        <w:rPr>
          <w:rStyle w:val="FootnoteReference"/>
          <w:sz w:val="18"/>
          <w:szCs w:val="18"/>
        </w:rPr>
        <w:footnoteRef/>
      </w:r>
      <w:r w:rsidRPr="00404CBB">
        <w:rPr>
          <w:sz w:val="18"/>
          <w:szCs w:val="18"/>
        </w:rPr>
        <w:t xml:space="preserve"> DFAT website</w:t>
      </w:r>
    </w:p>
  </w:footnote>
  <w:footnote w:id="67">
    <w:p w14:paraId="02D0F47D" w14:textId="10C18134" w:rsidR="00495C6E" w:rsidRPr="00404CBB" w:rsidRDefault="00495C6E" w:rsidP="00404CBB">
      <w:pPr>
        <w:pStyle w:val="FootnoteText"/>
        <w:ind w:left="142" w:hanging="142"/>
        <w:rPr>
          <w:sz w:val="18"/>
          <w:szCs w:val="18"/>
          <w:lang w:val="en-GB"/>
        </w:rPr>
      </w:pPr>
      <w:r w:rsidRPr="0026377A">
        <w:rPr>
          <w:rStyle w:val="FootnoteReference"/>
          <w:sz w:val="18"/>
          <w:szCs w:val="18"/>
        </w:rPr>
        <w:footnoteRef/>
      </w:r>
      <w:r w:rsidRPr="0026377A">
        <w:rPr>
          <w:sz w:val="18"/>
          <w:szCs w:val="18"/>
        </w:rPr>
        <w:t xml:space="preserve"> </w:t>
      </w:r>
      <w:r w:rsidRPr="00404CBB">
        <w:rPr>
          <w:sz w:val="18"/>
          <w:szCs w:val="18"/>
          <w:lang w:val="en-GB"/>
        </w:rPr>
        <w:t>There is exception provided for where the item was purchased within 12 months of the donation</w:t>
      </w:r>
      <w:r w:rsidR="00243FDF" w:rsidRPr="00404CBB">
        <w:rPr>
          <w:sz w:val="18"/>
          <w:szCs w:val="18"/>
          <w:lang w:val="en-GB"/>
        </w:rPr>
        <w:t xml:space="preserve"> such that it may be deductible.</w:t>
      </w:r>
    </w:p>
  </w:footnote>
  <w:footnote w:id="68">
    <w:p w14:paraId="5CEF3E45" w14:textId="1AF9BDB5" w:rsidR="00493ECA" w:rsidRPr="00404CBB" w:rsidRDefault="00493ECA" w:rsidP="00404CBB">
      <w:pPr>
        <w:pStyle w:val="FootnoteText"/>
        <w:ind w:left="142" w:hanging="142"/>
        <w:rPr>
          <w:sz w:val="18"/>
          <w:szCs w:val="18"/>
          <w:lang w:val="en-GB"/>
        </w:rPr>
      </w:pPr>
      <w:r w:rsidRPr="00404CBB">
        <w:rPr>
          <w:rStyle w:val="FootnoteReference"/>
          <w:sz w:val="18"/>
          <w:szCs w:val="18"/>
        </w:rPr>
        <w:footnoteRef/>
      </w:r>
      <w:r w:rsidRPr="00404CBB">
        <w:rPr>
          <w:sz w:val="18"/>
          <w:szCs w:val="18"/>
        </w:rPr>
        <w:t xml:space="preserve"> </w:t>
      </w:r>
      <w:r w:rsidRPr="00404CBB">
        <w:rPr>
          <w:sz w:val="18"/>
          <w:szCs w:val="18"/>
          <w:lang w:val="en-GB"/>
        </w:rPr>
        <w:t>Also applies to capital losses</w:t>
      </w:r>
    </w:p>
  </w:footnote>
  <w:footnote w:id="69">
    <w:p w14:paraId="5D189E3B" w14:textId="231891B6" w:rsidR="00E542E9" w:rsidRPr="00404CBB" w:rsidRDefault="00E542E9" w:rsidP="00404CBB">
      <w:pPr>
        <w:pStyle w:val="FootnoteText"/>
        <w:ind w:left="142" w:hanging="141"/>
        <w:rPr>
          <w:sz w:val="18"/>
          <w:szCs w:val="18"/>
          <w:lang w:val="en-GB"/>
        </w:rPr>
      </w:pPr>
      <w:r w:rsidRPr="00404CBB">
        <w:rPr>
          <w:rStyle w:val="FootnoteReference"/>
          <w:sz w:val="18"/>
          <w:szCs w:val="18"/>
        </w:rPr>
        <w:footnoteRef/>
      </w:r>
      <w:r w:rsidRPr="00404CBB">
        <w:rPr>
          <w:sz w:val="18"/>
          <w:szCs w:val="18"/>
        </w:rPr>
        <w:t xml:space="preserve"> </w:t>
      </w:r>
      <w:r w:rsidRPr="00404CBB">
        <w:rPr>
          <w:sz w:val="18"/>
          <w:szCs w:val="18"/>
          <w:lang w:val="en-GB"/>
        </w:rPr>
        <w:t>Noting the threshold of $5,000</w:t>
      </w:r>
      <w:r w:rsidR="00611634" w:rsidRPr="00404CBB">
        <w:rPr>
          <w:sz w:val="18"/>
          <w:szCs w:val="18"/>
          <w:lang w:val="en-GB"/>
        </w:rPr>
        <w:t xml:space="preserve"> - </w:t>
      </w:r>
    </w:p>
  </w:footnote>
  <w:footnote w:id="70">
    <w:p w14:paraId="4ACD1F9F" w14:textId="77777777" w:rsidR="00491074" w:rsidRPr="00E542E9" w:rsidRDefault="00491074" w:rsidP="00404CBB">
      <w:pPr>
        <w:pStyle w:val="FootnoteText"/>
        <w:ind w:left="142" w:hanging="142"/>
        <w:rPr>
          <w:sz w:val="18"/>
          <w:szCs w:val="18"/>
          <w:lang w:val="en-GB"/>
        </w:rPr>
      </w:pPr>
      <w:r w:rsidRPr="00404CBB">
        <w:rPr>
          <w:rStyle w:val="FootnoteReference"/>
          <w:sz w:val="18"/>
          <w:szCs w:val="18"/>
        </w:rPr>
        <w:footnoteRef/>
      </w:r>
      <w:r w:rsidRPr="00404CBB">
        <w:rPr>
          <w:sz w:val="18"/>
          <w:szCs w:val="18"/>
        </w:rPr>
        <w:t xml:space="preserve"> </w:t>
      </w:r>
      <w:r w:rsidRPr="00404CBB">
        <w:rPr>
          <w:sz w:val="18"/>
          <w:szCs w:val="18"/>
          <w:lang w:val="en-GB"/>
        </w:rPr>
        <w:t xml:space="preserve">Both </w:t>
      </w:r>
      <w:proofErr w:type="spellStart"/>
      <w:r w:rsidRPr="00404CBB">
        <w:rPr>
          <w:sz w:val="18"/>
          <w:szCs w:val="18"/>
          <w:lang w:val="en-GB"/>
        </w:rPr>
        <w:t>ShareGift</w:t>
      </w:r>
      <w:proofErr w:type="spellEnd"/>
      <w:r w:rsidRPr="00404CBB">
        <w:rPr>
          <w:sz w:val="18"/>
          <w:szCs w:val="18"/>
          <w:lang w:val="en-GB"/>
        </w:rPr>
        <w:t xml:space="preserve"> UK and </w:t>
      </w:r>
      <w:proofErr w:type="spellStart"/>
      <w:r w:rsidRPr="00404CBB">
        <w:rPr>
          <w:sz w:val="18"/>
          <w:szCs w:val="18"/>
          <w:lang w:val="en-GB"/>
        </w:rPr>
        <w:t>ShareGift</w:t>
      </w:r>
      <w:proofErr w:type="spellEnd"/>
      <w:r w:rsidRPr="00404CBB">
        <w:rPr>
          <w:sz w:val="18"/>
          <w:szCs w:val="18"/>
          <w:lang w:val="en-GB"/>
        </w:rPr>
        <w:t xml:space="preserve"> Australia accept shares from donors which are then realised via pro bono broker services. The majority of the gifting in Australia is for non-marketable bundles with a mean value of less than </w:t>
      </w:r>
      <w:r w:rsidRPr="00404CBB">
        <w:rPr>
          <w:sz w:val="18"/>
          <w:szCs w:val="18"/>
          <w:highlight w:val="yellow"/>
          <w:lang w:val="en-GB"/>
        </w:rPr>
        <w:t>$</w:t>
      </w:r>
      <w:r w:rsidRPr="00404CBB">
        <w:rPr>
          <w:sz w:val="18"/>
          <w:szCs w:val="18"/>
          <w:lang w:val="en-GB"/>
        </w:rPr>
        <w:t>500 as these would otherwise be unable to</w:t>
      </w:r>
      <w:r w:rsidRPr="00E542E9">
        <w:rPr>
          <w:sz w:val="18"/>
          <w:szCs w:val="18"/>
          <w:lang w:val="en-GB"/>
        </w:rPr>
        <w:t xml:space="preserve"> be economically disposed of by the holder.</w:t>
      </w:r>
    </w:p>
  </w:footnote>
  <w:footnote w:id="71">
    <w:p w14:paraId="45B16731" w14:textId="77777777" w:rsidR="00ED05D2" w:rsidRPr="00A7257A" w:rsidRDefault="00ED05D2" w:rsidP="00404CBB">
      <w:pPr>
        <w:pStyle w:val="FootnoteText"/>
        <w:ind w:left="142" w:hanging="141"/>
        <w:rPr>
          <w:sz w:val="18"/>
          <w:szCs w:val="18"/>
          <w:lang w:val="en-GB"/>
        </w:rPr>
      </w:pPr>
      <w:r>
        <w:rPr>
          <w:rStyle w:val="FootnoteReference"/>
        </w:rPr>
        <w:footnoteRef/>
      </w:r>
      <w:r>
        <w:t xml:space="preserve"> </w:t>
      </w:r>
      <w:proofErr w:type="spellStart"/>
      <w:r w:rsidRPr="00A7257A">
        <w:rPr>
          <w:sz w:val="18"/>
          <w:szCs w:val="18"/>
          <w:lang w:val="en-GB"/>
        </w:rPr>
        <w:t>Bcorporation</w:t>
      </w:r>
      <w:proofErr w:type="spellEnd"/>
      <w:r w:rsidRPr="00A7257A">
        <w:rPr>
          <w:sz w:val="18"/>
          <w:szCs w:val="18"/>
          <w:lang w:val="en-GB"/>
        </w:rPr>
        <w:t xml:space="preserve"> website: </w:t>
      </w:r>
      <w:hyperlink r:id="rId5" w:anchor=":~:text=Requirements%20to%20become%20a%20B%20Corp&amp;text=Complete%20the%20B%20Impact%20Assessment,3%20years%20to%20maintain%20certification" w:history="1">
        <w:r w:rsidRPr="00A7257A">
          <w:rPr>
            <w:rStyle w:val="Hyperlink"/>
            <w:sz w:val="18"/>
            <w:szCs w:val="18"/>
            <w:lang w:val="en-GB"/>
          </w:rPr>
          <w:t>https://bcorporation.com.au/become-bcorp/guide/eligibility/#:~:text=Requirements%20to%20become%20a%20B%20Corp&amp;text=Complete%20the%20B%20Impact%20Assessment,3%20years%20to%20maintain%20certification</w:t>
        </w:r>
      </w:hyperlink>
      <w:r w:rsidRPr="00A7257A">
        <w:rPr>
          <w:sz w:val="18"/>
          <w:szCs w:val="18"/>
          <w:lang w:val="en-GB"/>
        </w:rPr>
        <w:t>.</w:t>
      </w:r>
    </w:p>
  </w:footnote>
  <w:footnote w:id="72">
    <w:p w14:paraId="41D09273" w14:textId="77777777" w:rsidR="00ED05D2" w:rsidRPr="00C65EE2" w:rsidRDefault="00ED05D2" w:rsidP="00404CBB">
      <w:pPr>
        <w:pStyle w:val="FootnoteText"/>
        <w:ind w:left="142" w:hanging="141"/>
      </w:pPr>
      <w:r w:rsidRPr="00A7257A">
        <w:rPr>
          <w:rStyle w:val="FootnoteReference"/>
          <w:sz w:val="18"/>
          <w:szCs w:val="18"/>
        </w:rPr>
        <w:footnoteRef/>
      </w:r>
      <w:r w:rsidRPr="00A7257A">
        <w:rPr>
          <w:sz w:val="18"/>
          <w:szCs w:val="18"/>
        </w:rPr>
        <w:t xml:space="preserve"> See example of confusion: </w:t>
      </w:r>
      <w:hyperlink r:id="rId6" w:history="1">
        <w:r w:rsidRPr="00A7257A">
          <w:rPr>
            <w:rStyle w:val="Hyperlink"/>
            <w:sz w:val="18"/>
            <w:szCs w:val="18"/>
          </w:rPr>
          <w:t>https://www.vogue.com.au/vogue-codes/news/b-corp-brands-australia/image-gallery/449b4f7994801143fb7086a1218306db</w:t>
        </w:r>
      </w:hyperlink>
    </w:p>
  </w:footnote>
  <w:footnote w:id="73">
    <w:p w14:paraId="30B2C598" w14:textId="77777777" w:rsidR="00640308" w:rsidRPr="001B2399" w:rsidRDefault="00640308" w:rsidP="00640308">
      <w:pPr>
        <w:pStyle w:val="FootnoteText"/>
        <w:rPr>
          <w:lang w:val="en-GB"/>
        </w:rPr>
      </w:pPr>
      <w:r>
        <w:rPr>
          <w:rStyle w:val="FootnoteReference"/>
        </w:rPr>
        <w:footnoteRef/>
      </w:r>
      <w:r>
        <w:t xml:space="preserve"> </w:t>
      </w:r>
      <w:r w:rsidRPr="001B2399">
        <w:rPr>
          <w:sz w:val="18"/>
          <w:szCs w:val="18"/>
        </w:rPr>
        <w:t>https://</w:t>
      </w:r>
      <w:proofErr w:type="spellStart"/>
      <w:r w:rsidRPr="001B2399">
        <w:rPr>
          <w:sz w:val="18"/>
          <w:szCs w:val="18"/>
        </w:rPr>
        <w:t>b4si.net</w:t>
      </w:r>
      <w:proofErr w:type="spellEnd"/>
      <w:r w:rsidRPr="001B2399">
        <w:rPr>
          <w:sz w:val="18"/>
          <w:szCs w:val="18"/>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11D0A" w14:textId="51DD34D3" w:rsidR="00275CA9" w:rsidRDefault="005B737C">
    <w:pPr>
      <w:pStyle w:val="Header"/>
    </w:pPr>
    <w:r w:rsidRPr="00C84521">
      <w:rPr>
        <w:noProof/>
      </w:rPr>
      <w:drawing>
        <wp:anchor distT="0" distB="0" distL="114300" distR="114300" simplePos="0" relativeHeight="251658242" behindDoc="0" locked="0" layoutInCell="1" allowOverlap="1" wp14:anchorId="4E65E8D0" wp14:editId="1BE821B7">
          <wp:simplePos x="0" y="0"/>
          <wp:positionH relativeFrom="column">
            <wp:posOffset>4846320</wp:posOffset>
          </wp:positionH>
          <wp:positionV relativeFrom="paragraph">
            <wp:posOffset>-30480</wp:posOffset>
          </wp:positionV>
          <wp:extent cx="1203960" cy="374650"/>
          <wp:effectExtent l="0" t="0" r="0" b="6350"/>
          <wp:wrapTopAndBottom/>
          <wp:docPr id="1254036706" name="Picture 125403670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036706"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3960" cy="374650"/>
                  </a:xfrm>
                  <a:prstGeom prst="rect">
                    <a:avLst/>
                  </a:prstGeom>
                </pic:spPr>
              </pic:pic>
            </a:graphicData>
          </a:graphic>
          <wp14:sizeRelH relativeFrom="margin">
            <wp14:pctWidth>0</wp14:pctWidth>
          </wp14:sizeRelH>
          <wp14:sizeRelV relativeFrom="margin">
            <wp14:pctHeight>0</wp14:pctHeight>
          </wp14:sizeRelV>
        </wp:anchor>
      </w:drawing>
    </w:r>
    <w:r w:rsidRPr="00275CA9">
      <w:rPr>
        <w:noProof/>
      </w:rPr>
      <w:drawing>
        <wp:anchor distT="0" distB="0" distL="114300" distR="114300" simplePos="0" relativeHeight="251658241" behindDoc="0" locked="0" layoutInCell="1" allowOverlap="1" wp14:anchorId="65FF8F86" wp14:editId="1AFBCC6D">
          <wp:simplePos x="0" y="0"/>
          <wp:positionH relativeFrom="column">
            <wp:posOffset>2251710</wp:posOffset>
          </wp:positionH>
          <wp:positionV relativeFrom="paragraph">
            <wp:posOffset>-55880</wp:posOffset>
          </wp:positionV>
          <wp:extent cx="1189355" cy="425450"/>
          <wp:effectExtent l="0" t="0" r="0" b="0"/>
          <wp:wrapTopAndBottom/>
          <wp:docPr id="995699092" name="Picture 995699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699092" name=""/>
                  <pic:cNvPicPr/>
                </pic:nvPicPr>
                <pic:blipFill>
                  <a:blip r:embed="rId2">
                    <a:extLst>
                      <a:ext uri="{28A0092B-C50C-407E-A947-70E740481C1C}">
                        <a14:useLocalDpi xmlns:a14="http://schemas.microsoft.com/office/drawing/2010/main" val="0"/>
                      </a:ext>
                    </a:extLst>
                  </a:blip>
                  <a:stretch>
                    <a:fillRect/>
                  </a:stretch>
                </pic:blipFill>
                <pic:spPr>
                  <a:xfrm>
                    <a:off x="0" y="0"/>
                    <a:ext cx="1189355" cy="425450"/>
                  </a:xfrm>
                  <a:prstGeom prst="rect">
                    <a:avLst/>
                  </a:prstGeom>
                </pic:spPr>
              </pic:pic>
            </a:graphicData>
          </a:graphic>
          <wp14:sizeRelH relativeFrom="margin">
            <wp14:pctWidth>0</wp14:pctWidth>
          </wp14:sizeRelH>
          <wp14:sizeRelV relativeFrom="margin">
            <wp14:pctHeight>0</wp14:pctHeight>
          </wp14:sizeRelV>
        </wp:anchor>
      </w:drawing>
    </w:r>
    <w:r w:rsidRPr="002B2CD4">
      <w:rPr>
        <w:noProof/>
      </w:rPr>
      <w:drawing>
        <wp:anchor distT="0" distB="0" distL="114300" distR="114300" simplePos="0" relativeHeight="251658243" behindDoc="0" locked="0" layoutInCell="1" allowOverlap="1" wp14:anchorId="6C35DED3" wp14:editId="113BD370">
          <wp:simplePos x="0" y="0"/>
          <wp:positionH relativeFrom="column">
            <wp:posOffset>-444500</wp:posOffset>
          </wp:positionH>
          <wp:positionV relativeFrom="paragraph">
            <wp:posOffset>-99695</wp:posOffset>
          </wp:positionV>
          <wp:extent cx="1168400" cy="493395"/>
          <wp:effectExtent l="0" t="0" r="0" b="1905"/>
          <wp:wrapTopAndBottom/>
          <wp:docPr id="771613759" name="Picture 77161375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72586" name="Picture 1" descr="Logo, company nam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168400" cy="49339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t7hpmF54d4eNaN" int2:id="0V5wPJeH">
      <int2:state int2:value="Rejected" int2:type="AugLoop_Text_Critique"/>
    </int2:textHash>
    <int2:textHash int2:hashCode="K5k3SIcfUZsfuT" int2:id="Q8qoHVju">
      <int2:state int2:value="Rejected" int2:type="AugLoop_Text_Critique"/>
    </int2:textHash>
    <int2:textHash int2:hashCode="H6AHIjJt3EvSl/" int2:id="smfGYSWj">
      <int2:state int2:value="Rejected" int2:type="AugLoop_Text_Critique"/>
    </int2:textHash>
    <int2:textHash int2:hashCode="B4Qj+lV2C6B9kb" int2:id="z3dM6bQi">
      <int2:state int2:value="Rejected" int2:type="AugLoop_Text_Critique"/>
    </int2:textHash>
    <int2:bookmark int2:bookmarkName="_Int_qDHNR6KW" int2:invalidationBookmarkName="" int2:hashCode="zEeWEsxhSx2dRy" int2:id="0LwGPJMH">
      <int2:state int2:value="Rejected" int2:type="AugLoop_Text_Critique"/>
    </int2:bookmark>
    <int2:bookmark int2:bookmarkName="_Int_NkNaCYp8" int2:invalidationBookmarkName="" int2:hashCode="bFDiM1336R1eqx" int2:id="1M5zYFMH">
      <int2:state int2:value="Rejected" int2:type="AugLoop_Text_Critique"/>
    </int2:bookmark>
    <int2:bookmark int2:bookmarkName="_Int_qLKcbSJl" int2:invalidationBookmarkName="" int2:hashCode="swyFe70cQ/NeuA" int2:id="2u8cJ2R6">
      <int2:state int2:value="Rejected" int2:type="AugLoop_Text_Critique"/>
    </int2:bookmark>
    <int2:bookmark int2:bookmarkName="_Int_e9Oy9ukx" int2:invalidationBookmarkName="" int2:hashCode="jNYiF99ulYMCWM" int2:id="3523VIPU">
      <int2:state int2:value="Rejected" int2:type="AugLoop_Text_Critique"/>
    </int2:bookmark>
    <int2:bookmark int2:bookmarkName="_Int_QQkFNMMW" int2:invalidationBookmarkName="" int2:hashCode="heBSgsC5vRoUv4" int2:id="36dAj3xA">
      <int2:state int2:value="Rejected" int2:type="AugLoop_Text_Critique"/>
    </int2:bookmark>
    <int2:bookmark int2:bookmarkName="_Int_jHo24hVr" int2:invalidationBookmarkName="" int2:hashCode="kYq678vB/clRm7" int2:id="50r5fFsq">
      <int2:state int2:value="Rejected" int2:type="AugLoop_Text_Critique"/>
    </int2:bookmark>
    <int2:bookmark int2:bookmarkName="_Int_ZUUZ9V3K" int2:invalidationBookmarkName="" int2:hashCode="q6myO24NUWxCiP" int2:id="568kZpYb">
      <int2:state int2:value="Rejected" int2:type="AugLoop_Text_Critique"/>
    </int2:bookmark>
    <int2:bookmark int2:bookmarkName="_Int_uROArUzk" int2:invalidationBookmarkName="" int2:hashCode="+hy8M85sF9u9T4" int2:id="B22mGtt6">
      <int2:state int2:value="Rejected" int2:type="AugLoop_Text_Critique"/>
    </int2:bookmark>
    <int2:bookmark int2:bookmarkName="_Int_g7RhWJBO" int2:invalidationBookmarkName="" int2:hashCode="YDpGiBYUMLRQ4x" int2:id="DmE30llU">
      <int2:state int2:value="Rejected" int2:type="AugLoop_Text_Critique"/>
    </int2:bookmark>
    <int2:bookmark int2:bookmarkName="_Int_oKEbjApB" int2:invalidationBookmarkName="" int2:hashCode="/+wF12LfzIc3vF" int2:id="EKBbwkDJ">
      <int2:state int2:value="Rejected" int2:type="AugLoop_Text_Critique"/>
    </int2:bookmark>
    <int2:bookmark int2:bookmarkName="_Int_G4WnONwA" int2:invalidationBookmarkName="" int2:hashCode="CJyBlHmcUbGYDr" int2:id="EaTYiDM1">
      <int2:state int2:value="Rejected" int2:type="AugLoop_Text_Critique"/>
    </int2:bookmark>
    <int2:bookmark int2:bookmarkName="_Int_4caPdJeS" int2:invalidationBookmarkName="" int2:hashCode="NJJfaUHW72a0H3" int2:id="Efv1WKHB">
      <int2:state int2:value="Rejected" int2:type="AugLoop_Text_Critique"/>
    </int2:bookmark>
    <int2:bookmark int2:bookmarkName="_Int_QXxjqhqe" int2:invalidationBookmarkName="" int2:hashCode="6Arm9WLze/xivf" int2:id="FCjuERbX">
      <int2:state int2:value="Rejected" int2:type="AugLoop_Text_Critique"/>
    </int2:bookmark>
    <int2:bookmark int2:bookmarkName="_Int_Nyi3ek3i" int2:invalidationBookmarkName="" int2:hashCode="AHoq+X5BY69TMm" int2:id="Fto5hcAi">
      <int2:state int2:value="Rejected" int2:type="AugLoop_Text_Critique"/>
    </int2:bookmark>
    <int2:bookmark int2:bookmarkName="_Int_CPMf6Bd6" int2:invalidationBookmarkName="" int2:hashCode="yM4R13psmptbBE" int2:id="GIG5zx7X">
      <int2:state int2:value="Rejected" int2:type="AugLoop_Text_Critique"/>
    </int2:bookmark>
    <int2:bookmark int2:bookmarkName="_Int_zQlThaj6" int2:invalidationBookmarkName="" int2:hashCode="Zar7xoOk1BXLZD" int2:id="GzUbzELO">
      <int2:state int2:value="Rejected" int2:type="AugLoop_Text_Critique"/>
    </int2:bookmark>
    <int2:bookmark int2:bookmarkName="_Int_7QzZIy7e" int2:invalidationBookmarkName="" int2:hashCode="+hy8M85sF9u9T4" int2:id="JDxAw3u8">
      <int2:state int2:value="Rejected" int2:type="AugLoop_Text_Critique"/>
    </int2:bookmark>
    <int2:bookmark int2:bookmarkName="_Int_kdeLCBeJ" int2:invalidationBookmarkName="" int2:hashCode="NCNJ91RJFIRWYb" int2:id="LGuD0ZDu">
      <int2:state int2:value="Rejected" int2:type="AugLoop_Text_Critique"/>
    </int2:bookmark>
    <int2:bookmark int2:bookmarkName="_Int_WG39N1pg" int2:invalidationBookmarkName="" int2:hashCode="NCNJ91RJFIRWYb" int2:id="M4FGDUz0">
      <int2:state int2:value="Rejected" int2:type="AugLoop_Text_Critique"/>
    </int2:bookmark>
    <int2:bookmark int2:bookmarkName="_Int_oTO0cRjS" int2:invalidationBookmarkName="" int2:hashCode="3nPqwMMFA48EN7" int2:id="MDrXq4ja">
      <int2:state int2:value="Rejected" int2:type="AugLoop_Text_Critique"/>
    </int2:bookmark>
    <int2:bookmark int2:bookmarkName="_Int_4tnSy7KM" int2:invalidationBookmarkName="" int2:hashCode="UQ+rAHiX9Q8Tfs" int2:id="NvAHkdOa">
      <int2:state int2:value="Rejected" int2:type="AugLoop_Text_Critique"/>
    </int2:bookmark>
    <int2:bookmark int2:bookmarkName="_Int_lhQykw5F" int2:invalidationBookmarkName="" int2:hashCode="JeU95lrbEGNKWb" int2:id="OAsid8U6">
      <int2:state int2:value="Rejected" int2:type="AugLoop_Text_Critique"/>
    </int2:bookmark>
    <int2:bookmark int2:bookmarkName="_Int_D83XbW9U" int2:invalidationBookmarkName="" int2:hashCode="mwMS1DNURSEAPE" int2:id="R2qe1pWj">
      <int2:state int2:value="Rejected" int2:type="AugLoop_Text_Critique"/>
    </int2:bookmark>
    <int2:bookmark int2:bookmarkName="_Int_4cmLYFxQ" int2:invalidationBookmarkName="" int2:hashCode="gX/iiH+Bv9Qbqu" int2:id="RsoQ3S7g">
      <int2:state int2:value="Rejected" int2:type="AugLoop_Text_Critique"/>
    </int2:bookmark>
    <int2:bookmark int2:bookmarkName="_Int_XYsNO8ml" int2:invalidationBookmarkName="" int2:hashCode="VRd/LyDcPFdCnc" int2:id="TRbo3SwK">
      <int2:state int2:value="Rejected" int2:type="AugLoop_Text_Critique"/>
    </int2:bookmark>
    <int2:bookmark int2:bookmarkName="_Int_cUqf3iAP" int2:invalidationBookmarkName="" int2:hashCode="+hy8M85sF9u9T4" int2:id="UakIvDF2">
      <int2:state int2:value="Rejected" int2:type="AugLoop_Text_Critique"/>
    </int2:bookmark>
    <int2:bookmark int2:bookmarkName="_Int_Sihl8cVM" int2:invalidationBookmarkName="" int2:hashCode="YJQdiU7GgrBTj6" int2:id="V52cnR7U">
      <int2:state int2:value="Rejected" int2:type="AugLoop_Text_Critique"/>
    </int2:bookmark>
    <int2:bookmark int2:bookmarkName="_Int_auxsT5yZ" int2:invalidationBookmarkName="" int2:hashCode="e0dMsLOcF3PXGS" int2:id="VbRzezvf">
      <int2:state int2:value="Rejected" int2:type="AugLoop_Text_Critique"/>
    </int2:bookmark>
    <int2:bookmark int2:bookmarkName="_Int_6FMFFtuv" int2:invalidationBookmarkName="" int2:hashCode="ZD4DPyxyvbq3AT" int2:id="WvoQxBu4">
      <int2:state int2:value="Rejected" int2:type="AugLoop_Text_Critique"/>
    </int2:bookmark>
    <int2:bookmark int2:bookmarkName="_Int_3IfeMM1u" int2:invalidationBookmarkName="" int2:hashCode="Zar7xoOk1BXLZD" int2:id="YDReAOhb">
      <int2:state int2:value="Rejected" int2:type="AugLoop_Text_Critique"/>
    </int2:bookmark>
    <int2:bookmark int2:bookmarkName="_Int_57KLsUZd" int2:invalidationBookmarkName="" int2:hashCode="v/BHRMdbGqeti9" int2:id="Yi6Zard9">
      <int2:state int2:value="Rejected" int2:type="AugLoop_Text_Critique"/>
    </int2:bookmark>
    <int2:bookmark int2:bookmarkName="_Int_vhSakZtZ" int2:invalidationBookmarkName="" int2:hashCode="wyKvbyKV28RB9W" int2:id="YssdHImM">
      <int2:state int2:value="Rejected" int2:type="AugLoop_Text_Critique"/>
    </int2:bookmark>
    <int2:bookmark int2:bookmarkName="_Int_64IvCAgF" int2:invalidationBookmarkName="" int2:hashCode="5bbKpge84ChWU3" int2:id="aAppG6wk">
      <int2:state int2:value="Rejected" int2:type="AugLoop_Text_Critique"/>
    </int2:bookmark>
    <int2:bookmark int2:bookmarkName="_Int_pnVoOBuf" int2:invalidationBookmarkName="" int2:hashCode="nTGYX9qHsm1lVL" int2:id="bzAoFFjv">
      <int2:state int2:value="Rejected" int2:type="AugLoop_Text_Critique"/>
    </int2:bookmark>
    <int2:bookmark int2:bookmarkName="_Int_U1da6uLH" int2:invalidationBookmarkName="" int2:hashCode="wCgj9rKdcuGrsF" int2:id="fi2O7fYT">
      <int2:state int2:value="Rejected" int2:type="AugLoop_Text_Critique"/>
    </int2:bookmark>
    <int2:bookmark int2:bookmarkName="_Int_9j0piavF" int2:invalidationBookmarkName="" int2:hashCode="VRd/LyDcPFdCnc" int2:id="fwUPtLPq">
      <int2:state int2:value="Rejected" int2:type="AugLoop_Text_Critique"/>
    </int2:bookmark>
    <int2:bookmark int2:bookmarkName="_Int_wosLzD4c" int2:invalidationBookmarkName="" int2:hashCode="H8o8mPEH4yzJN+" int2:id="hwwl3q00">
      <int2:state int2:value="Rejected" int2:type="AugLoop_Text_Critique"/>
    </int2:bookmark>
    <int2:bookmark int2:bookmarkName="_Int_8tnq0Xk3" int2:invalidationBookmarkName="" int2:hashCode="tu86zQ+RwMbipr" int2:id="hyTkUmOb">
      <int2:state int2:value="Rejected" int2:type="AugLoop_Text_Critique"/>
    </int2:bookmark>
    <int2:bookmark int2:bookmarkName="_Int_Uuev8SeQ" int2:invalidationBookmarkName="" int2:hashCode="hqv/nmmMkH8cjn" int2:id="iAiE3l7D">
      <int2:state int2:value="Rejected" int2:type="AugLoop_Text_Critique"/>
    </int2:bookmark>
    <int2:bookmark int2:bookmarkName="_Int_q1u0Kcq3" int2:invalidationBookmarkName="" int2:hashCode="MjyNvbXjG/6iWZ" int2:id="it1X9AnW">
      <int2:state int2:value="Rejected" int2:type="AugLoop_Text_Critique"/>
    </int2:bookmark>
    <int2:bookmark int2:bookmarkName="_Int_QyEIsKvN" int2:invalidationBookmarkName="" int2:hashCode="HeDXR99lqhF0Kw" int2:id="j5kEJGVi">
      <int2:state int2:value="Reviewed" int2:type="AugLoop_Similarity_SimilarityAnnotation"/>
    </int2:bookmark>
    <int2:bookmark int2:bookmarkName="_Int_lY57bw54" int2:invalidationBookmarkName="" int2:hashCode="PZR7SpBkMgaX0E" int2:id="jUnMx20b">
      <int2:state int2:value="Rejected" int2:type="AugLoop_Text_Critique"/>
    </int2:bookmark>
    <int2:bookmark int2:bookmarkName="_Int_qK2Y27eC" int2:invalidationBookmarkName="" int2:hashCode="VRd/LyDcPFdCnc" int2:id="kkVPs17y">
      <int2:state int2:value="Rejected" int2:type="AugLoop_Text_Critique"/>
    </int2:bookmark>
    <int2:bookmark int2:bookmarkName="_Int_dcZSBk0n" int2:invalidationBookmarkName="" int2:hashCode="RhSMw7TSs6yAc/" int2:id="mXxXhR6g">
      <int2:state int2:value="Rejected" int2:type="AugLoop_Text_Critique"/>
    </int2:bookmark>
    <int2:bookmark int2:bookmarkName="_Int_mNt3G5l4" int2:invalidationBookmarkName="" int2:hashCode="UJb9E7JMBs4TVy" int2:id="pOrfReCP">
      <int2:state int2:value="Rejected" int2:type="AugLoop_Text_Critique"/>
    </int2:bookmark>
    <int2:bookmark int2:bookmarkName="_Int_2VbCJZLN" int2:invalidationBookmarkName="" int2:hashCode="tumbUVISbMeu8J" int2:id="r8Dylcme">
      <int2:state int2:value="Rejected" int2:type="AugLoop_Text_Critique"/>
    </int2:bookmark>
    <int2:bookmark int2:bookmarkName="_Int_YgshFztf" int2:invalidationBookmarkName="" int2:hashCode="AatYCOUyFbd6Gb" int2:id="tFNqhp2u">
      <int2:state int2:value="Rejected" int2:type="AugLoop_Text_Critique"/>
    </int2:bookmark>
    <int2:bookmark int2:bookmarkName="_Int_7YYYGtfj" int2:invalidationBookmarkName="" int2:hashCode="c4/R0kUvwxojbF" int2:id="uBx61eCh">
      <int2:state int2:value="Rejected" int2:type="AugLoop_Text_Critique"/>
    </int2:bookmark>
    <int2:bookmark int2:bookmarkName="_Int_m17SjOju" int2:invalidationBookmarkName="" int2:hashCode="FiNCzSReCiV7Qq" int2:id="xRUGMT3J">
      <int2:state int2:value="Rejected" int2:type="AugLoop_Text_Critique"/>
    </int2:bookmark>
    <int2:bookmark int2:bookmarkName="_Int_hh9E5rH2" int2:invalidationBookmarkName="" int2:hashCode="aJEbnAIbafiZ8P" int2:id="yPmEpP2c">
      <int2:state int2:value="Rejected" int2:type="AugLoop_Text_Critique"/>
    </int2:bookmark>
    <int2:entireDocument int2:id="0PdWhteU">
      <int2:extLst>
        <oel:ext uri="E302BA01-7950-474C-9AD3-286E660C40A8">
          <int2:similaritySummary int2:version="1" int2:runId="1682908667921" int2:tilesCheckedInThisRun="1" int2:totalNumOfTiles="336" int2:similarityAnnotationCount="1" int2:numWords="11268" int2:numFlaggedWords="20"/>
        </oel:ext>
      </int2:extLst>
    </int2:entireDocument>
  </int2:observations>
  <int2:intelligenceSettings/>
  <int2:onDemandWorkflows>
    <int2:onDemandWorkflow int2:type="SimilarityCheck" int2:paragraphVersions="2B5FA3E2-77777777 087FB7D5-77777777 6DE0392E-0AC1B5A4 68E09BFB-66B42987 49E80F7C-0A160272 641AA304-0B0FE81D 71B21607-018EC58A 796E56F5-283A2B59 66889D54-43A765B8 1B6FFBEC-3031ED40 4792E062-2F926B57 23BD7B19-62CE7F4F 3ECB991B-03DA5DCE 727AE428-3A391186 2AF85A0D-1B9337A5 306340E3-177FE85A 542096FA-0BE2BA46 5FCD6A13-4FD15F9A 69002D70-5EBAB081 3A98BAEC-57E78C5A 40D4B533-5D8C7BEC 60DD564B-411E878A 53833256-58E40527 156FB03A-2D843F1F 6662765C-2AA4C9C5 7FDF5337-77777777 20B4E5CA-77777777 2D023474-4880D81A 5A1A8CBA-7680246C 58AD3C5F-77777777 0267921F-77777777 5A5D4DD5-77777777 5C74A840-7497CEAA 7E73E198-07B6A4E0 2A4C2A78-46C8062A 59BCE3C5-17C7AAEF 7B849D3B-77777777 2990D027-77777777 338E3B6A-1D188DB5 728A23C7-77777777 388B7411-77777777 58F083DF-77777777 1DFFD7BB-77777777 7F440B98-78EDFBAE 30CADCED-0BDFA192 223ABC39-00F312D8 773232A5-027A3CEF 6071C42E-3C577A6E 419B8779-1F71729A 48FC2A36-18465944 3D785388-6135BB42 081F9728-023B74C0 71B8620E-2BA7F093 1609011D-7A24EE69 23FF3E7A-0DA9AEF2 2EDB7A42-2036FC35 1B496F03-4657A88E 6A6EB9A3-5F780AF6 2A600C91-21C6A4E8 3AF8843A-50D9B381 119266D4-38DA28AB 4513E263-77777777 4221D2DC-035F9803 49744BF6-53FB02F0 187FA080-3FECBE97 7F23DD18-3BA82D48 21BB8F27-399DD0DD 093A248B-7411582E 6DAE323F-77777777 01AB3902-77777777 643FA11E-2708D999 6781CE1D-05C1C261 0FA8C33D-77777777 6722E40F-61AF9B0D 605DE06F-0A216E00 5EA3118E-62E7F1E1 391173A3-28EECEB7 0149B496-68749853 5BFA8F00-77777777 2B2E8B50-77777777 1571E9B1-06EB140E 2484994A-77777777 4CF97BD2-0E448822 07D7C0CB-77777777 4771DA6F-77777777 3AF8052B-27B858E1 7872BDC6-77777777 2B7DCD0B-6D1908B8 724E5DD4-42B4C1DB 25881AC8-1E26265C 42CC3B17-77777777 0FB1D82F-77777777 5373D941-56AD7820 12F9CFA6-6E4F4590 26D39FA8-797D2050 7A520F4A-77777777 504DD8CB-77777777 73847ADC-56528872 7A89107F-5674E558 3367E3BF-77777777 67E2E760-77777777 0A337051-75E50F27 50C05980-77777777 242FEA4D-7013B321 514DC25B-1BA848F7 45B10E9B-77777777 370DD2ED-349E59BB 41C8A1F9-77777777 38B5255D-4DCCEA57 6D997454-77777777 54468031-77777777 5EB36F8C-77777777 0035ECE3-7E365ADD 1C2F2A71-65E66287 525EB387-77777777 3F14897E-5C0A8F7A 7886AEFB-7B35B36C 56A2A1E7-324768C1 752466EF-3525B75E 12652B53-23DB586A 031731E2-008E02A6 2763462F-4D15B38D 4000874D-50DCF3DA 54D5ABBD-582D8DDF 0223F23F-77777777 5A8D12B9-76BC1F6C 56FA01B6-77777777 31186550-0058FB00 57732CCA-51919999 7C091F0D-77777777 04F92E36-77777777 16815E3E-04733F2A 41844A0E-216F305C 39E469F1-77777777 0AC120BD-6F15BCB6 2E11B280-4E7C794D 77F9A90B-7D1FF816 3FD71550-0700BD1F 395983E4-40295FB2 7DCB8B14-48764EF3 73755D9F-77777777 78958E20-77777777 1C7A5B16-77777777 1D051F67-77777777 68928609-77777777 582CFC62-77777777 695379FD-419EEBC6 26ADC5FE-19406F21 27DDFA78-66E5E6FB 41381D32-75F0DCD8 48D2A7C6-3DCB7D80 5847E2F0-1C6A0C00 4EBD626F-29124250 653BEA7B-6D1D107B 67053B12-62F7FB89 52762539-4C0B79F8 197EE0F0-762540FF 0755732E-77777777 5F421D99-2205430C 6566ED10-17621848 2BF11CEB-67D9A274 7FFE60F9-77CD0A7B 5880444E-6860C967 76CF3C65-7DF1B420 0C33D0F7-77777777 0A8B44F3-2AD0F7C6 3AA9DBED-1CD30856 11E6C284-42A11970 7E8CF3C1-01F52095 3E7A36A5-1E9A0FA1 20DF4F43-6E02E9D4 46168533-749C0A79 649A901D-073423FF 4C6C1A38-7BF0D2C2 36DAACAF-4F098B69 6642D686-0DB415F9 4B28A080-5C6D0E9D 4FD9FAB5-36C17273 31E40C8F-219BE057 07072265-75AB0FE8 6D7901E8-10C30511 13101A60-5AE8CAAF 0147F329-3A148853 4CEF444E-340DEBC0 206B627D-7640C8BC 5E406C03-739F4EEC 39F4D993-77399521 3DE7CAA1-68FC90E8 288F3520-2E5BF569 63773586-5861E959 2718A716-6D77A3D6 357601F8-1A051B32 616CB028-21F749BC 021645F9-44D60438 32E23B06-1642F00E 4D780A37-0985E04D 17F06D55-48C9072E 3D7E4280-20FFFF43 0F46B4B7-77777777 2F61180C-5B18A003 6AE0EB07-28A25255 62F30509-77777777 4DE4ECAE-0E55D54B 7F15A4B1-77777777 3994A708-59FED5FC 672209B4-77777777 5F410B52-5FE280FD 6BE55749-25536834 4F5C5C6C-3B32D454 1B84793B-5FD44402 04E65EA0-21FAEDAA 7D7DCF4E-00576600 3ADCF2B6-3D8F6D13 3104DA73-528C3D93 75AE6F14-27317FE9 1D36EA53-77777777 6185319A-7A294B33 0760DA1C-0533BD58 10FB61E8-73CABCB6 3F7B1597-77777777 1D311B47-3D93F727 355AB1F7-63D2B9AF 796CDD61-57EBFB61 24108F58-66494053 4C1CC638-2BD11B6B 2E50AACF-77777777 63F1EAD4-77777777 0CBCC87E-2548814A 4164486A-77777777 244D69A2-62403360 3F3ADEA7-5BA0980E 507C85D5-714CEB28 5100D9E8-77777777 6A12824E-18ADB0DC 631DDA80-77777777 0B545D7C-56544E8A 3E9310A0-31648620 2AF194E8-49FF5402 1704820E-77777777 10EA4666-4CF417F8 069B80CA-77777777 16A86EAC-6E69F8D6 56AA732E-77777777 64119C7A-77777777 12ACDC53-77777777 101E00D4-77777777 298A6D71-64DF586C 658FF3F4-0AF74110 107649F6-5ACA4D0A 02F05D7A-0426F4F4 33BD670C-77777777 6A60FA74-5A3EBBF4 08DB8133-08A345B7 79E73E19-12D6B09F 72DDCEE8-383C3677 25793A4C-77777777 1799E584-29CAA244 76957D14-5102580B 6CAA83CC-25422BC2 0CA3E727-4D555900 7C7511A4-518CCB6B 31ED4416-518B341B 45F6390C-77777777 58924F49-64B5B17D 16031BEE-40521BDB 0267D02A-3BB07F82 59518714-1489B948 367544D9-77777777 1DBC5513-670A96EC 031915FC-5C1E6885 45587926-77777777 5C861577-402BBCFC 553DC2F0-06E11573 62217463-0762BF6A 19925915-5D7BAB4B 4E75FCF5-188528EA 7A247D06-792588C5 151DB19C-4FFBCA46 539C77B7-4A19449C 5F0A6A3E-5842E685 2AA78898-2C057E49 23A9E3CD-25B2389A 1A6894B5-1538F837 70399B83-56B600C6 7DDE0495-4CBBD1A1 6AD958EF-16C61C4B 38C21917-50A194F0 6DE62CE7-79506303 5C96AFC5-6A3E4CA7 4DBE91F6-034563E0 3596E875-03174ACD 3C700B58-516708DA 33C794DE-6143F38E 29C7E200-77777777 4E1F6114-068A537B 0ACB2F70-12A62908 385B06F0-15DA8727 09A127F2-19441293 287F8B3C-47CAF2E4 7544F97E-7223739C 63D4EE0A-4062C487 1045FBFD-15F927E4 3F6EB99D-254A6DB0 55AC8647-34E3149C 05D66FE6-77777777 6D6ABA17-3CC7EAC4 7081E829-77777777 42B44FF3-77777777 1A6BFC37-77777777 3BB782C7-77777777 0A20D9FF-77777777 2957CCFA-77777777 285F5549-77777777 6C57896A-77777777 753F94AD-77777777 2337A3B7-77777777 2890687E-77777777 4705686A-77777777 35837EA7-77777777 109EA5D6-77777777 314CBC10-77777777 67D789ED-77777777 52D33A50-77777777 0C70FA83-77777777 65473932-77777777 786A298C-77777777 1BC8DFC4-77777777 043D1815-77777777 36D181BF-77777777 1E6B44FF-77777777 14429E7D-77777777 5AC6EF8F-77777777 1CE12C19-77777777 05658B2F-77777777 23994438-77777777 49DAF062-77777777 6F44C9D9-77777777 3D007967-77777777 563E29BA-77777777 0DBD083D-40368C1F 27F1D0F2-7B84F476 02E9A404-42EE2FDF 5845E799-00DA18E9 0CD2B0A1-458E15BA 09CEC504-77777777 5C68EA97-0733F5D3 3FFC8F47-47198D57 57116A43-77777777 52267384-248CEC06 282A6D5D-77777777 7EB25D87-2CBBECD7 1BBAEE98-77777777 6D5FFC15-77777777 16569AAE-77777777 1378D22A-77777777 1D235DA4-24C7667A 70CC21E2-77777777 623CDBFA-77777777 53CFEFD8-77777777 6B310C21-77777777 53AB45F3-77777777 6CA74DC5-77777777 695F7E3E-680625C4 0F7AFE26-77777777 7C74A150-77777777 215D6C08-77777777 18062D06-77777777 3FFA08E9-77777777 7634A24A-5533D782 75D42201-7EEB2302 3E2FD73B-6BE474E4 043A1CFE-0DF63599 653B7AFA-386F12D2 7A62651F-77777777 1E93B3B4-6A9C9641 398F387B-7018AA90 0B57DC2C-5FEF10B7 4A016097-6ECE4FEE 4A057AC9-5626AC5E 7A0ACC5A-6F2EC6F4 5935BA34-7639F9FB 068AF252-17F7C748 2C297E3F-3B2E9723 703D01DC-78B6210F 61703BA7-586AEC90 269F0BA2-7985756A 11838567-77777777 0BA9FD7F-77777777 661EB344-730BB7D0 37F243B3-77777777"/>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54F2"/>
    <w:multiLevelType w:val="multilevel"/>
    <w:tmpl w:val="FCC8418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 w15:restartNumberingAfterBreak="0">
    <w:nsid w:val="06546F88"/>
    <w:multiLevelType w:val="hybridMultilevel"/>
    <w:tmpl w:val="EC5C19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6A25FF"/>
    <w:multiLevelType w:val="hybridMultilevel"/>
    <w:tmpl w:val="F3FCCE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687C49"/>
    <w:multiLevelType w:val="hybridMultilevel"/>
    <w:tmpl w:val="5106C2DC"/>
    <w:lvl w:ilvl="0" w:tplc="199016E6">
      <w:start w:val="1"/>
      <w:numFmt w:val="bullet"/>
      <w:lvlText w:val=""/>
      <w:lvlJc w:val="left"/>
      <w:pPr>
        <w:ind w:left="720" w:hanging="360"/>
      </w:pPr>
      <w:rPr>
        <w:rFonts w:ascii="Symbol" w:hAnsi="Symbol" w:hint="default"/>
      </w:rPr>
    </w:lvl>
    <w:lvl w:ilvl="1" w:tplc="C67C0524">
      <w:start w:val="1"/>
      <w:numFmt w:val="bullet"/>
      <w:lvlText w:val="o"/>
      <w:lvlJc w:val="left"/>
      <w:pPr>
        <w:ind w:left="1440" w:hanging="360"/>
      </w:pPr>
      <w:rPr>
        <w:rFonts w:ascii="Courier New" w:hAnsi="Courier New" w:hint="default"/>
      </w:rPr>
    </w:lvl>
    <w:lvl w:ilvl="2" w:tplc="8F8095E0">
      <w:start w:val="1"/>
      <w:numFmt w:val="bullet"/>
      <w:lvlText w:val=""/>
      <w:lvlJc w:val="left"/>
      <w:pPr>
        <w:ind w:left="2160" w:hanging="360"/>
      </w:pPr>
      <w:rPr>
        <w:rFonts w:ascii="Wingdings" w:hAnsi="Wingdings" w:hint="default"/>
      </w:rPr>
    </w:lvl>
    <w:lvl w:ilvl="3" w:tplc="50F8B890">
      <w:start w:val="1"/>
      <w:numFmt w:val="bullet"/>
      <w:lvlText w:val=""/>
      <w:lvlJc w:val="left"/>
      <w:pPr>
        <w:ind w:left="2880" w:hanging="360"/>
      </w:pPr>
      <w:rPr>
        <w:rFonts w:ascii="Symbol" w:hAnsi="Symbol" w:hint="default"/>
      </w:rPr>
    </w:lvl>
    <w:lvl w:ilvl="4" w:tplc="192283DE">
      <w:start w:val="1"/>
      <w:numFmt w:val="bullet"/>
      <w:lvlText w:val="o"/>
      <w:lvlJc w:val="left"/>
      <w:pPr>
        <w:ind w:left="3600" w:hanging="360"/>
      </w:pPr>
      <w:rPr>
        <w:rFonts w:ascii="Courier New" w:hAnsi="Courier New" w:hint="default"/>
      </w:rPr>
    </w:lvl>
    <w:lvl w:ilvl="5" w:tplc="6AA6C528">
      <w:start w:val="1"/>
      <w:numFmt w:val="bullet"/>
      <w:lvlText w:val=""/>
      <w:lvlJc w:val="left"/>
      <w:pPr>
        <w:ind w:left="4320" w:hanging="360"/>
      </w:pPr>
      <w:rPr>
        <w:rFonts w:ascii="Wingdings" w:hAnsi="Wingdings" w:hint="default"/>
      </w:rPr>
    </w:lvl>
    <w:lvl w:ilvl="6" w:tplc="4C4C7F26">
      <w:start w:val="1"/>
      <w:numFmt w:val="bullet"/>
      <w:lvlText w:val=""/>
      <w:lvlJc w:val="left"/>
      <w:pPr>
        <w:ind w:left="5040" w:hanging="360"/>
      </w:pPr>
      <w:rPr>
        <w:rFonts w:ascii="Symbol" w:hAnsi="Symbol" w:hint="default"/>
      </w:rPr>
    </w:lvl>
    <w:lvl w:ilvl="7" w:tplc="560C9BDE">
      <w:start w:val="1"/>
      <w:numFmt w:val="bullet"/>
      <w:lvlText w:val="o"/>
      <w:lvlJc w:val="left"/>
      <w:pPr>
        <w:ind w:left="5760" w:hanging="360"/>
      </w:pPr>
      <w:rPr>
        <w:rFonts w:ascii="Courier New" w:hAnsi="Courier New" w:hint="default"/>
      </w:rPr>
    </w:lvl>
    <w:lvl w:ilvl="8" w:tplc="FE302D1E">
      <w:start w:val="1"/>
      <w:numFmt w:val="bullet"/>
      <w:lvlText w:val=""/>
      <w:lvlJc w:val="left"/>
      <w:pPr>
        <w:ind w:left="6480" w:hanging="360"/>
      </w:pPr>
      <w:rPr>
        <w:rFonts w:ascii="Wingdings" w:hAnsi="Wingdings" w:hint="default"/>
      </w:rPr>
    </w:lvl>
  </w:abstractNum>
  <w:abstractNum w:abstractNumId="4" w15:restartNumberingAfterBreak="0">
    <w:nsid w:val="0E946A33"/>
    <w:multiLevelType w:val="hybridMultilevel"/>
    <w:tmpl w:val="F10E4C9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FA325F3"/>
    <w:multiLevelType w:val="hybridMultilevel"/>
    <w:tmpl w:val="A5AE7AF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4727C4"/>
    <w:multiLevelType w:val="hybridMultilevel"/>
    <w:tmpl w:val="62B09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834031"/>
    <w:multiLevelType w:val="hybridMultilevel"/>
    <w:tmpl w:val="9C0E65EC"/>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8BE3B94"/>
    <w:multiLevelType w:val="hybridMultilevel"/>
    <w:tmpl w:val="AC5263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56712A"/>
    <w:multiLevelType w:val="hybridMultilevel"/>
    <w:tmpl w:val="30A0C53E"/>
    <w:lvl w:ilvl="0" w:tplc="A7666AFE">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9822AB8"/>
    <w:multiLevelType w:val="hybridMultilevel"/>
    <w:tmpl w:val="C0BCA620"/>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BA03C0"/>
    <w:multiLevelType w:val="hybridMultilevel"/>
    <w:tmpl w:val="16FABC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5181812"/>
    <w:multiLevelType w:val="hybridMultilevel"/>
    <w:tmpl w:val="CC2098FC"/>
    <w:lvl w:ilvl="0" w:tplc="70CA65FC">
      <w:start w:val="1"/>
      <w:numFmt w:val="decimal"/>
      <w:lvlText w:val="%1."/>
      <w:lvlJc w:val="left"/>
      <w:pPr>
        <w:ind w:left="360" w:hanging="360"/>
      </w:pPr>
      <w:rPr>
        <w:rFonts w:hint="default"/>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99F4340"/>
    <w:multiLevelType w:val="hybridMultilevel"/>
    <w:tmpl w:val="502C2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7A3568"/>
    <w:multiLevelType w:val="hybridMultilevel"/>
    <w:tmpl w:val="0532A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064A61"/>
    <w:multiLevelType w:val="hybridMultilevel"/>
    <w:tmpl w:val="5B927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0B24B3"/>
    <w:multiLevelType w:val="hybridMultilevel"/>
    <w:tmpl w:val="6172B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472661"/>
    <w:multiLevelType w:val="hybridMultilevel"/>
    <w:tmpl w:val="01601004"/>
    <w:lvl w:ilvl="0" w:tplc="0C09001B">
      <w:start w:val="1"/>
      <w:numFmt w:val="lowerRoman"/>
      <w:lvlText w:val="%1."/>
      <w:lvlJc w:val="right"/>
      <w:pPr>
        <w:ind w:left="776" w:hanging="360"/>
      </w:pPr>
    </w:lvl>
    <w:lvl w:ilvl="1" w:tplc="0C090019" w:tentative="1">
      <w:start w:val="1"/>
      <w:numFmt w:val="lowerLetter"/>
      <w:lvlText w:val="%2."/>
      <w:lvlJc w:val="left"/>
      <w:pPr>
        <w:ind w:left="1496" w:hanging="360"/>
      </w:pPr>
    </w:lvl>
    <w:lvl w:ilvl="2" w:tplc="0C09001B" w:tentative="1">
      <w:start w:val="1"/>
      <w:numFmt w:val="lowerRoman"/>
      <w:lvlText w:val="%3."/>
      <w:lvlJc w:val="right"/>
      <w:pPr>
        <w:ind w:left="2216" w:hanging="180"/>
      </w:pPr>
    </w:lvl>
    <w:lvl w:ilvl="3" w:tplc="0C09000F" w:tentative="1">
      <w:start w:val="1"/>
      <w:numFmt w:val="decimal"/>
      <w:lvlText w:val="%4."/>
      <w:lvlJc w:val="left"/>
      <w:pPr>
        <w:ind w:left="2936" w:hanging="360"/>
      </w:pPr>
    </w:lvl>
    <w:lvl w:ilvl="4" w:tplc="0C090019" w:tentative="1">
      <w:start w:val="1"/>
      <w:numFmt w:val="lowerLetter"/>
      <w:lvlText w:val="%5."/>
      <w:lvlJc w:val="left"/>
      <w:pPr>
        <w:ind w:left="3656" w:hanging="360"/>
      </w:pPr>
    </w:lvl>
    <w:lvl w:ilvl="5" w:tplc="0C09001B" w:tentative="1">
      <w:start w:val="1"/>
      <w:numFmt w:val="lowerRoman"/>
      <w:lvlText w:val="%6."/>
      <w:lvlJc w:val="right"/>
      <w:pPr>
        <w:ind w:left="4376" w:hanging="180"/>
      </w:pPr>
    </w:lvl>
    <w:lvl w:ilvl="6" w:tplc="0C09000F" w:tentative="1">
      <w:start w:val="1"/>
      <w:numFmt w:val="decimal"/>
      <w:lvlText w:val="%7."/>
      <w:lvlJc w:val="left"/>
      <w:pPr>
        <w:ind w:left="5096" w:hanging="360"/>
      </w:pPr>
    </w:lvl>
    <w:lvl w:ilvl="7" w:tplc="0C090019" w:tentative="1">
      <w:start w:val="1"/>
      <w:numFmt w:val="lowerLetter"/>
      <w:lvlText w:val="%8."/>
      <w:lvlJc w:val="left"/>
      <w:pPr>
        <w:ind w:left="5816" w:hanging="360"/>
      </w:pPr>
    </w:lvl>
    <w:lvl w:ilvl="8" w:tplc="0C09001B" w:tentative="1">
      <w:start w:val="1"/>
      <w:numFmt w:val="lowerRoman"/>
      <w:lvlText w:val="%9."/>
      <w:lvlJc w:val="right"/>
      <w:pPr>
        <w:ind w:left="6536" w:hanging="180"/>
      </w:pPr>
    </w:lvl>
  </w:abstractNum>
  <w:abstractNum w:abstractNumId="18" w15:restartNumberingAfterBreak="0">
    <w:nsid w:val="53DD0654"/>
    <w:multiLevelType w:val="hybridMultilevel"/>
    <w:tmpl w:val="F22C44DC"/>
    <w:lvl w:ilvl="0" w:tplc="6E3EA3C2">
      <w:start w:val="3"/>
      <w:numFmt w:val="decimal"/>
      <w:lvlText w:val="%1."/>
      <w:lvlJc w:val="left"/>
      <w:pPr>
        <w:ind w:left="360" w:hanging="360"/>
      </w:pPr>
      <w:rPr>
        <w:rFonts w:hint="default"/>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78558D4"/>
    <w:multiLevelType w:val="hybridMultilevel"/>
    <w:tmpl w:val="17185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A9073A"/>
    <w:multiLevelType w:val="hybridMultilevel"/>
    <w:tmpl w:val="E8BE73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65C34036"/>
    <w:multiLevelType w:val="hybridMultilevel"/>
    <w:tmpl w:val="0D76A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B41C5B"/>
    <w:multiLevelType w:val="hybridMultilevel"/>
    <w:tmpl w:val="5E3EEE9C"/>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BE915CC"/>
    <w:multiLevelType w:val="hybridMultilevel"/>
    <w:tmpl w:val="E8C20DD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758537C4"/>
    <w:multiLevelType w:val="hybridMultilevel"/>
    <w:tmpl w:val="3260F152"/>
    <w:lvl w:ilvl="0" w:tplc="644C20E8">
      <w:start w:val="1"/>
      <w:numFmt w:val="bullet"/>
      <w:lvlText w:val="●"/>
      <w:lvlJc w:val="left"/>
      <w:pPr>
        <w:tabs>
          <w:tab w:val="num" w:pos="720"/>
        </w:tabs>
        <w:ind w:left="720" w:hanging="360"/>
      </w:pPr>
      <w:rPr>
        <w:rFonts w:ascii="Arial" w:hAnsi="Arial" w:hint="default"/>
      </w:rPr>
    </w:lvl>
    <w:lvl w:ilvl="1" w:tplc="D5E66140" w:tentative="1">
      <w:start w:val="1"/>
      <w:numFmt w:val="bullet"/>
      <w:lvlText w:val="●"/>
      <w:lvlJc w:val="left"/>
      <w:pPr>
        <w:tabs>
          <w:tab w:val="num" w:pos="1440"/>
        </w:tabs>
        <w:ind w:left="1440" w:hanging="360"/>
      </w:pPr>
      <w:rPr>
        <w:rFonts w:ascii="Arial" w:hAnsi="Arial" w:hint="default"/>
      </w:rPr>
    </w:lvl>
    <w:lvl w:ilvl="2" w:tplc="56E038D0" w:tentative="1">
      <w:start w:val="1"/>
      <w:numFmt w:val="bullet"/>
      <w:lvlText w:val="●"/>
      <w:lvlJc w:val="left"/>
      <w:pPr>
        <w:tabs>
          <w:tab w:val="num" w:pos="2160"/>
        </w:tabs>
        <w:ind w:left="2160" w:hanging="360"/>
      </w:pPr>
      <w:rPr>
        <w:rFonts w:ascii="Arial" w:hAnsi="Arial" w:hint="default"/>
      </w:rPr>
    </w:lvl>
    <w:lvl w:ilvl="3" w:tplc="F9A02E10" w:tentative="1">
      <w:start w:val="1"/>
      <w:numFmt w:val="bullet"/>
      <w:lvlText w:val="●"/>
      <w:lvlJc w:val="left"/>
      <w:pPr>
        <w:tabs>
          <w:tab w:val="num" w:pos="2880"/>
        </w:tabs>
        <w:ind w:left="2880" w:hanging="360"/>
      </w:pPr>
      <w:rPr>
        <w:rFonts w:ascii="Arial" w:hAnsi="Arial" w:hint="default"/>
      </w:rPr>
    </w:lvl>
    <w:lvl w:ilvl="4" w:tplc="A34E5E90" w:tentative="1">
      <w:start w:val="1"/>
      <w:numFmt w:val="bullet"/>
      <w:lvlText w:val="●"/>
      <w:lvlJc w:val="left"/>
      <w:pPr>
        <w:tabs>
          <w:tab w:val="num" w:pos="3600"/>
        </w:tabs>
        <w:ind w:left="3600" w:hanging="360"/>
      </w:pPr>
      <w:rPr>
        <w:rFonts w:ascii="Arial" w:hAnsi="Arial" w:hint="default"/>
      </w:rPr>
    </w:lvl>
    <w:lvl w:ilvl="5" w:tplc="284EC18E" w:tentative="1">
      <w:start w:val="1"/>
      <w:numFmt w:val="bullet"/>
      <w:lvlText w:val="●"/>
      <w:lvlJc w:val="left"/>
      <w:pPr>
        <w:tabs>
          <w:tab w:val="num" w:pos="4320"/>
        </w:tabs>
        <w:ind w:left="4320" w:hanging="360"/>
      </w:pPr>
      <w:rPr>
        <w:rFonts w:ascii="Arial" w:hAnsi="Arial" w:hint="default"/>
      </w:rPr>
    </w:lvl>
    <w:lvl w:ilvl="6" w:tplc="1ED6396C" w:tentative="1">
      <w:start w:val="1"/>
      <w:numFmt w:val="bullet"/>
      <w:lvlText w:val="●"/>
      <w:lvlJc w:val="left"/>
      <w:pPr>
        <w:tabs>
          <w:tab w:val="num" w:pos="5040"/>
        </w:tabs>
        <w:ind w:left="5040" w:hanging="360"/>
      </w:pPr>
      <w:rPr>
        <w:rFonts w:ascii="Arial" w:hAnsi="Arial" w:hint="default"/>
      </w:rPr>
    </w:lvl>
    <w:lvl w:ilvl="7" w:tplc="4B8EF2CE" w:tentative="1">
      <w:start w:val="1"/>
      <w:numFmt w:val="bullet"/>
      <w:lvlText w:val="●"/>
      <w:lvlJc w:val="left"/>
      <w:pPr>
        <w:tabs>
          <w:tab w:val="num" w:pos="5760"/>
        </w:tabs>
        <w:ind w:left="5760" w:hanging="360"/>
      </w:pPr>
      <w:rPr>
        <w:rFonts w:ascii="Arial" w:hAnsi="Arial" w:hint="default"/>
      </w:rPr>
    </w:lvl>
    <w:lvl w:ilvl="8" w:tplc="8EC48DB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6974795"/>
    <w:multiLevelType w:val="hybridMultilevel"/>
    <w:tmpl w:val="D3BEB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886684"/>
    <w:multiLevelType w:val="hybridMultilevel"/>
    <w:tmpl w:val="B95A3A00"/>
    <w:lvl w:ilvl="0" w:tplc="95905A76">
      <w:start w:val="1"/>
      <w:numFmt w:val="bullet"/>
      <w:lvlText w:val=""/>
      <w:lvlJc w:val="left"/>
      <w:pPr>
        <w:ind w:left="720" w:hanging="360"/>
      </w:pPr>
      <w:rPr>
        <w:rFonts w:ascii="Symbol" w:hAnsi="Symbol" w:hint="default"/>
      </w:rPr>
    </w:lvl>
    <w:lvl w:ilvl="1" w:tplc="E362EA58">
      <w:start w:val="1"/>
      <w:numFmt w:val="bullet"/>
      <w:lvlText w:val="o"/>
      <w:lvlJc w:val="left"/>
      <w:pPr>
        <w:ind w:left="1440" w:hanging="360"/>
      </w:pPr>
      <w:rPr>
        <w:rFonts w:ascii="Courier New" w:hAnsi="Courier New" w:hint="default"/>
      </w:rPr>
    </w:lvl>
    <w:lvl w:ilvl="2" w:tplc="CEF88328">
      <w:start w:val="1"/>
      <w:numFmt w:val="bullet"/>
      <w:lvlText w:val=""/>
      <w:lvlJc w:val="left"/>
      <w:pPr>
        <w:ind w:left="2160" w:hanging="360"/>
      </w:pPr>
      <w:rPr>
        <w:rFonts w:ascii="Wingdings" w:hAnsi="Wingdings" w:hint="default"/>
      </w:rPr>
    </w:lvl>
    <w:lvl w:ilvl="3" w:tplc="2F2C0EA4">
      <w:start w:val="1"/>
      <w:numFmt w:val="bullet"/>
      <w:lvlText w:val=""/>
      <w:lvlJc w:val="left"/>
      <w:pPr>
        <w:ind w:left="2880" w:hanging="360"/>
      </w:pPr>
      <w:rPr>
        <w:rFonts w:ascii="Symbol" w:hAnsi="Symbol" w:hint="default"/>
      </w:rPr>
    </w:lvl>
    <w:lvl w:ilvl="4" w:tplc="F7343348">
      <w:start w:val="1"/>
      <w:numFmt w:val="bullet"/>
      <w:lvlText w:val="o"/>
      <w:lvlJc w:val="left"/>
      <w:pPr>
        <w:ind w:left="3600" w:hanging="360"/>
      </w:pPr>
      <w:rPr>
        <w:rFonts w:ascii="Courier New" w:hAnsi="Courier New" w:hint="default"/>
      </w:rPr>
    </w:lvl>
    <w:lvl w:ilvl="5" w:tplc="A0C2CD9A">
      <w:start w:val="1"/>
      <w:numFmt w:val="bullet"/>
      <w:lvlText w:val=""/>
      <w:lvlJc w:val="left"/>
      <w:pPr>
        <w:ind w:left="4320" w:hanging="360"/>
      </w:pPr>
      <w:rPr>
        <w:rFonts w:ascii="Wingdings" w:hAnsi="Wingdings" w:hint="default"/>
      </w:rPr>
    </w:lvl>
    <w:lvl w:ilvl="6" w:tplc="44D039F8">
      <w:start w:val="1"/>
      <w:numFmt w:val="bullet"/>
      <w:lvlText w:val=""/>
      <w:lvlJc w:val="left"/>
      <w:pPr>
        <w:ind w:left="5040" w:hanging="360"/>
      </w:pPr>
      <w:rPr>
        <w:rFonts w:ascii="Symbol" w:hAnsi="Symbol" w:hint="default"/>
      </w:rPr>
    </w:lvl>
    <w:lvl w:ilvl="7" w:tplc="4FCCC590">
      <w:start w:val="1"/>
      <w:numFmt w:val="bullet"/>
      <w:lvlText w:val="o"/>
      <w:lvlJc w:val="left"/>
      <w:pPr>
        <w:ind w:left="5760" w:hanging="360"/>
      </w:pPr>
      <w:rPr>
        <w:rFonts w:ascii="Courier New" w:hAnsi="Courier New" w:hint="default"/>
      </w:rPr>
    </w:lvl>
    <w:lvl w:ilvl="8" w:tplc="E19CC0D4">
      <w:start w:val="1"/>
      <w:numFmt w:val="bullet"/>
      <w:lvlText w:val=""/>
      <w:lvlJc w:val="left"/>
      <w:pPr>
        <w:ind w:left="6480" w:hanging="360"/>
      </w:pPr>
      <w:rPr>
        <w:rFonts w:ascii="Wingdings" w:hAnsi="Wingdings" w:hint="default"/>
      </w:rPr>
    </w:lvl>
  </w:abstractNum>
  <w:num w:numId="1" w16cid:durableId="820269788">
    <w:abstractNumId w:val="26"/>
  </w:num>
  <w:num w:numId="2" w16cid:durableId="45572184">
    <w:abstractNumId w:val="3"/>
  </w:num>
  <w:num w:numId="3" w16cid:durableId="1034698490">
    <w:abstractNumId w:val="16"/>
  </w:num>
  <w:num w:numId="4" w16cid:durableId="884296934">
    <w:abstractNumId w:val="5"/>
  </w:num>
  <w:num w:numId="5" w16cid:durableId="2051420229">
    <w:abstractNumId w:val="2"/>
  </w:num>
  <w:num w:numId="6" w16cid:durableId="96750859">
    <w:abstractNumId w:val="20"/>
  </w:num>
  <w:num w:numId="7" w16cid:durableId="1950157697">
    <w:abstractNumId w:val="4"/>
  </w:num>
  <w:num w:numId="8" w16cid:durableId="1302997611">
    <w:abstractNumId w:val="6"/>
  </w:num>
  <w:num w:numId="9" w16cid:durableId="1125732825">
    <w:abstractNumId w:val="14"/>
  </w:num>
  <w:num w:numId="10" w16cid:durableId="953246377">
    <w:abstractNumId w:val="8"/>
  </w:num>
  <w:num w:numId="11" w16cid:durableId="192117424">
    <w:abstractNumId w:val="1"/>
  </w:num>
  <w:num w:numId="12" w16cid:durableId="1848519627">
    <w:abstractNumId w:val="17"/>
  </w:num>
  <w:num w:numId="13" w16cid:durableId="1804538024">
    <w:abstractNumId w:val="13"/>
  </w:num>
  <w:num w:numId="14" w16cid:durableId="41372240">
    <w:abstractNumId w:val="24"/>
  </w:num>
  <w:num w:numId="15" w16cid:durableId="488714511">
    <w:abstractNumId w:val="19"/>
  </w:num>
  <w:num w:numId="16" w16cid:durableId="1749230769">
    <w:abstractNumId w:val="15"/>
  </w:num>
  <w:num w:numId="17" w16cid:durableId="1020546399">
    <w:abstractNumId w:val="25"/>
  </w:num>
  <w:num w:numId="18" w16cid:durableId="1442266287">
    <w:abstractNumId w:val="14"/>
  </w:num>
  <w:num w:numId="19" w16cid:durableId="701829011">
    <w:abstractNumId w:val="18"/>
  </w:num>
  <w:num w:numId="20" w16cid:durableId="810682705">
    <w:abstractNumId w:val="11"/>
  </w:num>
  <w:num w:numId="21" w16cid:durableId="1371689750">
    <w:abstractNumId w:val="22"/>
  </w:num>
  <w:num w:numId="22" w16cid:durableId="1521622610">
    <w:abstractNumId w:val="10"/>
  </w:num>
  <w:num w:numId="23" w16cid:durableId="1030229260">
    <w:abstractNumId w:val="7"/>
  </w:num>
  <w:num w:numId="24" w16cid:durableId="1193305296">
    <w:abstractNumId w:val="0"/>
  </w:num>
  <w:num w:numId="25" w16cid:durableId="1628702692">
    <w:abstractNumId w:val="21"/>
  </w:num>
  <w:num w:numId="26" w16cid:durableId="676690654">
    <w:abstractNumId w:val="23"/>
  </w:num>
  <w:num w:numId="27" w16cid:durableId="1541892586">
    <w:abstractNumId w:val="12"/>
  </w:num>
  <w:num w:numId="28" w16cid:durableId="1244992388">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272"/>
    <w:rsid w:val="000012B3"/>
    <w:rsid w:val="00002C78"/>
    <w:rsid w:val="00004B09"/>
    <w:rsid w:val="00006159"/>
    <w:rsid w:val="00007188"/>
    <w:rsid w:val="000111AC"/>
    <w:rsid w:val="00012117"/>
    <w:rsid w:val="00013E96"/>
    <w:rsid w:val="00020AE0"/>
    <w:rsid w:val="00025A86"/>
    <w:rsid w:val="00026D8F"/>
    <w:rsid w:val="000274B9"/>
    <w:rsid w:val="00030590"/>
    <w:rsid w:val="00030A96"/>
    <w:rsid w:val="00031322"/>
    <w:rsid w:val="00033DE2"/>
    <w:rsid w:val="00035258"/>
    <w:rsid w:val="000356EF"/>
    <w:rsid w:val="00040AAC"/>
    <w:rsid w:val="00041387"/>
    <w:rsid w:val="00041765"/>
    <w:rsid w:val="00042ED1"/>
    <w:rsid w:val="00044E5D"/>
    <w:rsid w:val="00045CDA"/>
    <w:rsid w:val="00051675"/>
    <w:rsid w:val="00054320"/>
    <w:rsid w:val="000545C7"/>
    <w:rsid w:val="00055C01"/>
    <w:rsid w:val="00056DBB"/>
    <w:rsid w:val="00057EC4"/>
    <w:rsid w:val="00060727"/>
    <w:rsid w:val="00064990"/>
    <w:rsid w:val="00075EA2"/>
    <w:rsid w:val="0007654B"/>
    <w:rsid w:val="00076C4B"/>
    <w:rsid w:val="00082462"/>
    <w:rsid w:val="00083F42"/>
    <w:rsid w:val="00084A66"/>
    <w:rsid w:val="00085DF2"/>
    <w:rsid w:val="00086851"/>
    <w:rsid w:val="00093C6D"/>
    <w:rsid w:val="00097B39"/>
    <w:rsid w:val="000A2606"/>
    <w:rsid w:val="000A598B"/>
    <w:rsid w:val="000A622F"/>
    <w:rsid w:val="000B435E"/>
    <w:rsid w:val="000B45A5"/>
    <w:rsid w:val="000B4B86"/>
    <w:rsid w:val="000C1F65"/>
    <w:rsid w:val="000C4916"/>
    <w:rsid w:val="000C528A"/>
    <w:rsid w:val="000C6E21"/>
    <w:rsid w:val="000D0C35"/>
    <w:rsid w:val="000D2F1F"/>
    <w:rsid w:val="000D3CDB"/>
    <w:rsid w:val="000D4D14"/>
    <w:rsid w:val="000D5D2A"/>
    <w:rsid w:val="000D5FBF"/>
    <w:rsid w:val="000D6814"/>
    <w:rsid w:val="000D6B45"/>
    <w:rsid w:val="000E1381"/>
    <w:rsid w:val="000E36AA"/>
    <w:rsid w:val="000E53AC"/>
    <w:rsid w:val="000E6C4A"/>
    <w:rsid w:val="000F2571"/>
    <w:rsid w:val="000F385D"/>
    <w:rsid w:val="000F4C19"/>
    <w:rsid w:val="000F59BC"/>
    <w:rsid w:val="000F6D24"/>
    <w:rsid w:val="001031E2"/>
    <w:rsid w:val="00105CC9"/>
    <w:rsid w:val="0010714C"/>
    <w:rsid w:val="00110357"/>
    <w:rsid w:val="00110680"/>
    <w:rsid w:val="00110F06"/>
    <w:rsid w:val="001120F2"/>
    <w:rsid w:val="001125A2"/>
    <w:rsid w:val="00114AAA"/>
    <w:rsid w:val="001159A7"/>
    <w:rsid w:val="00120D69"/>
    <w:rsid w:val="00120F18"/>
    <w:rsid w:val="00124008"/>
    <w:rsid w:val="001278F8"/>
    <w:rsid w:val="0013165A"/>
    <w:rsid w:val="00131F7C"/>
    <w:rsid w:val="001321A6"/>
    <w:rsid w:val="00133371"/>
    <w:rsid w:val="00134AE3"/>
    <w:rsid w:val="00135DC2"/>
    <w:rsid w:val="0013606D"/>
    <w:rsid w:val="00136DEE"/>
    <w:rsid w:val="00141ABB"/>
    <w:rsid w:val="00142847"/>
    <w:rsid w:val="00144A70"/>
    <w:rsid w:val="00144F57"/>
    <w:rsid w:val="00145A7D"/>
    <w:rsid w:val="00146A96"/>
    <w:rsid w:val="00151259"/>
    <w:rsid w:val="001533B3"/>
    <w:rsid w:val="00153821"/>
    <w:rsid w:val="00153A42"/>
    <w:rsid w:val="00160AED"/>
    <w:rsid w:val="0016104F"/>
    <w:rsid w:val="001638AD"/>
    <w:rsid w:val="00163DED"/>
    <w:rsid w:val="001645E2"/>
    <w:rsid w:val="00165BFA"/>
    <w:rsid w:val="00166CF9"/>
    <w:rsid w:val="00172F58"/>
    <w:rsid w:val="00181255"/>
    <w:rsid w:val="00181D6F"/>
    <w:rsid w:val="00182B3B"/>
    <w:rsid w:val="001847DF"/>
    <w:rsid w:val="00184CB3"/>
    <w:rsid w:val="001866D4"/>
    <w:rsid w:val="00192ED6"/>
    <w:rsid w:val="0019380C"/>
    <w:rsid w:val="00193845"/>
    <w:rsid w:val="00193E99"/>
    <w:rsid w:val="00195298"/>
    <w:rsid w:val="001A03CE"/>
    <w:rsid w:val="001A04EA"/>
    <w:rsid w:val="001A115A"/>
    <w:rsid w:val="001A126C"/>
    <w:rsid w:val="001A1D5C"/>
    <w:rsid w:val="001A1EAA"/>
    <w:rsid w:val="001A30B8"/>
    <w:rsid w:val="001A6E82"/>
    <w:rsid w:val="001A7541"/>
    <w:rsid w:val="001A7F06"/>
    <w:rsid w:val="001B173C"/>
    <w:rsid w:val="001B2399"/>
    <w:rsid w:val="001B366C"/>
    <w:rsid w:val="001B53E0"/>
    <w:rsid w:val="001C16E6"/>
    <w:rsid w:val="001C30E7"/>
    <w:rsid w:val="001C6A22"/>
    <w:rsid w:val="001C7C48"/>
    <w:rsid w:val="001D307B"/>
    <w:rsid w:val="001D44E1"/>
    <w:rsid w:val="001D5588"/>
    <w:rsid w:val="001D5815"/>
    <w:rsid w:val="001D61C3"/>
    <w:rsid w:val="001D6ABB"/>
    <w:rsid w:val="001D7E75"/>
    <w:rsid w:val="001E0240"/>
    <w:rsid w:val="001E27D4"/>
    <w:rsid w:val="001E3A06"/>
    <w:rsid w:val="001E602A"/>
    <w:rsid w:val="001E6C1A"/>
    <w:rsid w:val="001F1581"/>
    <w:rsid w:val="001F2E90"/>
    <w:rsid w:val="001F3EF8"/>
    <w:rsid w:val="001F4114"/>
    <w:rsid w:val="001F4BB4"/>
    <w:rsid w:val="001F685A"/>
    <w:rsid w:val="001F68E3"/>
    <w:rsid w:val="00201CBA"/>
    <w:rsid w:val="00203DB5"/>
    <w:rsid w:val="00203F36"/>
    <w:rsid w:val="0020548F"/>
    <w:rsid w:val="00210056"/>
    <w:rsid w:val="00210536"/>
    <w:rsid w:val="00211CD0"/>
    <w:rsid w:val="00212DCC"/>
    <w:rsid w:val="00214D6B"/>
    <w:rsid w:val="00216BA9"/>
    <w:rsid w:val="0022012F"/>
    <w:rsid w:val="00226698"/>
    <w:rsid w:val="0023442F"/>
    <w:rsid w:val="00235128"/>
    <w:rsid w:val="0024019A"/>
    <w:rsid w:val="002423B0"/>
    <w:rsid w:val="00243FDF"/>
    <w:rsid w:val="00244810"/>
    <w:rsid w:val="0024487F"/>
    <w:rsid w:val="00244EA5"/>
    <w:rsid w:val="002452F6"/>
    <w:rsid w:val="0024656D"/>
    <w:rsid w:val="00252AAC"/>
    <w:rsid w:val="00253E94"/>
    <w:rsid w:val="002547A7"/>
    <w:rsid w:val="002554E6"/>
    <w:rsid w:val="0025738C"/>
    <w:rsid w:val="00257A69"/>
    <w:rsid w:val="002627BD"/>
    <w:rsid w:val="002631BE"/>
    <w:rsid w:val="00263687"/>
    <w:rsid w:val="0026377A"/>
    <w:rsid w:val="00263B1F"/>
    <w:rsid w:val="00267624"/>
    <w:rsid w:val="0027484B"/>
    <w:rsid w:val="0027554F"/>
    <w:rsid w:val="00275CA9"/>
    <w:rsid w:val="00276F22"/>
    <w:rsid w:val="00280901"/>
    <w:rsid w:val="00280D22"/>
    <w:rsid w:val="00280E78"/>
    <w:rsid w:val="00281732"/>
    <w:rsid w:val="00284C09"/>
    <w:rsid w:val="00284FE3"/>
    <w:rsid w:val="0028673E"/>
    <w:rsid w:val="00287626"/>
    <w:rsid w:val="002901C9"/>
    <w:rsid w:val="00293E85"/>
    <w:rsid w:val="00294983"/>
    <w:rsid w:val="00295C77"/>
    <w:rsid w:val="002A11CC"/>
    <w:rsid w:val="002A2758"/>
    <w:rsid w:val="002A36BD"/>
    <w:rsid w:val="002A7E22"/>
    <w:rsid w:val="002B2CD4"/>
    <w:rsid w:val="002B4326"/>
    <w:rsid w:val="002B59DF"/>
    <w:rsid w:val="002B5E8C"/>
    <w:rsid w:val="002C048C"/>
    <w:rsid w:val="002C159A"/>
    <w:rsid w:val="002C2D92"/>
    <w:rsid w:val="002C37FA"/>
    <w:rsid w:val="002C7D52"/>
    <w:rsid w:val="002D03A5"/>
    <w:rsid w:val="002D165C"/>
    <w:rsid w:val="002D2B1F"/>
    <w:rsid w:val="002D2D49"/>
    <w:rsid w:val="002D4F85"/>
    <w:rsid w:val="002E1FB1"/>
    <w:rsid w:val="002E2917"/>
    <w:rsid w:val="002E3253"/>
    <w:rsid w:val="002E5AE0"/>
    <w:rsid w:val="002E77F1"/>
    <w:rsid w:val="002F0F8A"/>
    <w:rsid w:val="002F6656"/>
    <w:rsid w:val="002F7579"/>
    <w:rsid w:val="002F7FA1"/>
    <w:rsid w:val="00300DA4"/>
    <w:rsid w:val="00302EA2"/>
    <w:rsid w:val="003059D9"/>
    <w:rsid w:val="00305A88"/>
    <w:rsid w:val="003061B0"/>
    <w:rsid w:val="0031231E"/>
    <w:rsid w:val="00312EDF"/>
    <w:rsid w:val="00315CC3"/>
    <w:rsid w:val="00316669"/>
    <w:rsid w:val="00316BD6"/>
    <w:rsid w:val="00317ABD"/>
    <w:rsid w:val="00320540"/>
    <w:rsid w:val="003216DB"/>
    <w:rsid w:val="00325C66"/>
    <w:rsid w:val="00334CD7"/>
    <w:rsid w:val="0033573B"/>
    <w:rsid w:val="00336C9B"/>
    <w:rsid w:val="003439B5"/>
    <w:rsid w:val="003440AE"/>
    <w:rsid w:val="00344F29"/>
    <w:rsid w:val="00344F33"/>
    <w:rsid w:val="003452A2"/>
    <w:rsid w:val="00345D26"/>
    <w:rsid w:val="00352932"/>
    <w:rsid w:val="00353BFA"/>
    <w:rsid w:val="00354A27"/>
    <w:rsid w:val="00361581"/>
    <w:rsid w:val="00361A99"/>
    <w:rsid w:val="0036264F"/>
    <w:rsid w:val="003634BE"/>
    <w:rsid w:val="00364260"/>
    <w:rsid w:val="0036473E"/>
    <w:rsid w:val="003655DC"/>
    <w:rsid w:val="0037158E"/>
    <w:rsid w:val="00373FD6"/>
    <w:rsid w:val="003751F0"/>
    <w:rsid w:val="00376FA2"/>
    <w:rsid w:val="00380B0B"/>
    <w:rsid w:val="0038183C"/>
    <w:rsid w:val="00381C86"/>
    <w:rsid w:val="003829B1"/>
    <w:rsid w:val="00385F79"/>
    <w:rsid w:val="00390266"/>
    <w:rsid w:val="003905D7"/>
    <w:rsid w:val="00394331"/>
    <w:rsid w:val="003966A4"/>
    <w:rsid w:val="00397C78"/>
    <w:rsid w:val="003A2D72"/>
    <w:rsid w:val="003A6188"/>
    <w:rsid w:val="003A6C0C"/>
    <w:rsid w:val="003A7472"/>
    <w:rsid w:val="003B086B"/>
    <w:rsid w:val="003B1761"/>
    <w:rsid w:val="003B1ECC"/>
    <w:rsid w:val="003B3B32"/>
    <w:rsid w:val="003B45C7"/>
    <w:rsid w:val="003B6A70"/>
    <w:rsid w:val="003C5C4B"/>
    <w:rsid w:val="003C7272"/>
    <w:rsid w:val="003C7868"/>
    <w:rsid w:val="003D4855"/>
    <w:rsid w:val="003D7024"/>
    <w:rsid w:val="003D77C2"/>
    <w:rsid w:val="003E0DED"/>
    <w:rsid w:val="003E0F05"/>
    <w:rsid w:val="003E1CD9"/>
    <w:rsid w:val="003E3C40"/>
    <w:rsid w:val="003E4692"/>
    <w:rsid w:val="003E796C"/>
    <w:rsid w:val="003F0528"/>
    <w:rsid w:val="003F171F"/>
    <w:rsid w:val="003F230D"/>
    <w:rsid w:val="003F5462"/>
    <w:rsid w:val="003F5C4E"/>
    <w:rsid w:val="003F75EB"/>
    <w:rsid w:val="003F7A7B"/>
    <w:rsid w:val="00401281"/>
    <w:rsid w:val="00404CBB"/>
    <w:rsid w:val="004100B4"/>
    <w:rsid w:val="004107C2"/>
    <w:rsid w:val="00410F76"/>
    <w:rsid w:val="004135BB"/>
    <w:rsid w:val="00413B85"/>
    <w:rsid w:val="004145C6"/>
    <w:rsid w:val="0041570C"/>
    <w:rsid w:val="00417CFA"/>
    <w:rsid w:val="004208B3"/>
    <w:rsid w:val="00422231"/>
    <w:rsid w:val="0042239F"/>
    <w:rsid w:val="00422F97"/>
    <w:rsid w:val="004238A9"/>
    <w:rsid w:val="0042553C"/>
    <w:rsid w:val="00426AE6"/>
    <w:rsid w:val="00427A2D"/>
    <w:rsid w:val="004303C3"/>
    <w:rsid w:val="00430644"/>
    <w:rsid w:val="00430F40"/>
    <w:rsid w:val="00432D72"/>
    <w:rsid w:val="004333EA"/>
    <w:rsid w:val="004347AD"/>
    <w:rsid w:val="00435335"/>
    <w:rsid w:val="00436570"/>
    <w:rsid w:val="00444F75"/>
    <w:rsid w:val="0044504C"/>
    <w:rsid w:val="00445B57"/>
    <w:rsid w:val="00445EA4"/>
    <w:rsid w:val="0044615D"/>
    <w:rsid w:val="00446C96"/>
    <w:rsid w:val="00447DA8"/>
    <w:rsid w:val="004530F9"/>
    <w:rsid w:val="004549A8"/>
    <w:rsid w:val="0045617F"/>
    <w:rsid w:val="0046441F"/>
    <w:rsid w:val="00466A1C"/>
    <w:rsid w:val="00470D2E"/>
    <w:rsid w:val="00471B96"/>
    <w:rsid w:val="0047333F"/>
    <w:rsid w:val="004735BF"/>
    <w:rsid w:val="00474168"/>
    <w:rsid w:val="00474222"/>
    <w:rsid w:val="00476AFA"/>
    <w:rsid w:val="004772FB"/>
    <w:rsid w:val="00482013"/>
    <w:rsid w:val="0048604A"/>
    <w:rsid w:val="004860D2"/>
    <w:rsid w:val="00487C52"/>
    <w:rsid w:val="004905FE"/>
    <w:rsid w:val="00491074"/>
    <w:rsid w:val="004929BF"/>
    <w:rsid w:val="00493ECA"/>
    <w:rsid w:val="00493EFE"/>
    <w:rsid w:val="00495669"/>
    <w:rsid w:val="00495A0D"/>
    <w:rsid w:val="00495C6E"/>
    <w:rsid w:val="004963A2"/>
    <w:rsid w:val="004A211D"/>
    <w:rsid w:val="004A2D47"/>
    <w:rsid w:val="004A4B8F"/>
    <w:rsid w:val="004A5573"/>
    <w:rsid w:val="004A692B"/>
    <w:rsid w:val="004A77DC"/>
    <w:rsid w:val="004A77E5"/>
    <w:rsid w:val="004A7D69"/>
    <w:rsid w:val="004B045B"/>
    <w:rsid w:val="004B0538"/>
    <w:rsid w:val="004B49C6"/>
    <w:rsid w:val="004B50B0"/>
    <w:rsid w:val="004B77B2"/>
    <w:rsid w:val="004C0605"/>
    <w:rsid w:val="004C43D4"/>
    <w:rsid w:val="004C7B2B"/>
    <w:rsid w:val="004D1321"/>
    <w:rsid w:val="004D1D5C"/>
    <w:rsid w:val="004D2513"/>
    <w:rsid w:val="004D2586"/>
    <w:rsid w:val="004D4B93"/>
    <w:rsid w:val="004D6709"/>
    <w:rsid w:val="004D7A68"/>
    <w:rsid w:val="004F25ED"/>
    <w:rsid w:val="004F5DBA"/>
    <w:rsid w:val="005005DA"/>
    <w:rsid w:val="005005DD"/>
    <w:rsid w:val="00501D8A"/>
    <w:rsid w:val="00503040"/>
    <w:rsid w:val="00503269"/>
    <w:rsid w:val="005037B8"/>
    <w:rsid w:val="005065B4"/>
    <w:rsid w:val="00510DFE"/>
    <w:rsid w:val="00511925"/>
    <w:rsid w:val="00514EFA"/>
    <w:rsid w:val="00523403"/>
    <w:rsid w:val="00524AB5"/>
    <w:rsid w:val="00525755"/>
    <w:rsid w:val="00527CA1"/>
    <w:rsid w:val="00527E4C"/>
    <w:rsid w:val="00530FF5"/>
    <w:rsid w:val="00531120"/>
    <w:rsid w:val="00531A1B"/>
    <w:rsid w:val="00532082"/>
    <w:rsid w:val="00532FE3"/>
    <w:rsid w:val="00540A71"/>
    <w:rsid w:val="00541D19"/>
    <w:rsid w:val="005437D4"/>
    <w:rsid w:val="00544551"/>
    <w:rsid w:val="0055127A"/>
    <w:rsid w:val="00552837"/>
    <w:rsid w:val="00554527"/>
    <w:rsid w:val="00554CF6"/>
    <w:rsid w:val="005553C0"/>
    <w:rsid w:val="00562194"/>
    <w:rsid w:val="00564692"/>
    <w:rsid w:val="00564EBB"/>
    <w:rsid w:val="00566573"/>
    <w:rsid w:val="00566B87"/>
    <w:rsid w:val="00566D36"/>
    <w:rsid w:val="00567136"/>
    <w:rsid w:val="00567AAA"/>
    <w:rsid w:val="00570939"/>
    <w:rsid w:val="00571D54"/>
    <w:rsid w:val="00573790"/>
    <w:rsid w:val="00574276"/>
    <w:rsid w:val="005748C7"/>
    <w:rsid w:val="00574949"/>
    <w:rsid w:val="005766AB"/>
    <w:rsid w:val="0057775E"/>
    <w:rsid w:val="00577B5A"/>
    <w:rsid w:val="00581DAD"/>
    <w:rsid w:val="005821E9"/>
    <w:rsid w:val="00585BC3"/>
    <w:rsid w:val="0058656D"/>
    <w:rsid w:val="00597339"/>
    <w:rsid w:val="00597459"/>
    <w:rsid w:val="00597D34"/>
    <w:rsid w:val="005A266C"/>
    <w:rsid w:val="005A3616"/>
    <w:rsid w:val="005A46D7"/>
    <w:rsid w:val="005A7562"/>
    <w:rsid w:val="005B27C4"/>
    <w:rsid w:val="005B28EF"/>
    <w:rsid w:val="005B31D8"/>
    <w:rsid w:val="005B369D"/>
    <w:rsid w:val="005B3B8E"/>
    <w:rsid w:val="005B6CC2"/>
    <w:rsid w:val="005B7171"/>
    <w:rsid w:val="005B737C"/>
    <w:rsid w:val="005B7698"/>
    <w:rsid w:val="005C0D06"/>
    <w:rsid w:val="005C19E0"/>
    <w:rsid w:val="005C3107"/>
    <w:rsid w:val="005C3D9F"/>
    <w:rsid w:val="005C598C"/>
    <w:rsid w:val="005D0234"/>
    <w:rsid w:val="005D06A1"/>
    <w:rsid w:val="005D1A93"/>
    <w:rsid w:val="005D1B92"/>
    <w:rsid w:val="005D61C0"/>
    <w:rsid w:val="005D62D3"/>
    <w:rsid w:val="005D7711"/>
    <w:rsid w:val="005E1C29"/>
    <w:rsid w:val="005E201D"/>
    <w:rsid w:val="005E2165"/>
    <w:rsid w:val="005E3AC7"/>
    <w:rsid w:val="005E3C63"/>
    <w:rsid w:val="005E4A7B"/>
    <w:rsid w:val="005E4B80"/>
    <w:rsid w:val="005E54E3"/>
    <w:rsid w:val="005E5EB7"/>
    <w:rsid w:val="005F0AD5"/>
    <w:rsid w:val="005F25E9"/>
    <w:rsid w:val="005F36A0"/>
    <w:rsid w:val="005F4FDC"/>
    <w:rsid w:val="005F5B26"/>
    <w:rsid w:val="005F64EE"/>
    <w:rsid w:val="005F681B"/>
    <w:rsid w:val="005F69AB"/>
    <w:rsid w:val="006010F2"/>
    <w:rsid w:val="006014B0"/>
    <w:rsid w:val="00602259"/>
    <w:rsid w:val="00603B39"/>
    <w:rsid w:val="00607D8C"/>
    <w:rsid w:val="006110B5"/>
    <w:rsid w:val="00611634"/>
    <w:rsid w:val="00611755"/>
    <w:rsid w:val="00613B30"/>
    <w:rsid w:val="0061732E"/>
    <w:rsid w:val="0061796B"/>
    <w:rsid w:val="0062162A"/>
    <w:rsid w:val="006218A6"/>
    <w:rsid w:val="006239EC"/>
    <w:rsid w:val="00623E1E"/>
    <w:rsid w:val="0062420D"/>
    <w:rsid w:val="00624BBD"/>
    <w:rsid w:val="00627A56"/>
    <w:rsid w:val="00630D14"/>
    <w:rsid w:val="006344E6"/>
    <w:rsid w:val="006371ED"/>
    <w:rsid w:val="00637AAD"/>
    <w:rsid w:val="00640308"/>
    <w:rsid w:val="00645629"/>
    <w:rsid w:val="00646A73"/>
    <w:rsid w:val="0065058E"/>
    <w:rsid w:val="006513EF"/>
    <w:rsid w:val="00652E0F"/>
    <w:rsid w:val="00653F2C"/>
    <w:rsid w:val="00654C5A"/>
    <w:rsid w:val="00654F55"/>
    <w:rsid w:val="00655A4F"/>
    <w:rsid w:val="00655D69"/>
    <w:rsid w:val="006574E1"/>
    <w:rsid w:val="00661AE4"/>
    <w:rsid w:val="0066381D"/>
    <w:rsid w:val="00663985"/>
    <w:rsid w:val="00664293"/>
    <w:rsid w:val="00664AEB"/>
    <w:rsid w:val="00666558"/>
    <w:rsid w:val="006721A7"/>
    <w:rsid w:val="00672E2A"/>
    <w:rsid w:val="00673A96"/>
    <w:rsid w:val="006749F4"/>
    <w:rsid w:val="00676D43"/>
    <w:rsid w:val="00676EF9"/>
    <w:rsid w:val="0068033F"/>
    <w:rsid w:val="00682CC7"/>
    <w:rsid w:val="006840A1"/>
    <w:rsid w:val="00684D02"/>
    <w:rsid w:val="00686149"/>
    <w:rsid w:val="006862A1"/>
    <w:rsid w:val="0069132E"/>
    <w:rsid w:val="006929F2"/>
    <w:rsid w:val="00692D68"/>
    <w:rsid w:val="00694EF4"/>
    <w:rsid w:val="00696CBD"/>
    <w:rsid w:val="006A1F76"/>
    <w:rsid w:val="006A2011"/>
    <w:rsid w:val="006A3A1D"/>
    <w:rsid w:val="006A402E"/>
    <w:rsid w:val="006A4AAF"/>
    <w:rsid w:val="006A7F2F"/>
    <w:rsid w:val="006B1403"/>
    <w:rsid w:val="006B2066"/>
    <w:rsid w:val="006B7ED0"/>
    <w:rsid w:val="006B7F25"/>
    <w:rsid w:val="006C08C9"/>
    <w:rsid w:val="006C4396"/>
    <w:rsid w:val="006C4807"/>
    <w:rsid w:val="006C6FD5"/>
    <w:rsid w:val="006D11E6"/>
    <w:rsid w:val="006D164D"/>
    <w:rsid w:val="006D200F"/>
    <w:rsid w:val="006D2BF1"/>
    <w:rsid w:val="006D4CB3"/>
    <w:rsid w:val="006D6027"/>
    <w:rsid w:val="006E273D"/>
    <w:rsid w:val="006E4C6A"/>
    <w:rsid w:val="006E5289"/>
    <w:rsid w:val="006E61DA"/>
    <w:rsid w:val="006E7A96"/>
    <w:rsid w:val="006F1328"/>
    <w:rsid w:val="006F3188"/>
    <w:rsid w:val="006F40EA"/>
    <w:rsid w:val="006F785F"/>
    <w:rsid w:val="007026E6"/>
    <w:rsid w:val="00702BEC"/>
    <w:rsid w:val="00703C2C"/>
    <w:rsid w:val="00703E70"/>
    <w:rsid w:val="00703F38"/>
    <w:rsid w:val="007072C9"/>
    <w:rsid w:val="00710951"/>
    <w:rsid w:val="00710A26"/>
    <w:rsid w:val="007113EA"/>
    <w:rsid w:val="00715F19"/>
    <w:rsid w:val="007213A5"/>
    <w:rsid w:val="00722B79"/>
    <w:rsid w:val="00723BBB"/>
    <w:rsid w:val="007306C6"/>
    <w:rsid w:val="007321E2"/>
    <w:rsid w:val="007325F6"/>
    <w:rsid w:val="00733CDC"/>
    <w:rsid w:val="00734E98"/>
    <w:rsid w:val="00737353"/>
    <w:rsid w:val="007378B9"/>
    <w:rsid w:val="00745852"/>
    <w:rsid w:val="00747564"/>
    <w:rsid w:val="00747F60"/>
    <w:rsid w:val="00750948"/>
    <w:rsid w:val="00751843"/>
    <w:rsid w:val="00753106"/>
    <w:rsid w:val="00760024"/>
    <w:rsid w:val="00763BB4"/>
    <w:rsid w:val="00763D6C"/>
    <w:rsid w:val="00763DBA"/>
    <w:rsid w:val="007642B8"/>
    <w:rsid w:val="0076460A"/>
    <w:rsid w:val="00765DDD"/>
    <w:rsid w:val="00766C79"/>
    <w:rsid w:val="00771405"/>
    <w:rsid w:val="00771D5F"/>
    <w:rsid w:val="0077247C"/>
    <w:rsid w:val="007725F4"/>
    <w:rsid w:val="00774D33"/>
    <w:rsid w:val="00776F53"/>
    <w:rsid w:val="00777064"/>
    <w:rsid w:val="0078429B"/>
    <w:rsid w:val="007846A1"/>
    <w:rsid w:val="00786A4F"/>
    <w:rsid w:val="00786DC4"/>
    <w:rsid w:val="00786E54"/>
    <w:rsid w:val="00790A9F"/>
    <w:rsid w:val="00790AB9"/>
    <w:rsid w:val="007937C1"/>
    <w:rsid w:val="007944F9"/>
    <w:rsid w:val="007947F0"/>
    <w:rsid w:val="007A0015"/>
    <w:rsid w:val="007A207C"/>
    <w:rsid w:val="007A4FAC"/>
    <w:rsid w:val="007A53F1"/>
    <w:rsid w:val="007A665C"/>
    <w:rsid w:val="007A6F49"/>
    <w:rsid w:val="007B1785"/>
    <w:rsid w:val="007B7010"/>
    <w:rsid w:val="007B77B0"/>
    <w:rsid w:val="007C15D0"/>
    <w:rsid w:val="007C1620"/>
    <w:rsid w:val="007C6DEE"/>
    <w:rsid w:val="007C72B6"/>
    <w:rsid w:val="007D23C5"/>
    <w:rsid w:val="007D291F"/>
    <w:rsid w:val="007D3C5F"/>
    <w:rsid w:val="007E09F7"/>
    <w:rsid w:val="007E10EC"/>
    <w:rsid w:val="007E4697"/>
    <w:rsid w:val="007E5BB1"/>
    <w:rsid w:val="007E7444"/>
    <w:rsid w:val="007F065A"/>
    <w:rsid w:val="007F1E9D"/>
    <w:rsid w:val="007F3175"/>
    <w:rsid w:val="00802671"/>
    <w:rsid w:val="00803468"/>
    <w:rsid w:val="00805A7A"/>
    <w:rsid w:val="0081386B"/>
    <w:rsid w:val="008139F4"/>
    <w:rsid w:val="00816A93"/>
    <w:rsid w:val="00820363"/>
    <w:rsid w:val="00821FCC"/>
    <w:rsid w:val="00821FD5"/>
    <w:rsid w:val="00822179"/>
    <w:rsid w:val="0082401F"/>
    <w:rsid w:val="008257B9"/>
    <w:rsid w:val="00826A43"/>
    <w:rsid w:val="008277AF"/>
    <w:rsid w:val="008303A2"/>
    <w:rsid w:val="00830693"/>
    <w:rsid w:val="008307BF"/>
    <w:rsid w:val="00832B03"/>
    <w:rsid w:val="00833246"/>
    <w:rsid w:val="0083329B"/>
    <w:rsid w:val="0083444B"/>
    <w:rsid w:val="00834598"/>
    <w:rsid w:val="00835C20"/>
    <w:rsid w:val="008410C9"/>
    <w:rsid w:val="008437FF"/>
    <w:rsid w:val="0084729A"/>
    <w:rsid w:val="00850F55"/>
    <w:rsid w:val="00853549"/>
    <w:rsid w:val="00853ABD"/>
    <w:rsid w:val="00853EBF"/>
    <w:rsid w:val="0085428A"/>
    <w:rsid w:val="00855EFA"/>
    <w:rsid w:val="0085695F"/>
    <w:rsid w:val="00857BE1"/>
    <w:rsid w:val="00861C51"/>
    <w:rsid w:val="0086265C"/>
    <w:rsid w:val="00862DFF"/>
    <w:rsid w:val="00863288"/>
    <w:rsid w:val="00863A50"/>
    <w:rsid w:val="00863DE2"/>
    <w:rsid w:val="00864085"/>
    <w:rsid w:val="0086583E"/>
    <w:rsid w:val="00866316"/>
    <w:rsid w:val="008670E0"/>
    <w:rsid w:val="00873C91"/>
    <w:rsid w:val="0087460C"/>
    <w:rsid w:val="00875177"/>
    <w:rsid w:val="00877034"/>
    <w:rsid w:val="00881C80"/>
    <w:rsid w:val="008842AB"/>
    <w:rsid w:val="00884CE0"/>
    <w:rsid w:val="00885816"/>
    <w:rsid w:val="008871DB"/>
    <w:rsid w:val="00887ACC"/>
    <w:rsid w:val="008913BD"/>
    <w:rsid w:val="008923F1"/>
    <w:rsid w:val="008931B5"/>
    <w:rsid w:val="008934ED"/>
    <w:rsid w:val="00895DEB"/>
    <w:rsid w:val="008977BD"/>
    <w:rsid w:val="008A0B43"/>
    <w:rsid w:val="008A2FE1"/>
    <w:rsid w:val="008A307E"/>
    <w:rsid w:val="008A5F2D"/>
    <w:rsid w:val="008A6A38"/>
    <w:rsid w:val="008A7E74"/>
    <w:rsid w:val="008B04DC"/>
    <w:rsid w:val="008B19E4"/>
    <w:rsid w:val="008B1DEC"/>
    <w:rsid w:val="008B27DC"/>
    <w:rsid w:val="008B359E"/>
    <w:rsid w:val="008B4C99"/>
    <w:rsid w:val="008B6180"/>
    <w:rsid w:val="008B62E2"/>
    <w:rsid w:val="008B7A2A"/>
    <w:rsid w:val="008C03FE"/>
    <w:rsid w:val="008C082E"/>
    <w:rsid w:val="008C2325"/>
    <w:rsid w:val="008C657C"/>
    <w:rsid w:val="008D5C76"/>
    <w:rsid w:val="008D63B4"/>
    <w:rsid w:val="008D6712"/>
    <w:rsid w:val="008E040E"/>
    <w:rsid w:val="008E692A"/>
    <w:rsid w:val="008E7C70"/>
    <w:rsid w:val="008F2111"/>
    <w:rsid w:val="008F6346"/>
    <w:rsid w:val="00901CDE"/>
    <w:rsid w:val="00901DFC"/>
    <w:rsid w:val="00901FDC"/>
    <w:rsid w:val="009028C1"/>
    <w:rsid w:val="00902926"/>
    <w:rsid w:val="00903086"/>
    <w:rsid w:val="009034EA"/>
    <w:rsid w:val="009114D0"/>
    <w:rsid w:val="009117FA"/>
    <w:rsid w:val="0091228B"/>
    <w:rsid w:val="00914769"/>
    <w:rsid w:val="00917287"/>
    <w:rsid w:val="009216DE"/>
    <w:rsid w:val="00924318"/>
    <w:rsid w:val="009243FF"/>
    <w:rsid w:val="00924C93"/>
    <w:rsid w:val="0092586F"/>
    <w:rsid w:val="00925899"/>
    <w:rsid w:val="00931F7A"/>
    <w:rsid w:val="00934F9A"/>
    <w:rsid w:val="0094220F"/>
    <w:rsid w:val="0094239F"/>
    <w:rsid w:val="00943A13"/>
    <w:rsid w:val="00946B2E"/>
    <w:rsid w:val="009476E5"/>
    <w:rsid w:val="00950431"/>
    <w:rsid w:val="00950455"/>
    <w:rsid w:val="00950C33"/>
    <w:rsid w:val="00950D30"/>
    <w:rsid w:val="009544F0"/>
    <w:rsid w:val="00954724"/>
    <w:rsid w:val="00954742"/>
    <w:rsid w:val="009566A1"/>
    <w:rsid w:val="00961160"/>
    <w:rsid w:val="009619BD"/>
    <w:rsid w:val="00961FB6"/>
    <w:rsid w:val="0096475A"/>
    <w:rsid w:val="009708B4"/>
    <w:rsid w:val="00973AC0"/>
    <w:rsid w:val="00982029"/>
    <w:rsid w:val="0098244C"/>
    <w:rsid w:val="00983EFB"/>
    <w:rsid w:val="00985E58"/>
    <w:rsid w:val="00990481"/>
    <w:rsid w:val="00990F8D"/>
    <w:rsid w:val="00991997"/>
    <w:rsid w:val="00992CB5"/>
    <w:rsid w:val="00994750"/>
    <w:rsid w:val="009955BE"/>
    <w:rsid w:val="009A5E52"/>
    <w:rsid w:val="009B0A02"/>
    <w:rsid w:val="009B2EFE"/>
    <w:rsid w:val="009C04AB"/>
    <w:rsid w:val="009C1D45"/>
    <w:rsid w:val="009C47A7"/>
    <w:rsid w:val="009D1BAE"/>
    <w:rsid w:val="009D5C18"/>
    <w:rsid w:val="009D692B"/>
    <w:rsid w:val="009D7AB0"/>
    <w:rsid w:val="009E638D"/>
    <w:rsid w:val="009E718D"/>
    <w:rsid w:val="009F22A8"/>
    <w:rsid w:val="009F43B9"/>
    <w:rsid w:val="009F4E87"/>
    <w:rsid w:val="009F64DD"/>
    <w:rsid w:val="00A011DE"/>
    <w:rsid w:val="00A01A05"/>
    <w:rsid w:val="00A02997"/>
    <w:rsid w:val="00A03646"/>
    <w:rsid w:val="00A10467"/>
    <w:rsid w:val="00A1204D"/>
    <w:rsid w:val="00A13C13"/>
    <w:rsid w:val="00A20B40"/>
    <w:rsid w:val="00A232D3"/>
    <w:rsid w:val="00A24815"/>
    <w:rsid w:val="00A273F5"/>
    <w:rsid w:val="00A30682"/>
    <w:rsid w:val="00A3117A"/>
    <w:rsid w:val="00A349AB"/>
    <w:rsid w:val="00A35374"/>
    <w:rsid w:val="00A359F8"/>
    <w:rsid w:val="00A41C1A"/>
    <w:rsid w:val="00A42491"/>
    <w:rsid w:val="00A42FDF"/>
    <w:rsid w:val="00A44153"/>
    <w:rsid w:val="00A5109B"/>
    <w:rsid w:val="00A51C46"/>
    <w:rsid w:val="00A53C76"/>
    <w:rsid w:val="00A53D83"/>
    <w:rsid w:val="00A54D20"/>
    <w:rsid w:val="00A551F9"/>
    <w:rsid w:val="00A6256D"/>
    <w:rsid w:val="00A65B42"/>
    <w:rsid w:val="00A65C26"/>
    <w:rsid w:val="00A70AA3"/>
    <w:rsid w:val="00A714DC"/>
    <w:rsid w:val="00A7257A"/>
    <w:rsid w:val="00A73A33"/>
    <w:rsid w:val="00A743C4"/>
    <w:rsid w:val="00A74B7A"/>
    <w:rsid w:val="00A85D56"/>
    <w:rsid w:val="00A868AA"/>
    <w:rsid w:val="00A8788D"/>
    <w:rsid w:val="00A901C5"/>
    <w:rsid w:val="00A91995"/>
    <w:rsid w:val="00A92B4C"/>
    <w:rsid w:val="00A92BC8"/>
    <w:rsid w:val="00A97C87"/>
    <w:rsid w:val="00AA20D9"/>
    <w:rsid w:val="00AA2811"/>
    <w:rsid w:val="00AA740E"/>
    <w:rsid w:val="00AB1551"/>
    <w:rsid w:val="00AB307B"/>
    <w:rsid w:val="00AB335B"/>
    <w:rsid w:val="00AB60C8"/>
    <w:rsid w:val="00AC1B5E"/>
    <w:rsid w:val="00AC3603"/>
    <w:rsid w:val="00AC3A09"/>
    <w:rsid w:val="00AC3A13"/>
    <w:rsid w:val="00AC3FBD"/>
    <w:rsid w:val="00AC4674"/>
    <w:rsid w:val="00AC78EF"/>
    <w:rsid w:val="00AC7998"/>
    <w:rsid w:val="00AD09C5"/>
    <w:rsid w:val="00AD6039"/>
    <w:rsid w:val="00AE00C4"/>
    <w:rsid w:val="00AE0F56"/>
    <w:rsid w:val="00AE444E"/>
    <w:rsid w:val="00AE6B6B"/>
    <w:rsid w:val="00AF1CB6"/>
    <w:rsid w:val="00AF2C26"/>
    <w:rsid w:val="00AF4250"/>
    <w:rsid w:val="00AF42AC"/>
    <w:rsid w:val="00AF530E"/>
    <w:rsid w:val="00AF5F45"/>
    <w:rsid w:val="00AF5F5E"/>
    <w:rsid w:val="00AF647F"/>
    <w:rsid w:val="00AF6934"/>
    <w:rsid w:val="00AF7B72"/>
    <w:rsid w:val="00B013C9"/>
    <w:rsid w:val="00B0393A"/>
    <w:rsid w:val="00B04680"/>
    <w:rsid w:val="00B10675"/>
    <w:rsid w:val="00B10FD8"/>
    <w:rsid w:val="00B11C45"/>
    <w:rsid w:val="00B11E83"/>
    <w:rsid w:val="00B12210"/>
    <w:rsid w:val="00B12401"/>
    <w:rsid w:val="00B124D9"/>
    <w:rsid w:val="00B14449"/>
    <w:rsid w:val="00B15364"/>
    <w:rsid w:val="00B15921"/>
    <w:rsid w:val="00B20B8A"/>
    <w:rsid w:val="00B2245F"/>
    <w:rsid w:val="00B224C6"/>
    <w:rsid w:val="00B22C85"/>
    <w:rsid w:val="00B25B1B"/>
    <w:rsid w:val="00B34561"/>
    <w:rsid w:val="00B34EF1"/>
    <w:rsid w:val="00B3545D"/>
    <w:rsid w:val="00B36D14"/>
    <w:rsid w:val="00B4057E"/>
    <w:rsid w:val="00B40806"/>
    <w:rsid w:val="00B40E8C"/>
    <w:rsid w:val="00B4229C"/>
    <w:rsid w:val="00B44F0D"/>
    <w:rsid w:val="00B46A53"/>
    <w:rsid w:val="00B477D9"/>
    <w:rsid w:val="00B47E5F"/>
    <w:rsid w:val="00B51CAE"/>
    <w:rsid w:val="00B52673"/>
    <w:rsid w:val="00B52D66"/>
    <w:rsid w:val="00B6587D"/>
    <w:rsid w:val="00B658CA"/>
    <w:rsid w:val="00B65DB1"/>
    <w:rsid w:val="00B6610A"/>
    <w:rsid w:val="00B735F0"/>
    <w:rsid w:val="00B7626A"/>
    <w:rsid w:val="00B77431"/>
    <w:rsid w:val="00B81E6B"/>
    <w:rsid w:val="00B8499B"/>
    <w:rsid w:val="00B861CA"/>
    <w:rsid w:val="00B8798D"/>
    <w:rsid w:val="00B91ACB"/>
    <w:rsid w:val="00B937B3"/>
    <w:rsid w:val="00BA18EF"/>
    <w:rsid w:val="00BA3984"/>
    <w:rsid w:val="00BA3FE5"/>
    <w:rsid w:val="00BA483D"/>
    <w:rsid w:val="00BA5B03"/>
    <w:rsid w:val="00BA6E47"/>
    <w:rsid w:val="00BA7712"/>
    <w:rsid w:val="00BA79CF"/>
    <w:rsid w:val="00BB199F"/>
    <w:rsid w:val="00BB27AE"/>
    <w:rsid w:val="00BB36C7"/>
    <w:rsid w:val="00BB39CD"/>
    <w:rsid w:val="00BB659A"/>
    <w:rsid w:val="00BC05D4"/>
    <w:rsid w:val="00BC4E0C"/>
    <w:rsid w:val="00BC7A1D"/>
    <w:rsid w:val="00BD14C0"/>
    <w:rsid w:val="00BD5093"/>
    <w:rsid w:val="00BE275A"/>
    <w:rsid w:val="00BE2805"/>
    <w:rsid w:val="00BE39CD"/>
    <w:rsid w:val="00BE6539"/>
    <w:rsid w:val="00BE699A"/>
    <w:rsid w:val="00BF3570"/>
    <w:rsid w:val="00BF3ED6"/>
    <w:rsid w:val="00BF46F6"/>
    <w:rsid w:val="00BF5919"/>
    <w:rsid w:val="00BF76CD"/>
    <w:rsid w:val="00C01918"/>
    <w:rsid w:val="00C03C29"/>
    <w:rsid w:val="00C04F77"/>
    <w:rsid w:val="00C0662D"/>
    <w:rsid w:val="00C0668D"/>
    <w:rsid w:val="00C06B6F"/>
    <w:rsid w:val="00C07AE0"/>
    <w:rsid w:val="00C10667"/>
    <w:rsid w:val="00C10973"/>
    <w:rsid w:val="00C1110B"/>
    <w:rsid w:val="00C1244E"/>
    <w:rsid w:val="00C13256"/>
    <w:rsid w:val="00C132DB"/>
    <w:rsid w:val="00C157E9"/>
    <w:rsid w:val="00C203FA"/>
    <w:rsid w:val="00C20CE4"/>
    <w:rsid w:val="00C27A80"/>
    <w:rsid w:val="00C3055E"/>
    <w:rsid w:val="00C31069"/>
    <w:rsid w:val="00C31BBF"/>
    <w:rsid w:val="00C31FCE"/>
    <w:rsid w:val="00C332E0"/>
    <w:rsid w:val="00C357CB"/>
    <w:rsid w:val="00C372B2"/>
    <w:rsid w:val="00C37355"/>
    <w:rsid w:val="00C3799C"/>
    <w:rsid w:val="00C40944"/>
    <w:rsid w:val="00C41648"/>
    <w:rsid w:val="00C41A6C"/>
    <w:rsid w:val="00C4318A"/>
    <w:rsid w:val="00C436C1"/>
    <w:rsid w:val="00C44D1B"/>
    <w:rsid w:val="00C4571A"/>
    <w:rsid w:val="00C4590E"/>
    <w:rsid w:val="00C5260C"/>
    <w:rsid w:val="00C53641"/>
    <w:rsid w:val="00C60463"/>
    <w:rsid w:val="00C60F22"/>
    <w:rsid w:val="00C62293"/>
    <w:rsid w:val="00C65A85"/>
    <w:rsid w:val="00C65EE2"/>
    <w:rsid w:val="00C67AF7"/>
    <w:rsid w:val="00C701AE"/>
    <w:rsid w:val="00C71756"/>
    <w:rsid w:val="00C7360E"/>
    <w:rsid w:val="00C74A21"/>
    <w:rsid w:val="00C75C0F"/>
    <w:rsid w:val="00C76847"/>
    <w:rsid w:val="00C779A4"/>
    <w:rsid w:val="00C77BFA"/>
    <w:rsid w:val="00C8029E"/>
    <w:rsid w:val="00C8365A"/>
    <w:rsid w:val="00C84521"/>
    <w:rsid w:val="00C92488"/>
    <w:rsid w:val="00C93F85"/>
    <w:rsid w:val="00C94142"/>
    <w:rsid w:val="00C96AC9"/>
    <w:rsid w:val="00CA2A18"/>
    <w:rsid w:val="00CA3291"/>
    <w:rsid w:val="00CA380F"/>
    <w:rsid w:val="00CB6175"/>
    <w:rsid w:val="00CB6B0C"/>
    <w:rsid w:val="00CB6FF0"/>
    <w:rsid w:val="00CC2220"/>
    <w:rsid w:val="00CC4116"/>
    <w:rsid w:val="00CC44F2"/>
    <w:rsid w:val="00CC49E4"/>
    <w:rsid w:val="00CC50E9"/>
    <w:rsid w:val="00CC54F8"/>
    <w:rsid w:val="00CD3844"/>
    <w:rsid w:val="00CD4019"/>
    <w:rsid w:val="00CD50D5"/>
    <w:rsid w:val="00CD6CDB"/>
    <w:rsid w:val="00CE1295"/>
    <w:rsid w:val="00CE195D"/>
    <w:rsid w:val="00CE1DAF"/>
    <w:rsid w:val="00CE2625"/>
    <w:rsid w:val="00CE28C2"/>
    <w:rsid w:val="00CE2B0C"/>
    <w:rsid w:val="00CE458D"/>
    <w:rsid w:val="00CE4E76"/>
    <w:rsid w:val="00CE53BF"/>
    <w:rsid w:val="00CE5498"/>
    <w:rsid w:val="00CE6974"/>
    <w:rsid w:val="00CF3B0C"/>
    <w:rsid w:val="00CF3B64"/>
    <w:rsid w:val="00CF3E05"/>
    <w:rsid w:val="00CF551F"/>
    <w:rsid w:val="00CF6A82"/>
    <w:rsid w:val="00D01854"/>
    <w:rsid w:val="00D036C3"/>
    <w:rsid w:val="00D04A44"/>
    <w:rsid w:val="00D10229"/>
    <w:rsid w:val="00D109CC"/>
    <w:rsid w:val="00D12A6B"/>
    <w:rsid w:val="00D12F24"/>
    <w:rsid w:val="00D14A94"/>
    <w:rsid w:val="00D154D8"/>
    <w:rsid w:val="00D16EB6"/>
    <w:rsid w:val="00D24513"/>
    <w:rsid w:val="00D25BC8"/>
    <w:rsid w:val="00D25DCE"/>
    <w:rsid w:val="00D346E3"/>
    <w:rsid w:val="00D347C7"/>
    <w:rsid w:val="00D358B6"/>
    <w:rsid w:val="00D42559"/>
    <w:rsid w:val="00D42A3A"/>
    <w:rsid w:val="00D45662"/>
    <w:rsid w:val="00D45A31"/>
    <w:rsid w:val="00D51664"/>
    <w:rsid w:val="00D521A6"/>
    <w:rsid w:val="00D530FE"/>
    <w:rsid w:val="00D57800"/>
    <w:rsid w:val="00D600E5"/>
    <w:rsid w:val="00D6042D"/>
    <w:rsid w:val="00D6146F"/>
    <w:rsid w:val="00D61CC7"/>
    <w:rsid w:val="00D620F7"/>
    <w:rsid w:val="00D629E1"/>
    <w:rsid w:val="00D64B0C"/>
    <w:rsid w:val="00D664AC"/>
    <w:rsid w:val="00D7165B"/>
    <w:rsid w:val="00D71ADE"/>
    <w:rsid w:val="00D73CBD"/>
    <w:rsid w:val="00D761B7"/>
    <w:rsid w:val="00D7683B"/>
    <w:rsid w:val="00D80172"/>
    <w:rsid w:val="00D802A5"/>
    <w:rsid w:val="00D80A80"/>
    <w:rsid w:val="00D82469"/>
    <w:rsid w:val="00D936DC"/>
    <w:rsid w:val="00D93AAD"/>
    <w:rsid w:val="00D93F0D"/>
    <w:rsid w:val="00D94E3F"/>
    <w:rsid w:val="00D95736"/>
    <w:rsid w:val="00D967FE"/>
    <w:rsid w:val="00D96F94"/>
    <w:rsid w:val="00DA2C38"/>
    <w:rsid w:val="00DA32BB"/>
    <w:rsid w:val="00DA4069"/>
    <w:rsid w:val="00DA4C1C"/>
    <w:rsid w:val="00DA6544"/>
    <w:rsid w:val="00DA6CF8"/>
    <w:rsid w:val="00DB11A4"/>
    <w:rsid w:val="00DB2773"/>
    <w:rsid w:val="00DB4178"/>
    <w:rsid w:val="00DB49DB"/>
    <w:rsid w:val="00DB4C99"/>
    <w:rsid w:val="00DB53B6"/>
    <w:rsid w:val="00DB560D"/>
    <w:rsid w:val="00DB5FB0"/>
    <w:rsid w:val="00DB7652"/>
    <w:rsid w:val="00DB7BB8"/>
    <w:rsid w:val="00DC0211"/>
    <w:rsid w:val="00DC6740"/>
    <w:rsid w:val="00DC6B4E"/>
    <w:rsid w:val="00DD3705"/>
    <w:rsid w:val="00DD5A4F"/>
    <w:rsid w:val="00DD5DEB"/>
    <w:rsid w:val="00DD607D"/>
    <w:rsid w:val="00DD75EB"/>
    <w:rsid w:val="00DE0AF0"/>
    <w:rsid w:val="00DE42A0"/>
    <w:rsid w:val="00DE4684"/>
    <w:rsid w:val="00DE52AA"/>
    <w:rsid w:val="00DE5830"/>
    <w:rsid w:val="00DE61C0"/>
    <w:rsid w:val="00DE6B7D"/>
    <w:rsid w:val="00DE7AD8"/>
    <w:rsid w:val="00DF05EE"/>
    <w:rsid w:val="00DF060F"/>
    <w:rsid w:val="00DF06A9"/>
    <w:rsid w:val="00DF07A0"/>
    <w:rsid w:val="00DF0F8F"/>
    <w:rsid w:val="00DF155C"/>
    <w:rsid w:val="00DF1B96"/>
    <w:rsid w:val="00DF347D"/>
    <w:rsid w:val="00DF3505"/>
    <w:rsid w:val="00DF600E"/>
    <w:rsid w:val="00DF646B"/>
    <w:rsid w:val="00DF7DD3"/>
    <w:rsid w:val="00E046DE"/>
    <w:rsid w:val="00E05435"/>
    <w:rsid w:val="00E11576"/>
    <w:rsid w:val="00E11B2F"/>
    <w:rsid w:val="00E11D32"/>
    <w:rsid w:val="00E12F02"/>
    <w:rsid w:val="00E13092"/>
    <w:rsid w:val="00E15644"/>
    <w:rsid w:val="00E168CB"/>
    <w:rsid w:val="00E1760A"/>
    <w:rsid w:val="00E1D37B"/>
    <w:rsid w:val="00E20FFE"/>
    <w:rsid w:val="00E212FE"/>
    <w:rsid w:val="00E2187D"/>
    <w:rsid w:val="00E25E16"/>
    <w:rsid w:val="00E26C03"/>
    <w:rsid w:val="00E270B7"/>
    <w:rsid w:val="00E27F92"/>
    <w:rsid w:val="00E3027C"/>
    <w:rsid w:val="00E32ED8"/>
    <w:rsid w:val="00E33392"/>
    <w:rsid w:val="00E34854"/>
    <w:rsid w:val="00E34A07"/>
    <w:rsid w:val="00E36398"/>
    <w:rsid w:val="00E365E8"/>
    <w:rsid w:val="00E40006"/>
    <w:rsid w:val="00E40FBF"/>
    <w:rsid w:val="00E439EC"/>
    <w:rsid w:val="00E44A2A"/>
    <w:rsid w:val="00E44A81"/>
    <w:rsid w:val="00E44ADB"/>
    <w:rsid w:val="00E467E1"/>
    <w:rsid w:val="00E46CC8"/>
    <w:rsid w:val="00E5019D"/>
    <w:rsid w:val="00E50F1C"/>
    <w:rsid w:val="00E542E9"/>
    <w:rsid w:val="00E55C6B"/>
    <w:rsid w:val="00E619E6"/>
    <w:rsid w:val="00E626D0"/>
    <w:rsid w:val="00E66616"/>
    <w:rsid w:val="00E66BB8"/>
    <w:rsid w:val="00E67C3F"/>
    <w:rsid w:val="00E70BF2"/>
    <w:rsid w:val="00E74B6A"/>
    <w:rsid w:val="00E758C6"/>
    <w:rsid w:val="00E828A9"/>
    <w:rsid w:val="00E83F1A"/>
    <w:rsid w:val="00E901FE"/>
    <w:rsid w:val="00E909D0"/>
    <w:rsid w:val="00E95173"/>
    <w:rsid w:val="00EA0815"/>
    <w:rsid w:val="00EA12E8"/>
    <w:rsid w:val="00EA1654"/>
    <w:rsid w:val="00EA2926"/>
    <w:rsid w:val="00EA43E4"/>
    <w:rsid w:val="00EA4F06"/>
    <w:rsid w:val="00EA79F8"/>
    <w:rsid w:val="00EB1FF6"/>
    <w:rsid w:val="00EB27C5"/>
    <w:rsid w:val="00EB4613"/>
    <w:rsid w:val="00EB56AB"/>
    <w:rsid w:val="00EB617E"/>
    <w:rsid w:val="00EB703F"/>
    <w:rsid w:val="00EB7229"/>
    <w:rsid w:val="00EB7275"/>
    <w:rsid w:val="00EC3CE7"/>
    <w:rsid w:val="00EC7BBE"/>
    <w:rsid w:val="00ED05D2"/>
    <w:rsid w:val="00ED1466"/>
    <w:rsid w:val="00ED28E1"/>
    <w:rsid w:val="00ED6E1D"/>
    <w:rsid w:val="00ED790B"/>
    <w:rsid w:val="00EE0397"/>
    <w:rsid w:val="00EE24AD"/>
    <w:rsid w:val="00EE66F9"/>
    <w:rsid w:val="00EF1B6B"/>
    <w:rsid w:val="00EF4C65"/>
    <w:rsid w:val="00EF5BE2"/>
    <w:rsid w:val="00F03C79"/>
    <w:rsid w:val="00F059E1"/>
    <w:rsid w:val="00F07178"/>
    <w:rsid w:val="00F1259D"/>
    <w:rsid w:val="00F156AB"/>
    <w:rsid w:val="00F179F4"/>
    <w:rsid w:val="00F21817"/>
    <w:rsid w:val="00F225A7"/>
    <w:rsid w:val="00F236B3"/>
    <w:rsid w:val="00F23E78"/>
    <w:rsid w:val="00F24B98"/>
    <w:rsid w:val="00F25155"/>
    <w:rsid w:val="00F254F5"/>
    <w:rsid w:val="00F2565D"/>
    <w:rsid w:val="00F31AB2"/>
    <w:rsid w:val="00F32F8E"/>
    <w:rsid w:val="00F346A1"/>
    <w:rsid w:val="00F347F2"/>
    <w:rsid w:val="00F34E91"/>
    <w:rsid w:val="00F40441"/>
    <w:rsid w:val="00F418F9"/>
    <w:rsid w:val="00F42410"/>
    <w:rsid w:val="00F42511"/>
    <w:rsid w:val="00F42D48"/>
    <w:rsid w:val="00F42F1C"/>
    <w:rsid w:val="00F44554"/>
    <w:rsid w:val="00F44D39"/>
    <w:rsid w:val="00F450F1"/>
    <w:rsid w:val="00F45C21"/>
    <w:rsid w:val="00F5113F"/>
    <w:rsid w:val="00F51BCF"/>
    <w:rsid w:val="00F52DCB"/>
    <w:rsid w:val="00F5329D"/>
    <w:rsid w:val="00F619CD"/>
    <w:rsid w:val="00F6383B"/>
    <w:rsid w:val="00F63C8B"/>
    <w:rsid w:val="00F63C9D"/>
    <w:rsid w:val="00F640ED"/>
    <w:rsid w:val="00F66975"/>
    <w:rsid w:val="00F66FB6"/>
    <w:rsid w:val="00F674D9"/>
    <w:rsid w:val="00F67C85"/>
    <w:rsid w:val="00F71631"/>
    <w:rsid w:val="00F717FE"/>
    <w:rsid w:val="00F73A2B"/>
    <w:rsid w:val="00F8515A"/>
    <w:rsid w:val="00F85656"/>
    <w:rsid w:val="00F85D0A"/>
    <w:rsid w:val="00F90817"/>
    <w:rsid w:val="00F95A23"/>
    <w:rsid w:val="00F963B5"/>
    <w:rsid w:val="00F9696B"/>
    <w:rsid w:val="00FA08DA"/>
    <w:rsid w:val="00FA23C9"/>
    <w:rsid w:val="00FA32FC"/>
    <w:rsid w:val="00FA3E9D"/>
    <w:rsid w:val="00FA41EF"/>
    <w:rsid w:val="00FA5099"/>
    <w:rsid w:val="00FA5641"/>
    <w:rsid w:val="00FA72D9"/>
    <w:rsid w:val="00FA758E"/>
    <w:rsid w:val="00FB06AF"/>
    <w:rsid w:val="00FB58FA"/>
    <w:rsid w:val="00FB68F7"/>
    <w:rsid w:val="00FB78A2"/>
    <w:rsid w:val="00FB7C42"/>
    <w:rsid w:val="00FC5284"/>
    <w:rsid w:val="00FC6AEB"/>
    <w:rsid w:val="00FC77B9"/>
    <w:rsid w:val="00FD2722"/>
    <w:rsid w:val="00FD497A"/>
    <w:rsid w:val="00FE36B9"/>
    <w:rsid w:val="00FE46CC"/>
    <w:rsid w:val="00FF215B"/>
    <w:rsid w:val="00FF2F8F"/>
    <w:rsid w:val="00FF49C1"/>
    <w:rsid w:val="00FF52EA"/>
    <w:rsid w:val="00FF6430"/>
    <w:rsid w:val="00FF7122"/>
    <w:rsid w:val="00FF74AC"/>
    <w:rsid w:val="01059087"/>
    <w:rsid w:val="0128A2D3"/>
    <w:rsid w:val="018ED42D"/>
    <w:rsid w:val="01B8A208"/>
    <w:rsid w:val="01F01C06"/>
    <w:rsid w:val="01FE9894"/>
    <w:rsid w:val="023CDC6B"/>
    <w:rsid w:val="03083A7B"/>
    <w:rsid w:val="03251BEB"/>
    <w:rsid w:val="039F0DCA"/>
    <w:rsid w:val="044F08BE"/>
    <w:rsid w:val="046D048A"/>
    <w:rsid w:val="048D1569"/>
    <w:rsid w:val="04C6C6FB"/>
    <w:rsid w:val="050E14CE"/>
    <w:rsid w:val="05540688"/>
    <w:rsid w:val="05840DD6"/>
    <w:rsid w:val="0584E96B"/>
    <w:rsid w:val="05CEC800"/>
    <w:rsid w:val="05E7B38D"/>
    <w:rsid w:val="06862757"/>
    <w:rsid w:val="0704E958"/>
    <w:rsid w:val="0743D614"/>
    <w:rsid w:val="077EBBFA"/>
    <w:rsid w:val="07C1B172"/>
    <w:rsid w:val="08479643"/>
    <w:rsid w:val="087D7C04"/>
    <w:rsid w:val="08BE7595"/>
    <w:rsid w:val="091E6DC2"/>
    <w:rsid w:val="093CB30B"/>
    <w:rsid w:val="0979858F"/>
    <w:rsid w:val="09832ADE"/>
    <w:rsid w:val="09A7A842"/>
    <w:rsid w:val="09D9414F"/>
    <w:rsid w:val="09EC804C"/>
    <w:rsid w:val="0A276E0C"/>
    <w:rsid w:val="0A28F84A"/>
    <w:rsid w:val="0A95C80A"/>
    <w:rsid w:val="0B05629F"/>
    <w:rsid w:val="0B1D85B3"/>
    <w:rsid w:val="0B9D0035"/>
    <w:rsid w:val="0C37D355"/>
    <w:rsid w:val="0C980CCE"/>
    <w:rsid w:val="0CF34872"/>
    <w:rsid w:val="0CF9733F"/>
    <w:rsid w:val="0DEECAC2"/>
    <w:rsid w:val="0E83425F"/>
    <w:rsid w:val="0E8A0B59"/>
    <w:rsid w:val="0EF0F174"/>
    <w:rsid w:val="0F017B32"/>
    <w:rsid w:val="0F8879A5"/>
    <w:rsid w:val="0FBDC46B"/>
    <w:rsid w:val="0FCDE0C2"/>
    <w:rsid w:val="1184839A"/>
    <w:rsid w:val="118DE7BC"/>
    <w:rsid w:val="11FC6F98"/>
    <w:rsid w:val="12BC3C97"/>
    <w:rsid w:val="12C16EA1"/>
    <w:rsid w:val="12F8D858"/>
    <w:rsid w:val="131AD9C9"/>
    <w:rsid w:val="13F8266C"/>
    <w:rsid w:val="1406F01A"/>
    <w:rsid w:val="144E9B5F"/>
    <w:rsid w:val="14A00434"/>
    <w:rsid w:val="157155D6"/>
    <w:rsid w:val="1589B4FB"/>
    <w:rsid w:val="15BEAD1B"/>
    <w:rsid w:val="163B57BB"/>
    <w:rsid w:val="164195DB"/>
    <w:rsid w:val="164E112A"/>
    <w:rsid w:val="165AA923"/>
    <w:rsid w:val="16655B37"/>
    <w:rsid w:val="16B08CBD"/>
    <w:rsid w:val="16BE1C58"/>
    <w:rsid w:val="16E87BA0"/>
    <w:rsid w:val="17190515"/>
    <w:rsid w:val="174C641D"/>
    <w:rsid w:val="17BCFD1E"/>
    <w:rsid w:val="1851C8AF"/>
    <w:rsid w:val="18883D6F"/>
    <w:rsid w:val="1A0F6F03"/>
    <w:rsid w:val="1A9361A7"/>
    <w:rsid w:val="1B28F220"/>
    <w:rsid w:val="1B53E1BA"/>
    <w:rsid w:val="1BAF08A2"/>
    <w:rsid w:val="1BC04379"/>
    <w:rsid w:val="1C641A2B"/>
    <w:rsid w:val="1C67AC72"/>
    <w:rsid w:val="1CC4C3E5"/>
    <w:rsid w:val="1CD0C3F3"/>
    <w:rsid w:val="1D134430"/>
    <w:rsid w:val="1D3ABCED"/>
    <w:rsid w:val="1D470FC5"/>
    <w:rsid w:val="1D737829"/>
    <w:rsid w:val="1E66DE3D"/>
    <w:rsid w:val="1EB3BBA5"/>
    <w:rsid w:val="1F465455"/>
    <w:rsid w:val="1F788491"/>
    <w:rsid w:val="20612E68"/>
    <w:rsid w:val="2098D159"/>
    <w:rsid w:val="2107AA72"/>
    <w:rsid w:val="211F5201"/>
    <w:rsid w:val="214F7C50"/>
    <w:rsid w:val="218127C8"/>
    <w:rsid w:val="221B1979"/>
    <w:rsid w:val="22377283"/>
    <w:rsid w:val="225E445C"/>
    <w:rsid w:val="22D3EA7D"/>
    <w:rsid w:val="22E15E18"/>
    <w:rsid w:val="22F60903"/>
    <w:rsid w:val="23336D22"/>
    <w:rsid w:val="23462B5C"/>
    <w:rsid w:val="24532FDB"/>
    <w:rsid w:val="24595EB7"/>
    <w:rsid w:val="250C8A67"/>
    <w:rsid w:val="25FC79DF"/>
    <w:rsid w:val="26147DDB"/>
    <w:rsid w:val="262C1BE5"/>
    <w:rsid w:val="262EC1A1"/>
    <w:rsid w:val="26CCC8A0"/>
    <w:rsid w:val="26D8E2E0"/>
    <w:rsid w:val="26FF6E1D"/>
    <w:rsid w:val="2708B8F0"/>
    <w:rsid w:val="272892C9"/>
    <w:rsid w:val="27582B20"/>
    <w:rsid w:val="2774D8ED"/>
    <w:rsid w:val="2973C828"/>
    <w:rsid w:val="2AAE085A"/>
    <w:rsid w:val="2BC52C6C"/>
    <w:rsid w:val="2BCCA8C0"/>
    <w:rsid w:val="2D0DAB89"/>
    <w:rsid w:val="2DFFC494"/>
    <w:rsid w:val="2EE67D7E"/>
    <w:rsid w:val="2F430AF7"/>
    <w:rsid w:val="2F9290A2"/>
    <w:rsid w:val="30253673"/>
    <w:rsid w:val="305BE1A9"/>
    <w:rsid w:val="308762B8"/>
    <w:rsid w:val="3125A82A"/>
    <w:rsid w:val="31733825"/>
    <w:rsid w:val="318472FC"/>
    <w:rsid w:val="31AA046A"/>
    <w:rsid w:val="31D2B89C"/>
    <w:rsid w:val="326B5F27"/>
    <w:rsid w:val="32A2104C"/>
    <w:rsid w:val="32D05AE0"/>
    <w:rsid w:val="338EEA95"/>
    <w:rsid w:val="3471EF27"/>
    <w:rsid w:val="362E5136"/>
    <w:rsid w:val="3663003A"/>
    <w:rsid w:val="368E630D"/>
    <w:rsid w:val="38C185EF"/>
    <w:rsid w:val="3985FEF9"/>
    <w:rsid w:val="39BDF522"/>
    <w:rsid w:val="39DF9084"/>
    <w:rsid w:val="3A5B255D"/>
    <w:rsid w:val="3A6714AB"/>
    <w:rsid w:val="3A6FED29"/>
    <w:rsid w:val="3ACB0D14"/>
    <w:rsid w:val="3C707138"/>
    <w:rsid w:val="3C7857EE"/>
    <w:rsid w:val="3C86DCF5"/>
    <w:rsid w:val="3CF74C22"/>
    <w:rsid w:val="3D36A31E"/>
    <w:rsid w:val="3D5C3BA6"/>
    <w:rsid w:val="3D772097"/>
    <w:rsid w:val="3DE01CFF"/>
    <w:rsid w:val="3E01B5E3"/>
    <w:rsid w:val="3E20B0B2"/>
    <w:rsid w:val="3E3860F2"/>
    <w:rsid w:val="3E485C2B"/>
    <w:rsid w:val="3E51BB2D"/>
    <w:rsid w:val="3E561E8A"/>
    <w:rsid w:val="3EE9C686"/>
    <w:rsid w:val="3EFFBB82"/>
    <w:rsid w:val="3F4B1D37"/>
    <w:rsid w:val="3F713D41"/>
    <w:rsid w:val="3F8BF22A"/>
    <w:rsid w:val="3FD9DAB7"/>
    <w:rsid w:val="4031538D"/>
    <w:rsid w:val="403F7B1E"/>
    <w:rsid w:val="40766D93"/>
    <w:rsid w:val="40F1E27A"/>
    <w:rsid w:val="41E6D7D8"/>
    <w:rsid w:val="4207C9DC"/>
    <w:rsid w:val="426B09FA"/>
    <w:rsid w:val="43061A10"/>
    <w:rsid w:val="431CCA74"/>
    <w:rsid w:val="4355D2EC"/>
    <w:rsid w:val="435CD5F5"/>
    <w:rsid w:val="438C768E"/>
    <w:rsid w:val="43BAA7E0"/>
    <w:rsid w:val="43BDF00A"/>
    <w:rsid w:val="445C5DE0"/>
    <w:rsid w:val="4462D784"/>
    <w:rsid w:val="449E1E6B"/>
    <w:rsid w:val="44C8EA37"/>
    <w:rsid w:val="44CC09B1"/>
    <w:rsid w:val="46762F77"/>
    <w:rsid w:val="46E22D19"/>
    <w:rsid w:val="470D6166"/>
    <w:rsid w:val="4746D2BB"/>
    <w:rsid w:val="477DCF07"/>
    <w:rsid w:val="47BF4AFD"/>
    <w:rsid w:val="47D01661"/>
    <w:rsid w:val="48373D7C"/>
    <w:rsid w:val="48405C8E"/>
    <w:rsid w:val="488BA9FE"/>
    <w:rsid w:val="489A0700"/>
    <w:rsid w:val="48ADA7B5"/>
    <w:rsid w:val="48E568B5"/>
    <w:rsid w:val="490304D0"/>
    <w:rsid w:val="4934A4DF"/>
    <w:rsid w:val="498F0EB3"/>
    <w:rsid w:val="49955E41"/>
    <w:rsid w:val="4AACDF78"/>
    <w:rsid w:val="4AE9CDB6"/>
    <w:rsid w:val="4B303E35"/>
    <w:rsid w:val="4BB9F3C3"/>
    <w:rsid w:val="4C3D3A3B"/>
    <w:rsid w:val="4C8EEF35"/>
    <w:rsid w:val="4CB9916C"/>
    <w:rsid w:val="4CF4D00C"/>
    <w:rsid w:val="4D576D2B"/>
    <w:rsid w:val="4DAA3AD8"/>
    <w:rsid w:val="4DC50BEB"/>
    <w:rsid w:val="4E13F1FE"/>
    <w:rsid w:val="4E4BB2FE"/>
    <w:rsid w:val="4E790EA2"/>
    <w:rsid w:val="4E8AE910"/>
    <w:rsid w:val="4EEC9970"/>
    <w:rsid w:val="4F294452"/>
    <w:rsid w:val="4FEE236D"/>
    <w:rsid w:val="500AF577"/>
    <w:rsid w:val="500B9CDE"/>
    <w:rsid w:val="500E0686"/>
    <w:rsid w:val="50A1E358"/>
    <w:rsid w:val="51832B14"/>
    <w:rsid w:val="5183F11F"/>
    <w:rsid w:val="5257094F"/>
    <w:rsid w:val="5279209C"/>
    <w:rsid w:val="527DF906"/>
    <w:rsid w:val="52974AD1"/>
    <w:rsid w:val="52F4762C"/>
    <w:rsid w:val="53118E98"/>
    <w:rsid w:val="5379547C"/>
    <w:rsid w:val="53891ABC"/>
    <w:rsid w:val="540EB262"/>
    <w:rsid w:val="541C698A"/>
    <w:rsid w:val="542D07D3"/>
    <w:rsid w:val="544CCFE7"/>
    <w:rsid w:val="5493646D"/>
    <w:rsid w:val="54A4665F"/>
    <w:rsid w:val="54DF0E01"/>
    <w:rsid w:val="54ED5323"/>
    <w:rsid w:val="550F5494"/>
    <w:rsid w:val="55F67FCB"/>
    <w:rsid w:val="568A6E92"/>
    <w:rsid w:val="56C491E8"/>
    <w:rsid w:val="57F9BD28"/>
    <w:rsid w:val="585EC28C"/>
    <w:rsid w:val="588FAB75"/>
    <w:rsid w:val="589CEB27"/>
    <w:rsid w:val="58C653AE"/>
    <w:rsid w:val="59276CCF"/>
    <w:rsid w:val="593BA7B2"/>
    <w:rsid w:val="5999863C"/>
    <w:rsid w:val="59D77CA0"/>
    <w:rsid w:val="59EE5EC0"/>
    <w:rsid w:val="5A019FB4"/>
    <w:rsid w:val="5A8D19BA"/>
    <w:rsid w:val="5AC268CD"/>
    <w:rsid w:val="5B1F5C72"/>
    <w:rsid w:val="5B9A39B8"/>
    <w:rsid w:val="5C390380"/>
    <w:rsid w:val="5C99200B"/>
    <w:rsid w:val="5CCDACED"/>
    <w:rsid w:val="5CEA1FE6"/>
    <w:rsid w:val="5E0DCB24"/>
    <w:rsid w:val="5E1DCE90"/>
    <w:rsid w:val="5E403239"/>
    <w:rsid w:val="5E581D6C"/>
    <w:rsid w:val="5E6166CE"/>
    <w:rsid w:val="5E6462F9"/>
    <w:rsid w:val="5E73BE17"/>
    <w:rsid w:val="5EA9DABB"/>
    <w:rsid w:val="5EB08FE9"/>
    <w:rsid w:val="5EC17E7B"/>
    <w:rsid w:val="5EC777CA"/>
    <w:rsid w:val="5EC904F0"/>
    <w:rsid w:val="5EEE100B"/>
    <w:rsid w:val="5F445FE6"/>
    <w:rsid w:val="5F8C1D5C"/>
    <w:rsid w:val="5FD9CFDE"/>
    <w:rsid w:val="60652325"/>
    <w:rsid w:val="60CFC4EA"/>
    <w:rsid w:val="61BD9109"/>
    <w:rsid w:val="61C57348"/>
    <w:rsid w:val="62946261"/>
    <w:rsid w:val="62AE99D2"/>
    <w:rsid w:val="62E48261"/>
    <w:rsid w:val="6339F744"/>
    <w:rsid w:val="636E0616"/>
    <w:rsid w:val="63A6F78A"/>
    <w:rsid w:val="643ACFB1"/>
    <w:rsid w:val="64996B9D"/>
    <w:rsid w:val="64EA6824"/>
    <w:rsid w:val="64F531CB"/>
    <w:rsid w:val="650726EB"/>
    <w:rsid w:val="65B0778D"/>
    <w:rsid w:val="65CBC889"/>
    <w:rsid w:val="661942E8"/>
    <w:rsid w:val="6657A52C"/>
    <w:rsid w:val="6707AD35"/>
    <w:rsid w:val="6767D384"/>
    <w:rsid w:val="67A38B5B"/>
    <w:rsid w:val="681F4D8C"/>
    <w:rsid w:val="6835B6AF"/>
    <w:rsid w:val="6893D269"/>
    <w:rsid w:val="68D300E3"/>
    <w:rsid w:val="68D921D4"/>
    <w:rsid w:val="68EEE163"/>
    <w:rsid w:val="693B40C6"/>
    <w:rsid w:val="69D74120"/>
    <w:rsid w:val="6A66E221"/>
    <w:rsid w:val="6AC23ABB"/>
    <w:rsid w:val="6AF6BC8C"/>
    <w:rsid w:val="6B308ECE"/>
    <w:rsid w:val="6BA89F75"/>
    <w:rsid w:val="6BC5110F"/>
    <w:rsid w:val="6BCE516A"/>
    <w:rsid w:val="6C25E588"/>
    <w:rsid w:val="6C3B44A7"/>
    <w:rsid w:val="6C3DA0EE"/>
    <w:rsid w:val="6CC57CDA"/>
    <w:rsid w:val="6D0043B0"/>
    <w:rsid w:val="6D969524"/>
    <w:rsid w:val="6DAAF1E9"/>
    <w:rsid w:val="6E41B299"/>
    <w:rsid w:val="6EACCF43"/>
    <w:rsid w:val="6EBA76A9"/>
    <w:rsid w:val="6F17BC5B"/>
    <w:rsid w:val="6F76AEA7"/>
    <w:rsid w:val="6FDDAC00"/>
    <w:rsid w:val="6FE76F6F"/>
    <w:rsid w:val="6FFAC7DD"/>
    <w:rsid w:val="70E0661E"/>
    <w:rsid w:val="71127F08"/>
    <w:rsid w:val="71238EF6"/>
    <w:rsid w:val="71551D3A"/>
    <w:rsid w:val="71A66C29"/>
    <w:rsid w:val="71ED199E"/>
    <w:rsid w:val="721DB9EC"/>
    <w:rsid w:val="73C9C4E6"/>
    <w:rsid w:val="73CB679C"/>
    <w:rsid w:val="73CE006A"/>
    <w:rsid w:val="74236DD2"/>
    <w:rsid w:val="742D2E2F"/>
    <w:rsid w:val="74C3F010"/>
    <w:rsid w:val="74C5E518"/>
    <w:rsid w:val="74ED6574"/>
    <w:rsid w:val="75734E9C"/>
    <w:rsid w:val="75C8FE90"/>
    <w:rsid w:val="7608928E"/>
    <w:rsid w:val="760A017B"/>
    <w:rsid w:val="76F02D15"/>
    <w:rsid w:val="779AB45E"/>
    <w:rsid w:val="7882DF96"/>
    <w:rsid w:val="78B31863"/>
    <w:rsid w:val="79363020"/>
    <w:rsid w:val="794C653D"/>
    <w:rsid w:val="796C7B61"/>
    <w:rsid w:val="7995CF32"/>
    <w:rsid w:val="79DC6EA4"/>
    <w:rsid w:val="79E216B6"/>
    <w:rsid w:val="7A05F843"/>
    <w:rsid w:val="7A1697CE"/>
    <w:rsid w:val="7A32F811"/>
    <w:rsid w:val="7A50774E"/>
    <w:rsid w:val="7A5C235F"/>
    <w:rsid w:val="7A971D96"/>
    <w:rsid w:val="7AFB93F5"/>
    <w:rsid w:val="7B538F21"/>
    <w:rsid w:val="7B53DFA8"/>
    <w:rsid w:val="7B8B6D49"/>
    <w:rsid w:val="7BB50852"/>
    <w:rsid w:val="7BDEA471"/>
    <w:rsid w:val="7C43F6D8"/>
    <w:rsid w:val="7C7CB85A"/>
    <w:rsid w:val="7CB72059"/>
    <w:rsid w:val="7D622AF7"/>
    <w:rsid w:val="7D6FDA8B"/>
    <w:rsid w:val="7E0C1152"/>
    <w:rsid w:val="7F34AE4F"/>
    <w:rsid w:val="7FDE2858"/>
    <w:rsid w:val="7FFC29F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A5174"/>
  <w15:chartTrackingRefBased/>
  <w15:docId w15:val="{C03BF6F8-9619-4571-AFF3-139B6454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DC4"/>
    <w:pPr>
      <w:ind w:left="720"/>
      <w:contextualSpacing/>
    </w:pPr>
  </w:style>
  <w:style w:type="paragraph" w:styleId="FootnoteText">
    <w:name w:val="footnote text"/>
    <w:basedOn w:val="Normal"/>
    <w:link w:val="FootnoteTextChar"/>
    <w:uiPriority w:val="99"/>
    <w:semiHidden/>
    <w:unhideWhenUsed/>
    <w:rsid w:val="004D4B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4B93"/>
    <w:rPr>
      <w:sz w:val="20"/>
      <w:szCs w:val="20"/>
    </w:rPr>
  </w:style>
  <w:style w:type="character" w:styleId="FootnoteReference">
    <w:name w:val="footnote reference"/>
    <w:basedOn w:val="DefaultParagraphFont"/>
    <w:uiPriority w:val="99"/>
    <w:semiHidden/>
    <w:unhideWhenUsed/>
    <w:rsid w:val="004D4B93"/>
    <w:rPr>
      <w:vertAlign w:val="superscript"/>
    </w:rPr>
  </w:style>
  <w:style w:type="character" w:customStyle="1" w:styleId="normaltextrun">
    <w:name w:val="normaltextrun"/>
    <w:basedOn w:val="DefaultParagraphFont"/>
    <w:rsid w:val="00715F19"/>
  </w:style>
  <w:style w:type="character" w:customStyle="1" w:styleId="contextualspellingandgrammarerror">
    <w:name w:val="contextualspellingandgrammarerror"/>
    <w:basedOn w:val="DefaultParagraphFont"/>
    <w:rsid w:val="00715F19"/>
  </w:style>
  <w:style w:type="table" w:styleId="TableGrid">
    <w:name w:val="Table Grid"/>
    <w:basedOn w:val="TableNormal"/>
    <w:uiPriority w:val="39"/>
    <w:rsid w:val="00486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cx8">
    <w:name w:val="bcx8"/>
    <w:basedOn w:val="DefaultParagraphFont"/>
    <w:rsid w:val="00A20B40"/>
  </w:style>
  <w:style w:type="character" w:styleId="Hyperlink">
    <w:name w:val="Hyperlink"/>
    <w:basedOn w:val="DefaultParagraphFont"/>
    <w:uiPriority w:val="99"/>
    <w:unhideWhenUsed/>
    <w:rsid w:val="006A7F2F"/>
    <w:rPr>
      <w:color w:val="0563C1" w:themeColor="hyperlink"/>
      <w:u w:val="single"/>
    </w:rPr>
  </w:style>
  <w:style w:type="character" w:styleId="UnresolvedMention">
    <w:name w:val="Unresolved Mention"/>
    <w:basedOn w:val="DefaultParagraphFont"/>
    <w:uiPriority w:val="99"/>
    <w:semiHidden/>
    <w:unhideWhenUsed/>
    <w:rsid w:val="006A7F2F"/>
    <w:rPr>
      <w:color w:val="605E5C"/>
      <w:shd w:val="clear" w:color="auto" w:fill="E1DFDD"/>
    </w:rPr>
  </w:style>
  <w:style w:type="paragraph" w:styleId="NormalWeb">
    <w:name w:val="Normal (Web)"/>
    <w:basedOn w:val="Normal"/>
    <w:uiPriority w:val="99"/>
    <w:semiHidden/>
    <w:unhideWhenUsed/>
    <w:rsid w:val="001D55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2867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73E"/>
  </w:style>
  <w:style w:type="paragraph" w:styleId="Footer">
    <w:name w:val="footer"/>
    <w:basedOn w:val="Normal"/>
    <w:link w:val="FooterChar"/>
    <w:uiPriority w:val="99"/>
    <w:unhideWhenUsed/>
    <w:rsid w:val="002867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73E"/>
  </w:style>
  <w:style w:type="paragraph" w:customStyle="1" w:styleId="paragraph">
    <w:name w:val="paragraph"/>
    <w:basedOn w:val="Normal"/>
    <w:rsid w:val="003A2D7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3A2D72"/>
  </w:style>
  <w:style w:type="character" w:customStyle="1" w:styleId="spellingerror">
    <w:name w:val="spellingerror"/>
    <w:basedOn w:val="DefaultParagraphFont"/>
    <w:rsid w:val="00AB307B"/>
  </w:style>
  <w:style w:type="character" w:styleId="FollowedHyperlink">
    <w:name w:val="FollowedHyperlink"/>
    <w:basedOn w:val="DefaultParagraphFont"/>
    <w:uiPriority w:val="99"/>
    <w:semiHidden/>
    <w:unhideWhenUsed/>
    <w:rsid w:val="008B27DC"/>
    <w:rPr>
      <w:color w:val="954F72" w:themeColor="followedHyperlink"/>
      <w:u w:val="single"/>
    </w:rPr>
  </w:style>
  <w:style w:type="character" w:styleId="CommentReference">
    <w:name w:val="annotation reference"/>
    <w:basedOn w:val="DefaultParagraphFont"/>
    <w:uiPriority w:val="99"/>
    <w:semiHidden/>
    <w:unhideWhenUsed/>
    <w:rsid w:val="001A126C"/>
    <w:rPr>
      <w:sz w:val="16"/>
      <w:szCs w:val="16"/>
    </w:rPr>
  </w:style>
  <w:style w:type="paragraph" w:styleId="CommentText">
    <w:name w:val="annotation text"/>
    <w:basedOn w:val="Normal"/>
    <w:link w:val="CommentTextChar"/>
    <w:uiPriority w:val="99"/>
    <w:semiHidden/>
    <w:unhideWhenUsed/>
    <w:rsid w:val="001A126C"/>
    <w:pPr>
      <w:spacing w:line="240" w:lineRule="auto"/>
    </w:pPr>
    <w:rPr>
      <w:sz w:val="20"/>
      <w:szCs w:val="20"/>
    </w:rPr>
  </w:style>
  <w:style w:type="character" w:customStyle="1" w:styleId="CommentTextChar">
    <w:name w:val="Comment Text Char"/>
    <w:basedOn w:val="DefaultParagraphFont"/>
    <w:link w:val="CommentText"/>
    <w:uiPriority w:val="99"/>
    <w:semiHidden/>
    <w:rsid w:val="001A126C"/>
    <w:rPr>
      <w:sz w:val="20"/>
      <w:szCs w:val="20"/>
    </w:rPr>
  </w:style>
  <w:style w:type="character" w:customStyle="1" w:styleId="cf01">
    <w:name w:val="cf01"/>
    <w:basedOn w:val="DefaultParagraphFont"/>
    <w:rsid w:val="00CE1DA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99902">
      <w:bodyDiv w:val="1"/>
      <w:marLeft w:val="0"/>
      <w:marRight w:val="0"/>
      <w:marTop w:val="0"/>
      <w:marBottom w:val="0"/>
      <w:divBdr>
        <w:top w:val="none" w:sz="0" w:space="0" w:color="auto"/>
        <w:left w:val="none" w:sz="0" w:space="0" w:color="auto"/>
        <w:bottom w:val="none" w:sz="0" w:space="0" w:color="auto"/>
        <w:right w:val="none" w:sz="0" w:space="0" w:color="auto"/>
      </w:divBdr>
      <w:divsChild>
        <w:div w:id="732385029">
          <w:marLeft w:val="0"/>
          <w:marRight w:val="0"/>
          <w:marTop w:val="0"/>
          <w:marBottom w:val="0"/>
          <w:divBdr>
            <w:top w:val="none" w:sz="0" w:space="0" w:color="auto"/>
            <w:left w:val="none" w:sz="0" w:space="0" w:color="auto"/>
            <w:bottom w:val="none" w:sz="0" w:space="0" w:color="auto"/>
            <w:right w:val="none" w:sz="0" w:space="0" w:color="auto"/>
          </w:divBdr>
        </w:div>
        <w:div w:id="25373169">
          <w:marLeft w:val="0"/>
          <w:marRight w:val="0"/>
          <w:marTop w:val="0"/>
          <w:marBottom w:val="0"/>
          <w:divBdr>
            <w:top w:val="none" w:sz="0" w:space="0" w:color="auto"/>
            <w:left w:val="none" w:sz="0" w:space="0" w:color="auto"/>
            <w:bottom w:val="none" w:sz="0" w:space="0" w:color="auto"/>
            <w:right w:val="none" w:sz="0" w:space="0" w:color="auto"/>
          </w:divBdr>
        </w:div>
      </w:divsChild>
    </w:div>
    <w:div w:id="450251252">
      <w:bodyDiv w:val="1"/>
      <w:marLeft w:val="0"/>
      <w:marRight w:val="0"/>
      <w:marTop w:val="0"/>
      <w:marBottom w:val="0"/>
      <w:divBdr>
        <w:top w:val="none" w:sz="0" w:space="0" w:color="auto"/>
        <w:left w:val="none" w:sz="0" w:space="0" w:color="auto"/>
        <w:bottom w:val="none" w:sz="0" w:space="0" w:color="auto"/>
        <w:right w:val="none" w:sz="0" w:space="0" w:color="auto"/>
      </w:divBdr>
      <w:divsChild>
        <w:div w:id="221255736">
          <w:marLeft w:val="0"/>
          <w:marRight w:val="0"/>
          <w:marTop w:val="0"/>
          <w:marBottom w:val="0"/>
          <w:divBdr>
            <w:top w:val="none" w:sz="0" w:space="0" w:color="auto"/>
            <w:left w:val="none" w:sz="0" w:space="0" w:color="auto"/>
            <w:bottom w:val="none" w:sz="0" w:space="0" w:color="auto"/>
            <w:right w:val="none" w:sz="0" w:space="0" w:color="auto"/>
          </w:divBdr>
        </w:div>
      </w:divsChild>
    </w:div>
    <w:div w:id="608122761">
      <w:bodyDiv w:val="1"/>
      <w:marLeft w:val="0"/>
      <w:marRight w:val="0"/>
      <w:marTop w:val="0"/>
      <w:marBottom w:val="0"/>
      <w:divBdr>
        <w:top w:val="none" w:sz="0" w:space="0" w:color="auto"/>
        <w:left w:val="none" w:sz="0" w:space="0" w:color="auto"/>
        <w:bottom w:val="none" w:sz="0" w:space="0" w:color="auto"/>
        <w:right w:val="none" w:sz="0" w:space="0" w:color="auto"/>
      </w:divBdr>
      <w:divsChild>
        <w:div w:id="1954708670">
          <w:marLeft w:val="0"/>
          <w:marRight w:val="0"/>
          <w:marTop w:val="0"/>
          <w:marBottom w:val="0"/>
          <w:divBdr>
            <w:top w:val="none" w:sz="0" w:space="0" w:color="auto"/>
            <w:left w:val="none" w:sz="0" w:space="0" w:color="auto"/>
            <w:bottom w:val="none" w:sz="0" w:space="0" w:color="auto"/>
            <w:right w:val="none" w:sz="0" w:space="0" w:color="auto"/>
          </w:divBdr>
        </w:div>
      </w:divsChild>
    </w:div>
    <w:div w:id="684021319">
      <w:bodyDiv w:val="1"/>
      <w:marLeft w:val="0"/>
      <w:marRight w:val="0"/>
      <w:marTop w:val="0"/>
      <w:marBottom w:val="0"/>
      <w:divBdr>
        <w:top w:val="none" w:sz="0" w:space="0" w:color="auto"/>
        <w:left w:val="none" w:sz="0" w:space="0" w:color="auto"/>
        <w:bottom w:val="none" w:sz="0" w:space="0" w:color="auto"/>
        <w:right w:val="none" w:sz="0" w:space="0" w:color="auto"/>
      </w:divBdr>
    </w:div>
    <w:div w:id="856162743">
      <w:bodyDiv w:val="1"/>
      <w:marLeft w:val="0"/>
      <w:marRight w:val="0"/>
      <w:marTop w:val="0"/>
      <w:marBottom w:val="0"/>
      <w:divBdr>
        <w:top w:val="none" w:sz="0" w:space="0" w:color="auto"/>
        <w:left w:val="none" w:sz="0" w:space="0" w:color="auto"/>
        <w:bottom w:val="none" w:sz="0" w:space="0" w:color="auto"/>
        <w:right w:val="none" w:sz="0" w:space="0" w:color="auto"/>
      </w:divBdr>
    </w:div>
    <w:div w:id="1168138579">
      <w:bodyDiv w:val="1"/>
      <w:marLeft w:val="0"/>
      <w:marRight w:val="0"/>
      <w:marTop w:val="0"/>
      <w:marBottom w:val="0"/>
      <w:divBdr>
        <w:top w:val="none" w:sz="0" w:space="0" w:color="auto"/>
        <w:left w:val="none" w:sz="0" w:space="0" w:color="auto"/>
        <w:bottom w:val="none" w:sz="0" w:space="0" w:color="auto"/>
        <w:right w:val="none" w:sz="0" w:space="0" w:color="auto"/>
      </w:divBdr>
      <w:divsChild>
        <w:div w:id="441191280">
          <w:marLeft w:val="720"/>
          <w:marRight w:val="0"/>
          <w:marTop w:val="200"/>
          <w:marBottom w:val="0"/>
          <w:divBdr>
            <w:top w:val="none" w:sz="0" w:space="0" w:color="auto"/>
            <w:left w:val="none" w:sz="0" w:space="0" w:color="auto"/>
            <w:bottom w:val="none" w:sz="0" w:space="0" w:color="auto"/>
            <w:right w:val="none" w:sz="0" w:space="0" w:color="auto"/>
          </w:divBdr>
        </w:div>
        <w:div w:id="487333415">
          <w:marLeft w:val="720"/>
          <w:marRight w:val="0"/>
          <w:marTop w:val="200"/>
          <w:marBottom w:val="0"/>
          <w:divBdr>
            <w:top w:val="none" w:sz="0" w:space="0" w:color="auto"/>
            <w:left w:val="none" w:sz="0" w:space="0" w:color="auto"/>
            <w:bottom w:val="none" w:sz="0" w:space="0" w:color="auto"/>
            <w:right w:val="none" w:sz="0" w:space="0" w:color="auto"/>
          </w:divBdr>
        </w:div>
        <w:div w:id="594019363">
          <w:marLeft w:val="720"/>
          <w:marRight w:val="0"/>
          <w:marTop w:val="200"/>
          <w:marBottom w:val="0"/>
          <w:divBdr>
            <w:top w:val="none" w:sz="0" w:space="0" w:color="auto"/>
            <w:left w:val="none" w:sz="0" w:space="0" w:color="auto"/>
            <w:bottom w:val="none" w:sz="0" w:space="0" w:color="auto"/>
            <w:right w:val="none" w:sz="0" w:space="0" w:color="auto"/>
          </w:divBdr>
        </w:div>
      </w:divsChild>
    </w:div>
    <w:div w:id="1212182894">
      <w:bodyDiv w:val="1"/>
      <w:marLeft w:val="0"/>
      <w:marRight w:val="0"/>
      <w:marTop w:val="0"/>
      <w:marBottom w:val="0"/>
      <w:divBdr>
        <w:top w:val="none" w:sz="0" w:space="0" w:color="auto"/>
        <w:left w:val="none" w:sz="0" w:space="0" w:color="auto"/>
        <w:bottom w:val="none" w:sz="0" w:space="0" w:color="auto"/>
        <w:right w:val="none" w:sz="0" w:space="0" w:color="auto"/>
      </w:divBdr>
    </w:div>
    <w:div w:id="1695770772">
      <w:bodyDiv w:val="1"/>
      <w:marLeft w:val="0"/>
      <w:marRight w:val="0"/>
      <w:marTop w:val="0"/>
      <w:marBottom w:val="0"/>
      <w:divBdr>
        <w:top w:val="none" w:sz="0" w:space="0" w:color="auto"/>
        <w:left w:val="none" w:sz="0" w:space="0" w:color="auto"/>
        <w:bottom w:val="none" w:sz="0" w:space="0" w:color="auto"/>
        <w:right w:val="none" w:sz="0" w:space="0" w:color="auto"/>
      </w:divBdr>
      <w:divsChild>
        <w:div w:id="919875313">
          <w:marLeft w:val="0"/>
          <w:marRight w:val="0"/>
          <w:marTop w:val="0"/>
          <w:marBottom w:val="0"/>
          <w:divBdr>
            <w:top w:val="none" w:sz="0" w:space="0" w:color="auto"/>
            <w:left w:val="none" w:sz="0" w:space="0" w:color="auto"/>
            <w:bottom w:val="none" w:sz="0" w:space="0" w:color="auto"/>
            <w:right w:val="none" w:sz="0" w:space="0" w:color="auto"/>
          </w:divBdr>
        </w:div>
      </w:divsChild>
    </w:div>
    <w:div w:id="1829899910">
      <w:bodyDiv w:val="1"/>
      <w:marLeft w:val="0"/>
      <w:marRight w:val="0"/>
      <w:marTop w:val="0"/>
      <w:marBottom w:val="0"/>
      <w:divBdr>
        <w:top w:val="none" w:sz="0" w:space="0" w:color="auto"/>
        <w:left w:val="none" w:sz="0" w:space="0" w:color="auto"/>
        <w:bottom w:val="none" w:sz="0" w:space="0" w:color="auto"/>
        <w:right w:val="none" w:sz="0" w:space="0" w:color="auto"/>
      </w:divBdr>
      <w:divsChild>
        <w:div w:id="1136875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orkplacegivingaustralia.org.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oublethedonation.com/matching-gift-statistics/" TargetMode="External"/><Relationship Id="rId2" Type="http://schemas.openxmlformats.org/officeDocument/2006/relationships/hyperlink" Target="https://library.workplacegivingaustralia.org.au/?p=1&amp;f=case-studies" TargetMode="External"/><Relationship Id="rId1" Type="http://schemas.openxmlformats.org/officeDocument/2006/relationships/hyperlink" Target="https://www.giarts.org/article/shape-corporate-philanthropy-yesterday-and-today" TargetMode="External"/><Relationship Id="rId6" Type="http://schemas.openxmlformats.org/officeDocument/2006/relationships/hyperlink" Target="https://www.vogue.com.au/vogue-codes/news/b-corp-brands-australia/image-gallery/449b4f7994801143fb7086a1218306db" TargetMode="External"/><Relationship Id="rId5" Type="http://schemas.openxmlformats.org/officeDocument/2006/relationships/hyperlink" Target="https://bcorporation.com.au/become-bcorp/guide/eligibility/" TargetMode="External"/><Relationship Id="rId4" Type="http://schemas.openxmlformats.org/officeDocument/2006/relationships/hyperlink" Target="https://www.1mdonors.org.au/the-case-for-workplace-givin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5dd8c4d474acee9e6dc93a47adc3eb09">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85b0137fa71ef1ab56f92bba3b54990b"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EFA963-79F8-40C5-9719-078D80BBD7E0}">
  <ds:schemaRefs>
    <ds:schemaRef ds:uri="http://schemas.openxmlformats.org/officeDocument/2006/bibliography"/>
  </ds:schemaRefs>
</ds:datastoreItem>
</file>

<file path=customXml/itemProps2.xml><?xml version="1.0" encoding="utf-8"?>
<ds:datastoreItem xmlns:ds="http://schemas.openxmlformats.org/officeDocument/2006/customXml" ds:itemID="{CAD4687C-FA0B-45CF-BE1D-A2A8DEBC2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0F30BA-38CA-4F14-A884-45F75BC2DD07}">
  <ds:schemaRef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http://purl.org/dc/terms/"/>
    <ds:schemaRef ds:uri="http://schemas.openxmlformats.org/package/2006/metadata/core-properties"/>
    <ds:schemaRef ds:uri="bef64c59-a3ef-40a9-ab00-88fd54a78ca7"/>
    <ds:schemaRef ds:uri="e98515d3-35d1-48c7-98b0-9361f3d04ddf"/>
  </ds:schemaRefs>
</ds:datastoreItem>
</file>

<file path=customXml/itemProps4.xml><?xml version="1.0" encoding="utf-8"?>
<ds:datastoreItem xmlns:ds="http://schemas.openxmlformats.org/officeDocument/2006/customXml" ds:itemID="{6EC5A84A-2C00-4C0C-A5FC-5783195F8A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36</Pages>
  <Words>12181</Words>
  <Characters>69438</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Submission 175 - Workplace Giving Australia - Philanthropy - Public inquiry</vt:lpstr>
    </vt:vector>
  </TitlesOfParts>
  <Company>Workplace Giving Australia</Company>
  <LinksUpToDate>false</LinksUpToDate>
  <CharactersWithSpaces>81457</CharactersWithSpaces>
  <SharedDoc>false</SharedDoc>
  <HLinks>
    <vt:vector size="54" baseType="variant">
      <vt:variant>
        <vt:i4>5111896</vt:i4>
      </vt:variant>
      <vt:variant>
        <vt:i4>6</vt:i4>
      </vt:variant>
      <vt:variant>
        <vt:i4>0</vt:i4>
      </vt:variant>
      <vt:variant>
        <vt:i4>5</vt:i4>
      </vt:variant>
      <vt:variant>
        <vt:lpwstr>https://workplacegivingaustralia.org.au/</vt:lpwstr>
      </vt:variant>
      <vt:variant>
        <vt:lpwstr/>
      </vt:variant>
      <vt:variant>
        <vt:i4>5373986</vt:i4>
      </vt:variant>
      <vt:variant>
        <vt:i4>3</vt:i4>
      </vt:variant>
      <vt:variant>
        <vt:i4>0</vt:i4>
      </vt:variant>
      <vt:variant>
        <vt:i4>5</vt:i4>
      </vt:variant>
      <vt:variant>
        <vt:lpwstr>mailto:nanstis@good2give.ngo</vt:lpwstr>
      </vt:variant>
      <vt:variant>
        <vt:lpwstr/>
      </vt:variant>
      <vt:variant>
        <vt:i4>1114233</vt:i4>
      </vt:variant>
      <vt:variant>
        <vt:i4>0</vt:i4>
      </vt:variant>
      <vt:variant>
        <vt:i4>0</vt:i4>
      </vt:variant>
      <vt:variant>
        <vt:i4>5</vt:i4>
      </vt:variant>
      <vt:variant>
        <vt:lpwstr>mailto:dmann@workplacegivingaustralia.org.au</vt:lpwstr>
      </vt:variant>
      <vt:variant>
        <vt:lpwstr/>
      </vt:variant>
      <vt:variant>
        <vt:i4>5963786</vt:i4>
      </vt:variant>
      <vt:variant>
        <vt:i4>15</vt:i4>
      </vt:variant>
      <vt:variant>
        <vt:i4>0</vt:i4>
      </vt:variant>
      <vt:variant>
        <vt:i4>5</vt:i4>
      </vt:variant>
      <vt:variant>
        <vt:lpwstr>https://www.vogue.com.au/vogue-codes/news/b-corp-brands-australia/image-gallery/449b4f7994801143fb7086a1218306db</vt:lpwstr>
      </vt:variant>
      <vt:variant>
        <vt:lpwstr/>
      </vt:variant>
      <vt:variant>
        <vt:i4>8126521</vt:i4>
      </vt:variant>
      <vt:variant>
        <vt:i4>12</vt:i4>
      </vt:variant>
      <vt:variant>
        <vt:i4>0</vt:i4>
      </vt:variant>
      <vt:variant>
        <vt:i4>5</vt:i4>
      </vt:variant>
      <vt:variant>
        <vt:lpwstr>https://bcorporation.com.au/become-bcorp/guide/eligibility/</vt:lpwstr>
      </vt:variant>
      <vt:variant>
        <vt:lpwstr>:~:text=Requirements%20to%20become%20a%20B%20Corp&amp;text=Complete%20the%20B%20Impact%20Assessment,3%20years%20to%20maintain%20certification</vt:lpwstr>
      </vt:variant>
      <vt:variant>
        <vt:i4>6553633</vt:i4>
      </vt:variant>
      <vt:variant>
        <vt:i4>9</vt:i4>
      </vt:variant>
      <vt:variant>
        <vt:i4>0</vt:i4>
      </vt:variant>
      <vt:variant>
        <vt:i4>5</vt:i4>
      </vt:variant>
      <vt:variant>
        <vt:lpwstr>https://www.1mdonors.org.au/the-case-for-workplace-giving/</vt:lpwstr>
      </vt:variant>
      <vt:variant>
        <vt:lpwstr/>
      </vt:variant>
      <vt:variant>
        <vt:i4>2556008</vt:i4>
      </vt:variant>
      <vt:variant>
        <vt:i4>6</vt:i4>
      </vt:variant>
      <vt:variant>
        <vt:i4>0</vt:i4>
      </vt:variant>
      <vt:variant>
        <vt:i4>5</vt:i4>
      </vt:variant>
      <vt:variant>
        <vt:lpwstr>https://doublethedonation.com/matching-gift-statistics/</vt:lpwstr>
      </vt:variant>
      <vt:variant>
        <vt:lpwstr/>
      </vt:variant>
      <vt:variant>
        <vt:i4>6684732</vt:i4>
      </vt:variant>
      <vt:variant>
        <vt:i4>3</vt:i4>
      </vt:variant>
      <vt:variant>
        <vt:i4>0</vt:i4>
      </vt:variant>
      <vt:variant>
        <vt:i4>5</vt:i4>
      </vt:variant>
      <vt:variant>
        <vt:lpwstr>https://library.workplacegivingaustralia.org.au/?p=1&amp;f=case-studies</vt:lpwstr>
      </vt:variant>
      <vt:variant>
        <vt:lpwstr/>
      </vt:variant>
      <vt:variant>
        <vt:i4>7798891</vt:i4>
      </vt:variant>
      <vt:variant>
        <vt:i4>0</vt:i4>
      </vt:variant>
      <vt:variant>
        <vt:i4>0</vt:i4>
      </vt:variant>
      <vt:variant>
        <vt:i4>5</vt:i4>
      </vt:variant>
      <vt:variant>
        <vt:lpwstr>https://www.giarts.org/article/shape-corporate-philanthropy-yesterday-and-today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175 - Workplace Giving Australia - Philanthropy - Public inquiry</dc:title>
  <dc:subject/>
  <dc:creator>Workplace Giving Australia</dc:creator>
  <cp:keywords/>
  <dc:description/>
  <cp:lastModifiedBy>Alexandra Dazey</cp:lastModifiedBy>
  <cp:revision>4</cp:revision>
  <cp:lastPrinted>2023-05-18T04:54:00Z</cp:lastPrinted>
  <dcterms:created xsi:type="dcterms:W3CDTF">2023-05-05T06:14:00Z</dcterms:created>
  <dcterms:modified xsi:type="dcterms:W3CDTF">2023-05-18T04:56:00Z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