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0783" w14:textId="77777777" w:rsidR="00800E5A" w:rsidRPr="004B6511" w:rsidRDefault="00800E5A">
      <w:pPr>
        <w:rPr>
          <w:b/>
          <w:bCs/>
          <w:sz w:val="22"/>
          <w:szCs w:val="22"/>
          <w:lang w:val="en-AU"/>
        </w:rPr>
      </w:pPr>
    </w:p>
    <w:p w14:paraId="25EEDB46" w14:textId="370ACB05" w:rsidR="00800E5A" w:rsidRPr="004B6511" w:rsidRDefault="00800E5A">
      <w:pPr>
        <w:rPr>
          <w:b/>
          <w:bCs/>
          <w:sz w:val="22"/>
          <w:szCs w:val="22"/>
          <w:lang w:val="en-AU"/>
        </w:rPr>
      </w:pPr>
    </w:p>
    <w:p w14:paraId="6C22745A" w14:textId="51CEF581" w:rsidR="00800E5A" w:rsidRPr="004B6511" w:rsidRDefault="00800E5A">
      <w:pPr>
        <w:rPr>
          <w:b/>
          <w:bCs/>
          <w:sz w:val="22"/>
          <w:szCs w:val="22"/>
          <w:lang w:val="en-AU"/>
        </w:rPr>
      </w:pPr>
      <w:r w:rsidRPr="004B6511">
        <w:rPr>
          <w:b/>
          <w:bCs/>
          <w:noProof/>
          <w:sz w:val="22"/>
          <w:szCs w:val="22"/>
          <w:lang w:val="en-AU"/>
        </w:rPr>
        <w:drawing>
          <wp:inline distT="0" distB="0" distL="0" distR="0" wp14:anchorId="0BAD2DE8" wp14:editId="6B91D220">
            <wp:extent cx="2037384" cy="1437298"/>
            <wp:effectExtent l="0" t="0" r="0" b="0"/>
            <wp:docPr id="828312456" name="Picture 828312456" descr="A picture containing tex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12456" name="Picture 1" descr="A picture containing text, graphics, graphic design, fo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0553" cy="1474807"/>
                    </a:xfrm>
                    <a:prstGeom prst="rect">
                      <a:avLst/>
                    </a:prstGeom>
                  </pic:spPr>
                </pic:pic>
              </a:graphicData>
            </a:graphic>
          </wp:inline>
        </w:drawing>
      </w:r>
    </w:p>
    <w:p w14:paraId="6BBF8394" w14:textId="77777777" w:rsidR="00984634" w:rsidRPr="004B6511" w:rsidRDefault="00984634" w:rsidP="00984634">
      <w:pPr>
        <w:rPr>
          <w:b/>
          <w:bCs/>
          <w:sz w:val="22"/>
          <w:szCs w:val="22"/>
          <w:lang w:val="en-AU"/>
        </w:rPr>
      </w:pPr>
    </w:p>
    <w:p w14:paraId="127FBEDF" w14:textId="77777777" w:rsidR="00975888" w:rsidRDefault="00975888" w:rsidP="00984634">
      <w:pPr>
        <w:rPr>
          <w:b/>
          <w:bCs/>
          <w:sz w:val="22"/>
          <w:szCs w:val="22"/>
          <w:lang w:val="en-AU"/>
        </w:rPr>
      </w:pPr>
    </w:p>
    <w:p w14:paraId="451A8881" w14:textId="0C9385C6" w:rsidR="00984634" w:rsidRPr="004B6511" w:rsidRDefault="00984634" w:rsidP="00984634">
      <w:pPr>
        <w:rPr>
          <w:b/>
          <w:bCs/>
          <w:sz w:val="22"/>
          <w:szCs w:val="22"/>
          <w:lang w:val="en-AU"/>
        </w:rPr>
      </w:pPr>
      <w:r w:rsidRPr="004B6511">
        <w:rPr>
          <w:b/>
          <w:bCs/>
          <w:sz w:val="22"/>
          <w:szCs w:val="22"/>
          <w:lang w:val="en-AU"/>
        </w:rPr>
        <w:t>5 May 2023</w:t>
      </w:r>
    </w:p>
    <w:p w14:paraId="19E212D1" w14:textId="77777777" w:rsidR="00800E5A" w:rsidRPr="004B6511" w:rsidRDefault="00800E5A">
      <w:pPr>
        <w:rPr>
          <w:b/>
          <w:bCs/>
          <w:sz w:val="22"/>
          <w:szCs w:val="22"/>
          <w:lang w:val="en-AU"/>
        </w:rPr>
      </w:pPr>
    </w:p>
    <w:p w14:paraId="2D0CFD92" w14:textId="575ED51C" w:rsidR="000E2225" w:rsidRPr="004B6511" w:rsidRDefault="000D073A">
      <w:pPr>
        <w:rPr>
          <w:b/>
          <w:bCs/>
          <w:sz w:val="22"/>
          <w:szCs w:val="22"/>
          <w:lang w:val="en-AU"/>
        </w:rPr>
      </w:pPr>
      <w:r w:rsidRPr="004B6511">
        <w:rPr>
          <w:b/>
          <w:bCs/>
          <w:sz w:val="22"/>
          <w:szCs w:val="22"/>
          <w:lang w:val="en-AU"/>
        </w:rPr>
        <w:t>SUBMISSION TO THE PRODUCTIVITY COMMISSION</w:t>
      </w:r>
      <w:r w:rsidR="000E2225" w:rsidRPr="004B6511">
        <w:rPr>
          <w:b/>
          <w:bCs/>
          <w:sz w:val="22"/>
          <w:szCs w:val="22"/>
          <w:lang w:val="en-AU"/>
        </w:rPr>
        <w:t>’</w:t>
      </w:r>
      <w:r w:rsidRPr="004B6511">
        <w:rPr>
          <w:b/>
          <w:bCs/>
          <w:sz w:val="22"/>
          <w:szCs w:val="22"/>
          <w:lang w:val="en-AU"/>
        </w:rPr>
        <w:t xml:space="preserve">S </w:t>
      </w:r>
    </w:p>
    <w:p w14:paraId="51661233" w14:textId="0BFD657A" w:rsidR="00C16154" w:rsidRPr="004B6511" w:rsidRDefault="000E2225">
      <w:pPr>
        <w:rPr>
          <w:b/>
          <w:bCs/>
          <w:sz w:val="22"/>
          <w:szCs w:val="22"/>
          <w:lang w:val="en-AU"/>
        </w:rPr>
      </w:pPr>
      <w:r w:rsidRPr="004B6511">
        <w:rPr>
          <w:b/>
          <w:bCs/>
          <w:sz w:val="22"/>
          <w:szCs w:val="22"/>
          <w:lang w:val="en-AU"/>
        </w:rPr>
        <w:t xml:space="preserve">REVIEW OF </w:t>
      </w:r>
      <w:r w:rsidR="000D073A" w:rsidRPr="004B6511">
        <w:rPr>
          <w:b/>
          <w:bCs/>
          <w:sz w:val="22"/>
          <w:szCs w:val="22"/>
          <w:lang w:val="en-AU"/>
        </w:rPr>
        <w:t>PHILANTHROPY</w:t>
      </w:r>
    </w:p>
    <w:p w14:paraId="6A9F4C93" w14:textId="77777777" w:rsidR="005C4AB7" w:rsidRPr="004B6511" w:rsidRDefault="000E2225" w:rsidP="005C4AB7">
      <w:pPr>
        <w:rPr>
          <w:b/>
          <w:bCs/>
          <w:sz w:val="22"/>
          <w:szCs w:val="22"/>
          <w:lang w:val="en-AU"/>
        </w:rPr>
      </w:pPr>
      <w:r w:rsidRPr="004B6511">
        <w:rPr>
          <w:b/>
          <w:bCs/>
          <w:sz w:val="22"/>
          <w:szCs w:val="22"/>
          <w:lang w:val="en-AU"/>
        </w:rPr>
        <w:t>FROM AUSTRALIANS INVESTING IN WOMEN</w:t>
      </w:r>
      <w:r w:rsidR="00F77522" w:rsidRPr="004B6511">
        <w:rPr>
          <w:b/>
          <w:bCs/>
          <w:sz w:val="22"/>
          <w:szCs w:val="22"/>
          <w:lang w:val="en-AU"/>
        </w:rPr>
        <w:t xml:space="preserve"> (AIIW)</w:t>
      </w:r>
    </w:p>
    <w:p w14:paraId="3860F5D5" w14:textId="77777777" w:rsidR="004B6511" w:rsidRPr="004B6511" w:rsidRDefault="004B6511">
      <w:pPr>
        <w:rPr>
          <w:sz w:val="22"/>
          <w:szCs w:val="22"/>
          <w:lang w:val="en-AU"/>
        </w:rPr>
      </w:pPr>
    </w:p>
    <w:p w14:paraId="064231EB" w14:textId="1FB9467B" w:rsidR="00AE215F" w:rsidRPr="004B6511" w:rsidRDefault="00AE215F">
      <w:pPr>
        <w:rPr>
          <w:color w:val="C00000"/>
          <w:sz w:val="22"/>
          <w:szCs w:val="22"/>
          <w:lang w:val="en-AU"/>
        </w:rPr>
      </w:pPr>
      <w:r w:rsidRPr="004B6511">
        <w:rPr>
          <w:color w:val="C00000"/>
          <w:sz w:val="22"/>
          <w:szCs w:val="22"/>
          <w:lang w:val="en-AU"/>
        </w:rPr>
        <w:t>ABOUT US</w:t>
      </w:r>
    </w:p>
    <w:p w14:paraId="3C9CD28A" w14:textId="626EBC4F" w:rsidR="000E2225" w:rsidRPr="004B6511" w:rsidRDefault="00D260D3" w:rsidP="00822A87">
      <w:pPr>
        <w:rPr>
          <w:sz w:val="22"/>
          <w:szCs w:val="22"/>
        </w:rPr>
      </w:pPr>
      <w:r w:rsidRPr="004B6511">
        <w:rPr>
          <w:sz w:val="22"/>
          <w:szCs w:val="22"/>
        </w:rPr>
        <w:t xml:space="preserve">About </w:t>
      </w:r>
      <w:r w:rsidR="000E2225" w:rsidRPr="004B6511">
        <w:rPr>
          <w:sz w:val="22"/>
          <w:szCs w:val="22"/>
        </w:rPr>
        <w:t xml:space="preserve">Australians Investing in Women </w:t>
      </w:r>
      <w:r w:rsidRPr="004B6511">
        <w:rPr>
          <w:sz w:val="22"/>
          <w:szCs w:val="22"/>
        </w:rPr>
        <w:t>(AIIW)</w:t>
      </w:r>
      <w:r w:rsidR="00F77522" w:rsidRPr="004B6511">
        <w:rPr>
          <w:sz w:val="22"/>
          <w:szCs w:val="22"/>
        </w:rPr>
        <w:t xml:space="preserve">: </w:t>
      </w:r>
      <w:r w:rsidRPr="004B6511">
        <w:rPr>
          <w:sz w:val="22"/>
          <w:szCs w:val="22"/>
        </w:rPr>
        <w:t xml:space="preserve">AIIW is a leading national NFP advocate for Gender-wise* philanthropy. </w:t>
      </w:r>
      <w:r w:rsidR="000E2225" w:rsidRPr="004B6511">
        <w:rPr>
          <w:sz w:val="22"/>
          <w:szCs w:val="22"/>
        </w:rPr>
        <w:t>Building on progress towards gender equ</w:t>
      </w:r>
      <w:r w:rsidR="0090416B" w:rsidRPr="004B6511">
        <w:rPr>
          <w:sz w:val="22"/>
          <w:szCs w:val="22"/>
        </w:rPr>
        <w:t>alit</w:t>
      </w:r>
      <w:r w:rsidR="000E2225" w:rsidRPr="004B6511">
        <w:rPr>
          <w:sz w:val="22"/>
          <w:szCs w:val="22"/>
        </w:rPr>
        <w:t xml:space="preserve">y, we take an evidence-based approach and work in partnership with philanthropic, corporate and community leaders to strengthen society by </w:t>
      </w:r>
      <w:proofErr w:type="spellStart"/>
      <w:r w:rsidR="000E2225" w:rsidRPr="004B6511">
        <w:rPr>
          <w:sz w:val="22"/>
          <w:szCs w:val="22"/>
        </w:rPr>
        <w:t>catalysing</w:t>
      </w:r>
      <w:proofErr w:type="spellEnd"/>
      <w:r w:rsidR="000E2225" w:rsidRPr="004B6511">
        <w:rPr>
          <w:sz w:val="22"/>
          <w:szCs w:val="22"/>
        </w:rPr>
        <w:t xml:space="preserve"> inves</w:t>
      </w:r>
      <w:r w:rsidR="002D7376" w:rsidRPr="004B6511">
        <w:rPr>
          <w:sz w:val="22"/>
          <w:szCs w:val="22"/>
        </w:rPr>
        <w:t>tment</w:t>
      </w:r>
      <w:r w:rsidR="000E2225" w:rsidRPr="004B6511">
        <w:rPr>
          <w:sz w:val="22"/>
          <w:szCs w:val="22"/>
        </w:rPr>
        <w:t xml:space="preserve"> in women and girls.</w:t>
      </w:r>
    </w:p>
    <w:p w14:paraId="3283A624" w14:textId="77777777" w:rsidR="00442D03" w:rsidRPr="004B6511" w:rsidRDefault="00442D03" w:rsidP="00442D03">
      <w:pPr>
        <w:pStyle w:val="ListParagraph"/>
        <w:rPr>
          <w:sz w:val="22"/>
          <w:szCs w:val="22"/>
        </w:rPr>
      </w:pPr>
    </w:p>
    <w:p w14:paraId="5923F9BC" w14:textId="1FD7240B" w:rsidR="00442D03" w:rsidRPr="004B6511" w:rsidRDefault="00D260D3" w:rsidP="00984634">
      <w:pPr>
        <w:rPr>
          <w:sz w:val="22"/>
          <w:szCs w:val="22"/>
        </w:rPr>
      </w:pPr>
      <w:r w:rsidRPr="004B6511">
        <w:rPr>
          <w:sz w:val="22"/>
          <w:szCs w:val="22"/>
        </w:rPr>
        <w:t>As a lean organisation we have very little capacity to produce a significant submission for consideration by the Commissioners and are therefore submitting the dot point summary below with an invitation to reach out if you would like further information.</w:t>
      </w:r>
    </w:p>
    <w:p w14:paraId="23BD8C11" w14:textId="77777777" w:rsidR="00AE215F" w:rsidRPr="004B6511" w:rsidRDefault="00AE215F" w:rsidP="00442D03">
      <w:pPr>
        <w:rPr>
          <w:sz w:val="22"/>
          <w:szCs w:val="22"/>
        </w:rPr>
      </w:pPr>
    </w:p>
    <w:p w14:paraId="13418324" w14:textId="33E16A8C" w:rsidR="00AA001D" w:rsidRPr="004B6511" w:rsidRDefault="00AA001D" w:rsidP="00AA001D">
      <w:pPr>
        <w:rPr>
          <w:color w:val="C00000"/>
          <w:sz w:val="22"/>
          <w:szCs w:val="22"/>
        </w:rPr>
      </w:pPr>
      <w:r w:rsidRPr="004B6511">
        <w:rPr>
          <w:color w:val="C00000"/>
          <w:sz w:val="22"/>
          <w:szCs w:val="22"/>
        </w:rPr>
        <w:t>ABOUT GENDER=WISE PHILANTHROPY</w:t>
      </w:r>
    </w:p>
    <w:p w14:paraId="5350AF67" w14:textId="11B3EB50" w:rsidR="00AA001D" w:rsidRPr="004B6511" w:rsidRDefault="00AA001D" w:rsidP="00AA001D">
      <w:pPr>
        <w:rPr>
          <w:sz w:val="22"/>
          <w:szCs w:val="22"/>
          <w:lang w:val="en-AU"/>
        </w:rPr>
      </w:pPr>
      <w:r w:rsidRPr="004B6511">
        <w:rPr>
          <w:sz w:val="22"/>
          <w:szCs w:val="22"/>
          <w:lang w:val="en-AU"/>
        </w:rPr>
        <w:t>Gender-wise philanthropy is giving that applies a gender lens and gender analysis to every aspect of philanthropic practice.  Gender-wise philanthropy has the potential to not only create positive change for women and girls but also to increase overall philanthropic giving. Here are some ways that gender-wise philanthropy can lead to more and better philanthropy:</w:t>
      </w:r>
    </w:p>
    <w:p w14:paraId="5965EC84" w14:textId="77777777" w:rsidR="00AA001D" w:rsidRPr="004B6511" w:rsidRDefault="00AA001D" w:rsidP="00AA001D">
      <w:pPr>
        <w:rPr>
          <w:sz w:val="22"/>
          <w:szCs w:val="22"/>
          <w:lang w:val="en-AU"/>
        </w:rPr>
      </w:pPr>
    </w:p>
    <w:p w14:paraId="362F6596" w14:textId="77777777" w:rsidR="00AA001D" w:rsidRPr="004B6511" w:rsidRDefault="00AA001D" w:rsidP="004B6511">
      <w:pPr>
        <w:numPr>
          <w:ilvl w:val="0"/>
          <w:numId w:val="12"/>
        </w:numPr>
        <w:rPr>
          <w:sz w:val="22"/>
          <w:szCs w:val="22"/>
          <w:lang w:val="en-AU"/>
        </w:rPr>
      </w:pPr>
      <w:r w:rsidRPr="004B6511">
        <w:rPr>
          <w:sz w:val="22"/>
          <w:szCs w:val="22"/>
          <w:lang w:val="en-AU"/>
        </w:rPr>
        <w:t>Increasing awareness: Gender-wise philanthropy can help to raise awareness about the importance of addressing gender inequalities and the impact that it can have on society. By highlighting the issue and the potential solutions, it can encourage more people to get involved and donate to causes related to gender equality.</w:t>
      </w:r>
    </w:p>
    <w:p w14:paraId="5358F8F8" w14:textId="77777777" w:rsidR="00AA001D" w:rsidRPr="004B6511" w:rsidRDefault="00AA001D" w:rsidP="00AA001D">
      <w:pPr>
        <w:rPr>
          <w:sz w:val="22"/>
          <w:szCs w:val="22"/>
          <w:lang w:val="en-AU"/>
        </w:rPr>
      </w:pPr>
    </w:p>
    <w:p w14:paraId="175414E4" w14:textId="77777777" w:rsidR="00AA001D" w:rsidRPr="004B6511" w:rsidRDefault="00AA001D" w:rsidP="004B6511">
      <w:pPr>
        <w:numPr>
          <w:ilvl w:val="0"/>
          <w:numId w:val="12"/>
        </w:numPr>
        <w:rPr>
          <w:sz w:val="22"/>
          <w:szCs w:val="22"/>
          <w:lang w:val="en-AU"/>
        </w:rPr>
      </w:pPr>
      <w:r w:rsidRPr="004B6511">
        <w:rPr>
          <w:sz w:val="22"/>
          <w:szCs w:val="22"/>
          <w:lang w:val="en-AU"/>
        </w:rPr>
        <w:t>Setting an example: When philanthropists make a public commitment to gender-wise philanthropy, it can inspire others to do the same. Seeing prominent individuals or organizations prioritize gender equality can encourage more people to give to similar causes.</w:t>
      </w:r>
    </w:p>
    <w:p w14:paraId="0FB23DA8" w14:textId="77777777" w:rsidR="00AA001D" w:rsidRPr="004B6511" w:rsidRDefault="00AA001D" w:rsidP="00AA001D">
      <w:pPr>
        <w:rPr>
          <w:sz w:val="22"/>
          <w:szCs w:val="22"/>
          <w:lang w:val="en-AU"/>
        </w:rPr>
      </w:pPr>
    </w:p>
    <w:p w14:paraId="43F40CCE" w14:textId="303F656A" w:rsidR="00AA001D" w:rsidRPr="004B6511" w:rsidRDefault="00AA001D" w:rsidP="004B6511">
      <w:pPr>
        <w:numPr>
          <w:ilvl w:val="0"/>
          <w:numId w:val="12"/>
        </w:numPr>
        <w:rPr>
          <w:sz w:val="22"/>
          <w:szCs w:val="22"/>
          <w:lang w:val="en-AU"/>
        </w:rPr>
      </w:pPr>
      <w:r w:rsidRPr="004B6511">
        <w:rPr>
          <w:sz w:val="22"/>
          <w:szCs w:val="22"/>
          <w:lang w:val="en-AU"/>
        </w:rPr>
        <w:t>Building networks: Philanthropists who support gender-wise philanthropy may also create networks of like-minded individuals who can collaborate and leverage their resources to create even greater impact. These networks can help to identify the most effective strategies and initiatives and provide support to organizations working in this area.</w:t>
      </w:r>
    </w:p>
    <w:p w14:paraId="049C0C36" w14:textId="0255FCD2" w:rsidR="00AA001D" w:rsidRPr="004B6511" w:rsidRDefault="00AA001D" w:rsidP="00AA001D">
      <w:pPr>
        <w:rPr>
          <w:sz w:val="22"/>
          <w:szCs w:val="22"/>
          <w:lang w:val="en-AU"/>
        </w:rPr>
      </w:pPr>
    </w:p>
    <w:p w14:paraId="06115BB0" w14:textId="35DF31FB" w:rsidR="004B6511" w:rsidRPr="004B6511" w:rsidRDefault="004B6511" w:rsidP="00AA001D">
      <w:pPr>
        <w:rPr>
          <w:sz w:val="22"/>
          <w:szCs w:val="22"/>
          <w:lang w:val="en-AU"/>
        </w:rPr>
      </w:pPr>
    </w:p>
    <w:p w14:paraId="3B60ABAB" w14:textId="1F611497" w:rsidR="004B6511" w:rsidRPr="004B6511" w:rsidRDefault="004B6511" w:rsidP="00AA001D">
      <w:pPr>
        <w:rPr>
          <w:sz w:val="22"/>
          <w:szCs w:val="22"/>
          <w:lang w:val="en-AU"/>
        </w:rPr>
      </w:pPr>
    </w:p>
    <w:p w14:paraId="10DEB3A3" w14:textId="39827778" w:rsidR="004B6511" w:rsidRPr="004B6511" w:rsidRDefault="004B6511" w:rsidP="00AA001D">
      <w:pPr>
        <w:rPr>
          <w:sz w:val="22"/>
          <w:szCs w:val="22"/>
          <w:lang w:val="en-AU"/>
        </w:rPr>
      </w:pPr>
    </w:p>
    <w:p w14:paraId="3184F60B" w14:textId="77777777" w:rsidR="004B6511" w:rsidRPr="004B6511" w:rsidRDefault="004B6511" w:rsidP="00AA001D">
      <w:pPr>
        <w:rPr>
          <w:sz w:val="22"/>
          <w:szCs w:val="22"/>
          <w:lang w:val="en-AU"/>
        </w:rPr>
      </w:pPr>
    </w:p>
    <w:p w14:paraId="5F47420E" w14:textId="77777777" w:rsidR="004B6511" w:rsidRDefault="004B6511" w:rsidP="00D63D20">
      <w:pPr>
        <w:ind w:left="720"/>
        <w:rPr>
          <w:sz w:val="22"/>
          <w:szCs w:val="22"/>
          <w:lang w:val="en-AU"/>
        </w:rPr>
      </w:pPr>
    </w:p>
    <w:p w14:paraId="50ACEC77" w14:textId="77777777" w:rsidR="004B6511" w:rsidRDefault="004B6511" w:rsidP="004B6511">
      <w:pPr>
        <w:ind w:left="720"/>
        <w:rPr>
          <w:sz w:val="22"/>
          <w:szCs w:val="22"/>
          <w:lang w:val="en-AU"/>
        </w:rPr>
      </w:pPr>
    </w:p>
    <w:p w14:paraId="1C8BDC8C" w14:textId="77777777" w:rsidR="004B6511" w:rsidRDefault="004B6511" w:rsidP="004B6511">
      <w:pPr>
        <w:ind w:left="360"/>
        <w:rPr>
          <w:sz w:val="22"/>
          <w:szCs w:val="22"/>
          <w:lang w:val="en-AU"/>
        </w:rPr>
      </w:pPr>
    </w:p>
    <w:p w14:paraId="44A50F94" w14:textId="77777777" w:rsidR="004B6511" w:rsidRDefault="004B6511" w:rsidP="004B6511">
      <w:pPr>
        <w:ind w:left="360"/>
        <w:rPr>
          <w:sz w:val="22"/>
          <w:szCs w:val="22"/>
          <w:lang w:val="en-AU"/>
        </w:rPr>
      </w:pPr>
    </w:p>
    <w:p w14:paraId="1DA471B2" w14:textId="77777777" w:rsidR="004B6511" w:rsidRDefault="004B6511" w:rsidP="00D63D20">
      <w:pPr>
        <w:ind w:left="720"/>
        <w:rPr>
          <w:sz w:val="22"/>
          <w:szCs w:val="22"/>
          <w:lang w:val="en-AU"/>
        </w:rPr>
      </w:pPr>
    </w:p>
    <w:p w14:paraId="66EA4064" w14:textId="77777777" w:rsidR="00D63D20" w:rsidRDefault="00D63D20" w:rsidP="00D63D20">
      <w:pPr>
        <w:ind w:left="720"/>
        <w:rPr>
          <w:sz w:val="22"/>
          <w:szCs w:val="22"/>
          <w:lang w:val="en-AU"/>
        </w:rPr>
      </w:pPr>
    </w:p>
    <w:p w14:paraId="1AE5BED2" w14:textId="77777777" w:rsidR="00D63D20" w:rsidRDefault="00D63D20" w:rsidP="00D63D20">
      <w:pPr>
        <w:ind w:left="720"/>
        <w:rPr>
          <w:sz w:val="22"/>
          <w:szCs w:val="22"/>
          <w:lang w:val="en-AU"/>
        </w:rPr>
      </w:pPr>
    </w:p>
    <w:p w14:paraId="5C1CF4F1" w14:textId="77777777" w:rsidR="00763652" w:rsidRDefault="00763652" w:rsidP="00D63D20">
      <w:pPr>
        <w:ind w:left="720"/>
        <w:rPr>
          <w:sz w:val="22"/>
          <w:szCs w:val="22"/>
          <w:lang w:val="en-AU"/>
        </w:rPr>
      </w:pPr>
    </w:p>
    <w:p w14:paraId="045184BF" w14:textId="77777777" w:rsidR="00763652" w:rsidRDefault="00763652" w:rsidP="00D63D20">
      <w:pPr>
        <w:ind w:left="720"/>
        <w:rPr>
          <w:sz w:val="22"/>
          <w:szCs w:val="22"/>
          <w:lang w:val="en-AU"/>
        </w:rPr>
      </w:pPr>
    </w:p>
    <w:p w14:paraId="718D3121" w14:textId="0B5381BA" w:rsidR="00AA001D" w:rsidRPr="004B6511" w:rsidRDefault="00AA001D" w:rsidP="004B6511">
      <w:pPr>
        <w:numPr>
          <w:ilvl w:val="0"/>
          <w:numId w:val="12"/>
        </w:numPr>
        <w:rPr>
          <w:sz w:val="22"/>
          <w:szCs w:val="22"/>
          <w:lang w:val="en-AU"/>
        </w:rPr>
      </w:pPr>
      <w:r w:rsidRPr="004B6511">
        <w:rPr>
          <w:sz w:val="22"/>
          <w:szCs w:val="22"/>
          <w:lang w:val="en-AU"/>
        </w:rPr>
        <w:t>Encouraging innovation: Gender-wise philanthropy can also encourage innovation in philanthropy. By prioritizing gender equality, philanthropists may be more likely to support organizations that are developing new and innovative solutions to address the issue.</w:t>
      </w:r>
    </w:p>
    <w:p w14:paraId="50A2C40F" w14:textId="77777777" w:rsidR="00AA001D" w:rsidRPr="004B6511" w:rsidRDefault="00AA001D" w:rsidP="00AA001D">
      <w:pPr>
        <w:rPr>
          <w:sz w:val="22"/>
          <w:szCs w:val="22"/>
          <w:lang w:val="en-AU"/>
        </w:rPr>
      </w:pPr>
    </w:p>
    <w:p w14:paraId="7FB664AF" w14:textId="2ADF0E1A" w:rsidR="00AA001D" w:rsidRPr="004B6511" w:rsidRDefault="00AA001D" w:rsidP="00442D03">
      <w:pPr>
        <w:rPr>
          <w:sz w:val="22"/>
          <w:szCs w:val="22"/>
          <w:lang w:val="en-AU"/>
        </w:rPr>
      </w:pPr>
      <w:r w:rsidRPr="004B6511">
        <w:rPr>
          <w:sz w:val="22"/>
          <w:szCs w:val="22"/>
          <w:lang w:val="en-AU"/>
        </w:rPr>
        <w:t>Overall, gender-wise philanthropy can be a strategy to increase philanthropic giving by raising awareness, setting an example, building networks, and encouraging innovation. By prioritizing gender equality, philanthropists can not only create positive change for women and girls but also contribute to a more just and equitable society.</w:t>
      </w:r>
    </w:p>
    <w:p w14:paraId="4ECE0B24" w14:textId="77777777" w:rsidR="001059AB" w:rsidRPr="004B6511" w:rsidRDefault="001059AB" w:rsidP="00442D03">
      <w:pPr>
        <w:rPr>
          <w:color w:val="C00000"/>
          <w:sz w:val="22"/>
          <w:szCs w:val="22"/>
        </w:rPr>
      </w:pPr>
    </w:p>
    <w:p w14:paraId="450A0A19" w14:textId="5CA1B921" w:rsidR="00984634" w:rsidRPr="004B6511" w:rsidRDefault="00DC7FA5" w:rsidP="00442D03">
      <w:pPr>
        <w:rPr>
          <w:color w:val="C00000"/>
          <w:sz w:val="22"/>
          <w:szCs w:val="22"/>
        </w:rPr>
      </w:pPr>
      <w:r w:rsidRPr="004B6511">
        <w:rPr>
          <w:color w:val="C00000"/>
          <w:sz w:val="22"/>
          <w:szCs w:val="22"/>
        </w:rPr>
        <w:t>AREAS FOR CHANGE</w:t>
      </w:r>
    </w:p>
    <w:p w14:paraId="6D183303" w14:textId="77777777" w:rsidR="00952A4D" w:rsidRPr="004B6511" w:rsidRDefault="00952A4D" w:rsidP="00952A4D">
      <w:pPr>
        <w:pStyle w:val="ListParagraph"/>
        <w:numPr>
          <w:ilvl w:val="0"/>
          <w:numId w:val="1"/>
        </w:numPr>
        <w:rPr>
          <w:sz w:val="22"/>
          <w:szCs w:val="22"/>
        </w:rPr>
      </w:pPr>
      <w:r w:rsidRPr="004B6511">
        <w:rPr>
          <w:sz w:val="22"/>
          <w:szCs w:val="22"/>
        </w:rPr>
        <w:t>Our submission makes three points:</w:t>
      </w:r>
    </w:p>
    <w:p w14:paraId="5469F7D2" w14:textId="32192471" w:rsidR="00952A4D" w:rsidRDefault="00952A4D" w:rsidP="00952A4D">
      <w:pPr>
        <w:pStyle w:val="ListParagraph"/>
        <w:numPr>
          <w:ilvl w:val="1"/>
          <w:numId w:val="1"/>
        </w:numPr>
        <w:rPr>
          <w:sz w:val="22"/>
          <w:szCs w:val="22"/>
        </w:rPr>
      </w:pPr>
      <w:r w:rsidRPr="004B6511">
        <w:rPr>
          <w:b/>
          <w:bCs/>
          <w:sz w:val="22"/>
          <w:szCs w:val="22"/>
        </w:rPr>
        <w:t>Gender analysis is a critical success factor</w:t>
      </w:r>
      <w:r w:rsidRPr="004B6511">
        <w:rPr>
          <w:sz w:val="22"/>
          <w:szCs w:val="22"/>
        </w:rPr>
        <w:t xml:space="preserve"> in both growing giving and growing the impact of giving.</w:t>
      </w:r>
      <w:r w:rsidR="006E2FD4" w:rsidRPr="004B6511">
        <w:rPr>
          <w:sz w:val="22"/>
          <w:szCs w:val="22"/>
        </w:rPr>
        <w:t xml:space="preserve">  </w:t>
      </w:r>
      <w:r w:rsidR="00FE7AF0" w:rsidRPr="004B6511">
        <w:rPr>
          <w:sz w:val="22"/>
          <w:szCs w:val="22"/>
        </w:rPr>
        <w:t xml:space="preserve">There is </w:t>
      </w:r>
      <w:r w:rsidR="005751E4" w:rsidRPr="004B6511">
        <w:rPr>
          <w:sz w:val="22"/>
          <w:szCs w:val="22"/>
        </w:rPr>
        <w:t>evidence that women give a greater pro</w:t>
      </w:r>
      <w:r w:rsidR="00FD4DEB" w:rsidRPr="004B6511">
        <w:rPr>
          <w:sz w:val="22"/>
          <w:szCs w:val="22"/>
        </w:rPr>
        <w:t xml:space="preserve">portion of their </w:t>
      </w:r>
      <w:proofErr w:type="gramStart"/>
      <w:r w:rsidR="00FD4DEB" w:rsidRPr="004B6511">
        <w:rPr>
          <w:sz w:val="22"/>
          <w:szCs w:val="22"/>
        </w:rPr>
        <w:t>income</w:t>
      </w:r>
      <w:r w:rsidR="003B7267" w:rsidRPr="004B6511">
        <w:rPr>
          <w:sz w:val="22"/>
          <w:szCs w:val="22"/>
        </w:rPr>
        <w:t>, and</w:t>
      </w:r>
      <w:proofErr w:type="gramEnd"/>
      <w:r w:rsidR="003B7267" w:rsidRPr="004B6511">
        <w:rPr>
          <w:sz w:val="22"/>
          <w:szCs w:val="22"/>
        </w:rPr>
        <w:t xml:space="preserve"> give differently from men</w:t>
      </w:r>
      <w:r w:rsidR="00FD4DEB" w:rsidRPr="004B6511">
        <w:rPr>
          <w:sz w:val="22"/>
          <w:szCs w:val="22"/>
        </w:rPr>
        <w:t xml:space="preserve"> – although there is limited analysis of gender in structured giving.</w:t>
      </w:r>
      <w:r w:rsidR="00BD2694" w:rsidRPr="004B6511">
        <w:rPr>
          <w:sz w:val="22"/>
          <w:szCs w:val="22"/>
        </w:rPr>
        <w:t xml:space="preserve">  </w:t>
      </w:r>
      <w:r w:rsidR="002163D0" w:rsidRPr="004B6511">
        <w:rPr>
          <w:sz w:val="22"/>
          <w:szCs w:val="22"/>
        </w:rPr>
        <w:t>And the nature of disadvantage – often the subject of giving – is highly gendered.</w:t>
      </w:r>
    </w:p>
    <w:p w14:paraId="582DF0E2" w14:textId="77777777" w:rsidR="00763652" w:rsidRPr="004B6511" w:rsidRDefault="00763652" w:rsidP="00763652">
      <w:pPr>
        <w:pStyle w:val="ListParagraph"/>
        <w:ind w:left="1440"/>
        <w:rPr>
          <w:sz w:val="22"/>
          <w:szCs w:val="22"/>
        </w:rPr>
      </w:pPr>
    </w:p>
    <w:p w14:paraId="32374BFD" w14:textId="60CE16E2" w:rsidR="00984634" w:rsidRPr="004B6511" w:rsidRDefault="00952A4D" w:rsidP="00B07581">
      <w:pPr>
        <w:pStyle w:val="ListParagraph"/>
        <w:numPr>
          <w:ilvl w:val="1"/>
          <w:numId w:val="1"/>
        </w:numPr>
        <w:rPr>
          <w:sz w:val="22"/>
          <w:szCs w:val="22"/>
        </w:rPr>
      </w:pPr>
      <w:r w:rsidRPr="004B6511">
        <w:rPr>
          <w:b/>
          <w:bCs/>
          <w:sz w:val="22"/>
          <w:szCs w:val="22"/>
        </w:rPr>
        <w:t>Existing</w:t>
      </w:r>
      <w:r w:rsidRPr="004B6511">
        <w:rPr>
          <w:sz w:val="22"/>
          <w:szCs w:val="22"/>
        </w:rPr>
        <w:t xml:space="preserve"> </w:t>
      </w:r>
      <w:r w:rsidRPr="004B6511">
        <w:rPr>
          <w:b/>
          <w:bCs/>
          <w:sz w:val="22"/>
          <w:szCs w:val="22"/>
        </w:rPr>
        <w:t>categories for securing DGR 1</w:t>
      </w:r>
      <w:r w:rsidRPr="004B6511">
        <w:rPr>
          <w:sz w:val="22"/>
          <w:szCs w:val="22"/>
        </w:rPr>
        <w:t xml:space="preserve"> </w:t>
      </w:r>
      <w:r w:rsidRPr="004B6511">
        <w:rPr>
          <w:b/>
          <w:bCs/>
          <w:sz w:val="22"/>
          <w:szCs w:val="22"/>
        </w:rPr>
        <w:t>are inadequate</w:t>
      </w:r>
      <w:r w:rsidR="00DC6325" w:rsidRPr="004B6511">
        <w:rPr>
          <w:b/>
          <w:bCs/>
          <w:sz w:val="22"/>
          <w:szCs w:val="22"/>
        </w:rPr>
        <w:t xml:space="preserve"> </w:t>
      </w:r>
      <w:r w:rsidR="00EB6E5D" w:rsidRPr="004B6511">
        <w:rPr>
          <w:b/>
          <w:bCs/>
          <w:sz w:val="22"/>
          <w:szCs w:val="22"/>
        </w:rPr>
        <w:t>(</w:t>
      </w:r>
      <w:r w:rsidR="00DC6325" w:rsidRPr="004B6511">
        <w:rPr>
          <w:b/>
          <w:bCs/>
          <w:sz w:val="22"/>
          <w:szCs w:val="22"/>
        </w:rPr>
        <w:t xml:space="preserve">as is the </w:t>
      </w:r>
      <w:proofErr w:type="gramStart"/>
      <w:r w:rsidR="00DC6325" w:rsidRPr="004B6511">
        <w:rPr>
          <w:b/>
          <w:bCs/>
          <w:sz w:val="22"/>
          <w:szCs w:val="22"/>
        </w:rPr>
        <w:t>5 year</w:t>
      </w:r>
      <w:proofErr w:type="gramEnd"/>
      <w:r w:rsidR="00DC6325" w:rsidRPr="004B6511">
        <w:rPr>
          <w:b/>
          <w:bCs/>
          <w:sz w:val="22"/>
          <w:szCs w:val="22"/>
        </w:rPr>
        <w:t xml:space="preserve"> timeframe for special listings</w:t>
      </w:r>
      <w:r w:rsidR="00EB6E5D" w:rsidRPr="004B6511">
        <w:rPr>
          <w:b/>
          <w:bCs/>
          <w:sz w:val="22"/>
          <w:szCs w:val="22"/>
        </w:rPr>
        <w:t>)</w:t>
      </w:r>
      <w:r w:rsidRPr="004B6511">
        <w:rPr>
          <w:b/>
          <w:bCs/>
          <w:sz w:val="22"/>
          <w:szCs w:val="22"/>
        </w:rPr>
        <w:t>.</w:t>
      </w:r>
      <w:r w:rsidRPr="004B6511">
        <w:rPr>
          <w:sz w:val="22"/>
          <w:szCs w:val="22"/>
        </w:rPr>
        <w:t xml:space="preserve"> </w:t>
      </w:r>
      <w:proofErr w:type="gramStart"/>
      <w:r w:rsidRPr="004B6511">
        <w:rPr>
          <w:sz w:val="22"/>
          <w:szCs w:val="22"/>
        </w:rPr>
        <w:t>In particular the</w:t>
      </w:r>
      <w:proofErr w:type="gramEnd"/>
      <w:r w:rsidR="00EB6E5D" w:rsidRPr="004B6511">
        <w:rPr>
          <w:sz w:val="22"/>
          <w:szCs w:val="22"/>
        </w:rPr>
        <w:t xml:space="preserve"> existing categories</w:t>
      </w:r>
      <w:r w:rsidRPr="004B6511">
        <w:rPr>
          <w:sz w:val="22"/>
          <w:szCs w:val="22"/>
        </w:rPr>
        <w:t xml:space="preserve"> fail to recognize the importance of philanthropic infrastructure such as intermediaries</w:t>
      </w:r>
      <w:r w:rsidR="001F59C0" w:rsidRPr="004B6511">
        <w:rPr>
          <w:sz w:val="22"/>
          <w:szCs w:val="22"/>
        </w:rPr>
        <w:t xml:space="preserve">, </w:t>
      </w:r>
      <w:r w:rsidRPr="004B6511">
        <w:rPr>
          <w:sz w:val="22"/>
          <w:szCs w:val="22"/>
        </w:rPr>
        <w:t>peak bodies</w:t>
      </w:r>
      <w:r w:rsidR="001F59C0" w:rsidRPr="004B6511">
        <w:rPr>
          <w:sz w:val="22"/>
          <w:szCs w:val="22"/>
        </w:rPr>
        <w:t xml:space="preserve"> </w:t>
      </w:r>
      <w:r w:rsidR="00DC6325" w:rsidRPr="004B6511">
        <w:rPr>
          <w:sz w:val="22"/>
          <w:szCs w:val="22"/>
        </w:rPr>
        <w:t xml:space="preserve">and umbrella organisations </w:t>
      </w:r>
      <w:r w:rsidR="001F59C0" w:rsidRPr="004B6511">
        <w:rPr>
          <w:sz w:val="22"/>
          <w:szCs w:val="22"/>
        </w:rPr>
        <w:t>like</w:t>
      </w:r>
      <w:r w:rsidR="00DC6325" w:rsidRPr="004B6511">
        <w:rPr>
          <w:sz w:val="22"/>
          <w:szCs w:val="22"/>
        </w:rPr>
        <w:t xml:space="preserve"> </w:t>
      </w:r>
      <w:r w:rsidR="001F59C0" w:rsidRPr="004B6511">
        <w:rPr>
          <w:sz w:val="22"/>
          <w:szCs w:val="22"/>
        </w:rPr>
        <w:t>c</w:t>
      </w:r>
      <w:r w:rsidR="00DC6325" w:rsidRPr="004B6511">
        <w:rPr>
          <w:sz w:val="22"/>
          <w:szCs w:val="22"/>
        </w:rPr>
        <w:t xml:space="preserve">ommunity </w:t>
      </w:r>
      <w:r w:rsidR="001F59C0" w:rsidRPr="004B6511">
        <w:rPr>
          <w:sz w:val="22"/>
          <w:szCs w:val="22"/>
        </w:rPr>
        <w:t>f</w:t>
      </w:r>
      <w:r w:rsidR="00DC6325" w:rsidRPr="004B6511">
        <w:rPr>
          <w:sz w:val="22"/>
          <w:szCs w:val="22"/>
        </w:rPr>
        <w:t>oundations.</w:t>
      </w:r>
      <w:r w:rsidRPr="004B6511">
        <w:rPr>
          <w:sz w:val="22"/>
          <w:szCs w:val="22"/>
        </w:rPr>
        <w:t xml:space="preserve"> The alternative option of obtaining a Special Listing in the Income Tax Assessment </w:t>
      </w:r>
      <w:r w:rsidR="00DC6325" w:rsidRPr="004B6511">
        <w:rPr>
          <w:sz w:val="22"/>
          <w:szCs w:val="22"/>
        </w:rPr>
        <w:t>A</w:t>
      </w:r>
      <w:r w:rsidRPr="004B6511">
        <w:rPr>
          <w:sz w:val="22"/>
          <w:szCs w:val="22"/>
        </w:rPr>
        <w:t>ct is a time</w:t>
      </w:r>
      <w:r w:rsidR="00DC6325" w:rsidRPr="004B6511">
        <w:rPr>
          <w:sz w:val="22"/>
          <w:szCs w:val="22"/>
        </w:rPr>
        <w:t xml:space="preserve"> consuming</w:t>
      </w:r>
      <w:r w:rsidRPr="004B6511">
        <w:rPr>
          <w:sz w:val="22"/>
          <w:szCs w:val="22"/>
        </w:rPr>
        <w:t xml:space="preserve"> and costly process, </w:t>
      </w:r>
      <w:r w:rsidR="00DC6325" w:rsidRPr="004B6511">
        <w:rPr>
          <w:sz w:val="22"/>
          <w:szCs w:val="22"/>
        </w:rPr>
        <w:t>and</w:t>
      </w:r>
      <w:r w:rsidRPr="004B6511">
        <w:rPr>
          <w:sz w:val="22"/>
          <w:szCs w:val="22"/>
        </w:rPr>
        <w:t xml:space="preserve"> </w:t>
      </w:r>
      <w:r w:rsidR="00DC6325" w:rsidRPr="004B6511">
        <w:rPr>
          <w:sz w:val="22"/>
          <w:szCs w:val="22"/>
        </w:rPr>
        <w:t xml:space="preserve">this </w:t>
      </w:r>
      <w:r w:rsidRPr="004B6511">
        <w:rPr>
          <w:sz w:val="22"/>
          <w:szCs w:val="22"/>
        </w:rPr>
        <w:t xml:space="preserve">proves </w:t>
      </w:r>
      <w:r w:rsidR="00DC6325" w:rsidRPr="004B6511">
        <w:rPr>
          <w:sz w:val="22"/>
          <w:szCs w:val="22"/>
        </w:rPr>
        <w:t xml:space="preserve">to be </w:t>
      </w:r>
      <w:r w:rsidRPr="004B6511">
        <w:rPr>
          <w:sz w:val="22"/>
          <w:szCs w:val="22"/>
        </w:rPr>
        <w:t xml:space="preserve">prohibitive for many small NFP’s. </w:t>
      </w:r>
      <w:r w:rsidR="001F59C0" w:rsidRPr="004B6511">
        <w:rPr>
          <w:sz w:val="22"/>
          <w:szCs w:val="22"/>
        </w:rPr>
        <w:t>Furthermore,</w:t>
      </w:r>
      <w:r w:rsidRPr="004B6511">
        <w:rPr>
          <w:sz w:val="22"/>
          <w:szCs w:val="22"/>
        </w:rPr>
        <w:t xml:space="preserve"> when successful, the practice of granting DGR Item 1 status for a period limited to 5 years is unsatisfactory, </w:t>
      </w:r>
      <w:proofErr w:type="gramStart"/>
      <w:r w:rsidRPr="004B6511">
        <w:rPr>
          <w:sz w:val="22"/>
          <w:szCs w:val="22"/>
        </w:rPr>
        <w:t>frustrating</w:t>
      </w:r>
      <w:proofErr w:type="gramEnd"/>
      <w:r w:rsidRPr="004B6511">
        <w:rPr>
          <w:sz w:val="22"/>
          <w:szCs w:val="22"/>
        </w:rPr>
        <w:t xml:space="preserve"> and costly.  It is particularly perplexing when </w:t>
      </w:r>
      <w:r w:rsidR="001F59C0" w:rsidRPr="004B6511">
        <w:rPr>
          <w:sz w:val="22"/>
          <w:szCs w:val="22"/>
        </w:rPr>
        <w:t>viewed in the context of AIIW’s role advancing</w:t>
      </w:r>
      <w:r w:rsidRPr="004B6511">
        <w:rPr>
          <w:sz w:val="22"/>
          <w:szCs w:val="22"/>
        </w:rPr>
        <w:t xml:space="preserve"> gender equality</w:t>
      </w:r>
      <w:r w:rsidR="001F59C0" w:rsidRPr="004B6511">
        <w:rPr>
          <w:sz w:val="22"/>
          <w:szCs w:val="22"/>
        </w:rPr>
        <w:t>,</w:t>
      </w:r>
      <w:r w:rsidRPr="004B6511">
        <w:rPr>
          <w:sz w:val="22"/>
          <w:szCs w:val="22"/>
        </w:rPr>
        <w:t xml:space="preserve"> when global estimates of achieving gender equality are estimated in hundreds of years.</w:t>
      </w:r>
    </w:p>
    <w:p w14:paraId="1D8D1128" w14:textId="77777777" w:rsidR="00984634" w:rsidRPr="004B6511" w:rsidRDefault="00984634" w:rsidP="00B07581">
      <w:pPr>
        <w:rPr>
          <w:sz w:val="22"/>
          <w:szCs w:val="22"/>
        </w:rPr>
      </w:pPr>
    </w:p>
    <w:p w14:paraId="436A352B" w14:textId="19E5EDBD" w:rsidR="00984634" w:rsidRDefault="00952A4D" w:rsidP="009D4E5C">
      <w:pPr>
        <w:pStyle w:val="ListParagraph"/>
        <w:numPr>
          <w:ilvl w:val="0"/>
          <w:numId w:val="7"/>
        </w:numPr>
        <w:rPr>
          <w:sz w:val="22"/>
          <w:szCs w:val="22"/>
        </w:rPr>
      </w:pPr>
      <w:r w:rsidRPr="004B6511">
        <w:rPr>
          <w:b/>
          <w:bCs/>
          <w:sz w:val="22"/>
          <w:szCs w:val="22"/>
        </w:rPr>
        <w:t>Existing taxonomies, measurement and reporting systems fail to adequately recognize gender.</w:t>
      </w:r>
      <w:r w:rsidRPr="004B6511">
        <w:rPr>
          <w:sz w:val="22"/>
          <w:szCs w:val="22"/>
        </w:rPr>
        <w:t xml:space="preserve"> This limitation in data collection, analysis and understanding has the effect of limiting social impact</w:t>
      </w:r>
      <w:r w:rsidR="0053514D" w:rsidRPr="004B6511">
        <w:rPr>
          <w:sz w:val="22"/>
          <w:szCs w:val="22"/>
        </w:rPr>
        <w:t xml:space="preserve"> a</w:t>
      </w:r>
      <w:r w:rsidR="009300AC" w:rsidRPr="004B6511">
        <w:rPr>
          <w:sz w:val="22"/>
          <w:szCs w:val="22"/>
        </w:rPr>
        <w:t>s well as</w:t>
      </w:r>
      <w:r w:rsidR="0053514D" w:rsidRPr="004B6511">
        <w:rPr>
          <w:sz w:val="22"/>
          <w:szCs w:val="22"/>
        </w:rPr>
        <w:t xml:space="preserve"> the growth of giving.</w:t>
      </w:r>
      <w:r w:rsidR="00721FEE" w:rsidRPr="004B6511">
        <w:rPr>
          <w:sz w:val="22"/>
          <w:szCs w:val="22"/>
        </w:rPr>
        <w:t xml:space="preserve">  </w:t>
      </w:r>
      <w:r w:rsidR="009D4E5C" w:rsidRPr="004B6511">
        <w:rPr>
          <w:sz w:val="22"/>
          <w:szCs w:val="22"/>
        </w:rPr>
        <w:t xml:space="preserve">There are several dimensions to this gender data gap. </w:t>
      </w:r>
      <w:r w:rsidR="00087254" w:rsidRPr="004B6511">
        <w:rPr>
          <w:sz w:val="22"/>
          <w:szCs w:val="22"/>
        </w:rPr>
        <w:t>It is not possible</w:t>
      </w:r>
      <w:r w:rsidR="009D4E5C" w:rsidRPr="004B6511">
        <w:rPr>
          <w:sz w:val="22"/>
          <w:szCs w:val="22"/>
        </w:rPr>
        <w:t>, under the current system, to quantify the amount or share of philanthropic giving that targets women and girl</w:t>
      </w:r>
      <w:r w:rsidR="005D2704" w:rsidRPr="004B6511">
        <w:rPr>
          <w:sz w:val="22"/>
          <w:szCs w:val="22"/>
        </w:rPr>
        <w:t xml:space="preserve">s. </w:t>
      </w:r>
      <w:r w:rsidR="00087254" w:rsidRPr="004B6511">
        <w:rPr>
          <w:sz w:val="22"/>
          <w:szCs w:val="22"/>
        </w:rPr>
        <w:t>The system</w:t>
      </w:r>
      <w:r w:rsidR="00683B61" w:rsidRPr="004B6511">
        <w:rPr>
          <w:sz w:val="22"/>
          <w:szCs w:val="22"/>
        </w:rPr>
        <w:t xml:space="preserve"> </w:t>
      </w:r>
      <w:r w:rsidR="009D4E5C" w:rsidRPr="004B6511">
        <w:rPr>
          <w:sz w:val="22"/>
          <w:szCs w:val="22"/>
        </w:rPr>
        <w:t xml:space="preserve">therefore </w:t>
      </w:r>
      <w:r w:rsidR="00683B61" w:rsidRPr="004B6511">
        <w:rPr>
          <w:sz w:val="22"/>
          <w:szCs w:val="22"/>
        </w:rPr>
        <w:t xml:space="preserve">fails to </w:t>
      </w:r>
      <w:r w:rsidR="00087254" w:rsidRPr="004B6511">
        <w:rPr>
          <w:sz w:val="22"/>
          <w:szCs w:val="22"/>
        </w:rPr>
        <w:t>facilitate</w:t>
      </w:r>
      <w:r w:rsidR="00683B61" w:rsidRPr="004B6511">
        <w:rPr>
          <w:sz w:val="22"/>
          <w:szCs w:val="22"/>
        </w:rPr>
        <w:t xml:space="preserve"> </w:t>
      </w:r>
      <w:r w:rsidR="00C5074D" w:rsidRPr="004B6511">
        <w:rPr>
          <w:sz w:val="22"/>
          <w:szCs w:val="22"/>
        </w:rPr>
        <w:t>analysis and reflection</w:t>
      </w:r>
      <w:r w:rsidR="00683B61" w:rsidRPr="004B6511">
        <w:rPr>
          <w:sz w:val="22"/>
          <w:szCs w:val="22"/>
        </w:rPr>
        <w:t xml:space="preserve"> on the equitable </w:t>
      </w:r>
      <w:r w:rsidR="00C5074D" w:rsidRPr="004B6511">
        <w:rPr>
          <w:sz w:val="22"/>
          <w:szCs w:val="22"/>
        </w:rPr>
        <w:t>distribution of social investment</w:t>
      </w:r>
      <w:r w:rsidR="00CC0B23" w:rsidRPr="004B6511">
        <w:rPr>
          <w:sz w:val="22"/>
          <w:szCs w:val="22"/>
        </w:rPr>
        <w:t xml:space="preserve"> which is enabled through forgone taxation and public revenue.  </w:t>
      </w:r>
      <w:r w:rsidR="00721FEE" w:rsidRPr="004B6511">
        <w:rPr>
          <w:sz w:val="22"/>
          <w:szCs w:val="22"/>
        </w:rPr>
        <w:t>In particular</w:t>
      </w:r>
      <w:r w:rsidR="00563F70" w:rsidRPr="004B6511">
        <w:rPr>
          <w:sz w:val="22"/>
          <w:szCs w:val="22"/>
        </w:rPr>
        <w:t xml:space="preserve">, </w:t>
      </w:r>
      <w:r w:rsidR="00B80394" w:rsidRPr="004B6511">
        <w:rPr>
          <w:sz w:val="22"/>
          <w:szCs w:val="22"/>
        </w:rPr>
        <w:t xml:space="preserve">the lack of gender data on philanthropic and NFP </w:t>
      </w:r>
      <w:r w:rsidR="00A70AD6" w:rsidRPr="004B6511">
        <w:rPr>
          <w:sz w:val="22"/>
          <w:szCs w:val="22"/>
        </w:rPr>
        <w:t xml:space="preserve">Annual Information Statements </w:t>
      </w:r>
      <w:r w:rsidR="00563F70" w:rsidRPr="004B6511">
        <w:rPr>
          <w:sz w:val="22"/>
          <w:szCs w:val="22"/>
        </w:rPr>
        <w:t>to the ACNC,</w:t>
      </w:r>
      <w:r w:rsidR="00A70AD6" w:rsidRPr="004B6511">
        <w:rPr>
          <w:sz w:val="22"/>
          <w:szCs w:val="22"/>
        </w:rPr>
        <w:t xml:space="preserve"> </w:t>
      </w:r>
      <w:r w:rsidR="00FF4AE3" w:rsidRPr="004B6511">
        <w:rPr>
          <w:sz w:val="22"/>
          <w:szCs w:val="22"/>
        </w:rPr>
        <w:t xml:space="preserve">limits the type of </w:t>
      </w:r>
      <w:r w:rsidR="00CC0B23" w:rsidRPr="004B6511">
        <w:rPr>
          <w:sz w:val="22"/>
          <w:szCs w:val="22"/>
        </w:rPr>
        <w:t xml:space="preserve">analysis and </w:t>
      </w:r>
      <w:r w:rsidR="00FF4AE3" w:rsidRPr="004B6511">
        <w:rPr>
          <w:sz w:val="22"/>
          <w:szCs w:val="22"/>
        </w:rPr>
        <w:t xml:space="preserve">reporting on </w:t>
      </w:r>
      <w:r w:rsidR="00DB78A8" w:rsidRPr="004B6511">
        <w:rPr>
          <w:sz w:val="22"/>
          <w:szCs w:val="22"/>
        </w:rPr>
        <w:t xml:space="preserve">Responsible Persons, </w:t>
      </w:r>
      <w:proofErr w:type="gramStart"/>
      <w:r w:rsidR="00DB78A8" w:rsidRPr="004B6511">
        <w:rPr>
          <w:sz w:val="22"/>
          <w:szCs w:val="22"/>
        </w:rPr>
        <w:t>b</w:t>
      </w:r>
      <w:r w:rsidR="00563F70" w:rsidRPr="004B6511">
        <w:rPr>
          <w:sz w:val="22"/>
          <w:szCs w:val="22"/>
        </w:rPr>
        <w:t>oard</w:t>
      </w:r>
      <w:proofErr w:type="gramEnd"/>
      <w:r w:rsidR="00731923" w:rsidRPr="004B6511">
        <w:rPr>
          <w:sz w:val="22"/>
          <w:szCs w:val="22"/>
        </w:rPr>
        <w:t xml:space="preserve"> and C-suite </w:t>
      </w:r>
      <w:r w:rsidR="00563F70" w:rsidRPr="004B6511">
        <w:rPr>
          <w:sz w:val="22"/>
          <w:szCs w:val="22"/>
        </w:rPr>
        <w:t>diversity</w:t>
      </w:r>
      <w:r w:rsidR="00A70AD6" w:rsidRPr="004B6511">
        <w:rPr>
          <w:sz w:val="22"/>
          <w:szCs w:val="22"/>
        </w:rPr>
        <w:t xml:space="preserve"> </w:t>
      </w:r>
      <w:r w:rsidR="00CC0B23" w:rsidRPr="004B6511">
        <w:rPr>
          <w:sz w:val="22"/>
          <w:szCs w:val="22"/>
        </w:rPr>
        <w:t xml:space="preserve">- </w:t>
      </w:r>
      <w:r w:rsidR="00563F70" w:rsidRPr="004B6511">
        <w:rPr>
          <w:sz w:val="22"/>
          <w:szCs w:val="22"/>
        </w:rPr>
        <w:t>in</w:t>
      </w:r>
      <w:r w:rsidR="00A70AD6" w:rsidRPr="004B6511">
        <w:rPr>
          <w:sz w:val="22"/>
          <w:szCs w:val="22"/>
        </w:rPr>
        <w:t xml:space="preserve"> both</w:t>
      </w:r>
      <w:r w:rsidR="00731923" w:rsidRPr="004B6511">
        <w:rPr>
          <w:sz w:val="22"/>
          <w:szCs w:val="22"/>
        </w:rPr>
        <w:t xml:space="preserve"> </w:t>
      </w:r>
      <w:r w:rsidR="00FF4AE3" w:rsidRPr="004B6511">
        <w:rPr>
          <w:sz w:val="22"/>
          <w:szCs w:val="22"/>
        </w:rPr>
        <w:t xml:space="preserve">giving and doing </w:t>
      </w:r>
      <w:r w:rsidR="00563F70" w:rsidRPr="004B6511">
        <w:rPr>
          <w:sz w:val="22"/>
          <w:szCs w:val="22"/>
        </w:rPr>
        <w:t>organizations</w:t>
      </w:r>
      <w:r w:rsidR="00FF4AE3" w:rsidRPr="004B6511">
        <w:rPr>
          <w:sz w:val="22"/>
          <w:szCs w:val="22"/>
        </w:rPr>
        <w:t xml:space="preserve"> </w:t>
      </w:r>
      <w:r w:rsidR="00CC0B23" w:rsidRPr="004B6511">
        <w:rPr>
          <w:sz w:val="22"/>
          <w:szCs w:val="22"/>
        </w:rPr>
        <w:t xml:space="preserve">- </w:t>
      </w:r>
      <w:r w:rsidR="00FF4AE3" w:rsidRPr="004B6511">
        <w:rPr>
          <w:sz w:val="22"/>
          <w:szCs w:val="22"/>
        </w:rPr>
        <w:t xml:space="preserve">that </w:t>
      </w:r>
      <w:r w:rsidR="00CB0EE7" w:rsidRPr="004B6511">
        <w:rPr>
          <w:sz w:val="22"/>
          <w:szCs w:val="22"/>
        </w:rPr>
        <w:t xml:space="preserve">is </w:t>
      </w:r>
      <w:r w:rsidR="00563F70" w:rsidRPr="004B6511">
        <w:rPr>
          <w:sz w:val="22"/>
          <w:szCs w:val="22"/>
        </w:rPr>
        <w:t xml:space="preserve">an established </w:t>
      </w:r>
      <w:r w:rsidR="00CB0EE7" w:rsidRPr="004B6511">
        <w:rPr>
          <w:sz w:val="22"/>
          <w:szCs w:val="22"/>
        </w:rPr>
        <w:t>ex</w:t>
      </w:r>
      <w:r w:rsidR="00A70AD6" w:rsidRPr="004B6511">
        <w:rPr>
          <w:sz w:val="22"/>
          <w:szCs w:val="22"/>
        </w:rPr>
        <w:t>pec</w:t>
      </w:r>
      <w:r w:rsidR="00563F70" w:rsidRPr="004B6511">
        <w:rPr>
          <w:sz w:val="22"/>
          <w:szCs w:val="22"/>
        </w:rPr>
        <w:t>tation</w:t>
      </w:r>
      <w:r w:rsidR="00A70AD6" w:rsidRPr="004B6511">
        <w:rPr>
          <w:sz w:val="22"/>
          <w:szCs w:val="22"/>
        </w:rPr>
        <w:t xml:space="preserve"> </w:t>
      </w:r>
      <w:r w:rsidR="00AE215F" w:rsidRPr="004B6511">
        <w:rPr>
          <w:sz w:val="22"/>
          <w:szCs w:val="22"/>
        </w:rPr>
        <w:t xml:space="preserve">of </w:t>
      </w:r>
      <w:r w:rsidR="00A70AD6" w:rsidRPr="004B6511">
        <w:rPr>
          <w:sz w:val="22"/>
          <w:szCs w:val="22"/>
        </w:rPr>
        <w:t>corporate Australia</w:t>
      </w:r>
      <w:r w:rsidR="00563F70" w:rsidRPr="004B6511">
        <w:rPr>
          <w:sz w:val="22"/>
          <w:szCs w:val="22"/>
        </w:rPr>
        <w:t xml:space="preserve"> and </w:t>
      </w:r>
      <w:r w:rsidR="00AE215F" w:rsidRPr="004B6511">
        <w:rPr>
          <w:sz w:val="22"/>
          <w:szCs w:val="22"/>
        </w:rPr>
        <w:t>in</w:t>
      </w:r>
      <w:r w:rsidR="00563F70" w:rsidRPr="004B6511">
        <w:rPr>
          <w:sz w:val="22"/>
          <w:szCs w:val="22"/>
        </w:rPr>
        <w:t xml:space="preserve"> society</w:t>
      </w:r>
      <w:r w:rsidR="00AE215F" w:rsidRPr="004B6511">
        <w:rPr>
          <w:sz w:val="22"/>
          <w:szCs w:val="22"/>
        </w:rPr>
        <w:t xml:space="preserve"> more broad</w:t>
      </w:r>
      <w:r w:rsidR="00CC0B23" w:rsidRPr="004B6511">
        <w:rPr>
          <w:sz w:val="22"/>
          <w:szCs w:val="22"/>
        </w:rPr>
        <w:t>ly. Given t</w:t>
      </w:r>
      <w:r w:rsidR="007459F1" w:rsidRPr="004B6511">
        <w:rPr>
          <w:sz w:val="22"/>
          <w:szCs w:val="22"/>
        </w:rPr>
        <w:t>he evidence of causal link</w:t>
      </w:r>
      <w:r w:rsidR="00954335" w:rsidRPr="004B6511">
        <w:rPr>
          <w:sz w:val="22"/>
          <w:szCs w:val="22"/>
        </w:rPr>
        <w:t>s</w:t>
      </w:r>
      <w:r w:rsidR="007459F1" w:rsidRPr="004B6511">
        <w:rPr>
          <w:sz w:val="22"/>
          <w:szCs w:val="22"/>
        </w:rPr>
        <w:t xml:space="preserve"> between diverse leadership </w:t>
      </w:r>
      <w:r w:rsidR="00954335" w:rsidRPr="004B6511">
        <w:rPr>
          <w:sz w:val="22"/>
          <w:szCs w:val="22"/>
        </w:rPr>
        <w:t xml:space="preserve">teams, the quality of decision making </w:t>
      </w:r>
      <w:r w:rsidR="007459F1" w:rsidRPr="004B6511">
        <w:rPr>
          <w:sz w:val="22"/>
          <w:szCs w:val="22"/>
        </w:rPr>
        <w:t xml:space="preserve">and </w:t>
      </w:r>
      <w:r w:rsidR="00954335" w:rsidRPr="004B6511">
        <w:rPr>
          <w:sz w:val="22"/>
          <w:szCs w:val="22"/>
        </w:rPr>
        <w:t>organizational success</w:t>
      </w:r>
      <w:r w:rsidR="00667B83" w:rsidRPr="004B6511">
        <w:rPr>
          <w:sz w:val="22"/>
          <w:szCs w:val="22"/>
        </w:rPr>
        <w:t xml:space="preserve">, </w:t>
      </w:r>
      <w:r w:rsidR="00F112F2" w:rsidRPr="004B6511">
        <w:rPr>
          <w:sz w:val="22"/>
          <w:szCs w:val="22"/>
        </w:rPr>
        <w:t xml:space="preserve">it is a missing ingredient for building confidence, and associated growth, in </w:t>
      </w:r>
      <w:r w:rsidR="001A462A" w:rsidRPr="004B6511">
        <w:rPr>
          <w:sz w:val="22"/>
          <w:szCs w:val="22"/>
        </w:rPr>
        <w:t>the social sector.</w:t>
      </w:r>
      <w:r w:rsidR="00350259" w:rsidRPr="004B6511">
        <w:rPr>
          <w:sz w:val="22"/>
          <w:szCs w:val="22"/>
        </w:rPr>
        <w:t xml:space="preserve"> </w:t>
      </w:r>
    </w:p>
    <w:p w14:paraId="5AC47CB4" w14:textId="77777777" w:rsidR="001059AB" w:rsidRDefault="001059AB" w:rsidP="00975888">
      <w:pPr>
        <w:pStyle w:val="ListParagraph"/>
        <w:ind w:left="1440"/>
        <w:rPr>
          <w:sz w:val="22"/>
          <w:szCs w:val="22"/>
        </w:rPr>
      </w:pPr>
    </w:p>
    <w:p w14:paraId="7BB16852" w14:textId="77777777" w:rsidR="00975888" w:rsidRDefault="00975888" w:rsidP="00975888">
      <w:pPr>
        <w:pStyle w:val="ListParagraph"/>
        <w:ind w:left="1440"/>
        <w:rPr>
          <w:sz w:val="22"/>
          <w:szCs w:val="22"/>
        </w:rPr>
      </w:pPr>
    </w:p>
    <w:p w14:paraId="62B00170" w14:textId="77777777" w:rsidR="00975888" w:rsidRDefault="00975888" w:rsidP="00975888">
      <w:pPr>
        <w:pStyle w:val="ListParagraph"/>
        <w:ind w:left="1440"/>
        <w:rPr>
          <w:sz w:val="22"/>
          <w:szCs w:val="22"/>
        </w:rPr>
      </w:pPr>
    </w:p>
    <w:p w14:paraId="08E13892" w14:textId="77777777" w:rsidR="00975888" w:rsidRDefault="00975888" w:rsidP="00975888">
      <w:pPr>
        <w:pStyle w:val="ListParagraph"/>
        <w:ind w:left="1440"/>
        <w:rPr>
          <w:sz w:val="22"/>
          <w:szCs w:val="22"/>
        </w:rPr>
      </w:pPr>
    </w:p>
    <w:p w14:paraId="1E73C589" w14:textId="77777777" w:rsidR="00975888" w:rsidRDefault="00975888" w:rsidP="00975888">
      <w:pPr>
        <w:pStyle w:val="ListParagraph"/>
        <w:ind w:left="1440"/>
        <w:rPr>
          <w:sz w:val="22"/>
          <w:szCs w:val="22"/>
        </w:rPr>
      </w:pPr>
    </w:p>
    <w:p w14:paraId="4269713D" w14:textId="77777777" w:rsidR="00975888" w:rsidRDefault="00975888" w:rsidP="00975888">
      <w:pPr>
        <w:pStyle w:val="ListParagraph"/>
        <w:ind w:left="1440"/>
        <w:rPr>
          <w:sz w:val="22"/>
          <w:szCs w:val="22"/>
        </w:rPr>
      </w:pPr>
    </w:p>
    <w:p w14:paraId="0184B5B8" w14:textId="77777777" w:rsidR="00975888" w:rsidRDefault="00975888" w:rsidP="00975888">
      <w:pPr>
        <w:pStyle w:val="ListParagraph"/>
        <w:ind w:left="1440"/>
        <w:rPr>
          <w:sz w:val="22"/>
          <w:szCs w:val="22"/>
        </w:rPr>
      </w:pPr>
    </w:p>
    <w:p w14:paraId="29F73AB2" w14:textId="77777777" w:rsidR="00975888" w:rsidRPr="004B6511" w:rsidRDefault="00975888" w:rsidP="00975888">
      <w:pPr>
        <w:pStyle w:val="ListParagraph"/>
        <w:ind w:left="1440"/>
        <w:rPr>
          <w:sz w:val="22"/>
          <w:szCs w:val="22"/>
        </w:rPr>
      </w:pPr>
    </w:p>
    <w:p w14:paraId="303894DB" w14:textId="77777777" w:rsidR="00763652" w:rsidRDefault="00763652" w:rsidP="00DC7FA5">
      <w:pPr>
        <w:rPr>
          <w:color w:val="C00000"/>
          <w:sz w:val="22"/>
          <w:szCs w:val="22"/>
        </w:rPr>
      </w:pPr>
    </w:p>
    <w:p w14:paraId="1DDB5F11" w14:textId="1BBCACA9" w:rsidR="00984634" w:rsidRPr="004B6511" w:rsidRDefault="00FE2BFB" w:rsidP="00DC7FA5">
      <w:pPr>
        <w:rPr>
          <w:color w:val="C00000"/>
          <w:sz w:val="22"/>
          <w:szCs w:val="22"/>
        </w:rPr>
      </w:pPr>
      <w:r w:rsidRPr="004B6511">
        <w:rPr>
          <w:color w:val="C00000"/>
          <w:sz w:val="22"/>
          <w:szCs w:val="22"/>
        </w:rPr>
        <w:t>ALIGNMENT WITH TERMS OF REFERENCE</w:t>
      </w:r>
    </w:p>
    <w:p w14:paraId="26F9BEFD" w14:textId="0717D09B" w:rsidR="00F64AA7" w:rsidRPr="004B6511" w:rsidRDefault="00D260D3" w:rsidP="00AC2D16">
      <w:pPr>
        <w:pStyle w:val="ListParagraph"/>
        <w:numPr>
          <w:ilvl w:val="0"/>
          <w:numId w:val="1"/>
        </w:numPr>
        <w:rPr>
          <w:sz w:val="22"/>
          <w:szCs w:val="22"/>
        </w:rPr>
      </w:pPr>
      <w:r w:rsidRPr="004B6511">
        <w:rPr>
          <w:sz w:val="22"/>
          <w:szCs w:val="22"/>
        </w:rPr>
        <w:t xml:space="preserve">In reviewing the Terms of Reference for the </w:t>
      </w:r>
      <w:r w:rsidR="004A2D4A" w:rsidRPr="004B6511">
        <w:rPr>
          <w:sz w:val="22"/>
          <w:szCs w:val="22"/>
        </w:rPr>
        <w:t xml:space="preserve">Productivity Commissions </w:t>
      </w:r>
      <w:r w:rsidRPr="004B6511">
        <w:rPr>
          <w:sz w:val="22"/>
          <w:szCs w:val="22"/>
        </w:rPr>
        <w:t>Review of Philanthropy</w:t>
      </w:r>
      <w:r w:rsidR="008B6EE5" w:rsidRPr="004B6511">
        <w:rPr>
          <w:sz w:val="22"/>
          <w:szCs w:val="22"/>
        </w:rPr>
        <w:t xml:space="preserve"> </w:t>
      </w:r>
      <w:r w:rsidRPr="004B6511">
        <w:rPr>
          <w:sz w:val="22"/>
          <w:szCs w:val="22"/>
        </w:rPr>
        <w:t>we note</w:t>
      </w:r>
      <w:r w:rsidR="008B6EE5" w:rsidRPr="004B6511">
        <w:rPr>
          <w:sz w:val="22"/>
          <w:szCs w:val="22"/>
        </w:rPr>
        <w:t>,</w:t>
      </w:r>
      <w:r w:rsidR="00442D03" w:rsidRPr="004B6511">
        <w:rPr>
          <w:sz w:val="22"/>
          <w:szCs w:val="22"/>
        </w:rPr>
        <w:t xml:space="preserve"> among other things</w:t>
      </w:r>
      <w:r w:rsidR="008B6EE5" w:rsidRPr="004B6511">
        <w:rPr>
          <w:sz w:val="22"/>
          <w:szCs w:val="22"/>
        </w:rPr>
        <w:t xml:space="preserve">, </w:t>
      </w:r>
      <w:r w:rsidRPr="004B6511">
        <w:rPr>
          <w:sz w:val="22"/>
          <w:szCs w:val="22"/>
        </w:rPr>
        <w:t>reference</w:t>
      </w:r>
      <w:r w:rsidR="00C7090C" w:rsidRPr="004B6511">
        <w:rPr>
          <w:sz w:val="22"/>
          <w:szCs w:val="22"/>
        </w:rPr>
        <w:t>s</w:t>
      </w:r>
      <w:r w:rsidR="00442D03" w:rsidRPr="004B6511">
        <w:rPr>
          <w:sz w:val="22"/>
          <w:szCs w:val="22"/>
        </w:rPr>
        <w:t xml:space="preserve"> </w:t>
      </w:r>
      <w:r w:rsidR="00F64AA7" w:rsidRPr="004B6511">
        <w:rPr>
          <w:sz w:val="22"/>
          <w:szCs w:val="22"/>
        </w:rPr>
        <w:t>to:</w:t>
      </w:r>
    </w:p>
    <w:p w14:paraId="27D7E4B4" w14:textId="77777777" w:rsidR="00683B61" w:rsidRPr="004B6511" w:rsidRDefault="00683B61" w:rsidP="00683B61">
      <w:pPr>
        <w:pStyle w:val="ListParagraph"/>
        <w:numPr>
          <w:ilvl w:val="1"/>
          <w:numId w:val="1"/>
        </w:numPr>
        <w:rPr>
          <w:sz w:val="22"/>
          <w:szCs w:val="22"/>
        </w:rPr>
      </w:pPr>
      <w:r w:rsidRPr="004B6511">
        <w:rPr>
          <w:sz w:val="22"/>
          <w:szCs w:val="22"/>
        </w:rPr>
        <w:t xml:space="preserve">trends in giving and the drivers of </w:t>
      </w:r>
      <w:proofErr w:type="gramStart"/>
      <w:r w:rsidRPr="004B6511">
        <w:rPr>
          <w:sz w:val="22"/>
          <w:szCs w:val="22"/>
        </w:rPr>
        <w:t>giving</w:t>
      </w:r>
      <w:proofErr w:type="gramEnd"/>
    </w:p>
    <w:p w14:paraId="206D9C11" w14:textId="77777777" w:rsidR="00683B61" w:rsidRPr="004B6511" w:rsidRDefault="00683B61" w:rsidP="00683B61">
      <w:pPr>
        <w:pStyle w:val="ListParagraph"/>
        <w:numPr>
          <w:ilvl w:val="1"/>
          <w:numId w:val="1"/>
        </w:numPr>
        <w:rPr>
          <w:sz w:val="22"/>
          <w:szCs w:val="22"/>
        </w:rPr>
      </w:pPr>
      <w:r w:rsidRPr="004B6511">
        <w:rPr>
          <w:sz w:val="22"/>
          <w:szCs w:val="22"/>
        </w:rPr>
        <w:t>effectiveness of foundations in supporting giving</w:t>
      </w:r>
    </w:p>
    <w:p w14:paraId="28090760" w14:textId="77777777" w:rsidR="00683B61" w:rsidRPr="004B6511" w:rsidRDefault="00683B61" w:rsidP="00683B61">
      <w:pPr>
        <w:pStyle w:val="ListParagraph"/>
        <w:numPr>
          <w:ilvl w:val="1"/>
          <w:numId w:val="1"/>
        </w:numPr>
        <w:rPr>
          <w:sz w:val="22"/>
          <w:szCs w:val="22"/>
        </w:rPr>
      </w:pPr>
      <w:r w:rsidRPr="004B6511">
        <w:rPr>
          <w:sz w:val="22"/>
          <w:szCs w:val="22"/>
        </w:rPr>
        <w:t xml:space="preserve">opportunities and obstacles to growing </w:t>
      </w:r>
      <w:proofErr w:type="gramStart"/>
      <w:r w:rsidRPr="004B6511">
        <w:rPr>
          <w:sz w:val="22"/>
          <w:szCs w:val="22"/>
        </w:rPr>
        <w:t>giving</w:t>
      </w:r>
      <w:proofErr w:type="gramEnd"/>
    </w:p>
    <w:p w14:paraId="7D6CC77C" w14:textId="77777777" w:rsidR="00683B61" w:rsidRPr="004B6511" w:rsidRDefault="00683B61" w:rsidP="00683B61">
      <w:pPr>
        <w:pStyle w:val="ListParagraph"/>
        <w:numPr>
          <w:ilvl w:val="1"/>
          <w:numId w:val="1"/>
        </w:numPr>
        <w:rPr>
          <w:sz w:val="22"/>
          <w:szCs w:val="22"/>
        </w:rPr>
      </w:pPr>
      <w:r w:rsidRPr="004B6511">
        <w:rPr>
          <w:sz w:val="22"/>
          <w:szCs w:val="22"/>
        </w:rPr>
        <w:t>effectiveness and efficiency in the use of donations</w:t>
      </w:r>
    </w:p>
    <w:p w14:paraId="512DE98A" w14:textId="77777777" w:rsidR="00683B61" w:rsidRPr="004B6511" w:rsidRDefault="00683B61" w:rsidP="00683B61">
      <w:pPr>
        <w:pStyle w:val="ListParagraph"/>
        <w:numPr>
          <w:ilvl w:val="1"/>
          <w:numId w:val="1"/>
        </w:numPr>
        <w:rPr>
          <w:sz w:val="22"/>
          <w:szCs w:val="22"/>
        </w:rPr>
      </w:pPr>
      <w:r w:rsidRPr="004B6511">
        <w:rPr>
          <w:sz w:val="22"/>
          <w:szCs w:val="22"/>
        </w:rPr>
        <w:t>burden of regulatory framework</w:t>
      </w:r>
    </w:p>
    <w:p w14:paraId="11FC8ED7" w14:textId="09C44681" w:rsidR="00975888" w:rsidRPr="00763652" w:rsidRDefault="00683B61" w:rsidP="00975888">
      <w:pPr>
        <w:pStyle w:val="ListParagraph"/>
        <w:numPr>
          <w:ilvl w:val="1"/>
          <w:numId w:val="1"/>
        </w:numPr>
        <w:rPr>
          <w:sz w:val="22"/>
          <w:szCs w:val="22"/>
        </w:rPr>
      </w:pPr>
      <w:r w:rsidRPr="004B6511">
        <w:rPr>
          <w:sz w:val="22"/>
          <w:szCs w:val="22"/>
        </w:rPr>
        <w:t xml:space="preserve">appropriateness of data collection and enhancing databases </w:t>
      </w:r>
    </w:p>
    <w:p w14:paraId="6B47096F" w14:textId="77777777" w:rsidR="00683B61" w:rsidRPr="004B6511" w:rsidRDefault="00683B61" w:rsidP="00683B61">
      <w:pPr>
        <w:pStyle w:val="ListParagraph"/>
        <w:numPr>
          <w:ilvl w:val="1"/>
          <w:numId w:val="1"/>
        </w:numPr>
        <w:rPr>
          <w:sz w:val="22"/>
          <w:szCs w:val="22"/>
        </w:rPr>
      </w:pPr>
      <w:r w:rsidRPr="004B6511">
        <w:rPr>
          <w:sz w:val="22"/>
          <w:szCs w:val="22"/>
        </w:rPr>
        <w:t xml:space="preserve">ability to assess comparative effectiveness of </w:t>
      </w:r>
      <w:proofErr w:type="gramStart"/>
      <w:r w:rsidRPr="004B6511">
        <w:rPr>
          <w:sz w:val="22"/>
          <w:szCs w:val="22"/>
        </w:rPr>
        <w:t>NFP’s</w:t>
      </w:r>
      <w:proofErr w:type="gramEnd"/>
    </w:p>
    <w:p w14:paraId="1F41DFE3" w14:textId="77777777" w:rsidR="00683B61" w:rsidRPr="004B6511" w:rsidRDefault="00683B61" w:rsidP="00683B61">
      <w:pPr>
        <w:pStyle w:val="ListParagraph"/>
        <w:numPr>
          <w:ilvl w:val="1"/>
          <w:numId w:val="1"/>
        </w:numPr>
        <w:rPr>
          <w:sz w:val="22"/>
          <w:szCs w:val="22"/>
        </w:rPr>
      </w:pPr>
      <w:r w:rsidRPr="004B6511">
        <w:rPr>
          <w:sz w:val="22"/>
          <w:szCs w:val="22"/>
        </w:rPr>
        <w:t>alignment of DGR with public policy</w:t>
      </w:r>
    </w:p>
    <w:p w14:paraId="3D36C4FB" w14:textId="77777777" w:rsidR="00683B61" w:rsidRPr="004B6511" w:rsidRDefault="00683B61" w:rsidP="00683B61">
      <w:pPr>
        <w:pStyle w:val="ListParagraph"/>
        <w:numPr>
          <w:ilvl w:val="1"/>
          <w:numId w:val="1"/>
        </w:numPr>
        <w:rPr>
          <w:sz w:val="22"/>
          <w:szCs w:val="22"/>
        </w:rPr>
      </w:pPr>
      <w:r w:rsidRPr="004B6511">
        <w:rPr>
          <w:sz w:val="22"/>
          <w:szCs w:val="22"/>
        </w:rPr>
        <w:t>flow of benefits from giving</w:t>
      </w:r>
    </w:p>
    <w:p w14:paraId="357BAE72" w14:textId="6D090348" w:rsidR="00683B61" w:rsidRPr="004B6511" w:rsidRDefault="00683B61" w:rsidP="005E732E">
      <w:pPr>
        <w:ind w:left="709"/>
        <w:rPr>
          <w:sz w:val="22"/>
          <w:szCs w:val="22"/>
        </w:rPr>
      </w:pPr>
      <w:r w:rsidRPr="004B6511">
        <w:rPr>
          <w:sz w:val="22"/>
          <w:szCs w:val="22"/>
        </w:rPr>
        <w:t>and it is these points that underpin our submission, particularly in the context of the critical nature of gender</w:t>
      </w:r>
      <w:r w:rsidR="004B4142" w:rsidRPr="004B6511">
        <w:rPr>
          <w:sz w:val="22"/>
          <w:szCs w:val="22"/>
        </w:rPr>
        <w:t xml:space="preserve"> data and</w:t>
      </w:r>
      <w:r w:rsidRPr="004B6511">
        <w:rPr>
          <w:sz w:val="22"/>
          <w:szCs w:val="22"/>
        </w:rPr>
        <w:t xml:space="preserve"> analysis.</w:t>
      </w:r>
    </w:p>
    <w:p w14:paraId="180BC82B" w14:textId="77777777" w:rsidR="00683B61" w:rsidRPr="004B6511" w:rsidRDefault="00683B61" w:rsidP="00683B61">
      <w:pPr>
        <w:pStyle w:val="ListParagraph"/>
        <w:rPr>
          <w:sz w:val="22"/>
          <w:szCs w:val="22"/>
        </w:rPr>
      </w:pPr>
    </w:p>
    <w:p w14:paraId="3DACDE05" w14:textId="1D131F43" w:rsidR="001C4B11" w:rsidRPr="004B6511" w:rsidRDefault="00683B61" w:rsidP="00683B61">
      <w:pPr>
        <w:pStyle w:val="ListParagraph"/>
        <w:ind w:left="0"/>
        <w:rPr>
          <w:color w:val="C00000"/>
          <w:sz w:val="22"/>
          <w:szCs w:val="22"/>
        </w:rPr>
      </w:pPr>
      <w:r w:rsidRPr="004B6511">
        <w:rPr>
          <w:color w:val="C00000"/>
          <w:sz w:val="22"/>
          <w:szCs w:val="22"/>
        </w:rPr>
        <w:t>CONTEXT</w:t>
      </w:r>
    </w:p>
    <w:p w14:paraId="63F0A470" w14:textId="530A5EE5" w:rsidR="006C28FE" w:rsidRPr="00975888" w:rsidRDefault="00B0706A" w:rsidP="00B0706A">
      <w:pPr>
        <w:pStyle w:val="ListParagraph"/>
        <w:numPr>
          <w:ilvl w:val="0"/>
          <w:numId w:val="1"/>
        </w:numPr>
        <w:rPr>
          <w:sz w:val="22"/>
          <w:szCs w:val="22"/>
        </w:rPr>
      </w:pPr>
      <w:r w:rsidRPr="004B6511">
        <w:rPr>
          <w:sz w:val="22"/>
          <w:szCs w:val="22"/>
        </w:rPr>
        <w:t xml:space="preserve">For more than a decade there has been a rise globally in the focus on women using their resources (including philanthropic giving) to advance gender equality. The Women’s Funding Network, Women Donors Network and Women Moving Millions were </w:t>
      </w:r>
      <w:r w:rsidR="00297379" w:rsidRPr="004B6511">
        <w:rPr>
          <w:sz w:val="22"/>
          <w:szCs w:val="22"/>
        </w:rPr>
        <w:t xml:space="preserve">all </w:t>
      </w:r>
      <w:r w:rsidRPr="004B6511">
        <w:rPr>
          <w:sz w:val="22"/>
          <w:szCs w:val="22"/>
        </w:rPr>
        <w:t xml:space="preserve">established in the United States to foster giving to women and girls and drive a global movement of philanthropic support for </w:t>
      </w:r>
      <w:r w:rsidR="00297379" w:rsidRPr="004B6511">
        <w:rPr>
          <w:sz w:val="22"/>
          <w:szCs w:val="22"/>
        </w:rPr>
        <w:t xml:space="preserve">gender equality. </w:t>
      </w:r>
      <w:r w:rsidRPr="004B6511">
        <w:rPr>
          <w:sz w:val="22"/>
          <w:szCs w:val="22"/>
        </w:rPr>
        <w:t>At around the same time AIIW was established in Australia (as Australian Women Donors Network) to increase investment in women and girls</w:t>
      </w:r>
      <w:r w:rsidR="00297379" w:rsidRPr="004B6511">
        <w:rPr>
          <w:sz w:val="22"/>
          <w:szCs w:val="22"/>
        </w:rPr>
        <w:t>. We are</w:t>
      </w:r>
      <w:r w:rsidRPr="004B6511">
        <w:rPr>
          <w:sz w:val="22"/>
          <w:szCs w:val="22"/>
        </w:rPr>
        <w:t xml:space="preserve"> the leading national advocate and education focused NFP promoting investment in women and girl</w:t>
      </w:r>
      <w:r w:rsidR="00297379" w:rsidRPr="004B6511">
        <w:rPr>
          <w:sz w:val="22"/>
          <w:szCs w:val="22"/>
        </w:rPr>
        <w:t>s that delivers greater gender equality.</w:t>
      </w:r>
    </w:p>
    <w:p w14:paraId="5B76825D" w14:textId="77777777" w:rsidR="006C28FE" w:rsidRPr="004B6511" w:rsidRDefault="006C28FE" w:rsidP="00B0706A">
      <w:pPr>
        <w:rPr>
          <w:sz w:val="22"/>
          <w:szCs w:val="22"/>
        </w:rPr>
      </w:pPr>
    </w:p>
    <w:p w14:paraId="18735343" w14:textId="5434CCC9" w:rsidR="00984634" w:rsidRPr="004B6511" w:rsidRDefault="00D7694E" w:rsidP="006C28FE">
      <w:pPr>
        <w:pStyle w:val="ListParagraph"/>
        <w:numPr>
          <w:ilvl w:val="0"/>
          <w:numId w:val="1"/>
        </w:numPr>
        <w:rPr>
          <w:sz w:val="22"/>
          <w:szCs w:val="22"/>
        </w:rPr>
      </w:pPr>
      <w:r w:rsidRPr="004B6511">
        <w:rPr>
          <w:sz w:val="22"/>
          <w:szCs w:val="22"/>
        </w:rPr>
        <w:t xml:space="preserve">Social developments such as the </w:t>
      </w:r>
      <w:r w:rsidR="00A43D6D" w:rsidRPr="004B6511">
        <w:rPr>
          <w:sz w:val="22"/>
          <w:szCs w:val="22"/>
        </w:rPr>
        <w:t xml:space="preserve">global </w:t>
      </w:r>
      <w:r w:rsidRPr="004B6511">
        <w:rPr>
          <w:sz w:val="22"/>
          <w:szCs w:val="22"/>
        </w:rPr>
        <w:t>#metoo movement, women’s marches and</w:t>
      </w:r>
      <w:r w:rsidR="00A43D6D" w:rsidRPr="004B6511">
        <w:rPr>
          <w:sz w:val="22"/>
          <w:szCs w:val="22"/>
        </w:rPr>
        <w:t xml:space="preserve"> Covid-19 pandemic have had the cumulative effect of highlighting the gendered nature of disadvantage and amplifying women’s voices.  This growing recognition of the need for a gender lens </w:t>
      </w:r>
      <w:r w:rsidR="000565F1" w:rsidRPr="004B6511">
        <w:rPr>
          <w:sz w:val="22"/>
          <w:szCs w:val="22"/>
        </w:rPr>
        <w:t xml:space="preserve">on social issues </w:t>
      </w:r>
      <w:r w:rsidR="00A43D6D" w:rsidRPr="004B6511">
        <w:rPr>
          <w:sz w:val="22"/>
          <w:szCs w:val="22"/>
        </w:rPr>
        <w:t>has also flowed into the philanthropic sector.</w:t>
      </w:r>
    </w:p>
    <w:p w14:paraId="19DF2E9B" w14:textId="77777777" w:rsidR="00984634" w:rsidRPr="004B6511" w:rsidRDefault="00984634" w:rsidP="009870CF">
      <w:pPr>
        <w:pStyle w:val="ListParagraph"/>
        <w:rPr>
          <w:sz w:val="22"/>
          <w:szCs w:val="22"/>
        </w:rPr>
      </w:pPr>
    </w:p>
    <w:p w14:paraId="4EF91099" w14:textId="238521C2" w:rsidR="00F77522" w:rsidRPr="004B6511" w:rsidRDefault="004678A5" w:rsidP="00A43D6D">
      <w:pPr>
        <w:pStyle w:val="ListParagraph"/>
        <w:numPr>
          <w:ilvl w:val="0"/>
          <w:numId w:val="1"/>
        </w:numPr>
        <w:rPr>
          <w:sz w:val="22"/>
          <w:szCs w:val="22"/>
        </w:rPr>
      </w:pPr>
      <w:r w:rsidRPr="004B6511">
        <w:rPr>
          <w:sz w:val="22"/>
          <w:szCs w:val="22"/>
        </w:rPr>
        <w:t>Gender is key a</w:t>
      </w:r>
      <w:r w:rsidR="00A43D6D" w:rsidRPr="004B6511">
        <w:rPr>
          <w:sz w:val="22"/>
          <w:szCs w:val="22"/>
        </w:rPr>
        <w:t xml:space="preserve">mong the </w:t>
      </w:r>
      <w:r w:rsidR="007B5127" w:rsidRPr="004B6511">
        <w:rPr>
          <w:sz w:val="22"/>
          <w:szCs w:val="22"/>
        </w:rPr>
        <w:t xml:space="preserve">many factors to consider </w:t>
      </w:r>
      <w:r w:rsidR="00A43D6D" w:rsidRPr="004B6511">
        <w:rPr>
          <w:sz w:val="22"/>
          <w:szCs w:val="22"/>
        </w:rPr>
        <w:t>in</w:t>
      </w:r>
      <w:r w:rsidR="00BF28C1" w:rsidRPr="004B6511">
        <w:rPr>
          <w:sz w:val="22"/>
          <w:szCs w:val="22"/>
        </w:rPr>
        <w:t xml:space="preserve"> </w:t>
      </w:r>
      <w:r w:rsidR="007B5127" w:rsidRPr="004B6511">
        <w:rPr>
          <w:sz w:val="22"/>
          <w:szCs w:val="22"/>
        </w:rPr>
        <w:t>increasing philanthropy</w:t>
      </w:r>
      <w:r w:rsidR="00521CD2" w:rsidRPr="004B6511">
        <w:rPr>
          <w:sz w:val="22"/>
          <w:szCs w:val="22"/>
        </w:rPr>
        <w:t xml:space="preserve">, </w:t>
      </w:r>
      <w:proofErr w:type="gramStart"/>
      <w:r w:rsidR="00521CD2" w:rsidRPr="004B6511">
        <w:rPr>
          <w:sz w:val="22"/>
          <w:szCs w:val="22"/>
        </w:rPr>
        <w:t>i.e.</w:t>
      </w:r>
      <w:proofErr w:type="gramEnd"/>
      <w:r w:rsidR="00BF28C1" w:rsidRPr="004B6511">
        <w:rPr>
          <w:sz w:val="22"/>
          <w:szCs w:val="22"/>
        </w:rPr>
        <w:t xml:space="preserve"> </w:t>
      </w:r>
      <w:r w:rsidR="00A43D6D" w:rsidRPr="004B6511">
        <w:rPr>
          <w:sz w:val="22"/>
          <w:szCs w:val="22"/>
        </w:rPr>
        <w:t xml:space="preserve">there needs to be a strong </w:t>
      </w:r>
      <w:r w:rsidR="00BF28C1" w:rsidRPr="004B6511">
        <w:rPr>
          <w:sz w:val="22"/>
          <w:szCs w:val="22"/>
        </w:rPr>
        <w:t>focus on women</w:t>
      </w:r>
      <w:r w:rsidR="00A43D6D" w:rsidRPr="004B6511">
        <w:rPr>
          <w:sz w:val="22"/>
          <w:szCs w:val="22"/>
        </w:rPr>
        <w:t>,</w:t>
      </w:r>
      <w:r w:rsidR="00BF28C1" w:rsidRPr="004B6511">
        <w:rPr>
          <w:sz w:val="22"/>
          <w:szCs w:val="22"/>
        </w:rPr>
        <w:t xml:space="preserve"> both as existing and potential philanthropists, a</w:t>
      </w:r>
      <w:r w:rsidRPr="004B6511">
        <w:rPr>
          <w:sz w:val="22"/>
          <w:szCs w:val="22"/>
        </w:rPr>
        <w:t>s well as</w:t>
      </w:r>
      <w:r w:rsidR="00BF28C1" w:rsidRPr="004B6511">
        <w:rPr>
          <w:sz w:val="22"/>
          <w:szCs w:val="22"/>
        </w:rPr>
        <w:t xml:space="preserve"> recipients of funding</w:t>
      </w:r>
      <w:r w:rsidR="00521CD2" w:rsidRPr="004B6511">
        <w:rPr>
          <w:sz w:val="22"/>
          <w:szCs w:val="22"/>
        </w:rPr>
        <w:t>/</w:t>
      </w:r>
      <w:r w:rsidR="00BF28C1" w:rsidRPr="004B6511">
        <w:rPr>
          <w:sz w:val="22"/>
          <w:szCs w:val="22"/>
        </w:rPr>
        <w:t>social investment</w:t>
      </w:r>
      <w:r w:rsidR="00A43D6D" w:rsidRPr="004B6511">
        <w:rPr>
          <w:sz w:val="22"/>
          <w:szCs w:val="22"/>
        </w:rPr>
        <w:t xml:space="preserve"> and drivers of social change</w:t>
      </w:r>
      <w:r w:rsidR="003A1CAE" w:rsidRPr="004B6511">
        <w:rPr>
          <w:sz w:val="22"/>
          <w:szCs w:val="22"/>
        </w:rPr>
        <w:t xml:space="preserve"> in communities</w:t>
      </w:r>
      <w:r w:rsidR="00A43D6D" w:rsidRPr="004B6511">
        <w:rPr>
          <w:sz w:val="22"/>
          <w:szCs w:val="22"/>
        </w:rPr>
        <w:t>.</w:t>
      </w:r>
      <w:r w:rsidR="00A43D6D" w:rsidRPr="004B6511">
        <w:rPr>
          <w:sz w:val="22"/>
          <w:szCs w:val="22"/>
        </w:rPr>
        <w:br/>
      </w:r>
    </w:p>
    <w:p w14:paraId="642E72D0" w14:textId="2D9F7B6D" w:rsidR="00F77522" w:rsidRPr="004B6511" w:rsidRDefault="00A43D6D" w:rsidP="00F77522">
      <w:pPr>
        <w:pStyle w:val="ListParagraph"/>
        <w:numPr>
          <w:ilvl w:val="0"/>
          <w:numId w:val="1"/>
        </w:numPr>
        <w:rPr>
          <w:sz w:val="22"/>
          <w:szCs w:val="22"/>
        </w:rPr>
      </w:pPr>
      <w:r w:rsidRPr="004B6511">
        <w:rPr>
          <w:sz w:val="22"/>
          <w:szCs w:val="22"/>
        </w:rPr>
        <w:t xml:space="preserve">Demonstrable impact and effectiveness </w:t>
      </w:r>
      <w:proofErr w:type="gramStart"/>
      <w:r w:rsidRPr="004B6511">
        <w:rPr>
          <w:sz w:val="22"/>
          <w:szCs w:val="22"/>
        </w:rPr>
        <w:t>is</w:t>
      </w:r>
      <w:proofErr w:type="gramEnd"/>
      <w:r w:rsidRPr="004B6511">
        <w:rPr>
          <w:sz w:val="22"/>
          <w:szCs w:val="22"/>
        </w:rPr>
        <w:t xml:space="preserve"> key to growing public confidence in the use of private funds for public good.  If social impact initiatives fail to apply a gender lens, they will fail to </w:t>
      </w:r>
      <w:proofErr w:type="spellStart"/>
      <w:r w:rsidRPr="004B6511">
        <w:rPr>
          <w:sz w:val="22"/>
          <w:szCs w:val="22"/>
        </w:rPr>
        <w:t>maximise</w:t>
      </w:r>
      <w:proofErr w:type="spellEnd"/>
      <w:r w:rsidRPr="004B6511">
        <w:rPr>
          <w:sz w:val="22"/>
          <w:szCs w:val="22"/>
        </w:rPr>
        <w:t xml:space="preserve"> the full potential for impact – hence a gender lens is key to impact</w:t>
      </w:r>
      <w:r w:rsidR="00D964CA" w:rsidRPr="004B6511">
        <w:rPr>
          <w:sz w:val="22"/>
          <w:szCs w:val="22"/>
        </w:rPr>
        <w:t>,</w:t>
      </w:r>
      <w:r w:rsidRPr="004B6511">
        <w:rPr>
          <w:sz w:val="22"/>
          <w:szCs w:val="22"/>
        </w:rPr>
        <w:t xml:space="preserve"> </w:t>
      </w:r>
      <w:r w:rsidR="00D964CA" w:rsidRPr="004B6511">
        <w:rPr>
          <w:sz w:val="22"/>
          <w:szCs w:val="22"/>
        </w:rPr>
        <w:t xml:space="preserve">confidence </w:t>
      </w:r>
      <w:r w:rsidRPr="004B6511">
        <w:rPr>
          <w:sz w:val="22"/>
          <w:szCs w:val="22"/>
        </w:rPr>
        <w:t>and demonstrating equity and inclusion.</w:t>
      </w:r>
    </w:p>
    <w:p w14:paraId="563611C3" w14:textId="77777777" w:rsidR="000C10A5" w:rsidRPr="004B6511" w:rsidRDefault="000C10A5" w:rsidP="000C10A5">
      <w:pPr>
        <w:pStyle w:val="ListParagraph"/>
        <w:rPr>
          <w:sz w:val="22"/>
          <w:szCs w:val="22"/>
        </w:rPr>
      </w:pPr>
    </w:p>
    <w:p w14:paraId="48132F83" w14:textId="11C6E44D" w:rsidR="00125BA3" w:rsidRPr="004B6511" w:rsidRDefault="002163D0" w:rsidP="00984634">
      <w:pPr>
        <w:ind w:left="360"/>
        <w:rPr>
          <w:color w:val="C00000"/>
          <w:sz w:val="22"/>
          <w:szCs w:val="22"/>
        </w:rPr>
      </w:pPr>
      <w:r w:rsidRPr="004B6511">
        <w:rPr>
          <w:color w:val="C00000"/>
          <w:sz w:val="22"/>
          <w:szCs w:val="22"/>
        </w:rPr>
        <w:t>RESEARCH</w:t>
      </w:r>
    </w:p>
    <w:p w14:paraId="57A6F43B" w14:textId="335D41DF" w:rsidR="00FD5538" w:rsidRPr="004B6511" w:rsidRDefault="002163D0" w:rsidP="00FD5538">
      <w:pPr>
        <w:pStyle w:val="ListParagraph"/>
        <w:numPr>
          <w:ilvl w:val="0"/>
          <w:numId w:val="1"/>
        </w:numPr>
        <w:rPr>
          <w:sz w:val="22"/>
          <w:szCs w:val="22"/>
        </w:rPr>
      </w:pPr>
      <w:r w:rsidRPr="004B6511">
        <w:rPr>
          <w:sz w:val="22"/>
          <w:szCs w:val="22"/>
        </w:rPr>
        <w:t xml:space="preserve">Research by the Women’s Philanthropy Institute indicates giving is influenced by social norms – key findings are below and the full report is </w:t>
      </w:r>
      <w:hyperlink r:id="rId11" w:history="1">
        <w:r w:rsidR="0044106F" w:rsidRPr="004B6511">
          <w:rPr>
            <w:rStyle w:val="Hyperlink"/>
            <w:sz w:val="22"/>
            <w:szCs w:val="22"/>
          </w:rPr>
          <w:t>h</w:t>
        </w:r>
        <w:r w:rsidRPr="004B6511">
          <w:rPr>
            <w:rStyle w:val="Hyperlink"/>
            <w:sz w:val="22"/>
            <w:szCs w:val="22"/>
          </w:rPr>
          <w:t>ere</w:t>
        </w:r>
        <w:r w:rsidR="0044106F" w:rsidRPr="004B6511">
          <w:rPr>
            <w:rStyle w:val="Hyperlink"/>
            <w:sz w:val="22"/>
            <w:szCs w:val="22"/>
          </w:rPr>
          <w:t>.</w:t>
        </w:r>
      </w:hyperlink>
    </w:p>
    <w:p w14:paraId="1BB4E620" w14:textId="77777777" w:rsidR="0044106F" w:rsidRPr="004B6511" w:rsidRDefault="00237A04" w:rsidP="0044106F">
      <w:pPr>
        <w:pStyle w:val="ListParagraph"/>
        <w:rPr>
          <w:sz w:val="22"/>
          <w:szCs w:val="22"/>
          <w:lang w:val="en-AU"/>
        </w:rPr>
      </w:pPr>
      <w:hyperlink r:id="rId12" w:history="1">
        <w:r w:rsidR="0044106F" w:rsidRPr="004B6511">
          <w:rPr>
            <w:rStyle w:val="Hyperlink"/>
            <w:sz w:val="22"/>
            <w:szCs w:val="22"/>
            <w:lang w:val="en-AU"/>
          </w:rPr>
          <w:t>https://givingcompass.org/partners/gender-and-giving/report-social-norms</w:t>
        </w:r>
      </w:hyperlink>
      <w:r w:rsidR="0044106F" w:rsidRPr="004B6511">
        <w:rPr>
          <w:sz w:val="22"/>
          <w:szCs w:val="22"/>
          <w:lang w:val="en-AU"/>
        </w:rPr>
        <w:t xml:space="preserve"> </w:t>
      </w:r>
    </w:p>
    <w:p w14:paraId="4B8943D1" w14:textId="77777777" w:rsidR="00FD5538" w:rsidRDefault="00FD5538" w:rsidP="00FD5538">
      <w:pPr>
        <w:pStyle w:val="ListParagraph"/>
        <w:rPr>
          <w:sz w:val="22"/>
          <w:szCs w:val="22"/>
        </w:rPr>
      </w:pPr>
    </w:p>
    <w:p w14:paraId="020F2C4B" w14:textId="77777777" w:rsidR="00763652" w:rsidRDefault="00763652" w:rsidP="00FD5538">
      <w:pPr>
        <w:pStyle w:val="ListParagraph"/>
        <w:rPr>
          <w:sz w:val="22"/>
          <w:szCs w:val="22"/>
        </w:rPr>
      </w:pPr>
    </w:p>
    <w:p w14:paraId="249B757F" w14:textId="77777777" w:rsidR="00763652" w:rsidRDefault="00763652" w:rsidP="00FD5538">
      <w:pPr>
        <w:pStyle w:val="ListParagraph"/>
        <w:rPr>
          <w:sz w:val="22"/>
          <w:szCs w:val="22"/>
        </w:rPr>
      </w:pPr>
    </w:p>
    <w:p w14:paraId="7E0A7498" w14:textId="77777777" w:rsidR="00763652" w:rsidRDefault="00763652" w:rsidP="00FD5538">
      <w:pPr>
        <w:pStyle w:val="ListParagraph"/>
        <w:rPr>
          <w:sz w:val="22"/>
          <w:szCs w:val="22"/>
        </w:rPr>
      </w:pPr>
    </w:p>
    <w:p w14:paraId="00AD5DEB" w14:textId="77777777" w:rsidR="00763652" w:rsidRDefault="00763652" w:rsidP="00FD5538">
      <w:pPr>
        <w:pStyle w:val="ListParagraph"/>
        <w:rPr>
          <w:sz w:val="22"/>
          <w:szCs w:val="22"/>
        </w:rPr>
      </w:pPr>
    </w:p>
    <w:p w14:paraId="7DF381B6" w14:textId="77777777" w:rsidR="00763652" w:rsidRDefault="00763652" w:rsidP="00FD5538">
      <w:pPr>
        <w:pStyle w:val="ListParagraph"/>
        <w:rPr>
          <w:sz w:val="22"/>
          <w:szCs w:val="22"/>
        </w:rPr>
      </w:pPr>
    </w:p>
    <w:p w14:paraId="5EA6CA53" w14:textId="621DD0EE" w:rsidR="00763652" w:rsidRDefault="00763652" w:rsidP="00FD5538">
      <w:pPr>
        <w:pStyle w:val="ListParagraph"/>
        <w:rPr>
          <w:sz w:val="22"/>
          <w:szCs w:val="22"/>
        </w:rPr>
      </w:pPr>
      <w:r>
        <w:rPr>
          <w:sz w:val="22"/>
          <w:szCs w:val="22"/>
        </w:rPr>
        <w:lastRenderedPageBreak/>
        <w:t>‘</w:t>
      </w:r>
    </w:p>
    <w:p w14:paraId="6D176AD2" w14:textId="77777777" w:rsidR="00763652" w:rsidRDefault="00763652" w:rsidP="00FD5538">
      <w:pPr>
        <w:pStyle w:val="ListParagraph"/>
        <w:rPr>
          <w:sz w:val="22"/>
          <w:szCs w:val="22"/>
        </w:rPr>
      </w:pPr>
    </w:p>
    <w:p w14:paraId="18F839E7" w14:textId="77777777" w:rsidR="00763652" w:rsidRDefault="00763652" w:rsidP="00FD5538">
      <w:pPr>
        <w:pStyle w:val="ListParagraph"/>
        <w:rPr>
          <w:sz w:val="22"/>
          <w:szCs w:val="22"/>
        </w:rPr>
      </w:pPr>
    </w:p>
    <w:p w14:paraId="668B3402" w14:textId="77777777" w:rsidR="00763652" w:rsidRDefault="00763652" w:rsidP="00FD5538">
      <w:pPr>
        <w:pStyle w:val="ListParagraph"/>
        <w:rPr>
          <w:sz w:val="22"/>
          <w:szCs w:val="22"/>
        </w:rPr>
      </w:pPr>
    </w:p>
    <w:p w14:paraId="6BFCACEF" w14:textId="77777777" w:rsidR="00763652" w:rsidRPr="004B6511" w:rsidRDefault="00763652" w:rsidP="00FD5538">
      <w:pPr>
        <w:pStyle w:val="ListParagraph"/>
        <w:rPr>
          <w:sz w:val="22"/>
          <w:szCs w:val="22"/>
        </w:rPr>
      </w:pPr>
    </w:p>
    <w:p w14:paraId="6BF8D841" w14:textId="40E00FC9" w:rsidR="00FD5538" w:rsidRPr="004B6511" w:rsidRDefault="00853848" w:rsidP="00984634">
      <w:pPr>
        <w:pStyle w:val="ListParagraph"/>
        <w:numPr>
          <w:ilvl w:val="0"/>
          <w:numId w:val="1"/>
        </w:numPr>
        <w:rPr>
          <w:color w:val="C00000"/>
          <w:sz w:val="22"/>
          <w:szCs w:val="22"/>
        </w:rPr>
      </w:pPr>
      <w:r w:rsidRPr="004B6511">
        <w:rPr>
          <w:color w:val="C00000"/>
          <w:sz w:val="22"/>
          <w:szCs w:val="22"/>
        </w:rPr>
        <w:t xml:space="preserve">KEY FINDINGS </w:t>
      </w:r>
      <w:r w:rsidR="00984634" w:rsidRPr="004B6511">
        <w:rPr>
          <w:color w:val="C00000"/>
          <w:sz w:val="22"/>
          <w:szCs w:val="22"/>
        </w:rPr>
        <w:t>of the U</w:t>
      </w:r>
      <w:r w:rsidR="0044106F" w:rsidRPr="004B6511">
        <w:rPr>
          <w:color w:val="C00000"/>
          <w:sz w:val="22"/>
          <w:szCs w:val="22"/>
        </w:rPr>
        <w:t>.S. Research</w:t>
      </w:r>
    </w:p>
    <w:p w14:paraId="688257F4" w14:textId="77777777" w:rsidR="00FD5538" w:rsidRPr="004B6511" w:rsidRDefault="00853848" w:rsidP="00FD5538">
      <w:pPr>
        <w:pStyle w:val="ListParagraph"/>
        <w:numPr>
          <w:ilvl w:val="1"/>
          <w:numId w:val="6"/>
        </w:numPr>
        <w:rPr>
          <w:sz w:val="22"/>
          <w:szCs w:val="22"/>
        </w:rPr>
      </w:pPr>
      <w:r w:rsidRPr="004B6511">
        <w:rPr>
          <w:sz w:val="22"/>
          <w:szCs w:val="22"/>
        </w:rPr>
        <w:t xml:space="preserve">Social norms and charitable giving are strongly linked. When people believe that others are interested in giving to women’s and girls’ causes, they have greater intentions to donate to these causes themselves. </w:t>
      </w:r>
    </w:p>
    <w:p w14:paraId="25F5499F" w14:textId="77777777" w:rsidR="00FD5538" w:rsidRPr="004B6511" w:rsidRDefault="00853848" w:rsidP="00FD5538">
      <w:pPr>
        <w:pStyle w:val="ListParagraph"/>
        <w:numPr>
          <w:ilvl w:val="1"/>
          <w:numId w:val="6"/>
        </w:numPr>
        <w:rPr>
          <w:sz w:val="22"/>
          <w:szCs w:val="22"/>
        </w:rPr>
      </w:pPr>
      <w:r w:rsidRPr="004B6511">
        <w:rPr>
          <w:sz w:val="22"/>
          <w:szCs w:val="22"/>
        </w:rPr>
        <w:t>There is a gender dif</w:t>
      </w:r>
      <w:r w:rsidR="00E91AA5" w:rsidRPr="004B6511">
        <w:rPr>
          <w:sz w:val="22"/>
          <w:szCs w:val="22"/>
        </w:rPr>
        <w:t>fe</w:t>
      </w:r>
      <w:r w:rsidRPr="004B6511">
        <w:rPr>
          <w:sz w:val="22"/>
          <w:szCs w:val="22"/>
        </w:rPr>
        <w:t>rence in the link between social norms and charitable giving. Men’s giving to women’s and girls’ causes is strongly tied to how they think men and women give. Women’s giving to women’s and girls’ causes is strongly tied only to how they think other women give.</w:t>
      </w:r>
    </w:p>
    <w:p w14:paraId="6DE4370E" w14:textId="77777777" w:rsidR="00FD5538" w:rsidRPr="004B6511" w:rsidRDefault="00853848" w:rsidP="00FD5538">
      <w:pPr>
        <w:pStyle w:val="ListParagraph"/>
        <w:numPr>
          <w:ilvl w:val="1"/>
          <w:numId w:val="6"/>
        </w:numPr>
        <w:rPr>
          <w:sz w:val="22"/>
          <w:szCs w:val="22"/>
        </w:rPr>
      </w:pPr>
      <w:r w:rsidRPr="004B6511">
        <w:rPr>
          <w:sz w:val="22"/>
          <w:szCs w:val="22"/>
        </w:rPr>
        <w:t xml:space="preserve">People’s donation intentions are higher when they receive social norms messages about rising levels of giving. Focusing on the rising popularity of women’s and girls’ causes increases people’s intentions to donate to those causes, compared to focusing on current levels of giving. </w:t>
      </w:r>
    </w:p>
    <w:p w14:paraId="676BCBBF" w14:textId="4C9AE8DD" w:rsidR="00853848" w:rsidRPr="004B6511" w:rsidRDefault="00853848" w:rsidP="00FD5538">
      <w:pPr>
        <w:pStyle w:val="ListParagraph"/>
        <w:numPr>
          <w:ilvl w:val="1"/>
          <w:numId w:val="6"/>
        </w:numPr>
        <w:rPr>
          <w:sz w:val="22"/>
          <w:szCs w:val="22"/>
        </w:rPr>
      </w:pPr>
      <w:r w:rsidRPr="004B6511">
        <w:rPr>
          <w:sz w:val="22"/>
          <w:szCs w:val="22"/>
        </w:rPr>
        <w:t>Social norms messages about rising levels of giving are equally ef</w:t>
      </w:r>
      <w:r w:rsidR="00BD2694" w:rsidRPr="004B6511">
        <w:rPr>
          <w:sz w:val="22"/>
          <w:szCs w:val="22"/>
        </w:rPr>
        <w:t>f</w:t>
      </w:r>
      <w:r w:rsidRPr="004B6511">
        <w:rPr>
          <w:sz w:val="22"/>
          <w:szCs w:val="22"/>
        </w:rPr>
        <w:t>ective for men, who traditionally give less than women to women’s and girls’ causes.</w:t>
      </w:r>
    </w:p>
    <w:p w14:paraId="439D2289" w14:textId="77777777" w:rsidR="0096291A" w:rsidRPr="004B6511" w:rsidRDefault="0096291A" w:rsidP="000E2225">
      <w:pPr>
        <w:rPr>
          <w:sz w:val="22"/>
          <w:szCs w:val="22"/>
          <w:lang w:val="en-AU"/>
        </w:rPr>
      </w:pPr>
    </w:p>
    <w:p w14:paraId="07C3FF81" w14:textId="62DF6DA8" w:rsidR="001D3218" w:rsidRDefault="001D3218" w:rsidP="000E2225">
      <w:pPr>
        <w:rPr>
          <w:noProof/>
          <w:sz w:val="22"/>
          <w:szCs w:val="22"/>
          <w:lang w:val="en-AU"/>
        </w:rPr>
      </w:pPr>
    </w:p>
    <w:p w14:paraId="086B55C9" w14:textId="77777777" w:rsidR="008D7D0A" w:rsidRDefault="008D7D0A" w:rsidP="000E2225">
      <w:pPr>
        <w:rPr>
          <w:noProof/>
          <w:sz w:val="22"/>
          <w:szCs w:val="22"/>
          <w:lang w:val="en-AU"/>
        </w:rPr>
      </w:pPr>
    </w:p>
    <w:p w14:paraId="53340711" w14:textId="77777777" w:rsidR="008D7D0A" w:rsidRDefault="008D7D0A" w:rsidP="000E2225">
      <w:pPr>
        <w:rPr>
          <w:noProof/>
          <w:sz w:val="22"/>
          <w:szCs w:val="22"/>
          <w:lang w:val="en-AU"/>
        </w:rPr>
      </w:pPr>
    </w:p>
    <w:p w14:paraId="2FAB4E2B" w14:textId="77777777" w:rsidR="008D7D0A" w:rsidRDefault="008D7D0A" w:rsidP="000E2225">
      <w:pPr>
        <w:rPr>
          <w:noProof/>
          <w:sz w:val="22"/>
          <w:szCs w:val="22"/>
          <w:lang w:val="en-AU"/>
        </w:rPr>
      </w:pPr>
    </w:p>
    <w:p w14:paraId="64B8304A" w14:textId="77777777" w:rsidR="008D7D0A" w:rsidRPr="004B6511" w:rsidRDefault="008D7D0A" w:rsidP="000E2225">
      <w:pPr>
        <w:rPr>
          <w:sz w:val="22"/>
          <w:szCs w:val="22"/>
          <w:lang w:val="en-AU"/>
        </w:rPr>
      </w:pPr>
    </w:p>
    <w:p w14:paraId="2E1794EE" w14:textId="77777777" w:rsidR="001D3218" w:rsidRPr="004B6511" w:rsidRDefault="001D3218" w:rsidP="000E2225">
      <w:pPr>
        <w:rPr>
          <w:sz w:val="22"/>
          <w:szCs w:val="22"/>
          <w:lang w:val="en-AU"/>
        </w:rPr>
      </w:pPr>
    </w:p>
    <w:p w14:paraId="32C452E8" w14:textId="7D014A2A" w:rsidR="001D3218" w:rsidRPr="004B6511" w:rsidRDefault="001D3218" w:rsidP="000E2225">
      <w:pPr>
        <w:rPr>
          <w:sz w:val="22"/>
          <w:szCs w:val="22"/>
          <w:lang w:val="en-AU"/>
        </w:rPr>
      </w:pPr>
      <w:r w:rsidRPr="004B6511">
        <w:rPr>
          <w:sz w:val="22"/>
          <w:szCs w:val="22"/>
          <w:lang w:val="en-AU"/>
        </w:rPr>
        <w:t>JULIE REILLY OAM</w:t>
      </w:r>
    </w:p>
    <w:p w14:paraId="1F29CB22" w14:textId="78ECCFF2" w:rsidR="001D3218" w:rsidRPr="004B6511" w:rsidRDefault="001D3218" w:rsidP="000E2225">
      <w:pPr>
        <w:rPr>
          <w:sz w:val="22"/>
          <w:szCs w:val="22"/>
          <w:lang w:val="en-AU"/>
        </w:rPr>
      </w:pPr>
      <w:r w:rsidRPr="004B6511">
        <w:rPr>
          <w:sz w:val="22"/>
          <w:szCs w:val="22"/>
          <w:lang w:val="en-AU"/>
        </w:rPr>
        <w:t>CEO AUSTR</w:t>
      </w:r>
      <w:r w:rsidR="001015D6" w:rsidRPr="004B6511">
        <w:rPr>
          <w:sz w:val="22"/>
          <w:szCs w:val="22"/>
          <w:lang w:val="en-AU"/>
        </w:rPr>
        <w:t>A</w:t>
      </w:r>
      <w:r w:rsidRPr="004B6511">
        <w:rPr>
          <w:sz w:val="22"/>
          <w:szCs w:val="22"/>
          <w:lang w:val="en-AU"/>
        </w:rPr>
        <w:t>LIANS INVESTING IN WOMEN</w:t>
      </w:r>
    </w:p>
    <w:p w14:paraId="29FCFF64" w14:textId="77777777" w:rsidR="00490413" w:rsidRPr="004B6511" w:rsidRDefault="00490413" w:rsidP="000E2225">
      <w:pPr>
        <w:rPr>
          <w:sz w:val="22"/>
          <w:szCs w:val="22"/>
          <w:lang w:val="en-AU"/>
        </w:rPr>
      </w:pPr>
    </w:p>
    <w:p w14:paraId="1517EC9A" w14:textId="77777777" w:rsidR="00490413" w:rsidRPr="004B6511" w:rsidRDefault="00490413" w:rsidP="000E2225">
      <w:pPr>
        <w:rPr>
          <w:sz w:val="22"/>
          <w:szCs w:val="22"/>
          <w:lang w:val="en-AU"/>
        </w:rPr>
      </w:pPr>
    </w:p>
    <w:p w14:paraId="570B0AF2" w14:textId="77777777" w:rsidR="00490413" w:rsidRPr="004B6511" w:rsidRDefault="00490413" w:rsidP="00490413">
      <w:pPr>
        <w:rPr>
          <w:sz w:val="22"/>
          <w:szCs w:val="22"/>
          <w:lang w:val="en-AU"/>
        </w:rPr>
      </w:pPr>
      <w:r w:rsidRPr="004B6511">
        <w:rPr>
          <w:sz w:val="22"/>
          <w:szCs w:val="22"/>
          <w:lang w:val="en-AU"/>
        </w:rPr>
        <w:t> </w:t>
      </w:r>
    </w:p>
    <w:p w14:paraId="12D3019C" w14:textId="77777777" w:rsidR="001D3218" w:rsidRPr="004B6511" w:rsidRDefault="001D3218" w:rsidP="000E2225">
      <w:pPr>
        <w:rPr>
          <w:sz w:val="22"/>
          <w:szCs w:val="22"/>
          <w:lang w:val="en-AU"/>
        </w:rPr>
      </w:pPr>
    </w:p>
    <w:sectPr w:rsidR="001D3218" w:rsidRPr="004B6511" w:rsidSect="00984634">
      <w:footerReference w:type="even" r:id="rId13"/>
      <w:footerReference w:type="default" r:id="rId14"/>
      <w:pgSz w:w="12240" w:h="15840"/>
      <w:pgMar w:top="250" w:right="1440" w:bottom="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09D9" w14:textId="77777777" w:rsidR="00032C29" w:rsidRDefault="00032C29" w:rsidP="00032C29">
      <w:r>
        <w:separator/>
      </w:r>
    </w:p>
  </w:endnote>
  <w:endnote w:type="continuationSeparator" w:id="0">
    <w:p w14:paraId="6F63CBAA" w14:textId="77777777" w:rsidR="00032C29" w:rsidRDefault="00032C29" w:rsidP="0003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6954781"/>
      <w:docPartObj>
        <w:docPartGallery w:val="Page Numbers (Bottom of Page)"/>
        <w:docPartUnique/>
      </w:docPartObj>
    </w:sdtPr>
    <w:sdtEndPr>
      <w:rPr>
        <w:rStyle w:val="PageNumber"/>
      </w:rPr>
    </w:sdtEndPr>
    <w:sdtContent>
      <w:p w14:paraId="08A2678A" w14:textId="4680403D" w:rsidR="00032C29" w:rsidRDefault="00032C29" w:rsidP="003933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A1594F" w14:textId="77777777" w:rsidR="00032C29" w:rsidRDefault="00032C29" w:rsidP="00032C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08605"/>
      <w:docPartObj>
        <w:docPartGallery w:val="Page Numbers (Bottom of Page)"/>
        <w:docPartUnique/>
      </w:docPartObj>
    </w:sdtPr>
    <w:sdtEndPr>
      <w:rPr>
        <w:rStyle w:val="PageNumber"/>
      </w:rPr>
    </w:sdtEndPr>
    <w:sdtContent>
      <w:p w14:paraId="6A55E1C1" w14:textId="5BAC97EF" w:rsidR="00032C29" w:rsidRDefault="00032C29" w:rsidP="003933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7895D38" w14:textId="77777777" w:rsidR="00032C29" w:rsidRDefault="00032C29" w:rsidP="00032C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13F5" w14:textId="77777777" w:rsidR="00032C29" w:rsidRDefault="00032C29" w:rsidP="00032C29">
      <w:r>
        <w:separator/>
      </w:r>
    </w:p>
  </w:footnote>
  <w:footnote w:type="continuationSeparator" w:id="0">
    <w:p w14:paraId="25B01ED7" w14:textId="77777777" w:rsidR="00032C29" w:rsidRDefault="00032C29" w:rsidP="0003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7DB"/>
    <w:multiLevelType w:val="multilevel"/>
    <w:tmpl w:val="B01C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647ED"/>
    <w:multiLevelType w:val="hybridMultilevel"/>
    <w:tmpl w:val="2DC0A0F8"/>
    <w:lvl w:ilvl="0" w:tplc="BA329C0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568A3"/>
    <w:multiLevelType w:val="multilevel"/>
    <w:tmpl w:val="B01C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A6949"/>
    <w:multiLevelType w:val="multilevel"/>
    <w:tmpl w:val="B01C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D65B8F"/>
    <w:multiLevelType w:val="hybridMultilevel"/>
    <w:tmpl w:val="6F00CBE4"/>
    <w:lvl w:ilvl="0" w:tplc="BA329C0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407D2"/>
    <w:multiLevelType w:val="multilevel"/>
    <w:tmpl w:val="9B1E79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43880"/>
    <w:multiLevelType w:val="hybridMultilevel"/>
    <w:tmpl w:val="A2F88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00B91"/>
    <w:multiLevelType w:val="hybridMultilevel"/>
    <w:tmpl w:val="E3EED652"/>
    <w:lvl w:ilvl="0" w:tplc="BA329C0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C72F7"/>
    <w:multiLevelType w:val="hybridMultilevel"/>
    <w:tmpl w:val="4F6EB83A"/>
    <w:lvl w:ilvl="0" w:tplc="F594F60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B64E8"/>
    <w:multiLevelType w:val="hybridMultilevel"/>
    <w:tmpl w:val="D4D48940"/>
    <w:lvl w:ilvl="0" w:tplc="FFFFFFFF">
      <w:start w:val="1"/>
      <w:numFmt w:val="decimal"/>
      <w:lvlText w:val="%1."/>
      <w:lvlJc w:val="left"/>
      <w:pPr>
        <w:ind w:left="720" w:hanging="360"/>
      </w:p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672324"/>
    <w:multiLevelType w:val="hybridMultilevel"/>
    <w:tmpl w:val="A80C60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3A55B66"/>
    <w:multiLevelType w:val="multilevel"/>
    <w:tmpl w:val="B01C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401506">
    <w:abstractNumId w:val="6"/>
  </w:num>
  <w:num w:numId="2" w16cid:durableId="653487000">
    <w:abstractNumId w:val="8"/>
  </w:num>
  <w:num w:numId="3" w16cid:durableId="1232693807">
    <w:abstractNumId w:val="4"/>
  </w:num>
  <w:num w:numId="4" w16cid:durableId="663004">
    <w:abstractNumId w:val="1"/>
  </w:num>
  <w:num w:numId="5" w16cid:durableId="252209280">
    <w:abstractNumId w:val="7"/>
  </w:num>
  <w:num w:numId="6" w16cid:durableId="1987078136">
    <w:abstractNumId w:val="9"/>
  </w:num>
  <w:num w:numId="7" w16cid:durableId="300113548">
    <w:abstractNumId w:val="10"/>
  </w:num>
  <w:num w:numId="8" w16cid:durableId="1343434036">
    <w:abstractNumId w:val="2"/>
  </w:num>
  <w:num w:numId="9" w16cid:durableId="1624267152">
    <w:abstractNumId w:val="0"/>
  </w:num>
  <w:num w:numId="10" w16cid:durableId="1096485271">
    <w:abstractNumId w:val="11"/>
  </w:num>
  <w:num w:numId="11" w16cid:durableId="630283662">
    <w:abstractNumId w:val="3"/>
  </w:num>
  <w:num w:numId="12" w16cid:durableId="1108237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3A"/>
    <w:rsid w:val="00017AD0"/>
    <w:rsid w:val="00032C29"/>
    <w:rsid w:val="00050BBA"/>
    <w:rsid w:val="000565F1"/>
    <w:rsid w:val="000567EF"/>
    <w:rsid w:val="0007236F"/>
    <w:rsid w:val="00087254"/>
    <w:rsid w:val="000945A7"/>
    <w:rsid w:val="000A5E75"/>
    <w:rsid w:val="000C10A5"/>
    <w:rsid w:val="000D073A"/>
    <w:rsid w:val="000E2225"/>
    <w:rsid w:val="001015D6"/>
    <w:rsid w:val="001059AB"/>
    <w:rsid w:val="00125BA3"/>
    <w:rsid w:val="00153E20"/>
    <w:rsid w:val="001A462A"/>
    <w:rsid w:val="001C4B11"/>
    <w:rsid w:val="001D0D30"/>
    <w:rsid w:val="001D3218"/>
    <w:rsid w:val="001F59C0"/>
    <w:rsid w:val="00215233"/>
    <w:rsid w:val="002163D0"/>
    <w:rsid w:val="002330F5"/>
    <w:rsid w:val="00240F20"/>
    <w:rsid w:val="00267F32"/>
    <w:rsid w:val="00297379"/>
    <w:rsid w:val="002D068B"/>
    <w:rsid w:val="002D7376"/>
    <w:rsid w:val="003076FC"/>
    <w:rsid w:val="00350259"/>
    <w:rsid w:val="003A1CAE"/>
    <w:rsid w:val="003A4F32"/>
    <w:rsid w:val="003B7267"/>
    <w:rsid w:val="003C4448"/>
    <w:rsid w:val="00424B03"/>
    <w:rsid w:val="0044106F"/>
    <w:rsid w:val="00442D03"/>
    <w:rsid w:val="004678A5"/>
    <w:rsid w:val="00480F1D"/>
    <w:rsid w:val="00490413"/>
    <w:rsid w:val="004A2D4A"/>
    <w:rsid w:val="004A67D2"/>
    <w:rsid w:val="004B4142"/>
    <w:rsid w:val="004B6511"/>
    <w:rsid w:val="00521CD2"/>
    <w:rsid w:val="0053514D"/>
    <w:rsid w:val="00550459"/>
    <w:rsid w:val="00563F70"/>
    <w:rsid w:val="005751E4"/>
    <w:rsid w:val="00594DDC"/>
    <w:rsid w:val="005B7084"/>
    <w:rsid w:val="005C1896"/>
    <w:rsid w:val="005C4AB7"/>
    <w:rsid w:val="005C5315"/>
    <w:rsid w:val="005D2704"/>
    <w:rsid w:val="005E732E"/>
    <w:rsid w:val="00667B83"/>
    <w:rsid w:val="00683B61"/>
    <w:rsid w:val="00693061"/>
    <w:rsid w:val="006C28FE"/>
    <w:rsid w:val="006E2FD4"/>
    <w:rsid w:val="00721FEE"/>
    <w:rsid w:val="00731923"/>
    <w:rsid w:val="007373F7"/>
    <w:rsid w:val="007459F1"/>
    <w:rsid w:val="007609F2"/>
    <w:rsid w:val="00763652"/>
    <w:rsid w:val="0076391A"/>
    <w:rsid w:val="00765D6F"/>
    <w:rsid w:val="007B442E"/>
    <w:rsid w:val="007B5127"/>
    <w:rsid w:val="007F0145"/>
    <w:rsid w:val="00800E5A"/>
    <w:rsid w:val="00822A87"/>
    <w:rsid w:val="00853848"/>
    <w:rsid w:val="008B6EE5"/>
    <w:rsid w:val="008D7D0A"/>
    <w:rsid w:val="0090416B"/>
    <w:rsid w:val="009300AC"/>
    <w:rsid w:val="00952A4D"/>
    <w:rsid w:val="00954335"/>
    <w:rsid w:val="0096291A"/>
    <w:rsid w:val="00975888"/>
    <w:rsid w:val="00982B77"/>
    <w:rsid w:val="00984634"/>
    <w:rsid w:val="009870CF"/>
    <w:rsid w:val="009D07EA"/>
    <w:rsid w:val="009D4E5C"/>
    <w:rsid w:val="00A36149"/>
    <w:rsid w:val="00A43D6D"/>
    <w:rsid w:val="00A70AD6"/>
    <w:rsid w:val="00AA001D"/>
    <w:rsid w:val="00AC2D16"/>
    <w:rsid w:val="00AE215F"/>
    <w:rsid w:val="00AF3C03"/>
    <w:rsid w:val="00B0706A"/>
    <w:rsid w:val="00B07581"/>
    <w:rsid w:val="00B52295"/>
    <w:rsid w:val="00B80394"/>
    <w:rsid w:val="00BA6A40"/>
    <w:rsid w:val="00BC1378"/>
    <w:rsid w:val="00BD2694"/>
    <w:rsid w:val="00BF28C1"/>
    <w:rsid w:val="00C03D03"/>
    <w:rsid w:val="00C16154"/>
    <w:rsid w:val="00C42666"/>
    <w:rsid w:val="00C5074D"/>
    <w:rsid w:val="00C7090C"/>
    <w:rsid w:val="00CB0EE7"/>
    <w:rsid w:val="00CC0B23"/>
    <w:rsid w:val="00D260D3"/>
    <w:rsid w:val="00D63D20"/>
    <w:rsid w:val="00D758D7"/>
    <w:rsid w:val="00D7694E"/>
    <w:rsid w:val="00D964CA"/>
    <w:rsid w:val="00DB78A8"/>
    <w:rsid w:val="00DC6325"/>
    <w:rsid w:val="00DC7FA5"/>
    <w:rsid w:val="00E04EF5"/>
    <w:rsid w:val="00E27565"/>
    <w:rsid w:val="00E300D1"/>
    <w:rsid w:val="00E57481"/>
    <w:rsid w:val="00E91AA5"/>
    <w:rsid w:val="00EB6E5D"/>
    <w:rsid w:val="00EC5EDE"/>
    <w:rsid w:val="00EF3DA3"/>
    <w:rsid w:val="00F112F2"/>
    <w:rsid w:val="00F26A65"/>
    <w:rsid w:val="00F57E1B"/>
    <w:rsid w:val="00F64AA7"/>
    <w:rsid w:val="00F77522"/>
    <w:rsid w:val="00FA3231"/>
    <w:rsid w:val="00FC1F1B"/>
    <w:rsid w:val="00FD4DEB"/>
    <w:rsid w:val="00FD5538"/>
    <w:rsid w:val="00FE2BFB"/>
    <w:rsid w:val="00FE7AF0"/>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21C1"/>
  <w15:chartTrackingRefBased/>
  <w15:docId w15:val="{44987E3F-97B1-4C83-841D-63F337D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0D3"/>
    <w:pPr>
      <w:ind w:left="720"/>
      <w:contextualSpacing/>
    </w:pPr>
  </w:style>
  <w:style w:type="character" w:styleId="Hyperlink">
    <w:name w:val="Hyperlink"/>
    <w:basedOn w:val="DefaultParagraphFont"/>
    <w:uiPriority w:val="99"/>
    <w:unhideWhenUsed/>
    <w:rsid w:val="00267F32"/>
    <w:rPr>
      <w:color w:val="0563C1" w:themeColor="hyperlink"/>
      <w:u w:val="single"/>
    </w:rPr>
  </w:style>
  <w:style w:type="character" w:styleId="UnresolvedMention">
    <w:name w:val="Unresolved Mention"/>
    <w:basedOn w:val="DefaultParagraphFont"/>
    <w:uiPriority w:val="99"/>
    <w:semiHidden/>
    <w:unhideWhenUsed/>
    <w:rsid w:val="00267F32"/>
    <w:rPr>
      <w:color w:val="605E5C"/>
      <w:shd w:val="clear" w:color="auto" w:fill="E1DFDD"/>
    </w:rPr>
  </w:style>
  <w:style w:type="character" w:styleId="FollowedHyperlink">
    <w:name w:val="FollowedHyperlink"/>
    <w:basedOn w:val="DefaultParagraphFont"/>
    <w:uiPriority w:val="99"/>
    <w:semiHidden/>
    <w:unhideWhenUsed/>
    <w:rsid w:val="00D964CA"/>
    <w:rPr>
      <w:color w:val="954F72" w:themeColor="followedHyperlink"/>
      <w:u w:val="single"/>
    </w:rPr>
  </w:style>
  <w:style w:type="paragraph" w:styleId="Header">
    <w:name w:val="header"/>
    <w:basedOn w:val="Normal"/>
    <w:link w:val="HeaderChar"/>
    <w:uiPriority w:val="99"/>
    <w:unhideWhenUsed/>
    <w:rsid w:val="00032C29"/>
    <w:pPr>
      <w:tabs>
        <w:tab w:val="center" w:pos="4513"/>
        <w:tab w:val="right" w:pos="9026"/>
      </w:tabs>
    </w:pPr>
  </w:style>
  <w:style w:type="character" w:customStyle="1" w:styleId="HeaderChar">
    <w:name w:val="Header Char"/>
    <w:basedOn w:val="DefaultParagraphFont"/>
    <w:link w:val="Header"/>
    <w:uiPriority w:val="99"/>
    <w:rsid w:val="00032C29"/>
  </w:style>
  <w:style w:type="paragraph" w:styleId="Footer">
    <w:name w:val="footer"/>
    <w:basedOn w:val="Normal"/>
    <w:link w:val="FooterChar"/>
    <w:uiPriority w:val="99"/>
    <w:unhideWhenUsed/>
    <w:rsid w:val="00032C29"/>
    <w:pPr>
      <w:tabs>
        <w:tab w:val="center" w:pos="4513"/>
        <w:tab w:val="right" w:pos="9026"/>
      </w:tabs>
    </w:pPr>
  </w:style>
  <w:style w:type="character" w:customStyle="1" w:styleId="FooterChar">
    <w:name w:val="Footer Char"/>
    <w:basedOn w:val="DefaultParagraphFont"/>
    <w:link w:val="Footer"/>
    <w:uiPriority w:val="99"/>
    <w:rsid w:val="00032C29"/>
  </w:style>
  <w:style w:type="character" w:styleId="PageNumber">
    <w:name w:val="page number"/>
    <w:basedOn w:val="DefaultParagraphFont"/>
    <w:uiPriority w:val="99"/>
    <w:semiHidden/>
    <w:unhideWhenUsed/>
    <w:rsid w:val="00032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41351">
      <w:bodyDiv w:val="1"/>
      <w:marLeft w:val="0"/>
      <w:marRight w:val="0"/>
      <w:marTop w:val="0"/>
      <w:marBottom w:val="0"/>
      <w:divBdr>
        <w:top w:val="none" w:sz="0" w:space="0" w:color="auto"/>
        <w:left w:val="none" w:sz="0" w:space="0" w:color="auto"/>
        <w:bottom w:val="none" w:sz="0" w:space="0" w:color="auto"/>
        <w:right w:val="none" w:sz="0" w:space="0" w:color="auto"/>
      </w:divBdr>
      <w:divsChild>
        <w:div w:id="193270382">
          <w:marLeft w:val="0"/>
          <w:marRight w:val="0"/>
          <w:marTop w:val="0"/>
          <w:marBottom w:val="0"/>
          <w:divBdr>
            <w:top w:val="single" w:sz="8" w:space="0" w:color="D9D9E3"/>
            <w:left w:val="single" w:sz="8" w:space="0" w:color="D9D9E3"/>
            <w:bottom w:val="single" w:sz="8" w:space="0" w:color="D9D9E3"/>
            <w:right w:val="single" w:sz="8" w:space="0" w:color="D9D9E3"/>
          </w:divBdr>
        </w:div>
        <w:div w:id="279265498">
          <w:marLeft w:val="0"/>
          <w:marRight w:val="0"/>
          <w:marTop w:val="0"/>
          <w:marBottom w:val="0"/>
          <w:divBdr>
            <w:top w:val="single" w:sz="8" w:space="0" w:color="D9D9E3"/>
            <w:left w:val="single" w:sz="8" w:space="0" w:color="D9D9E3"/>
            <w:bottom w:val="single" w:sz="8" w:space="0" w:color="D9D9E3"/>
            <w:right w:val="single" w:sz="8" w:space="0" w:color="D9D9E3"/>
          </w:divBdr>
        </w:div>
        <w:div w:id="398863033">
          <w:marLeft w:val="0"/>
          <w:marRight w:val="0"/>
          <w:marTop w:val="0"/>
          <w:marBottom w:val="0"/>
          <w:divBdr>
            <w:top w:val="single" w:sz="8" w:space="0" w:color="D9D9E3"/>
            <w:left w:val="single" w:sz="8" w:space="0" w:color="D9D9E3"/>
            <w:bottom w:val="single" w:sz="8" w:space="0" w:color="D9D9E3"/>
            <w:right w:val="single" w:sz="8" w:space="0" w:color="D9D9E3"/>
          </w:divBdr>
        </w:div>
        <w:div w:id="451243185">
          <w:marLeft w:val="0"/>
          <w:marRight w:val="0"/>
          <w:marTop w:val="0"/>
          <w:marBottom w:val="0"/>
          <w:divBdr>
            <w:top w:val="single" w:sz="8" w:space="0" w:color="D9D9E3"/>
            <w:left w:val="single" w:sz="8" w:space="0" w:color="D9D9E3"/>
            <w:bottom w:val="single" w:sz="8" w:space="0" w:color="D9D9E3"/>
            <w:right w:val="single" w:sz="8" w:space="0" w:color="D9D9E3"/>
          </w:divBdr>
        </w:div>
        <w:div w:id="569460695">
          <w:marLeft w:val="0"/>
          <w:marRight w:val="0"/>
          <w:marTop w:val="0"/>
          <w:marBottom w:val="0"/>
          <w:divBdr>
            <w:top w:val="single" w:sz="8" w:space="0" w:color="D9D9E3"/>
            <w:left w:val="single" w:sz="8" w:space="5" w:color="D9D9E3"/>
            <w:bottom w:val="single" w:sz="8" w:space="0" w:color="D9D9E3"/>
            <w:right w:val="single" w:sz="8" w:space="0" w:color="D9D9E3"/>
          </w:divBdr>
        </w:div>
        <w:div w:id="942226804">
          <w:marLeft w:val="0"/>
          <w:marRight w:val="0"/>
          <w:marTop w:val="0"/>
          <w:marBottom w:val="0"/>
          <w:divBdr>
            <w:top w:val="single" w:sz="8" w:space="0" w:color="D9D9E3"/>
            <w:left w:val="single" w:sz="8" w:space="0" w:color="D9D9E3"/>
            <w:bottom w:val="single" w:sz="8" w:space="0" w:color="D9D9E3"/>
            <w:right w:val="single" w:sz="8" w:space="0" w:color="D9D9E3"/>
          </w:divBdr>
        </w:div>
        <w:div w:id="1314414246">
          <w:marLeft w:val="0"/>
          <w:marRight w:val="0"/>
          <w:marTop w:val="0"/>
          <w:marBottom w:val="0"/>
          <w:divBdr>
            <w:top w:val="single" w:sz="8" w:space="0" w:color="D9D9E3"/>
            <w:left w:val="single" w:sz="8" w:space="0" w:color="D9D9E3"/>
            <w:bottom w:val="single" w:sz="8" w:space="0" w:color="D9D9E3"/>
            <w:right w:val="single" w:sz="8" w:space="0" w:color="D9D9E3"/>
          </w:divBdr>
        </w:div>
        <w:div w:id="1319454639">
          <w:marLeft w:val="0"/>
          <w:marRight w:val="0"/>
          <w:marTop w:val="0"/>
          <w:marBottom w:val="0"/>
          <w:divBdr>
            <w:top w:val="single" w:sz="8" w:space="0" w:color="D9D9E3"/>
            <w:left w:val="single" w:sz="8" w:space="5" w:color="D9D9E3"/>
            <w:bottom w:val="single" w:sz="8" w:space="0" w:color="D9D9E3"/>
            <w:right w:val="single" w:sz="8" w:space="0" w:color="D9D9E3"/>
          </w:divBdr>
        </w:div>
        <w:div w:id="1515412832">
          <w:marLeft w:val="0"/>
          <w:marRight w:val="0"/>
          <w:marTop w:val="0"/>
          <w:marBottom w:val="0"/>
          <w:divBdr>
            <w:top w:val="single" w:sz="8" w:space="0" w:color="D9D9E3"/>
            <w:left w:val="single" w:sz="8" w:space="5" w:color="D9D9E3"/>
            <w:bottom w:val="single" w:sz="8" w:space="0" w:color="D9D9E3"/>
            <w:right w:val="single" w:sz="8" w:space="0" w:color="D9D9E3"/>
          </w:divBdr>
        </w:div>
        <w:div w:id="1963608634">
          <w:marLeft w:val="0"/>
          <w:marRight w:val="0"/>
          <w:marTop w:val="0"/>
          <w:marBottom w:val="0"/>
          <w:divBdr>
            <w:top w:val="single" w:sz="8" w:space="0" w:color="D9D9E3"/>
            <w:left w:val="single" w:sz="8" w:space="0" w:color="D9D9E3"/>
            <w:bottom w:val="single" w:sz="8" w:space="0" w:color="D9D9E3"/>
            <w:right w:val="single" w:sz="8" w:space="0" w:color="D9D9E3"/>
          </w:divBdr>
        </w:div>
        <w:div w:id="1977837452">
          <w:marLeft w:val="0"/>
          <w:marRight w:val="0"/>
          <w:marTop w:val="0"/>
          <w:marBottom w:val="0"/>
          <w:divBdr>
            <w:top w:val="single" w:sz="8" w:space="0" w:color="D9D9E3"/>
            <w:left w:val="single" w:sz="8" w:space="0" w:color="D9D9E3"/>
            <w:bottom w:val="single" w:sz="8" w:space="0" w:color="D9D9E3"/>
            <w:right w:val="single" w:sz="8" w:space="0" w:color="D9D9E3"/>
          </w:divBdr>
        </w:div>
        <w:div w:id="2134207151">
          <w:marLeft w:val="0"/>
          <w:marRight w:val="0"/>
          <w:marTop w:val="0"/>
          <w:marBottom w:val="0"/>
          <w:divBdr>
            <w:top w:val="single" w:sz="8" w:space="0" w:color="D9D9E3"/>
            <w:left w:val="single" w:sz="8" w:space="5" w:color="D9D9E3"/>
            <w:bottom w:val="single" w:sz="8" w:space="0" w:color="D9D9E3"/>
            <w:right w:val="single" w:sz="8" w:space="0" w:color="D9D9E3"/>
          </w:divBdr>
        </w:div>
      </w:divsChild>
    </w:div>
    <w:div w:id="1220480214">
      <w:bodyDiv w:val="1"/>
      <w:marLeft w:val="0"/>
      <w:marRight w:val="0"/>
      <w:marTop w:val="0"/>
      <w:marBottom w:val="0"/>
      <w:divBdr>
        <w:top w:val="none" w:sz="0" w:space="0" w:color="auto"/>
        <w:left w:val="none" w:sz="0" w:space="0" w:color="auto"/>
        <w:bottom w:val="none" w:sz="0" w:space="0" w:color="auto"/>
        <w:right w:val="none" w:sz="0" w:space="0" w:color="auto"/>
      </w:divBdr>
      <w:divsChild>
        <w:div w:id="10231928">
          <w:marLeft w:val="0"/>
          <w:marRight w:val="0"/>
          <w:marTop w:val="0"/>
          <w:marBottom w:val="0"/>
          <w:divBdr>
            <w:top w:val="single" w:sz="8" w:space="0" w:color="D9D9E3"/>
            <w:left w:val="single" w:sz="8" w:space="0" w:color="D9D9E3"/>
            <w:bottom w:val="single" w:sz="8" w:space="0" w:color="D9D9E3"/>
            <w:right w:val="single" w:sz="8" w:space="0" w:color="D9D9E3"/>
          </w:divBdr>
        </w:div>
        <w:div w:id="141386149">
          <w:marLeft w:val="0"/>
          <w:marRight w:val="0"/>
          <w:marTop w:val="0"/>
          <w:marBottom w:val="0"/>
          <w:divBdr>
            <w:top w:val="single" w:sz="8" w:space="0" w:color="D9D9E3"/>
            <w:left w:val="single" w:sz="8" w:space="0" w:color="D9D9E3"/>
            <w:bottom w:val="single" w:sz="8" w:space="0" w:color="D9D9E3"/>
            <w:right w:val="single" w:sz="8" w:space="0" w:color="D9D9E3"/>
          </w:divBdr>
        </w:div>
        <w:div w:id="456918442">
          <w:marLeft w:val="0"/>
          <w:marRight w:val="0"/>
          <w:marTop w:val="0"/>
          <w:marBottom w:val="0"/>
          <w:divBdr>
            <w:top w:val="single" w:sz="8" w:space="0" w:color="D9D9E3"/>
            <w:left w:val="single" w:sz="8" w:space="0" w:color="D9D9E3"/>
            <w:bottom w:val="single" w:sz="8" w:space="0" w:color="D9D9E3"/>
            <w:right w:val="single" w:sz="8" w:space="0" w:color="D9D9E3"/>
          </w:divBdr>
        </w:div>
        <w:div w:id="578174752">
          <w:marLeft w:val="0"/>
          <w:marRight w:val="0"/>
          <w:marTop w:val="0"/>
          <w:marBottom w:val="0"/>
          <w:divBdr>
            <w:top w:val="single" w:sz="8" w:space="0" w:color="D9D9E3"/>
            <w:left w:val="single" w:sz="8" w:space="5" w:color="D9D9E3"/>
            <w:bottom w:val="single" w:sz="8" w:space="0" w:color="D9D9E3"/>
            <w:right w:val="single" w:sz="8" w:space="0" w:color="D9D9E3"/>
          </w:divBdr>
        </w:div>
        <w:div w:id="675423296">
          <w:marLeft w:val="0"/>
          <w:marRight w:val="0"/>
          <w:marTop w:val="0"/>
          <w:marBottom w:val="0"/>
          <w:divBdr>
            <w:top w:val="single" w:sz="8" w:space="0" w:color="D9D9E3"/>
            <w:left w:val="single" w:sz="8" w:space="5" w:color="D9D9E3"/>
            <w:bottom w:val="single" w:sz="8" w:space="0" w:color="D9D9E3"/>
            <w:right w:val="single" w:sz="8" w:space="0" w:color="D9D9E3"/>
          </w:divBdr>
        </w:div>
        <w:div w:id="814764572">
          <w:marLeft w:val="0"/>
          <w:marRight w:val="0"/>
          <w:marTop w:val="0"/>
          <w:marBottom w:val="0"/>
          <w:divBdr>
            <w:top w:val="single" w:sz="8" w:space="0" w:color="D9D9E3"/>
            <w:left w:val="single" w:sz="8" w:space="0" w:color="D9D9E3"/>
            <w:bottom w:val="single" w:sz="8" w:space="0" w:color="D9D9E3"/>
            <w:right w:val="single" w:sz="8" w:space="0" w:color="D9D9E3"/>
          </w:divBdr>
        </w:div>
        <w:div w:id="866215037">
          <w:marLeft w:val="0"/>
          <w:marRight w:val="0"/>
          <w:marTop w:val="0"/>
          <w:marBottom w:val="0"/>
          <w:divBdr>
            <w:top w:val="single" w:sz="8" w:space="0" w:color="D9D9E3"/>
            <w:left w:val="single" w:sz="8" w:space="0" w:color="D9D9E3"/>
            <w:bottom w:val="single" w:sz="8" w:space="0" w:color="D9D9E3"/>
            <w:right w:val="single" w:sz="8" w:space="0" w:color="D9D9E3"/>
          </w:divBdr>
        </w:div>
        <w:div w:id="992679812">
          <w:marLeft w:val="0"/>
          <w:marRight w:val="0"/>
          <w:marTop w:val="0"/>
          <w:marBottom w:val="0"/>
          <w:divBdr>
            <w:top w:val="single" w:sz="8" w:space="0" w:color="D9D9E3"/>
            <w:left w:val="single" w:sz="8" w:space="5" w:color="D9D9E3"/>
            <w:bottom w:val="single" w:sz="8" w:space="0" w:color="D9D9E3"/>
            <w:right w:val="single" w:sz="8" w:space="0" w:color="D9D9E3"/>
          </w:divBdr>
        </w:div>
        <w:div w:id="1006596419">
          <w:marLeft w:val="0"/>
          <w:marRight w:val="0"/>
          <w:marTop w:val="0"/>
          <w:marBottom w:val="0"/>
          <w:divBdr>
            <w:top w:val="single" w:sz="8" w:space="0" w:color="D9D9E3"/>
            <w:left w:val="single" w:sz="8" w:space="0" w:color="D9D9E3"/>
            <w:bottom w:val="single" w:sz="8" w:space="0" w:color="D9D9E3"/>
            <w:right w:val="single" w:sz="8" w:space="0" w:color="D9D9E3"/>
          </w:divBdr>
        </w:div>
        <w:div w:id="1235893292">
          <w:marLeft w:val="0"/>
          <w:marRight w:val="0"/>
          <w:marTop w:val="0"/>
          <w:marBottom w:val="0"/>
          <w:divBdr>
            <w:top w:val="single" w:sz="8" w:space="0" w:color="D9D9E3"/>
            <w:left w:val="single" w:sz="8" w:space="0" w:color="D9D9E3"/>
            <w:bottom w:val="single" w:sz="8" w:space="0" w:color="D9D9E3"/>
            <w:right w:val="single" w:sz="8" w:space="0" w:color="D9D9E3"/>
          </w:divBdr>
        </w:div>
        <w:div w:id="1332223643">
          <w:marLeft w:val="0"/>
          <w:marRight w:val="0"/>
          <w:marTop w:val="0"/>
          <w:marBottom w:val="0"/>
          <w:divBdr>
            <w:top w:val="single" w:sz="8" w:space="0" w:color="D9D9E3"/>
            <w:left w:val="single" w:sz="8" w:space="0" w:color="D9D9E3"/>
            <w:bottom w:val="single" w:sz="8" w:space="0" w:color="D9D9E3"/>
            <w:right w:val="single" w:sz="8" w:space="0" w:color="D9D9E3"/>
          </w:divBdr>
        </w:div>
        <w:div w:id="1938516724">
          <w:marLeft w:val="0"/>
          <w:marRight w:val="0"/>
          <w:marTop w:val="0"/>
          <w:marBottom w:val="0"/>
          <w:divBdr>
            <w:top w:val="single" w:sz="8" w:space="0" w:color="D9D9E3"/>
            <w:left w:val="single" w:sz="8" w:space="5" w:color="D9D9E3"/>
            <w:bottom w:val="single" w:sz="8" w:space="0" w:color="D9D9E3"/>
            <w:right w:val="single" w:sz="8" w:space="0" w:color="D9D9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ivingcompass.org/partners/gender-and-giving/report-social-n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vingcompass.org/partners/gender-and-giving/report-social-nor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9" ma:contentTypeDescription="Create a new document." ma:contentTypeScope="" ma:versionID="24ed0a93022676e2cd5038cdc11544c4">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1776a986b38ef5694779da82215bc410"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7C644-56B9-4F44-B15C-8F0F7316D830}">
  <ds:schemaRefs>
    <ds:schemaRef ds:uri="http://schemas.microsoft.com/sharepoint/v3/contenttype/forms"/>
  </ds:schemaRefs>
</ds:datastoreItem>
</file>

<file path=customXml/itemProps2.xml><?xml version="1.0" encoding="utf-8"?>
<ds:datastoreItem xmlns:ds="http://schemas.openxmlformats.org/officeDocument/2006/customXml" ds:itemID="{472ABC5C-1A47-4BB4-AF76-ACD5208527BA}">
  <ds:schemaRefs>
    <ds:schemaRef ds:uri="http://purl.org/dc/dcmitype/"/>
    <ds:schemaRef ds:uri="bef64c59-a3ef-40a9-ab00-88fd54a78ca7"/>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98515d3-35d1-48c7-98b0-9361f3d04ddf"/>
    <ds:schemaRef ds:uri="http://purl.org/dc/elements/1.1/"/>
  </ds:schemaRefs>
</ds:datastoreItem>
</file>

<file path=customXml/itemProps3.xml><?xml version="1.0" encoding="utf-8"?>
<ds:datastoreItem xmlns:ds="http://schemas.openxmlformats.org/officeDocument/2006/customXml" ds:itemID="{E374172B-B0C2-4EB0-BF63-87321F05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271 - Australians Investing in Women (AIIW) - Philanthropy - Public inquiry</vt:lpstr>
    </vt:vector>
  </TitlesOfParts>
  <Company>Australians Investing in Women (AIIW)</Company>
  <LinksUpToDate>false</LinksUpToDate>
  <CharactersWithSpaces>8802</CharactersWithSpaces>
  <SharedDoc>false</SharedDoc>
  <HLinks>
    <vt:vector size="12" baseType="variant">
      <vt:variant>
        <vt:i4>5701660</vt:i4>
      </vt:variant>
      <vt:variant>
        <vt:i4>3</vt:i4>
      </vt:variant>
      <vt:variant>
        <vt:i4>0</vt:i4>
      </vt:variant>
      <vt:variant>
        <vt:i4>5</vt:i4>
      </vt:variant>
      <vt:variant>
        <vt:lpwstr>https://givingcompass.org/partners/gender-and-giving/report-social-norms</vt:lpwstr>
      </vt:variant>
      <vt:variant>
        <vt:lpwstr/>
      </vt:variant>
      <vt:variant>
        <vt:i4>5701660</vt:i4>
      </vt:variant>
      <vt:variant>
        <vt:i4>0</vt:i4>
      </vt:variant>
      <vt:variant>
        <vt:i4>0</vt:i4>
      </vt:variant>
      <vt:variant>
        <vt:i4>5</vt:i4>
      </vt:variant>
      <vt:variant>
        <vt:lpwstr>https://givingcompass.org/partners/gender-and-giving/report-social-norms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271 - Australians Investing in Women (AIIW) - Philanthropy - Public inquiry</dc:title>
  <dc:subject/>
  <dc:creator>Australians Investing in Women (AIIW)</dc:creator>
  <cp:keywords/>
  <dc:description/>
  <cp:lastModifiedBy>Chris Alston</cp:lastModifiedBy>
  <cp:revision>27</cp:revision>
  <dcterms:created xsi:type="dcterms:W3CDTF">2023-05-06T00:04:00Z</dcterms:created>
  <dcterms:modified xsi:type="dcterms:W3CDTF">2023-06-29T01:38:00Z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