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0B6B" w14:textId="525519D1" w:rsidR="0080720B" w:rsidRPr="00C27804" w:rsidRDefault="0080720B" w:rsidP="006D47C6">
      <w:pPr>
        <w:pStyle w:val="NoSpacing"/>
        <w:spacing w:after="1920"/>
        <w:rPr>
          <w:rFonts w:ascii="DM Sans" w:hAnsi="DM Sans"/>
        </w:rPr>
      </w:pPr>
    </w:p>
    <w:sdt>
      <w:sdtPr>
        <w:rPr>
          <w:rFonts w:ascii="DM Sans" w:hAnsi="DM Sans"/>
        </w:rPr>
        <w:id w:val="2122492527"/>
        <w:docPartObj>
          <w:docPartGallery w:val="Cover Pages"/>
          <w:docPartUnique/>
        </w:docPartObj>
      </w:sdtPr>
      <w:sdtEndPr/>
      <w:sdtContent>
        <w:p w14:paraId="5F46D4E0" w14:textId="1EA68B91" w:rsidR="0089506E" w:rsidRPr="00C27804" w:rsidRDefault="0089506E" w:rsidP="006D47C6">
          <w:pPr>
            <w:pStyle w:val="NoSpacing"/>
            <w:spacing w:after="1920"/>
            <w:rPr>
              <w:rFonts w:ascii="DM Sans" w:hAnsi="DM Sans"/>
            </w:rPr>
          </w:pPr>
          <w:r w:rsidRPr="00C27804">
            <w:rPr>
              <w:rFonts w:ascii="DM Sans" w:hAnsi="DM Sans"/>
              <w:noProof/>
            </w:rPr>
            <w:drawing>
              <wp:anchor distT="0" distB="0" distL="114300" distR="114300" simplePos="0" relativeHeight="251658242" behindDoc="1" locked="1" layoutInCell="1" allowOverlap="1" wp14:anchorId="23EEA2EA" wp14:editId="55369C5B">
                <wp:simplePos x="0" y="0"/>
                <wp:positionH relativeFrom="page">
                  <wp:posOffset>723900</wp:posOffset>
                </wp:positionH>
                <wp:positionV relativeFrom="page">
                  <wp:posOffset>723900</wp:posOffset>
                </wp:positionV>
                <wp:extent cx="2160000" cy="464400"/>
                <wp:effectExtent l="0" t="0" r="0" b="0"/>
                <wp:wrapTight wrapText="bothSides">
                  <wp:wrapPolygon edited="0">
                    <wp:start x="0" y="0"/>
                    <wp:lineTo x="0" y="20389"/>
                    <wp:lineTo x="14480" y="20389"/>
                    <wp:lineTo x="13909" y="14183"/>
                    <wp:lineTo x="21340" y="9751"/>
                    <wp:lineTo x="21340" y="0"/>
                    <wp:lineTo x="0" y="0"/>
                  </wp:wrapPolygon>
                </wp:wrapTight>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ilanthropy Australia"/>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0" cy="464400"/>
                        </a:xfrm>
                        <a:prstGeom prst="rect">
                          <a:avLst/>
                        </a:prstGeom>
                      </pic:spPr>
                    </pic:pic>
                  </a:graphicData>
                </a:graphic>
                <wp14:sizeRelH relativeFrom="margin">
                  <wp14:pctWidth>0</wp14:pctWidth>
                </wp14:sizeRelH>
                <wp14:sizeRelV relativeFrom="margin">
                  <wp14:pctHeight>0</wp14:pctHeight>
                </wp14:sizeRelV>
              </wp:anchor>
            </w:drawing>
          </w:r>
          <w:r w:rsidRPr="00C27804">
            <w:rPr>
              <w:rFonts w:ascii="DM Sans" w:hAnsi="DM Sans"/>
              <w:noProof/>
            </w:rPr>
            <w:drawing>
              <wp:anchor distT="0" distB="0" distL="114300" distR="114300" simplePos="0" relativeHeight="251658241" behindDoc="1" locked="1" layoutInCell="1" allowOverlap="1" wp14:anchorId="55B3BF45" wp14:editId="036AEB66">
                <wp:simplePos x="0" y="0"/>
                <wp:positionH relativeFrom="page">
                  <wp:posOffset>38100</wp:posOffset>
                </wp:positionH>
                <wp:positionV relativeFrom="page">
                  <wp:posOffset>38100</wp:posOffset>
                </wp:positionV>
                <wp:extent cx="7562215" cy="1069530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2215" cy="10695305"/>
                        </a:xfrm>
                        <a:prstGeom prst="rect">
                          <a:avLst/>
                        </a:prstGeom>
                      </pic:spPr>
                    </pic:pic>
                  </a:graphicData>
                </a:graphic>
                <wp14:sizeRelH relativeFrom="margin">
                  <wp14:pctWidth>0</wp14:pctWidth>
                </wp14:sizeRelH>
                <wp14:sizeRelV relativeFrom="margin">
                  <wp14:pctHeight>0</wp14:pctHeight>
                </wp14:sizeRelV>
              </wp:anchor>
            </w:drawing>
          </w:r>
          <w:r w:rsidRPr="00C27804">
            <w:rPr>
              <w:rFonts w:ascii="DM Sans" w:hAnsi="DM Sans"/>
              <w:noProof/>
            </w:rPr>
            <mc:AlternateContent>
              <mc:Choice Requires="wps">
                <w:drawing>
                  <wp:anchor distT="0" distB="0" distL="114300" distR="114300" simplePos="0" relativeHeight="251658243" behindDoc="0" locked="1" layoutInCell="1" allowOverlap="1" wp14:anchorId="61D1C91C" wp14:editId="481D144F">
                    <wp:simplePos x="0" y="0"/>
                    <wp:positionH relativeFrom="page">
                      <wp:align>right</wp:align>
                    </wp:positionH>
                    <wp:positionV relativeFrom="page">
                      <wp:align>bottom</wp:align>
                    </wp:positionV>
                    <wp:extent cx="2700000" cy="1044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00000" cy="1044000"/>
                            </a:xfrm>
                            <a:prstGeom prst="rect">
                              <a:avLst/>
                            </a:prstGeom>
                            <a:noFill/>
                            <a:ln w="6350">
                              <a:noFill/>
                            </a:ln>
                          </wps:spPr>
                          <wps:txbx>
                            <w:txbxContent>
                              <w:p w14:paraId="18439B23" w14:textId="2B03128D" w:rsidR="0089506E" w:rsidRPr="006D47C6" w:rsidRDefault="00454ABA" w:rsidP="00146441">
                                <w:pPr>
                                  <w:pStyle w:val="WebAddressWhite"/>
                                </w:pPr>
                                <w:hyperlink r:id="rId15" w:history="1">
                                  <w:r w:rsidR="0089506E" w:rsidRPr="006D47C6">
                                    <w:t>philanthropy.org.au</w:t>
                                  </w:r>
                                </w:hyperlink>
                              </w:p>
                            </w:txbxContent>
                          </wps:txbx>
                          <wps:bodyPr rot="0" spcFirstLastPara="0" vertOverflow="overflow" horzOverflow="overflow" vert="horz" wrap="square" lIns="36000" tIns="36000" rIns="828000" bIns="66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1C91C" id="_x0000_t202" coordsize="21600,21600" o:spt="202" path="m,l,21600r21600,l21600,xe">
                    <v:stroke joinstyle="miter"/>
                    <v:path gradientshapeok="t" o:connecttype="rect"/>
                  </v:shapetype>
                  <v:shape id="Text Box 13" o:spid="_x0000_s1026" type="#_x0000_t202" style="position:absolute;margin-left:161.4pt;margin-top:0;width:212.6pt;height:82.2pt;z-index:25165824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ltFwIAAC8EAAAOAAAAZHJzL2Uyb0RvYy54bWysU01v2zAMvQ/YfxB0X+ykXRYYcYqsRYYB&#10;QVsgHXpWZCk2IIsapcTOfv0oOR9Ft9OwHBRSpPnx3tP8rm8NOyj0DdiSj0c5Z8pKqBq7K/mPl9Wn&#10;GWc+CFsJA1aV/Kg8v1t8/DDvXKEmUIOpFDIqYn3RuZLXIbgiy7ysVSv8CJyyFNSArQjk4i6rUHRU&#10;vTXZJM+nWQdYOQSpvKfbhyHIF6m+1kqGJ629CsyUnGYL6cR0buOZLeai2KFwdSNPY4h/mKIVjaWm&#10;l1IPIgi2x+aPUm0jETzoMJLQZqB1I1XagbYZ5++22dTCqbQLgePdBSb//8rKx8PGPSML/VfoicAI&#10;SOd84eky7tNrbOM/TcooThAeL7CpPjBJl5MvefxxJik2zm9vo0N1suvnDn34pqBl0Sg5Ei8JLnFY&#10;+zCknlNiNwurxpjEjbGsK/n05nOePrhEqLix1OM6bLRCv+1PG2yhOtJiCAPn3slVQ83XwodngUQy&#10;DUzCDU90aAPUBE4WZzXgr7/dx3zCnqKcdSSakvufe4GKM/PdEis304RDeOtgcmaTWQptkzedDol2&#10;394DKXNMj8TJZNJUGMzZ1AjtKyl8GftSSFhJ3Uu+PZv3YRAzvRCplsuURMpyIqztxslYOgIawX3p&#10;XwW6EwOByHuEs8BE8Y6IIXegYrkPoJvEUoR4wPWEPKky8Xx6QVH2b/2UdX3ni98AAAD//wMAUEsD&#10;BBQABgAIAAAAIQByiHP32wAAAAUBAAAPAAAAZHJzL2Rvd25yZXYueG1sTI/BasMwEETvhf6D2EJv&#10;jRzjhOJaDiHQQykU4iR32drYJtZKWErs/H23vbSXgWWGmbfFZraDuOEYekcKlosEBFLjTE+tguPh&#10;/eUVRIiajB4coYI7BtiUjw+Fzo2baI+3KraCSyjkWkEXo8+lDE2HVoeF80jsnd1odeRzbKUZ9cTl&#10;dpBpkqyl1T3xQqc97jpsLtXVKjh89vXHadrHqtvZr+S+8svT1iv1/DRv30BEnONfGH7wGR1KZqrd&#10;lUwQgwJ+JP4qe1m6SkHUHFpnGciykP/py28AAAD//wMAUEsBAi0AFAAGAAgAAAAhALaDOJL+AAAA&#10;4QEAABMAAAAAAAAAAAAAAAAAAAAAAFtDb250ZW50X1R5cGVzXS54bWxQSwECLQAUAAYACAAAACEA&#10;OP0h/9YAAACUAQAACwAAAAAAAAAAAAAAAAAvAQAAX3JlbHMvLnJlbHNQSwECLQAUAAYACAAAACEA&#10;ROsJbRcCAAAvBAAADgAAAAAAAAAAAAAAAAAuAgAAZHJzL2Uyb0RvYy54bWxQSwECLQAUAAYACAAA&#10;ACEAcohz99sAAAAFAQAADwAAAAAAAAAAAAAAAABxBAAAZHJzL2Rvd25yZXYueG1sUEsFBgAAAAAE&#10;AAQA8wAAAHkFAAAAAA==&#10;" filled="f" stroked="f" strokeweight=".5pt">
                    <v:textbox inset="1mm,1mm,23mm,18.5mm">
                      <w:txbxContent>
                        <w:p w14:paraId="18439B23" w14:textId="2B03128D" w:rsidR="0089506E" w:rsidRPr="006D47C6" w:rsidRDefault="00000000" w:rsidP="00146441">
                          <w:pPr>
                            <w:pStyle w:val="WebAddressWhite"/>
                          </w:pPr>
                          <w:hyperlink r:id="rId16" w:history="1">
                            <w:r w:rsidR="0089506E" w:rsidRPr="006D47C6">
                              <w:t>philanthropy.org.au</w:t>
                            </w:r>
                          </w:hyperlink>
                        </w:p>
                      </w:txbxContent>
                    </v:textbox>
                    <w10:wrap anchorx="page" anchory="page"/>
                    <w10:anchorlock/>
                  </v:shape>
                </w:pict>
              </mc:Fallback>
            </mc:AlternateContent>
          </w:r>
        </w:p>
        <w:p w14:paraId="3B616F11" w14:textId="77777777" w:rsidR="0089506E" w:rsidRPr="00C27804" w:rsidRDefault="0089506E" w:rsidP="006D47C6">
          <w:pPr>
            <w:rPr>
              <w:rFonts w:ascii="DM Sans" w:hAnsi="DM Sans"/>
            </w:rPr>
          </w:pPr>
          <w:r w:rsidRPr="00C27804">
            <w:rPr>
              <w:rFonts w:ascii="DM Sans" w:hAnsi="DM Sans"/>
              <w:noProof/>
            </w:rPr>
            <mc:AlternateContent>
              <mc:Choice Requires="wps">
                <w:drawing>
                  <wp:inline distT="0" distB="0" distL="0" distR="0" wp14:anchorId="1EA0EC13" wp14:editId="1E8D526C">
                    <wp:extent cx="4562475" cy="3276000"/>
                    <wp:effectExtent l="0" t="0" r="9525" b="635"/>
                    <wp:docPr id="14" name="Text Box 14"/>
                    <wp:cNvGraphicFramePr/>
                    <a:graphic xmlns:a="http://schemas.openxmlformats.org/drawingml/2006/main">
                      <a:graphicData uri="http://schemas.microsoft.com/office/word/2010/wordprocessingShape">
                        <wps:wsp>
                          <wps:cNvSpPr txBox="1"/>
                          <wps:spPr>
                            <a:xfrm>
                              <a:off x="0" y="0"/>
                              <a:ext cx="4562475" cy="32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3398C" w14:textId="1E813656" w:rsidR="0089506E" w:rsidRDefault="00C8761C" w:rsidP="00146441">
                                <w:pPr>
                                  <w:pStyle w:val="TitleWhite"/>
                                </w:pPr>
                                <w:r>
                                  <w:t>Philanthropy Australia final submission on draft report - 9 February 2024</w:t>
                                </w:r>
                              </w:p>
                              <w:sdt>
                                <w:sdtPr>
                                  <w:alias w:val="Subtitle"/>
                                  <w:tag w:val=""/>
                                  <w:id w:val="255414968"/>
                                  <w:placeholder>
                                    <w:docPart w:val="7D763003C494460F849F8F90C7AB4507"/>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34E393AA" w14:textId="4E1EF54D" w:rsidR="0089506E" w:rsidRPr="006D47C6" w:rsidRDefault="004A46D7" w:rsidP="00146441">
                                    <w:pPr>
                                      <w:pStyle w:val="SubtitleWhite"/>
                                    </w:pPr>
                                    <w:r>
                                      <w:t xml:space="preserve">Philanthropy australia’s submission </w:t>
                                    </w:r>
                                    <w:r w:rsidR="00FB7BDB">
                                      <w:br/>
                                    </w:r>
                                    <w:r>
                                      <w:t>to the productivity commission</w:t>
                                    </w:r>
                                    <w:r w:rsidR="00572E17">
                                      <w:br/>
                                    </w:r>
                                    <w:r w:rsidR="009416ED">
                                      <w:t>FINAL</w:t>
                                    </w:r>
                                  </w:p>
                                </w:sdtContent>
                              </w:sdt>
                              <w:sdt>
                                <w:sdtPr>
                                  <w:alias w:val="Publish Date"/>
                                  <w:tag w:val=""/>
                                  <w:id w:val="-1333298172"/>
                                  <w:placeholder>
                                    <w:docPart w:val="DDD75EEBFC4149079A1D0E6450E0EC0F"/>
                                  </w:placeholder>
                                  <w:dataBinding w:prefixMappings="xmlns:ns0='http://schemas.microsoft.com/office/2006/coverPageProps' " w:xpath="/ns0:CoverPageProperties[1]/ns0:PublishDate[1]" w:storeItemID="{55AF091B-3C7A-41E3-B477-F2FDAA23CFDA}"/>
                                  <w:date w:fullDate="2023-02-09T00:00:00Z">
                                    <w:dateFormat w:val="d/MM/yyyy"/>
                                    <w:lid w:val="en-AU"/>
                                    <w:storeMappedDataAs w:val="dateTime"/>
                                    <w:calendar w:val="gregorian"/>
                                  </w:date>
                                </w:sdtPr>
                                <w:sdtEndPr/>
                                <w:sdtContent>
                                  <w:p w14:paraId="19A4B880" w14:textId="73D0A308" w:rsidR="0089506E" w:rsidRPr="006D47C6" w:rsidRDefault="009416ED" w:rsidP="00146441">
                                    <w:pPr>
                                      <w:pStyle w:val="DateWhite"/>
                                    </w:pPr>
                                    <w:r>
                                      <w:t>9/02/2023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EA0EC13" id="_x0000_t202" coordsize="21600,21600" o:spt="202" path="m,l,21600r21600,l21600,xe">
                    <v:stroke joinstyle="miter"/>
                    <v:path gradientshapeok="t" o:connecttype="rect"/>
                  </v:shapetype>
                  <v:shape id="Text Box 14" o:spid="_x0000_s1027" type="#_x0000_t202" style="width:359.25pt;height:2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tPYwIAADUFAAAOAAAAZHJzL2Uyb0RvYy54bWysVE1v2zAMvQ/YfxB0X+2mTToEdYqsRYcB&#10;QVs0HXpWZKkxJosapcTOfv0o2U6CbJcOu8i0+Pj1SOr6pq0N2yr0FdiCn5/lnCkroazsW8G/v9x/&#10;+syZD8KWwoBVBd8pz29mHz9cN26qRrAGUypk5MT6aeMKvg7BTbPMy7WqhT8DpywpNWAtAv3iW1ai&#10;aMh7bbJRnk+yBrB0CFJ5T7d3nZLPkn+tlQyPWnsVmCk45RbSielcxTObXYvpGwq3rmSfhviHLGpR&#10;WQq6d3UngmAbrP5wVVcSwYMOZxLqDLSupEo1UDXn+Uk1y7VwKtVC5Hi3p8n/P7fyYbt0T8hC+wVa&#10;amAkpHF+6uky1tNqrOOXMmWkJwp3e9pUG5iky8vxZHR5NeZMku5idDXJ80RsdjB36MNXBTWLQsGR&#10;+pLoEtuFDxSSoAMkRrNwXxmTemMsawo+uRjnyWCvIQtjI1alLvduDqknKeyMihhjn5VmVZkqiBdp&#10;vtStQbYVNBlCSmVDKj75JXREaUriPYY9/pDVe4y7OobIYMPeuK4sYKr+JO3yx5Cy7vBE5FHdUQzt&#10;qqXCjzq7gnJHDUfodsE7eV9RUxbChyeBNPzUY1ro8EiHNkDkQy9xtgb89bf7iKeZJC1nDS1Twf3P&#10;jUDFmflmaVrj5g0CDsJqEOymvgXqwjk9FU4mkQwwmEHUCPUr7fk8RiGVsJJiFTwM4m3oVpreCanm&#10;8wSi/XIiLOzSyeg6NiWO2Ev7KtD1cxhohB9gWDMxPRnHDhstLcw3AXSVZjXy2rHY8027mUa4f0fi&#10;8h//J9ThtZv9BgAA//8DAFBLAwQUAAYACAAAACEAChVIaNsAAAAFAQAADwAAAGRycy9kb3ducmV2&#10;LnhtbEyPS0vFMBCF94L/IYzgzptWqF5r04v42Pm8Kugubca2mExKMu2t/97oRjcDh3M455tqszgr&#10;Zgxx8KQgX2UgkFpvBuoUvDzfHK1BRNZktPWECr4wwqbe36t0afyOnnDecidSCcVSK+iZx1LK2Pbo&#10;dFz5ESl5Hz44zUmGTpqgd6ncWXmcZSfS6YHSQq9HvOyx/dxOToF9i+G2yfh9vuru+PFBTq/X+b1S&#10;hwfLxTkIxoX/wvCDn9ChTkyNn8hEYRWkR/j3Ju80XxcgGgVFXpyBrCv5n77+BgAA//8DAFBLAQIt&#10;ABQABgAIAAAAIQC2gziS/gAAAOEBAAATAAAAAAAAAAAAAAAAAAAAAABbQ29udGVudF9UeXBlc10u&#10;eG1sUEsBAi0AFAAGAAgAAAAhADj9If/WAAAAlAEAAAsAAAAAAAAAAAAAAAAALwEAAF9yZWxzLy5y&#10;ZWxzUEsBAi0AFAAGAAgAAAAhANyju09jAgAANQUAAA4AAAAAAAAAAAAAAAAALgIAAGRycy9lMm9E&#10;b2MueG1sUEsBAi0AFAAGAAgAAAAhAAoVSGjbAAAABQEAAA8AAAAAAAAAAAAAAAAAvQQAAGRycy9k&#10;b3ducmV2LnhtbFBLBQYAAAAABAAEAPMAAADFBQAAAAA=&#10;" filled="f" stroked="f" strokeweight=".5pt">
                    <v:textbox inset="0,0,0,0">
                      <w:txbxContent>
                        <w:p w14:paraId="74A3398C" w14:textId="1E813656" w:rsidR="0089506E" w:rsidRDefault="00C8761C" w:rsidP="00146441">
                          <w:pPr>
                            <w:pStyle w:val="TitleWhite"/>
                          </w:pPr>
                          <w:r>
                            <w:t>Philanthropy Australia final submission on draft report - 9 February 2024</w:t>
                          </w:r>
                        </w:p>
                        <w:sdt>
                          <w:sdtPr>
                            <w:alias w:val="Subtitle"/>
                            <w:tag w:val=""/>
                            <w:id w:val="255414968"/>
                            <w:placeholder>
                              <w:docPart w:val="7D763003C494460F849F8F90C7AB4507"/>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34E393AA" w14:textId="4E1EF54D" w:rsidR="0089506E" w:rsidRPr="006D47C6" w:rsidRDefault="004A46D7" w:rsidP="00146441">
                              <w:pPr>
                                <w:pStyle w:val="SubtitleWhite"/>
                              </w:pPr>
                              <w:r>
                                <w:t xml:space="preserve">Philanthropy australia’s submission </w:t>
                              </w:r>
                              <w:r w:rsidR="00FB7BDB">
                                <w:br/>
                              </w:r>
                              <w:r>
                                <w:t>to the productivity commission</w:t>
                              </w:r>
                              <w:r w:rsidR="00572E17">
                                <w:br/>
                              </w:r>
                              <w:r w:rsidR="009416ED">
                                <w:t>FINAL</w:t>
                              </w:r>
                            </w:p>
                          </w:sdtContent>
                        </w:sdt>
                        <w:sdt>
                          <w:sdtPr>
                            <w:alias w:val="Publish Date"/>
                            <w:tag w:val=""/>
                            <w:id w:val="-1333298172"/>
                            <w:placeholder>
                              <w:docPart w:val="DDD75EEBFC4149079A1D0E6450E0EC0F"/>
                            </w:placeholder>
                            <w:dataBinding w:prefixMappings="xmlns:ns0='http://schemas.microsoft.com/office/2006/coverPageProps' " w:xpath="/ns0:CoverPageProperties[1]/ns0:PublishDate[1]" w:storeItemID="{55AF091B-3C7A-41E3-B477-F2FDAA23CFDA}"/>
                            <w:date w:fullDate="2023-02-09T00:00:00Z">
                              <w:dateFormat w:val="d/MM/yyyy"/>
                              <w:lid w:val="en-AU"/>
                              <w:storeMappedDataAs w:val="dateTime"/>
                              <w:calendar w:val="gregorian"/>
                            </w:date>
                          </w:sdtPr>
                          <w:sdtEndPr/>
                          <w:sdtContent>
                            <w:p w14:paraId="19A4B880" w14:textId="73D0A308" w:rsidR="0089506E" w:rsidRPr="006D47C6" w:rsidRDefault="009416ED" w:rsidP="00146441">
                              <w:pPr>
                                <w:pStyle w:val="DateWhite"/>
                              </w:pPr>
                              <w:r>
                                <w:t>9/02/2023</w:t>
                              </w:r>
                            </w:p>
                          </w:sdtContent>
                        </w:sdt>
                      </w:txbxContent>
                    </v:textbox>
                    <w10:anchorlock/>
                  </v:shape>
                </w:pict>
              </mc:Fallback>
            </mc:AlternateContent>
          </w:r>
        </w:p>
        <w:p w14:paraId="63F7B422" w14:textId="380E20FA" w:rsidR="0057409A" w:rsidRPr="00C27804" w:rsidRDefault="00454ABA">
          <w:pPr>
            <w:rPr>
              <w:rFonts w:ascii="DM Sans" w:hAnsi="DM Sans"/>
            </w:rPr>
            <w:sectPr w:rsidR="0057409A" w:rsidRPr="00C27804" w:rsidSect="00A24A9A">
              <w:footerReference w:type="default" r:id="rId17"/>
              <w:footerReference w:type="first" r:id="rId18"/>
              <w:pgSz w:w="11907" w:h="16839" w:code="9"/>
              <w:pgMar w:top="1134" w:right="1134" w:bottom="1134" w:left="1134" w:header="397" w:footer="397" w:gutter="0"/>
              <w:pgNumType w:start="0"/>
              <w:cols w:space="454"/>
              <w:titlePg/>
              <w:docGrid w:linePitch="360"/>
            </w:sectPr>
          </w:pPr>
        </w:p>
      </w:sdtContent>
    </w:sdt>
    <w:p w14:paraId="500A7E5C" w14:textId="7E4E739F" w:rsidR="0089506E" w:rsidRPr="00C27804" w:rsidRDefault="0089506E" w:rsidP="0089506E">
      <w:pPr>
        <w:pStyle w:val="TOCHeading"/>
        <w:rPr>
          <w:rFonts w:ascii="DM Sans" w:hAnsi="DM Sans"/>
        </w:rPr>
      </w:pPr>
      <w:r w:rsidRPr="00C27804">
        <w:rPr>
          <w:rFonts w:ascii="DM Sans" w:hAnsi="DM Sans"/>
        </w:rPr>
        <w:lastRenderedPageBreak/>
        <w:t>Contents</w:t>
      </w:r>
    </w:p>
    <w:p w14:paraId="2BFCCCD6" w14:textId="6CA3C64D" w:rsidR="00420B89" w:rsidRDefault="002526A5">
      <w:pPr>
        <w:pStyle w:val="TOC1"/>
        <w:rPr>
          <w:rFonts w:eastAsiaTheme="minorEastAsia" w:cstheme="minorBidi"/>
          <w:b w:val="0"/>
          <w:color w:val="auto"/>
          <w:kern w:val="2"/>
          <w:sz w:val="24"/>
          <w:szCs w:val="24"/>
          <w14:ligatures w14:val="standardContextual"/>
        </w:rPr>
      </w:pPr>
      <w:r w:rsidRPr="00C27804">
        <w:rPr>
          <w:rFonts w:ascii="DM Sans" w:hAnsi="DM Sans"/>
        </w:rPr>
        <w:fldChar w:fldCharType="begin"/>
      </w:r>
      <w:r w:rsidRPr="00C27804">
        <w:rPr>
          <w:rFonts w:ascii="DM Sans" w:hAnsi="DM Sans"/>
        </w:rPr>
        <w:instrText xml:space="preserve"> TOC \h \z \t "Heading 1,1,Heading 2,2,Heading 3,3,Section Heading,1,Appendix Heading 1,1,Heading Numbered 1,1,Heading Numbered 2,2,Heading Numbered 3,3,Heading 1 No Numbering,1,Heading 2 No Numbering,2" </w:instrText>
      </w:r>
      <w:r w:rsidRPr="00C27804">
        <w:rPr>
          <w:rFonts w:ascii="DM Sans" w:hAnsi="DM Sans"/>
        </w:rPr>
        <w:fldChar w:fldCharType="separate"/>
      </w:r>
      <w:hyperlink w:anchor="_Toc158381879" w:history="1">
        <w:r w:rsidR="00420B89" w:rsidRPr="008F0ABB">
          <w:rPr>
            <w:rStyle w:val="Hyperlink"/>
            <w:rFonts w:ascii="DM Sans" w:hAnsi="DM Sans"/>
          </w:rPr>
          <w:t>Key Messages &amp; Executive Summary</w:t>
        </w:r>
        <w:r w:rsidR="00420B89">
          <w:rPr>
            <w:webHidden/>
          </w:rPr>
          <w:tab/>
        </w:r>
        <w:r w:rsidR="00420B89">
          <w:rPr>
            <w:webHidden/>
          </w:rPr>
          <w:fldChar w:fldCharType="begin"/>
        </w:r>
        <w:r w:rsidR="00420B89">
          <w:rPr>
            <w:webHidden/>
          </w:rPr>
          <w:instrText xml:space="preserve"> PAGEREF _Toc158381879 \h </w:instrText>
        </w:r>
        <w:r w:rsidR="00420B89">
          <w:rPr>
            <w:webHidden/>
          </w:rPr>
        </w:r>
        <w:r w:rsidR="00420B89">
          <w:rPr>
            <w:webHidden/>
          </w:rPr>
          <w:fldChar w:fldCharType="separate"/>
        </w:r>
        <w:r w:rsidR="00454ABA">
          <w:rPr>
            <w:webHidden/>
          </w:rPr>
          <w:t>i</w:t>
        </w:r>
        <w:r w:rsidR="00420B89">
          <w:rPr>
            <w:webHidden/>
          </w:rPr>
          <w:fldChar w:fldCharType="end"/>
        </w:r>
      </w:hyperlink>
    </w:p>
    <w:p w14:paraId="1C4B0AA8" w14:textId="7EC06E5C" w:rsidR="00420B89" w:rsidRDefault="00454ABA">
      <w:pPr>
        <w:pStyle w:val="TOC3"/>
        <w:tabs>
          <w:tab w:val="left" w:pos="660"/>
        </w:tabs>
        <w:rPr>
          <w:rFonts w:eastAsiaTheme="minorEastAsia" w:cstheme="minorBidi"/>
          <w:color w:val="auto"/>
          <w:kern w:val="2"/>
          <w:sz w:val="24"/>
          <w:szCs w:val="24"/>
          <w14:ligatures w14:val="standardContextual"/>
        </w:rPr>
      </w:pPr>
      <w:hyperlink w:anchor="_Toc158381880" w:history="1">
        <w:r w:rsidR="00420B89" w:rsidRPr="008F0ABB">
          <w:rPr>
            <w:rStyle w:val="Hyperlink"/>
          </w:rPr>
          <w:t>1.</w:t>
        </w:r>
        <w:r w:rsidR="00420B89">
          <w:rPr>
            <w:rFonts w:eastAsiaTheme="minorEastAsia" w:cstheme="minorBidi"/>
            <w:color w:val="auto"/>
            <w:kern w:val="2"/>
            <w:sz w:val="24"/>
            <w:szCs w:val="24"/>
            <w14:ligatures w14:val="standardContextual"/>
          </w:rPr>
          <w:tab/>
        </w:r>
        <w:r w:rsidR="00420B89" w:rsidRPr="008F0ABB">
          <w:rPr>
            <w:rStyle w:val="Hyperlink"/>
          </w:rPr>
          <w:t>A note of appreciation and support for key recommendations</w:t>
        </w:r>
        <w:r w:rsidR="00420B89">
          <w:rPr>
            <w:webHidden/>
          </w:rPr>
          <w:tab/>
        </w:r>
        <w:r w:rsidR="00420B89">
          <w:rPr>
            <w:webHidden/>
          </w:rPr>
          <w:fldChar w:fldCharType="begin"/>
        </w:r>
        <w:r w:rsidR="00420B89">
          <w:rPr>
            <w:webHidden/>
          </w:rPr>
          <w:instrText xml:space="preserve"> PAGEREF _Toc158381880 \h </w:instrText>
        </w:r>
        <w:r w:rsidR="00420B89">
          <w:rPr>
            <w:webHidden/>
          </w:rPr>
        </w:r>
        <w:r w:rsidR="00420B89">
          <w:rPr>
            <w:webHidden/>
          </w:rPr>
          <w:fldChar w:fldCharType="separate"/>
        </w:r>
        <w:r>
          <w:rPr>
            <w:webHidden/>
          </w:rPr>
          <w:t>i</w:t>
        </w:r>
        <w:r w:rsidR="00420B89">
          <w:rPr>
            <w:webHidden/>
          </w:rPr>
          <w:fldChar w:fldCharType="end"/>
        </w:r>
      </w:hyperlink>
    </w:p>
    <w:p w14:paraId="05E48B81" w14:textId="13E5C730" w:rsidR="00420B89" w:rsidRDefault="00454ABA">
      <w:pPr>
        <w:pStyle w:val="TOC3"/>
        <w:tabs>
          <w:tab w:val="left" w:pos="660"/>
        </w:tabs>
        <w:rPr>
          <w:rFonts w:eastAsiaTheme="minorEastAsia" w:cstheme="minorBidi"/>
          <w:color w:val="auto"/>
          <w:kern w:val="2"/>
          <w:sz w:val="24"/>
          <w:szCs w:val="24"/>
          <w14:ligatures w14:val="standardContextual"/>
        </w:rPr>
      </w:pPr>
      <w:hyperlink w:anchor="_Toc158381881" w:history="1">
        <w:r w:rsidR="00420B89" w:rsidRPr="008F0ABB">
          <w:rPr>
            <w:rStyle w:val="Hyperlink"/>
          </w:rPr>
          <w:t>2.</w:t>
        </w:r>
        <w:r w:rsidR="00420B89">
          <w:rPr>
            <w:rFonts w:eastAsiaTheme="minorEastAsia" w:cstheme="minorBidi"/>
            <w:color w:val="auto"/>
            <w:kern w:val="2"/>
            <w:sz w:val="24"/>
            <w:szCs w:val="24"/>
            <w14:ligatures w14:val="standardContextual"/>
          </w:rPr>
          <w:tab/>
        </w:r>
        <w:r w:rsidR="00420B89" w:rsidRPr="008F0ABB">
          <w:rPr>
            <w:rStyle w:val="Hyperlink"/>
          </w:rPr>
          <w:t>A broader, more ambitious framework for the final report.</w:t>
        </w:r>
        <w:r w:rsidR="00420B89">
          <w:rPr>
            <w:webHidden/>
          </w:rPr>
          <w:tab/>
        </w:r>
        <w:r w:rsidR="00420B89">
          <w:rPr>
            <w:webHidden/>
          </w:rPr>
          <w:fldChar w:fldCharType="begin"/>
        </w:r>
        <w:r w:rsidR="00420B89">
          <w:rPr>
            <w:webHidden/>
          </w:rPr>
          <w:instrText xml:space="preserve"> PAGEREF _Toc158381881 \h </w:instrText>
        </w:r>
        <w:r w:rsidR="00420B89">
          <w:rPr>
            <w:webHidden/>
          </w:rPr>
        </w:r>
        <w:r w:rsidR="00420B89">
          <w:rPr>
            <w:webHidden/>
          </w:rPr>
          <w:fldChar w:fldCharType="separate"/>
        </w:r>
        <w:r>
          <w:rPr>
            <w:webHidden/>
          </w:rPr>
          <w:t>i</w:t>
        </w:r>
        <w:r w:rsidR="00420B89">
          <w:rPr>
            <w:webHidden/>
          </w:rPr>
          <w:fldChar w:fldCharType="end"/>
        </w:r>
      </w:hyperlink>
    </w:p>
    <w:p w14:paraId="2BC87761" w14:textId="23AF7D7F" w:rsidR="00420B89" w:rsidRDefault="00454ABA">
      <w:pPr>
        <w:pStyle w:val="TOC3"/>
        <w:tabs>
          <w:tab w:val="left" w:pos="660"/>
        </w:tabs>
        <w:rPr>
          <w:rFonts w:eastAsiaTheme="minorEastAsia" w:cstheme="minorBidi"/>
          <w:color w:val="auto"/>
          <w:kern w:val="2"/>
          <w:sz w:val="24"/>
          <w:szCs w:val="24"/>
          <w14:ligatures w14:val="standardContextual"/>
        </w:rPr>
      </w:pPr>
      <w:hyperlink w:anchor="_Toc158381882" w:history="1">
        <w:r w:rsidR="00420B89" w:rsidRPr="008F0ABB">
          <w:rPr>
            <w:rStyle w:val="Hyperlink"/>
          </w:rPr>
          <w:t>3.</w:t>
        </w:r>
        <w:r w:rsidR="00420B89">
          <w:rPr>
            <w:rFonts w:eastAsiaTheme="minorEastAsia" w:cstheme="minorBidi"/>
            <w:color w:val="auto"/>
            <w:kern w:val="2"/>
            <w:sz w:val="24"/>
            <w:szCs w:val="24"/>
            <w14:ligatures w14:val="standardContextual"/>
          </w:rPr>
          <w:tab/>
        </w:r>
        <w:r w:rsidR="00420B89" w:rsidRPr="008F0ABB">
          <w:rPr>
            <w:rStyle w:val="Hyperlink"/>
          </w:rPr>
          <w:t>PA’s proposed changes to the final report</w:t>
        </w:r>
        <w:r w:rsidR="00420B89">
          <w:rPr>
            <w:webHidden/>
          </w:rPr>
          <w:tab/>
        </w:r>
        <w:r w:rsidR="00420B89">
          <w:rPr>
            <w:webHidden/>
          </w:rPr>
          <w:fldChar w:fldCharType="begin"/>
        </w:r>
        <w:r w:rsidR="00420B89">
          <w:rPr>
            <w:webHidden/>
          </w:rPr>
          <w:instrText xml:space="preserve"> PAGEREF _Toc158381882 \h </w:instrText>
        </w:r>
        <w:r w:rsidR="00420B89">
          <w:rPr>
            <w:webHidden/>
          </w:rPr>
        </w:r>
        <w:r w:rsidR="00420B89">
          <w:rPr>
            <w:webHidden/>
          </w:rPr>
          <w:fldChar w:fldCharType="separate"/>
        </w:r>
        <w:r>
          <w:rPr>
            <w:webHidden/>
          </w:rPr>
          <w:t>iv</w:t>
        </w:r>
        <w:r w:rsidR="00420B89">
          <w:rPr>
            <w:webHidden/>
          </w:rPr>
          <w:fldChar w:fldCharType="end"/>
        </w:r>
      </w:hyperlink>
    </w:p>
    <w:p w14:paraId="4498A1D3" w14:textId="07AF70F6" w:rsidR="00420B89" w:rsidRDefault="00454ABA">
      <w:pPr>
        <w:pStyle w:val="TOC3"/>
        <w:tabs>
          <w:tab w:val="left" w:pos="660"/>
        </w:tabs>
        <w:rPr>
          <w:rFonts w:eastAsiaTheme="minorEastAsia" w:cstheme="minorBidi"/>
          <w:color w:val="auto"/>
          <w:kern w:val="2"/>
          <w:sz w:val="24"/>
          <w:szCs w:val="24"/>
          <w14:ligatures w14:val="standardContextual"/>
        </w:rPr>
      </w:pPr>
      <w:hyperlink w:anchor="_Toc158381883" w:history="1">
        <w:r w:rsidR="00420B89" w:rsidRPr="008F0ABB">
          <w:rPr>
            <w:rStyle w:val="Hyperlink"/>
          </w:rPr>
          <w:t>4.</w:t>
        </w:r>
        <w:r w:rsidR="00420B89">
          <w:rPr>
            <w:rFonts w:eastAsiaTheme="minorEastAsia" w:cstheme="minorBidi"/>
            <w:color w:val="auto"/>
            <w:kern w:val="2"/>
            <w:sz w:val="24"/>
            <w:szCs w:val="24"/>
            <w14:ligatures w14:val="standardContextual"/>
          </w:rPr>
          <w:tab/>
        </w:r>
        <w:r w:rsidR="00420B89" w:rsidRPr="008F0ABB">
          <w:rPr>
            <w:rStyle w:val="Hyperlink"/>
          </w:rPr>
          <w:t>Responses on key issues</w:t>
        </w:r>
        <w:r w:rsidR="00420B89">
          <w:rPr>
            <w:webHidden/>
          </w:rPr>
          <w:tab/>
        </w:r>
        <w:r w:rsidR="00420B89">
          <w:rPr>
            <w:webHidden/>
          </w:rPr>
          <w:fldChar w:fldCharType="begin"/>
        </w:r>
        <w:r w:rsidR="00420B89">
          <w:rPr>
            <w:webHidden/>
          </w:rPr>
          <w:instrText xml:space="preserve"> PAGEREF _Toc158381883 \h </w:instrText>
        </w:r>
        <w:r w:rsidR="00420B89">
          <w:rPr>
            <w:webHidden/>
          </w:rPr>
        </w:r>
        <w:r w:rsidR="00420B89">
          <w:rPr>
            <w:webHidden/>
          </w:rPr>
          <w:fldChar w:fldCharType="separate"/>
        </w:r>
        <w:r>
          <w:rPr>
            <w:webHidden/>
          </w:rPr>
          <w:t>vii</w:t>
        </w:r>
        <w:r w:rsidR="00420B89">
          <w:rPr>
            <w:webHidden/>
          </w:rPr>
          <w:fldChar w:fldCharType="end"/>
        </w:r>
      </w:hyperlink>
    </w:p>
    <w:p w14:paraId="2E84F079" w14:textId="780E5857" w:rsidR="00420B89" w:rsidRDefault="00454ABA">
      <w:pPr>
        <w:pStyle w:val="TOC1"/>
        <w:rPr>
          <w:rFonts w:eastAsiaTheme="minorEastAsia" w:cstheme="minorBidi"/>
          <w:b w:val="0"/>
          <w:color w:val="auto"/>
          <w:kern w:val="2"/>
          <w:sz w:val="24"/>
          <w:szCs w:val="24"/>
          <w14:ligatures w14:val="standardContextual"/>
        </w:rPr>
      </w:pPr>
      <w:hyperlink w:anchor="_Toc158381884" w:history="1">
        <w:r w:rsidR="00420B89" w:rsidRPr="008F0ABB">
          <w:rPr>
            <w:rStyle w:val="Hyperlink"/>
            <w:rFonts w:ascii="DM Sans" w:hAnsi="DM Sans"/>
          </w:rPr>
          <w:t>Detail on PA’s proposed changes to the final report</w:t>
        </w:r>
        <w:r w:rsidR="00420B89">
          <w:rPr>
            <w:webHidden/>
          </w:rPr>
          <w:tab/>
        </w:r>
        <w:r w:rsidR="00420B89">
          <w:rPr>
            <w:webHidden/>
          </w:rPr>
          <w:fldChar w:fldCharType="begin"/>
        </w:r>
        <w:r w:rsidR="00420B89">
          <w:rPr>
            <w:webHidden/>
          </w:rPr>
          <w:instrText xml:space="preserve"> PAGEREF _Toc158381884 \h </w:instrText>
        </w:r>
        <w:r w:rsidR="00420B89">
          <w:rPr>
            <w:webHidden/>
          </w:rPr>
        </w:r>
        <w:r w:rsidR="00420B89">
          <w:rPr>
            <w:webHidden/>
          </w:rPr>
          <w:fldChar w:fldCharType="separate"/>
        </w:r>
        <w:r>
          <w:rPr>
            <w:webHidden/>
          </w:rPr>
          <w:t>1</w:t>
        </w:r>
        <w:r w:rsidR="00420B89">
          <w:rPr>
            <w:webHidden/>
          </w:rPr>
          <w:fldChar w:fldCharType="end"/>
        </w:r>
      </w:hyperlink>
    </w:p>
    <w:p w14:paraId="3D0A1D1C" w14:textId="547FA4F1" w:rsidR="00420B89" w:rsidRDefault="00454ABA">
      <w:pPr>
        <w:pStyle w:val="TOC1"/>
        <w:rPr>
          <w:rFonts w:eastAsiaTheme="minorEastAsia" w:cstheme="minorBidi"/>
          <w:b w:val="0"/>
          <w:color w:val="auto"/>
          <w:kern w:val="2"/>
          <w:sz w:val="24"/>
          <w:szCs w:val="24"/>
          <w14:ligatures w14:val="standardContextual"/>
        </w:rPr>
      </w:pPr>
      <w:hyperlink w:anchor="_Toc158381885" w:history="1">
        <w:r w:rsidR="00420B89" w:rsidRPr="008F0ABB">
          <w:rPr>
            <w:rStyle w:val="Hyperlink"/>
            <w:rFonts w:ascii="DM Sans" w:hAnsi="DM Sans"/>
          </w:rPr>
          <w:t>1.</w:t>
        </w:r>
        <w:r w:rsidR="00420B89">
          <w:rPr>
            <w:rFonts w:eastAsiaTheme="minorEastAsia" w:cstheme="minorBidi"/>
            <w:b w:val="0"/>
            <w:color w:val="auto"/>
            <w:kern w:val="2"/>
            <w:sz w:val="24"/>
            <w:szCs w:val="24"/>
            <w14:ligatures w14:val="standardContextual"/>
          </w:rPr>
          <w:tab/>
        </w:r>
        <w:r w:rsidR="00420B89" w:rsidRPr="008F0ABB">
          <w:rPr>
            <w:rStyle w:val="Hyperlink"/>
            <w:rFonts w:ascii="DM Sans" w:hAnsi="DM Sans"/>
          </w:rPr>
          <w:t>Reforms we’d like to see recommended in the final report</w:t>
        </w:r>
        <w:r w:rsidR="00420B89">
          <w:rPr>
            <w:webHidden/>
          </w:rPr>
          <w:tab/>
        </w:r>
        <w:r w:rsidR="00420B89">
          <w:rPr>
            <w:webHidden/>
          </w:rPr>
          <w:fldChar w:fldCharType="begin"/>
        </w:r>
        <w:r w:rsidR="00420B89">
          <w:rPr>
            <w:webHidden/>
          </w:rPr>
          <w:instrText xml:space="preserve"> PAGEREF _Toc158381885 \h </w:instrText>
        </w:r>
        <w:r w:rsidR="00420B89">
          <w:rPr>
            <w:webHidden/>
          </w:rPr>
        </w:r>
        <w:r w:rsidR="00420B89">
          <w:rPr>
            <w:webHidden/>
          </w:rPr>
          <w:fldChar w:fldCharType="separate"/>
        </w:r>
        <w:r>
          <w:rPr>
            <w:webHidden/>
          </w:rPr>
          <w:t>1</w:t>
        </w:r>
        <w:r w:rsidR="00420B89">
          <w:rPr>
            <w:webHidden/>
          </w:rPr>
          <w:fldChar w:fldCharType="end"/>
        </w:r>
      </w:hyperlink>
    </w:p>
    <w:p w14:paraId="480B9C21" w14:textId="34EEBE0E" w:rsidR="00420B89" w:rsidRDefault="00454ABA">
      <w:pPr>
        <w:pStyle w:val="TOC2"/>
        <w:rPr>
          <w:bCs w:val="0"/>
          <w:color w:val="auto"/>
          <w:kern w:val="2"/>
          <w:sz w:val="24"/>
          <w:szCs w:val="24"/>
          <w14:ligatures w14:val="standardContextual"/>
        </w:rPr>
      </w:pPr>
      <w:hyperlink w:anchor="_Toc158381886" w:history="1">
        <w:r w:rsidR="00420B89" w:rsidRPr="008F0ABB">
          <w:rPr>
            <w:rStyle w:val="Hyperlink"/>
            <w:rFonts w:ascii="DM Sans" w:hAnsi="DM Sans"/>
          </w:rPr>
          <w:t>1.1</w:t>
        </w:r>
        <w:r w:rsidR="00420B89">
          <w:rPr>
            <w:bCs w:val="0"/>
            <w:color w:val="auto"/>
            <w:kern w:val="2"/>
            <w:sz w:val="24"/>
            <w:szCs w:val="24"/>
            <w14:ligatures w14:val="standardContextual"/>
          </w:rPr>
          <w:tab/>
        </w:r>
        <w:r w:rsidR="00420B89" w:rsidRPr="008F0ABB">
          <w:rPr>
            <w:rStyle w:val="Hyperlink"/>
            <w:rFonts w:ascii="DM Sans" w:hAnsi="DM Sans"/>
          </w:rPr>
          <w:t>The choice to bequest through superannuation</w:t>
        </w:r>
        <w:r w:rsidR="00420B89">
          <w:rPr>
            <w:webHidden/>
          </w:rPr>
          <w:tab/>
        </w:r>
        <w:r w:rsidR="00420B89">
          <w:rPr>
            <w:webHidden/>
          </w:rPr>
          <w:fldChar w:fldCharType="begin"/>
        </w:r>
        <w:r w:rsidR="00420B89">
          <w:rPr>
            <w:webHidden/>
          </w:rPr>
          <w:instrText xml:space="preserve"> PAGEREF _Toc158381886 \h </w:instrText>
        </w:r>
        <w:r w:rsidR="00420B89">
          <w:rPr>
            <w:webHidden/>
          </w:rPr>
        </w:r>
        <w:r w:rsidR="00420B89">
          <w:rPr>
            <w:webHidden/>
          </w:rPr>
          <w:fldChar w:fldCharType="separate"/>
        </w:r>
        <w:r>
          <w:rPr>
            <w:webHidden/>
          </w:rPr>
          <w:t>1</w:t>
        </w:r>
        <w:r w:rsidR="00420B89">
          <w:rPr>
            <w:webHidden/>
          </w:rPr>
          <w:fldChar w:fldCharType="end"/>
        </w:r>
      </w:hyperlink>
    </w:p>
    <w:p w14:paraId="0071797B" w14:textId="3B3ACE28" w:rsidR="00420B89" w:rsidRDefault="00454ABA">
      <w:pPr>
        <w:pStyle w:val="TOC2"/>
        <w:rPr>
          <w:bCs w:val="0"/>
          <w:color w:val="auto"/>
          <w:kern w:val="2"/>
          <w:sz w:val="24"/>
          <w:szCs w:val="24"/>
          <w14:ligatures w14:val="standardContextual"/>
        </w:rPr>
      </w:pPr>
      <w:hyperlink w:anchor="_Toc158381887" w:history="1">
        <w:r w:rsidR="00420B89" w:rsidRPr="008F0ABB">
          <w:rPr>
            <w:rStyle w:val="Hyperlink"/>
            <w:rFonts w:ascii="DM Sans" w:hAnsi="DM Sans"/>
          </w:rPr>
          <w:t>1.2</w:t>
        </w:r>
        <w:r w:rsidR="00420B89">
          <w:rPr>
            <w:bCs w:val="0"/>
            <w:color w:val="auto"/>
            <w:kern w:val="2"/>
            <w:sz w:val="24"/>
            <w:szCs w:val="24"/>
            <w14:ligatures w14:val="standardContextual"/>
          </w:rPr>
          <w:tab/>
        </w:r>
        <w:r w:rsidR="00420B89" w:rsidRPr="008F0ABB">
          <w:rPr>
            <w:rStyle w:val="Hyperlink"/>
            <w:rFonts w:ascii="DM Sans" w:hAnsi="DM Sans"/>
          </w:rPr>
          <w:t>A voluntary choice to donate as part of the tax return process</w:t>
        </w:r>
        <w:r w:rsidR="00420B89">
          <w:rPr>
            <w:webHidden/>
          </w:rPr>
          <w:tab/>
        </w:r>
        <w:r w:rsidR="00420B89">
          <w:rPr>
            <w:webHidden/>
          </w:rPr>
          <w:fldChar w:fldCharType="begin"/>
        </w:r>
        <w:r w:rsidR="00420B89">
          <w:rPr>
            <w:webHidden/>
          </w:rPr>
          <w:instrText xml:space="preserve"> PAGEREF _Toc158381887 \h </w:instrText>
        </w:r>
        <w:r w:rsidR="00420B89">
          <w:rPr>
            <w:webHidden/>
          </w:rPr>
        </w:r>
        <w:r w:rsidR="00420B89">
          <w:rPr>
            <w:webHidden/>
          </w:rPr>
          <w:fldChar w:fldCharType="separate"/>
        </w:r>
        <w:r>
          <w:rPr>
            <w:webHidden/>
          </w:rPr>
          <w:t>6</w:t>
        </w:r>
        <w:r w:rsidR="00420B89">
          <w:rPr>
            <w:webHidden/>
          </w:rPr>
          <w:fldChar w:fldCharType="end"/>
        </w:r>
      </w:hyperlink>
    </w:p>
    <w:p w14:paraId="1C4E0ED8" w14:textId="5C0E4F9F" w:rsidR="00420B89" w:rsidRDefault="00454ABA">
      <w:pPr>
        <w:pStyle w:val="TOC2"/>
        <w:rPr>
          <w:bCs w:val="0"/>
          <w:color w:val="auto"/>
          <w:kern w:val="2"/>
          <w:sz w:val="24"/>
          <w:szCs w:val="24"/>
          <w14:ligatures w14:val="standardContextual"/>
        </w:rPr>
      </w:pPr>
      <w:hyperlink w:anchor="_Toc158381888" w:history="1">
        <w:r w:rsidR="00420B89" w:rsidRPr="008F0ABB">
          <w:rPr>
            <w:rStyle w:val="Hyperlink"/>
            <w:rFonts w:ascii="DM Sans" w:hAnsi="DM Sans"/>
          </w:rPr>
          <w:t>1.3</w:t>
        </w:r>
        <w:r w:rsidR="00420B89">
          <w:rPr>
            <w:bCs w:val="0"/>
            <w:color w:val="auto"/>
            <w:kern w:val="2"/>
            <w:sz w:val="24"/>
            <w:szCs w:val="24"/>
            <w14:ligatures w14:val="standardContextual"/>
          </w:rPr>
          <w:tab/>
        </w:r>
        <w:r w:rsidR="00420B89" w:rsidRPr="008F0ABB">
          <w:rPr>
            <w:rStyle w:val="Hyperlink"/>
            <w:rFonts w:ascii="DM Sans" w:hAnsi="DM Sans"/>
          </w:rPr>
          <w:t>A strategy to grow Australia’s Community Foundation network</w:t>
        </w:r>
        <w:r w:rsidR="00420B89">
          <w:rPr>
            <w:webHidden/>
          </w:rPr>
          <w:tab/>
        </w:r>
        <w:r w:rsidR="00420B89">
          <w:rPr>
            <w:webHidden/>
          </w:rPr>
          <w:fldChar w:fldCharType="begin"/>
        </w:r>
        <w:r w:rsidR="00420B89">
          <w:rPr>
            <w:webHidden/>
          </w:rPr>
          <w:instrText xml:space="preserve"> PAGEREF _Toc158381888 \h </w:instrText>
        </w:r>
        <w:r w:rsidR="00420B89">
          <w:rPr>
            <w:webHidden/>
          </w:rPr>
        </w:r>
        <w:r w:rsidR="00420B89">
          <w:rPr>
            <w:webHidden/>
          </w:rPr>
          <w:fldChar w:fldCharType="separate"/>
        </w:r>
        <w:r>
          <w:rPr>
            <w:webHidden/>
          </w:rPr>
          <w:t>9</w:t>
        </w:r>
        <w:r w:rsidR="00420B89">
          <w:rPr>
            <w:webHidden/>
          </w:rPr>
          <w:fldChar w:fldCharType="end"/>
        </w:r>
      </w:hyperlink>
    </w:p>
    <w:p w14:paraId="799C3FEB" w14:textId="312CABB2" w:rsidR="00420B89" w:rsidRDefault="00454ABA">
      <w:pPr>
        <w:pStyle w:val="TOC2"/>
        <w:rPr>
          <w:bCs w:val="0"/>
          <w:color w:val="auto"/>
          <w:kern w:val="2"/>
          <w:sz w:val="24"/>
          <w:szCs w:val="24"/>
          <w14:ligatures w14:val="standardContextual"/>
        </w:rPr>
      </w:pPr>
      <w:hyperlink w:anchor="_Toc158381889" w:history="1">
        <w:r w:rsidR="00420B89" w:rsidRPr="008F0ABB">
          <w:rPr>
            <w:rStyle w:val="Hyperlink"/>
            <w:rFonts w:ascii="DM Sans" w:hAnsi="DM Sans"/>
          </w:rPr>
          <w:t>1.4</w:t>
        </w:r>
        <w:r w:rsidR="00420B89">
          <w:rPr>
            <w:bCs w:val="0"/>
            <w:color w:val="auto"/>
            <w:kern w:val="2"/>
            <w:sz w:val="24"/>
            <w:szCs w:val="24"/>
            <w14:ligatures w14:val="standardContextual"/>
          </w:rPr>
          <w:tab/>
        </w:r>
        <w:r w:rsidR="00420B89" w:rsidRPr="008F0ABB">
          <w:rPr>
            <w:rStyle w:val="Hyperlink"/>
            <w:rFonts w:ascii="DM Sans" w:hAnsi="DM Sans"/>
          </w:rPr>
          <w:t>A National Giving Campaign</w:t>
        </w:r>
        <w:r w:rsidR="00420B89">
          <w:rPr>
            <w:webHidden/>
          </w:rPr>
          <w:tab/>
        </w:r>
        <w:r w:rsidR="00420B89">
          <w:rPr>
            <w:webHidden/>
          </w:rPr>
          <w:fldChar w:fldCharType="begin"/>
        </w:r>
        <w:r w:rsidR="00420B89">
          <w:rPr>
            <w:webHidden/>
          </w:rPr>
          <w:instrText xml:space="preserve"> PAGEREF _Toc158381889 \h </w:instrText>
        </w:r>
        <w:r w:rsidR="00420B89">
          <w:rPr>
            <w:webHidden/>
          </w:rPr>
        </w:r>
        <w:r w:rsidR="00420B89">
          <w:rPr>
            <w:webHidden/>
          </w:rPr>
          <w:fldChar w:fldCharType="separate"/>
        </w:r>
        <w:r>
          <w:rPr>
            <w:webHidden/>
          </w:rPr>
          <w:t>12</w:t>
        </w:r>
        <w:r w:rsidR="00420B89">
          <w:rPr>
            <w:webHidden/>
          </w:rPr>
          <w:fldChar w:fldCharType="end"/>
        </w:r>
      </w:hyperlink>
    </w:p>
    <w:p w14:paraId="7A4D22B3" w14:textId="01E7B515" w:rsidR="00420B89" w:rsidRDefault="00454ABA">
      <w:pPr>
        <w:pStyle w:val="TOC2"/>
        <w:rPr>
          <w:bCs w:val="0"/>
          <w:color w:val="auto"/>
          <w:kern w:val="2"/>
          <w:sz w:val="24"/>
          <w:szCs w:val="24"/>
          <w14:ligatures w14:val="standardContextual"/>
        </w:rPr>
      </w:pPr>
      <w:hyperlink w:anchor="_Toc158381890" w:history="1">
        <w:r w:rsidR="00420B89" w:rsidRPr="008F0ABB">
          <w:rPr>
            <w:rStyle w:val="Hyperlink"/>
            <w:rFonts w:ascii="DM Sans" w:hAnsi="DM Sans"/>
          </w:rPr>
          <w:t>1.5</w:t>
        </w:r>
        <w:r w:rsidR="00420B89">
          <w:rPr>
            <w:bCs w:val="0"/>
            <w:color w:val="auto"/>
            <w:kern w:val="2"/>
            <w:sz w:val="24"/>
            <w:szCs w:val="24"/>
            <w14:ligatures w14:val="standardContextual"/>
          </w:rPr>
          <w:tab/>
        </w:r>
        <w:r w:rsidR="00420B89" w:rsidRPr="008F0ABB">
          <w:rPr>
            <w:rStyle w:val="Hyperlink"/>
            <w:rFonts w:ascii="DM Sans" w:hAnsi="DM Sans"/>
          </w:rPr>
          <w:t>Strengthening the Charity Sector</w:t>
        </w:r>
        <w:r w:rsidR="00420B89">
          <w:rPr>
            <w:webHidden/>
          </w:rPr>
          <w:tab/>
        </w:r>
        <w:r w:rsidR="00420B89">
          <w:rPr>
            <w:webHidden/>
          </w:rPr>
          <w:fldChar w:fldCharType="begin"/>
        </w:r>
        <w:r w:rsidR="00420B89">
          <w:rPr>
            <w:webHidden/>
          </w:rPr>
          <w:instrText xml:space="preserve"> PAGEREF _Toc158381890 \h </w:instrText>
        </w:r>
        <w:r w:rsidR="00420B89">
          <w:rPr>
            <w:webHidden/>
          </w:rPr>
        </w:r>
        <w:r w:rsidR="00420B89">
          <w:rPr>
            <w:webHidden/>
          </w:rPr>
          <w:fldChar w:fldCharType="separate"/>
        </w:r>
        <w:r>
          <w:rPr>
            <w:webHidden/>
          </w:rPr>
          <w:t>14</w:t>
        </w:r>
        <w:r w:rsidR="00420B89">
          <w:rPr>
            <w:webHidden/>
          </w:rPr>
          <w:fldChar w:fldCharType="end"/>
        </w:r>
      </w:hyperlink>
    </w:p>
    <w:p w14:paraId="7C392D14" w14:textId="644932F9" w:rsidR="00420B89" w:rsidRDefault="00454ABA">
      <w:pPr>
        <w:pStyle w:val="TOC2"/>
        <w:rPr>
          <w:bCs w:val="0"/>
          <w:color w:val="auto"/>
          <w:kern w:val="2"/>
          <w:sz w:val="24"/>
          <w:szCs w:val="24"/>
          <w14:ligatures w14:val="standardContextual"/>
        </w:rPr>
      </w:pPr>
      <w:hyperlink w:anchor="_Toc158381891" w:history="1">
        <w:r w:rsidR="00420B89" w:rsidRPr="008F0ABB">
          <w:rPr>
            <w:rStyle w:val="Hyperlink"/>
            <w:rFonts w:ascii="DM Sans" w:hAnsi="DM Sans"/>
          </w:rPr>
          <w:t>1.6</w:t>
        </w:r>
        <w:r w:rsidR="00420B89">
          <w:rPr>
            <w:bCs w:val="0"/>
            <w:color w:val="auto"/>
            <w:kern w:val="2"/>
            <w:sz w:val="24"/>
            <w:szCs w:val="24"/>
            <w14:ligatures w14:val="standardContextual"/>
          </w:rPr>
          <w:tab/>
        </w:r>
        <w:r w:rsidR="00420B89" w:rsidRPr="008F0ABB">
          <w:rPr>
            <w:rStyle w:val="Hyperlink"/>
            <w:rFonts w:ascii="DM Sans" w:hAnsi="DM Sans"/>
          </w:rPr>
          <w:t>A national giving and volunteering data set</w:t>
        </w:r>
        <w:r w:rsidR="00420B89">
          <w:rPr>
            <w:webHidden/>
          </w:rPr>
          <w:tab/>
        </w:r>
        <w:r w:rsidR="00420B89">
          <w:rPr>
            <w:webHidden/>
          </w:rPr>
          <w:fldChar w:fldCharType="begin"/>
        </w:r>
        <w:r w:rsidR="00420B89">
          <w:rPr>
            <w:webHidden/>
          </w:rPr>
          <w:instrText xml:space="preserve"> PAGEREF _Toc158381891 \h </w:instrText>
        </w:r>
        <w:r w:rsidR="00420B89">
          <w:rPr>
            <w:webHidden/>
          </w:rPr>
        </w:r>
        <w:r w:rsidR="00420B89">
          <w:rPr>
            <w:webHidden/>
          </w:rPr>
          <w:fldChar w:fldCharType="separate"/>
        </w:r>
        <w:r>
          <w:rPr>
            <w:webHidden/>
          </w:rPr>
          <w:t>17</w:t>
        </w:r>
        <w:r w:rsidR="00420B89">
          <w:rPr>
            <w:webHidden/>
          </w:rPr>
          <w:fldChar w:fldCharType="end"/>
        </w:r>
      </w:hyperlink>
    </w:p>
    <w:p w14:paraId="38834271" w14:textId="06BE58F4" w:rsidR="00420B89" w:rsidRDefault="00454ABA">
      <w:pPr>
        <w:pStyle w:val="TOC2"/>
        <w:rPr>
          <w:bCs w:val="0"/>
          <w:color w:val="auto"/>
          <w:kern w:val="2"/>
          <w:sz w:val="24"/>
          <w:szCs w:val="24"/>
          <w14:ligatures w14:val="standardContextual"/>
        </w:rPr>
      </w:pPr>
      <w:hyperlink w:anchor="_Toc158381892" w:history="1">
        <w:r w:rsidR="00420B89" w:rsidRPr="008F0ABB">
          <w:rPr>
            <w:rStyle w:val="Hyperlink"/>
            <w:rFonts w:ascii="DM Sans" w:hAnsi="DM Sans"/>
          </w:rPr>
          <w:t>1.7</w:t>
        </w:r>
        <w:r w:rsidR="00420B89">
          <w:rPr>
            <w:bCs w:val="0"/>
            <w:color w:val="auto"/>
            <w:kern w:val="2"/>
            <w:sz w:val="24"/>
            <w:szCs w:val="24"/>
            <w14:ligatures w14:val="standardContextual"/>
          </w:rPr>
          <w:tab/>
        </w:r>
        <w:r w:rsidR="00420B89" w:rsidRPr="008F0ABB">
          <w:rPr>
            <w:rStyle w:val="Hyperlink"/>
            <w:rFonts w:ascii="DM Sans" w:hAnsi="DM Sans"/>
          </w:rPr>
          <w:t>Governance arrangements to drive stronger impact</w:t>
        </w:r>
        <w:r w:rsidR="00420B89">
          <w:rPr>
            <w:webHidden/>
          </w:rPr>
          <w:tab/>
        </w:r>
        <w:r w:rsidR="00420B89">
          <w:rPr>
            <w:webHidden/>
          </w:rPr>
          <w:fldChar w:fldCharType="begin"/>
        </w:r>
        <w:r w:rsidR="00420B89">
          <w:rPr>
            <w:webHidden/>
          </w:rPr>
          <w:instrText xml:space="preserve"> PAGEREF _Toc158381892 \h </w:instrText>
        </w:r>
        <w:r w:rsidR="00420B89">
          <w:rPr>
            <w:webHidden/>
          </w:rPr>
        </w:r>
        <w:r w:rsidR="00420B89">
          <w:rPr>
            <w:webHidden/>
          </w:rPr>
          <w:fldChar w:fldCharType="separate"/>
        </w:r>
        <w:r>
          <w:rPr>
            <w:webHidden/>
          </w:rPr>
          <w:t>19</w:t>
        </w:r>
        <w:r w:rsidR="00420B89">
          <w:rPr>
            <w:webHidden/>
          </w:rPr>
          <w:fldChar w:fldCharType="end"/>
        </w:r>
      </w:hyperlink>
    </w:p>
    <w:p w14:paraId="1E98AB5D" w14:textId="473D93C7" w:rsidR="00420B89" w:rsidRDefault="00454ABA">
      <w:pPr>
        <w:pStyle w:val="TOC1"/>
        <w:rPr>
          <w:rFonts w:eastAsiaTheme="minorEastAsia" w:cstheme="minorBidi"/>
          <w:b w:val="0"/>
          <w:color w:val="auto"/>
          <w:kern w:val="2"/>
          <w:sz w:val="24"/>
          <w:szCs w:val="24"/>
          <w14:ligatures w14:val="standardContextual"/>
        </w:rPr>
      </w:pPr>
      <w:hyperlink w:anchor="_Toc158381893" w:history="1">
        <w:r w:rsidR="00420B89" w:rsidRPr="008F0ABB">
          <w:rPr>
            <w:rStyle w:val="Hyperlink"/>
            <w:rFonts w:ascii="DM Sans" w:hAnsi="DM Sans"/>
          </w:rPr>
          <w:t>2.</w:t>
        </w:r>
        <w:r w:rsidR="00420B89">
          <w:rPr>
            <w:rFonts w:eastAsiaTheme="minorEastAsia" w:cstheme="minorBidi"/>
            <w:b w:val="0"/>
            <w:color w:val="auto"/>
            <w:kern w:val="2"/>
            <w:sz w:val="24"/>
            <w:szCs w:val="24"/>
            <w14:ligatures w14:val="standardContextual"/>
          </w:rPr>
          <w:tab/>
        </w:r>
        <w:r w:rsidR="00420B89" w:rsidRPr="008F0ABB">
          <w:rPr>
            <w:rStyle w:val="Hyperlink"/>
            <w:rFonts w:ascii="DM Sans" w:hAnsi="DM Sans"/>
          </w:rPr>
          <w:t>Responses on Key Issues</w:t>
        </w:r>
        <w:r w:rsidR="00420B89">
          <w:rPr>
            <w:webHidden/>
          </w:rPr>
          <w:tab/>
        </w:r>
        <w:r w:rsidR="00420B89">
          <w:rPr>
            <w:webHidden/>
          </w:rPr>
          <w:fldChar w:fldCharType="begin"/>
        </w:r>
        <w:r w:rsidR="00420B89">
          <w:rPr>
            <w:webHidden/>
          </w:rPr>
          <w:instrText xml:space="preserve"> PAGEREF _Toc158381893 \h </w:instrText>
        </w:r>
        <w:r w:rsidR="00420B89">
          <w:rPr>
            <w:webHidden/>
          </w:rPr>
        </w:r>
        <w:r w:rsidR="00420B89">
          <w:rPr>
            <w:webHidden/>
          </w:rPr>
          <w:fldChar w:fldCharType="separate"/>
        </w:r>
        <w:r>
          <w:rPr>
            <w:webHidden/>
          </w:rPr>
          <w:t>21</w:t>
        </w:r>
        <w:r w:rsidR="00420B89">
          <w:rPr>
            <w:webHidden/>
          </w:rPr>
          <w:fldChar w:fldCharType="end"/>
        </w:r>
      </w:hyperlink>
    </w:p>
    <w:p w14:paraId="61F2DF1B" w14:textId="5F2825F9" w:rsidR="00420B89" w:rsidRDefault="00454ABA">
      <w:pPr>
        <w:pStyle w:val="TOC3"/>
        <w:tabs>
          <w:tab w:val="left" w:pos="660"/>
        </w:tabs>
        <w:rPr>
          <w:rFonts w:eastAsiaTheme="minorEastAsia" w:cstheme="minorBidi"/>
          <w:color w:val="auto"/>
          <w:kern w:val="2"/>
          <w:sz w:val="24"/>
          <w:szCs w:val="24"/>
          <w14:ligatures w14:val="standardContextual"/>
        </w:rPr>
      </w:pPr>
      <w:hyperlink w:anchor="_Toc158381894" w:history="1">
        <w:r w:rsidR="00420B89" w:rsidRPr="008F0ABB">
          <w:rPr>
            <w:rStyle w:val="Hyperlink"/>
            <w:rFonts w:ascii="DM Sans" w:hAnsi="DM Sans"/>
          </w:rPr>
          <w:t>2.1</w:t>
        </w:r>
        <w:r w:rsidR="00420B89">
          <w:rPr>
            <w:rFonts w:eastAsiaTheme="minorEastAsia" w:cstheme="minorBidi"/>
            <w:color w:val="auto"/>
            <w:kern w:val="2"/>
            <w:sz w:val="24"/>
            <w:szCs w:val="24"/>
            <w14:ligatures w14:val="standardContextual"/>
          </w:rPr>
          <w:tab/>
        </w:r>
        <w:r w:rsidR="00420B89" w:rsidRPr="008F0ABB">
          <w:rPr>
            <w:rStyle w:val="Hyperlink"/>
            <w:rFonts w:ascii="DM Sans" w:hAnsi="DM Sans"/>
          </w:rPr>
          <w:t>Changing the minimum distribution rates</w:t>
        </w:r>
        <w:r w:rsidR="00420B89">
          <w:rPr>
            <w:webHidden/>
          </w:rPr>
          <w:tab/>
        </w:r>
        <w:r w:rsidR="00420B89">
          <w:rPr>
            <w:webHidden/>
          </w:rPr>
          <w:fldChar w:fldCharType="begin"/>
        </w:r>
        <w:r w:rsidR="00420B89">
          <w:rPr>
            <w:webHidden/>
          </w:rPr>
          <w:instrText xml:space="preserve"> PAGEREF _Toc158381894 \h </w:instrText>
        </w:r>
        <w:r w:rsidR="00420B89">
          <w:rPr>
            <w:webHidden/>
          </w:rPr>
        </w:r>
        <w:r w:rsidR="00420B89">
          <w:rPr>
            <w:webHidden/>
          </w:rPr>
          <w:fldChar w:fldCharType="separate"/>
        </w:r>
        <w:r>
          <w:rPr>
            <w:webHidden/>
          </w:rPr>
          <w:t>21</w:t>
        </w:r>
        <w:r w:rsidR="00420B89">
          <w:rPr>
            <w:webHidden/>
          </w:rPr>
          <w:fldChar w:fldCharType="end"/>
        </w:r>
      </w:hyperlink>
    </w:p>
    <w:p w14:paraId="3D660439" w14:textId="65A26A6A" w:rsidR="00420B89" w:rsidRDefault="00454ABA">
      <w:pPr>
        <w:pStyle w:val="TOC3"/>
        <w:tabs>
          <w:tab w:val="left" w:pos="660"/>
        </w:tabs>
        <w:rPr>
          <w:rFonts w:eastAsiaTheme="minorEastAsia" w:cstheme="minorBidi"/>
          <w:color w:val="auto"/>
          <w:kern w:val="2"/>
          <w:sz w:val="24"/>
          <w:szCs w:val="24"/>
          <w14:ligatures w14:val="standardContextual"/>
        </w:rPr>
      </w:pPr>
      <w:hyperlink w:anchor="_Toc158381895" w:history="1">
        <w:r w:rsidR="00420B89" w:rsidRPr="008F0ABB">
          <w:rPr>
            <w:rStyle w:val="Hyperlink"/>
            <w:rFonts w:ascii="DM Sans" w:hAnsi="DM Sans"/>
          </w:rPr>
          <w:t>2.2</w:t>
        </w:r>
        <w:r w:rsidR="00420B89">
          <w:rPr>
            <w:rFonts w:eastAsiaTheme="minorEastAsia" w:cstheme="minorBidi"/>
            <w:color w:val="auto"/>
            <w:kern w:val="2"/>
            <w:sz w:val="24"/>
            <w:szCs w:val="24"/>
            <w14:ligatures w14:val="standardContextual"/>
          </w:rPr>
          <w:tab/>
        </w:r>
        <w:r w:rsidR="00420B89" w:rsidRPr="008F0ABB">
          <w:rPr>
            <w:rStyle w:val="Hyperlink"/>
            <w:rFonts w:ascii="DM Sans" w:hAnsi="DM Sans"/>
          </w:rPr>
          <w:t>Removing DGR status for school building funds</w:t>
        </w:r>
        <w:r w:rsidR="00420B89">
          <w:rPr>
            <w:webHidden/>
          </w:rPr>
          <w:tab/>
        </w:r>
        <w:r w:rsidR="00420B89">
          <w:rPr>
            <w:webHidden/>
          </w:rPr>
          <w:fldChar w:fldCharType="begin"/>
        </w:r>
        <w:r w:rsidR="00420B89">
          <w:rPr>
            <w:webHidden/>
          </w:rPr>
          <w:instrText xml:space="preserve"> PAGEREF _Toc158381895 \h </w:instrText>
        </w:r>
        <w:r w:rsidR="00420B89">
          <w:rPr>
            <w:webHidden/>
          </w:rPr>
        </w:r>
        <w:r w:rsidR="00420B89">
          <w:rPr>
            <w:webHidden/>
          </w:rPr>
          <w:fldChar w:fldCharType="separate"/>
        </w:r>
        <w:r>
          <w:rPr>
            <w:webHidden/>
          </w:rPr>
          <w:t>22</w:t>
        </w:r>
        <w:r w:rsidR="00420B89">
          <w:rPr>
            <w:webHidden/>
          </w:rPr>
          <w:fldChar w:fldCharType="end"/>
        </w:r>
      </w:hyperlink>
    </w:p>
    <w:p w14:paraId="0DBCCA63" w14:textId="061F4CA4" w:rsidR="00420B89" w:rsidRDefault="00454ABA">
      <w:pPr>
        <w:pStyle w:val="TOC1"/>
        <w:rPr>
          <w:rFonts w:eastAsiaTheme="minorEastAsia" w:cstheme="minorBidi"/>
          <w:b w:val="0"/>
          <w:color w:val="auto"/>
          <w:kern w:val="2"/>
          <w:sz w:val="24"/>
          <w:szCs w:val="24"/>
          <w14:ligatures w14:val="standardContextual"/>
        </w:rPr>
      </w:pPr>
      <w:hyperlink w:anchor="_Toc158381896" w:history="1">
        <w:r w:rsidR="00420B89" w:rsidRPr="008F0ABB">
          <w:rPr>
            <w:rStyle w:val="Hyperlink"/>
          </w:rPr>
          <w:t>ATTACHMENT ONE: FURTHER DEVELOPING THE CASE FOR REFORM</w:t>
        </w:r>
        <w:r w:rsidR="00420B89">
          <w:rPr>
            <w:webHidden/>
          </w:rPr>
          <w:tab/>
        </w:r>
        <w:r w:rsidR="00420B89">
          <w:rPr>
            <w:webHidden/>
          </w:rPr>
          <w:fldChar w:fldCharType="begin"/>
        </w:r>
        <w:r w:rsidR="00420B89">
          <w:rPr>
            <w:webHidden/>
          </w:rPr>
          <w:instrText xml:space="preserve"> PAGEREF _Toc158381896 \h </w:instrText>
        </w:r>
        <w:r w:rsidR="00420B89">
          <w:rPr>
            <w:webHidden/>
          </w:rPr>
        </w:r>
        <w:r w:rsidR="00420B89">
          <w:rPr>
            <w:webHidden/>
          </w:rPr>
          <w:fldChar w:fldCharType="separate"/>
        </w:r>
        <w:r>
          <w:rPr>
            <w:webHidden/>
          </w:rPr>
          <w:t>23</w:t>
        </w:r>
        <w:r w:rsidR="00420B89">
          <w:rPr>
            <w:webHidden/>
          </w:rPr>
          <w:fldChar w:fldCharType="end"/>
        </w:r>
      </w:hyperlink>
    </w:p>
    <w:p w14:paraId="1EACFCFA" w14:textId="1F64CFA8" w:rsidR="00420B89" w:rsidRDefault="00454ABA">
      <w:pPr>
        <w:pStyle w:val="TOC3"/>
        <w:rPr>
          <w:rFonts w:eastAsiaTheme="minorEastAsia" w:cstheme="minorBidi"/>
          <w:color w:val="auto"/>
          <w:kern w:val="2"/>
          <w:sz w:val="24"/>
          <w:szCs w:val="24"/>
          <w14:ligatures w14:val="standardContextual"/>
        </w:rPr>
      </w:pPr>
      <w:hyperlink w:anchor="_Toc158381897" w:history="1">
        <w:r w:rsidR="00420B89" w:rsidRPr="008F0ABB">
          <w:rPr>
            <w:rStyle w:val="Hyperlink"/>
          </w:rPr>
          <w:t>Example one: A voluntary choice to donate as part of the tax return process.</w:t>
        </w:r>
        <w:r w:rsidR="00420B89">
          <w:rPr>
            <w:webHidden/>
          </w:rPr>
          <w:tab/>
        </w:r>
        <w:r w:rsidR="00420B89">
          <w:rPr>
            <w:webHidden/>
          </w:rPr>
          <w:fldChar w:fldCharType="begin"/>
        </w:r>
        <w:r w:rsidR="00420B89">
          <w:rPr>
            <w:webHidden/>
          </w:rPr>
          <w:instrText xml:space="preserve"> PAGEREF _Toc158381897 \h </w:instrText>
        </w:r>
        <w:r w:rsidR="00420B89">
          <w:rPr>
            <w:webHidden/>
          </w:rPr>
        </w:r>
        <w:r w:rsidR="00420B89">
          <w:rPr>
            <w:webHidden/>
          </w:rPr>
          <w:fldChar w:fldCharType="separate"/>
        </w:r>
        <w:r>
          <w:rPr>
            <w:webHidden/>
          </w:rPr>
          <w:t>23</w:t>
        </w:r>
        <w:r w:rsidR="00420B89">
          <w:rPr>
            <w:webHidden/>
          </w:rPr>
          <w:fldChar w:fldCharType="end"/>
        </w:r>
      </w:hyperlink>
    </w:p>
    <w:p w14:paraId="6D71C175" w14:textId="1AD73701" w:rsidR="00420B89" w:rsidRDefault="00454ABA">
      <w:pPr>
        <w:pStyle w:val="TOC3"/>
        <w:rPr>
          <w:rFonts w:eastAsiaTheme="minorEastAsia" w:cstheme="minorBidi"/>
          <w:color w:val="auto"/>
          <w:kern w:val="2"/>
          <w:sz w:val="24"/>
          <w:szCs w:val="24"/>
          <w14:ligatures w14:val="standardContextual"/>
        </w:rPr>
      </w:pPr>
      <w:hyperlink w:anchor="_Toc158381898" w:history="1">
        <w:r w:rsidR="00420B89" w:rsidRPr="008F0ABB">
          <w:rPr>
            <w:rStyle w:val="Hyperlink"/>
          </w:rPr>
          <w:t>Example two: Allowing the choice to bequest through super</w:t>
        </w:r>
        <w:r w:rsidR="00420B89">
          <w:rPr>
            <w:webHidden/>
          </w:rPr>
          <w:tab/>
        </w:r>
        <w:r w:rsidR="00420B89">
          <w:rPr>
            <w:webHidden/>
          </w:rPr>
          <w:fldChar w:fldCharType="begin"/>
        </w:r>
        <w:r w:rsidR="00420B89">
          <w:rPr>
            <w:webHidden/>
          </w:rPr>
          <w:instrText xml:space="preserve"> PAGEREF _Toc158381898 \h </w:instrText>
        </w:r>
        <w:r w:rsidR="00420B89">
          <w:rPr>
            <w:webHidden/>
          </w:rPr>
        </w:r>
        <w:r w:rsidR="00420B89">
          <w:rPr>
            <w:webHidden/>
          </w:rPr>
          <w:fldChar w:fldCharType="separate"/>
        </w:r>
        <w:r>
          <w:rPr>
            <w:webHidden/>
          </w:rPr>
          <w:t>25</w:t>
        </w:r>
        <w:r w:rsidR="00420B89">
          <w:rPr>
            <w:webHidden/>
          </w:rPr>
          <w:fldChar w:fldCharType="end"/>
        </w:r>
      </w:hyperlink>
    </w:p>
    <w:p w14:paraId="4017A003" w14:textId="59EA6803" w:rsidR="00420B89" w:rsidRDefault="00454ABA">
      <w:pPr>
        <w:pStyle w:val="TOC3"/>
        <w:rPr>
          <w:rFonts w:eastAsiaTheme="minorEastAsia" w:cstheme="minorBidi"/>
          <w:color w:val="auto"/>
          <w:kern w:val="2"/>
          <w:sz w:val="24"/>
          <w:szCs w:val="24"/>
          <w14:ligatures w14:val="standardContextual"/>
        </w:rPr>
      </w:pPr>
      <w:hyperlink w:anchor="_Toc158381899" w:history="1">
        <w:r w:rsidR="00420B89" w:rsidRPr="008F0ABB">
          <w:rPr>
            <w:rStyle w:val="Hyperlink"/>
          </w:rPr>
          <w:t>Example three: Removing the 17-cent tax penalty on super bequests.</w:t>
        </w:r>
        <w:r w:rsidR="00420B89">
          <w:rPr>
            <w:webHidden/>
          </w:rPr>
          <w:tab/>
        </w:r>
        <w:r w:rsidR="00420B89">
          <w:rPr>
            <w:webHidden/>
          </w:rPr>
          <w:fldChar w:fldCharType="begin"/>
        </w:r>
        <w:r w:rsidR="00420B89">
          <w:rPr>
            <w:webHidden/>
          </w:rPr>
          <w:instrText xml:space="preserve"> PAGEREF _Toc158381899 \h </w:instrText>
        </w:r>
        <w:r w:rsidR="00420B89">
          <w:rPr>
            <w:webHidden/>
          </w:rPr>
        </w:r>
        <w:r w:rsidR="00420B89">
          <w:rPr>
            <w:webHidden/>
          </w:rPr>
          <w:fldChar w:fldCharType="separate"/>
        </w:r>
        <w:r>
          <w:rPr>
            <w:webHidden/>
          </w:rPr>
          <w:t>26</w:t>
        </w:r>
        <w:r w:rsidR="00420B89">
          <w:rPr>
            <w:webHidden/>
          </w:rPr>
          <w:fldChar w:fldCharType="end"/>
        </w:r>
      </w:hyperlink>
    </w:p>
    <w:p w14:paraId="22B69D84" w14:textId="65626C54" w:rsidR="002526A5" w:rsidRPr="00C27804" w:rsidRDefault="002526A5" w:rsidP="002526A5">
      <w:pPr>
        <w:rPr>
          <w:rFonts w:ascii="DM Sans" w:hAnsi="DM Sans"/>
        </w:rPr>
      </w:pPr>
      <w:r w:rsidRPr="00C27804">
        <w:rPr>
          <w:rFonts w:ascii="DM Sans" w:hAnsi="DM Sans"/>
          <w:b/>
          <w:noProof/>
          <w:color w:val="0F204B" w:themeColor="text2"/>
          <w:szCs w:val="18"/>
        </w:rPr>
        <w:fldChar w:fldCharType="end"/>
      </w:r>
    </w:p>
    <w:p w14:paraId="3236338A" w14:textId="77777777" w:rsidR="0057409A" w:rsidRPr="00C27804" w:rsidRDefault="0057409A" w:rsidP="002526A5">
      <w:pPr>
        <w:rPr>
          <w:rFonts w:ascii="DM Sans" w:hAnsi="DM Sans"/>
        </w:rPr>
        <w:sectPr w:rsidR="0057409A" w:rsidRPr="00C27804" w:rsidSect="00A24A9A">
          <w:pgSz w:w="11907" w:h="16839" w:code="9"/>
          <w:pgMar w:top="1134" w:right="1134" w:bottom="1134" w:left="1134" w:header="397" w:footer="397" w:gutter="0"/>
          <w:pgNumType w:start="1"/>
          <w:cols w:space="454"/>
          <w:docGrid w:linePitch="360"/>
        </w:sectPr>
      </w:pPr>
    </w:p>
    <w:p w14:paraId="10349159" w14:textId="1DEEBB67" w:rsidR="00A31B57" w:rsidRPr="00C27804" w:rsidRDefault="00DC2EB5" w:rsidP="009206C4">
      <w:pPr>
        <w:pStyle w:val="Heading1NoNumbering"/>
        <w:rPr>
          <w:rFonts w:ascii="DM Sans" w:hAnsi="DM Sans"/>
        </w:rPr>
      </w:pPr>
      <w:bookmarkStart w:id="0" w:name="_Toc128563926"/>
      <w:bookmarkStart w:id="1" w:name="_Toc133162684"/>
      <w:bookmarkStart w:id="2" w:name="_Toc158381879"/>
      <w:r>
        <w:rPr>
          <w:rFonts w:ascii="DM Sans" w:hAnsi="DM Sans"/>
        </w:rPr>
        <w:lastRenderedPageBreak/>
        <w:t xml:space="preserve">Key Messages &amp; </w:t>
      </w:r>
      <w:r w:rsidR="000739C2" w:rsidRPr="00C27804">
        <w:rPr>
          <w:rFonts w:ascii="DM Sans" w:hAnsi="DM Sans"/>
        </w:rPr>
        <w:t>Executive Summary</w:t>
      </w:r>
      <w:bookmarkEnd w:id="0"/>
      <w:bookmarkEnd w:id="1"/>
      <w:bookmarkEnd w:id="2"/>
    </w:p>
    <w:p w14:paraId="300F030E" w14:textId="0A21464B" w:rsidR="003E07CC" w:rsidRPr="00C27804" w:rsidRDefault="003E07CC" w:rsidP="00A547B7">
      <w:pPr>
        <w:pStyle w:val="Heading3"/>
        <w:numPr>
          <w:ilvl w:val="0"/>
          <w:numId w:val="89"/>
        </w:numPr>
        <w:ind w:left="357" w:hanging="357"/>
      </w:pPr>
      <w:bookmarkStart w:id="3" w:name="_Toc158381880"/>
      <w:r w:rsidRPr="00C27804">
        <w:t>A note of appreciation</w:t>
      </w:r>
      <w:r>
        <w:t xml:space="preserve"> and support</w:t>
      </w:r>
      <w:r w:rsidR="002D64F0">
        <w:t xml:space="preserve"> for key recommendations</w:t>
      </w:r>
      <w:bookmarkEnd w:id="3"/>
    </w:p>
    <w:p w14:paraId="75006202" w14:textId="5C383E39" w:rsidR="00B073D0" w:rsidRDefault="003E07CC" w:rsidP="00812E03">
      <w:pPr>
        <w:rPr>
          <w:rFonts w:ascii="DM Sans" w:hAnsi="DM Sans" w:cs="Calibri"/>
          <w:lang w:eastAsia="en-GB"/>
        </w:rPr>
      </w:pPr>
      <w:r w:rsidRPr="00C27804">
        <w:rPr>
          <w:rFonts w:ascii="DM Sans" w:hAnsi="DM Sans" w:cs="Calibri"/>
          <w:lang w:eastAsia="en-GB"/>
        </w:rPr>
        <w:t xml:space="preserve">Philanthropy Australia (PA) would like to </w:t>
      </w:r>
      <w:r w:rsidR="001A50FB">
        <w:rPr>
          <w:rFonts w:ascii="DM Sans" w:hAnsi="DM Sans" w:cs="Calibri"/>
          <w:lang w:eastAsia="en-GB"/>
        </w:rPr>
        <w:t xml:space="preserve">thank the </w:t>
      </w:r>
      <w:r w:rsidR="001A2EC1">
        <w:rPr>
          <w:rFonts w:ascii="DM Sans" w:hAnsi="DM Sans" w:cs="Calibri"/>
          <w:lang w:eastAsia="en-GB"/>
        </w:rPr>
        <w:t>PC for the</w:t>
      </w:r>
      <w:r w:rsidR="00E3313D">
        <w:rPr>
          <w:rFonts w:ascii="DM Sans" w:hAnsi="DM Sans" w:cs="Calibri"/>
          <w:lang w:eastAsia="en-GB"/>
        </w:rPr>
        <w:t xml:space="preserve"> open and consultative approach</w:t>
      </w:r>
      <w:r w:rsidR="001A2EC1">
        <w:rPr>
          <w:rFonts w:ascii="DM Sans" w:hAnsi="DM Sans" w:cs="Calibri"/>
          <w:lang w:eastAsia="en-GB"/>
        </w:rPr>
        <w:t xml:space="preserve"> they’ve taken to developing their draft report</w:t>
      </w:r>
      <w:r w:rsidR="00E3313D">
        <w:rPr>
          <w:rFonts w:ascii="DM Sans" w:hAnsi="DM Sans" w:cs="Calibri"/>
          <w:lang w:eastAsia="en-GB"/>
        </w:rPr>
        <w:t xml:space="preserve">.  </w:t>
      </w:r>
      <w:r w:rsidR="001A2EC1">
        <w:rPr>
          <w:rFonts w:ascii="DM Sans" w:hAnsi="DM Sans" w:cs="Calibri"/>
          <w:lang w:eastAsia="en-GB"/>
        </w:rPr>
        <w:t xml:space="preserve">PC </w:t>
      </w:r>
      <w:r w:rsidR="001A2EC1" w:rsidRPr="00C27804">
        <w:rPr>
          <w:rFonts w:ascii="DM Sans" w:hAnsi="DM Sans" w:cs="Calibri"/>
          <w:lang w:eastAsia="en-GB"/>
        </w:rPr>
        <w:t xml:space="preserve">Commissioners and </w:t>
      </w:r>
      <w:r w:rsidR="00556356">
        <w:rPr>
          <w:rFonts w:ascii="DM Sans" w:hAnsi="DM Sans" w:cs="Calibri"/>
          <w:lang w:eastAsia="en-GB"/>
        </w:rPr>
        <w:t xml:space="preserve">the </w:t>
      </w:r>
      <w:r w:rsidR="001A2EC1" w:rsidRPr="00C27804">
        <w:rPr>
          <w:rFonts w:ascii="DM Sans" w:hAnsi="DM Sans" w:cs="Calibri"/>
          <w:lang w:eastAsia="en-GB"/>
        </w:rPr>
        <w:t>staff team</w:t>
      </w:r>
      <w:r w:rsidR="001A2EC1">
        <w:rPr>
          <w:rFonts w:ascii="DM Sans" w:hAnsi="DM Sans" w:cs="Calibri"/>
          <w:lang w:eastAsia="en-GB"/>
        </w:rPr>
        <w:t xml:space="preserve"> </w:t>
      </w:r>
      <w:r w:rsidRPr="00C27804">
        <w:rPr>
          <w:rFonts w:ascii="DM Sans" w:hAnsi="DM Sans" w:cs="Calibri"/>
          <w:lang w:eastAsia="en-GB"/>
        </w:rPr>
        <w:t xml:space="preserve">have </w:t>
      </w:r>
      <w:r w:rsidR="004C7962">
        <w:rPr>
          <w:rFonts w:ascii="DM Sans" w:hAnsi="DM Sans" w:cs="Calibri"/>
          <w:lang w:eastAsia="en-GB"/>
        </w:rPr>
        <w:t xml:space="preserve">engaged us </w:t>
      </w:r>
      <w:r w:rsidR="00E3313D">
        <w:rPr>
          <w:rFonts w:ascii="DM Sans" w:hAnsi="DM Sans" w:cs="Calibri"/>
          <w:lang w:eastAsia="en-GB"/>
        </w:rPr>
        <w:t xml:space="preserve">repeatedly </w:t>
      </w:r>
      <w:r w:rsidR="00577E62">
        <w:rPr>
          <w:rFonts w:ascii="DM Sans" w:hAnsi="DM Sans" w:cs="Calibri"/>
          <w:lang w:eastAsia="en-GB"/>
        </w:rPr>
        <w:t xml:space="preserve">to </w:t>
      </w:r>
      <w:r w:rsidRPr="00C27804">
        <w:rPr>
          <w:rFonts w:ascii="DM Sans" w:hAnsi="DM Sans" w:cs="Calibri"/>
          <w:lang w:eastAsia="en-GB"/>
        </w:rPr>
        <w:t>discuss policy reforms, and engaged widely across a range of sectors</w:t>
      </w:r>
      <w:r w:rsidR="00577E62">
        <w:rPr>
          <w:rFonts w:ascii="DM Sans" w:hAnsi="DM Sans" w:cs="Calibri"/>
          <w:lang w:eastAsia="en-GB"/>
        </w:rPr>
        <w:t>.</w:t>
      </w:r>
    </w:p>
    <w:p w14:paraId="31630A9F" w14:textId="7820D2ED" w:rsidR="003E07CC" w:rsidRPr="00577E62" w:rsidRDefault="00B073D0" w:rsidP="00812E03">
      <w:pPr>
        <w:rPr>
          <w:rFonts w:ascii="DM Sans" w:hAnsi="DM Sans" w:cs="Calibri"/>
          <w:lang w:eastAsia="en-GB"/>
        </w:rPr>
      </w:pPr>
      <w:r w:rsidRPr="00577E62">
        <w:rPr>
          <w:rFonts w:ascii="DM Sans" w:hAnsi="DM Sans" w:cs="Calibri"/>
          <w:lang w:eastAsia="en-GB"/>
        </w:rPr>
        <w:t xml:space="preserve">PA supports </w:t>
      </w:r>
      <w:proofErr w:type="gramStart"/>
      <w:r w:rsidR="00477444" w:rsidRPr="00577E62">
        <w:rPr>
          <w:rFonts w:ascii="DM Sans" w:hAnsi="DM Sans" w:cs="Calibri"/>
          <w:lang w:eastAsia="en-GB"/>
        </w:rPr>
        <w:t>a number of</w:t>
      </w:r>
      <w:proofErr w:type="gramEnd"/>
      <w:r w:rsidR="00477444" w:rsidRPr="00577E62">
        <w:rPr>
          <w:rFonts w:ascii="DM Sans" w:hAnsi="DM Sans" w:cs="Calibri"/>
          <w:lang w:eastAsia="en-GB"/>
        </w:rPr>
        <w:t xml:space="preserve"> the recommendations.</w:t>
      </w:r>
    </w:p>
    <w:p w14:paraId="7DC97E07" w14:textId="77777777" w:rsidR="003E07CC" w:rsidRPr="00C27804" w:rsidRDefault="003E07CC" w:rsidP="00812E03">
      <w:pPr>
        <w:pStyle w:val="ListParagraph"/>
        <w:numPr>
          <w:ilvl w:val="0"/>
          <w:numId w:val="18"/>
        </w:numPr>
        <w:spacing w:after="120"/>
        <w:rPr>
          <w:rFonts w:ascii="DM Sans" w:hAnsi="DM Sans" w:cs="Calibri"/>
          <w:sz w:val="20"/>
          <w:lang w:eastAsia="en-GB"/>
        </w:rPr>
      </w:pPr>
      <w:r w:rsidRPr="00C27804">
        <w:rPr>
          <w:rFonts w:ascii="DM Sans" w:hAnsi="DM Sans" w:cs="Calibri"/>
          <w:sz w:val="20"/>
          <w:lang w:eastAsia="en-GB"/>
        </w:rPr>
        <w:t>Establishment of an independent philanthropic foundation controlled by – and for the benefit of – Aboriginal and Torres Strait Islander communities.  </w:t>
      </w:r>
    </w:p>
    <w:p w14:paraId="35F4D73E" w14:textId="77777777" w:rsidR="003E07CC" w:rsidRPr="00C27804" w:rsidRDefault="003E07CC" w:rsidP="00812E03">
      <w:pPr>
        <w:pStyle w:val="ListParagraph"/>
        <w:numPr>
          <w:ilvl w:val="0"/>
          <w:numId w:val="18"/>
        </w:numPr>
        <w:spacing w:after="120"/>
        <w:rPr>
          <w:rFonts w:ascii="DM Sans" w:hAnsi="DM Sans" w:cs="Calibri"/>
          <w:sz w:val="20"/>
          <w:lang w:eastAsia="en-GB"/>
        </w:rPr>
      </w:pPr>
      <w:r w:rsidRPr="00C27804">
        <w:rPr>
          <w:rFonts w:ascii="DM Sans" w:eastAsia="Times New Roman" w:hAnsi="DM Sans" w:cs="Calibri"/>
          <w:sz w:val="20"/>
          <w:lang w:eastAsia="en-GB"/>
        </w:rPr>
        <w:t xml:space="preserve">More transparent reporting of corporate donations, which will increase corporate donations by helping to ensure corporations give and volunteer in ways consistent with the expectations of their staff, </w:t>
      </w:r>
      <w:proofErr w:type="gramStart"/>
      <w:r w:rsidRPr="00C27804">
        <w:rPr>
          <w:rFonts w:ascii="DM Sans" w:eastAsia="Times New Roman" w:hAnsi="DM Sans" w:cs="Calibri"/>
          <w:sz w:val="20"/>
          <w:lang w:eastAsia="en-GB"/>
        </w:rPr>
        <w:t>customers</w:t>
      </w:r>
      <w:proofErr w:type="gramEnd"/>
      <w:r w:rsidRPr="00C27804">
        <w:rPr>
          <w:rFonts w:ascii="DM Sans" w:eastAsia="Times New Roman" w:hAnsi="DM Sans" w:cs="Calibri"/>
          <w:sz w:val="20"/>
          <w:lang w:eastAsia="en-GB"/>
        </w:rPr>
        <w:t xml:space="preserve"> and the broader public.</w:t>
      </w:r>
    </w:p>
    <w:p w14:paraId="0CF23361" w14:textId="016132AA" w:rsidR="003E07CC" w:rsidRPr="00C27804" w:rsidRDefault="003E07CC" w:rsidP="00812E03">
      <w:pPr>
        <w:pStyle w:val="ListParagraph"/>
        <w:numPr>
          <w:ilvl w:val="0"/>
          <w:numId w:val="18"/>
        </w:numPr>
        <w:spacing w:after="120"/>
        <w:rPr>
          <w:rFonts w:ascii="DM Sans" w:hAnsi="DM Sans" w:cs="Calibri"/>
          <w:sz w:val="20"/>
          <w:lang w:eastAsia="en-GB"/>
        </w:rPr>
      </w:pPr>
      <w:r w:rsidRPr="00C27804">
        <w:rPr>
          <w:rFonts w:ascii="DM Sans" w:eastAsia="Times New Roman" w:hAnsi="DM Sans" w:cs="Calibri"/>
          <w:sz w:val="20"/>
          <w:lang w:eastAsia="en-GB"/>
        </w:rPr>
        <w:t xml:space="preserve">The ability </w:t>
      </w:r>
      <w:r w:rsidR="00DD2468">
        <w:rPr>
          <w:rFonts w:ascii="DM Sans" w:eastAsia="Times New Roman" w:hAnsi="DM Sans" w:cs="Calibri"/>
          <w:sz w:val="20"/>
          <w:lang w:eastAsia="en-GB"/>
        </w:rPr>
        <w:t xml:space="preserve">for ancillary funds </w:t>
      </w:r>
      <w:r w:rsidRPr="00C27804">
        <w:rPr>
          <w:rFonts w:ascii="DM Sans" w:eastAsia="Times New Roman" w:hAnsi="DM Sans" w:cs="Calibri"/>
          <w:sz w:val="20"/>
          <w:lang w:eastAsia="en-GB"/>
        </w:rPr>
        <w:t>to meet minimum distribution requirements over three years, creating more scope for structured giving to support larger, more transformative charitable projects.</w:t>
      </w:r>
    </w:p>
    <w:p w14:paraId="42A9B926" w14:textId="77777777" w:rsidR="003E07CC" w:rsidRPr="002419AD" w:rsidRDefault="003E07CC" w:rsidP="00812E03">
      <w:pPr>
        <w:pStyle w:val="ListParagraph"/>
        <w:numPr>
          <w:ilvl w:val="0"/>
          <w:numId w:val="18"/>
        </w:numPr>
        <w:spacing w:after="120"/>
        <w:rPr>
          <w:rFonts w:ascii="DM Sans" w:hAnsi="DM Sans" w:cs="Calibri"/>
          <w:sz w:val="20"/>
          <w:lang w:eastAsia="en-GB"/>
        </w:rPr>
      </w:pPr>
      <w:r w:rsidRPr="00C27804">
        <w:rPr>
          <w:rFonts w:ascii="DM Sans" w:eastAsia="Times New Roman" w:hAnsi="DM Sans" w:cs="Calibri"/>
          <w:sz w:val="20"/>
          <w:lang w:eastAsia="en-GB"/>
        </w:rPr>
        <w:t>Improved data in fields such as bequests</w:t>
      </w:r>
      <w:r>
        <w:rPr>
          <w:rFonts w:ascii="DM Sans" w:eastAsia="Times New Roman" w:hAnsi="DM Sans" w:cs="Calibri"/>
          <w:sz w:val="20"/>
          <w:lang w:eastAsia="en-GB"/>
        </w:rPr>
        <w:t xml:space="preserve">, </w:t>
      </w:r>
      <w:proofErr w:type="gramStart"/>
      <w:r>
        <w:rPr>
          <w:rFonts w:ascii="DM Sans" w:eastAsia="Times New Roman" w:hAnsi="DM Sans" w:cs="Calibri"/>
          <w:sz w:val="20"/>
          <w:lang w:eastAsia="en-GB"/>
        </w:rPr>
        <w:t>volunteering</w:t>
      </w:r>
      <w:proofErr w:type="gramEnd"/>
      <w:r>
        <w:rPr>
          <w:rFonts w:ascii="DM Sans" w:eastAsia="Times New Roman" w:hAnsi="DM Sans" w:cs="Calibri"/>
          <w:sz w:val="20"/>
          <w:lang w:eastAsia="en-GB"/>
        </w:rPr>
        <w:t xml:space="preserve"> and corporate giving</w:t>
      </w:r>
      <w:r w:rsidRPr="00C27804">
        <w:rPr>
          <w:rFonts w:ascii="DM Sans" w:eastAsia="Times New Roman" w:hAnsi="DM Sans" w:cs="Calibri"/>
          <w:sz w:val="20"/>
          <w:lang w:eastAsia="en-GB"/>
        </w:rPr>
        <w:t>.</w:t>
      </w:r>
    </w:p>
    <w:p w14:paraId="36D48D4D" w14:textId="59B5AFF6" w:rsidR="002419AD" w:rsidRPr="00B244E9" w:rsidRDefault="002419AD" w:rsidP="00812E03">
      <w:pPr>
        <w:pStyle w:val="ListParagraph"/>
        <w:numPr>
          <w:ilvl w:val="0"/>
          <w:numId w:val="18"/>
        </w:numPr>
        <w:spacing w:after="120"/>
        <w:rPr>
          <w:rFonts w:ascii="DM Sans" w:eastAsia="Times New Roman" w:hAnsi="DM Sans" w:cs="Calibri"/>
          <w:sz w:val="20"/>
          <w:lang w:eastAsia="en-GB"/>
        </w:rPr>
      </w:pPr>
      <w:r w:rsidRPr="00B244E9">
        <w:rPr>
          <w:rFonts w:ascii="DM Sans" w:eastAsia="Times New Roman" w:hAnsi="DM Sans" w:cs="Calibri"/>
          <w:sz w:val="20"/>
          <w:lang w:eastAsia="en-GB"/>
        </w:rPr>
        <w:t xml:space="preserve">While PA </w:t>
      </w:r>
      <w:r w:rsidR="00DD25DA">
        <w:rPr>
          <w:rFonts w:ascii="DM Sans" w:eastAsia="Times New Roman" w:hAnsi="DM Sans" w:cs="Calibri"/>
          <w:sz w:val="20"/>
          <w:lang w:eastAsia="en-GB"/>
        </w:rPr>
        <w:t xml:space="preserve">supports expansion </w:t>
      </w:r>
      <w:r w:rsidR="00FB6092">
        <w:rPr>
          <w:rFonts w:ascii="DM Sans" w:eastAsia="Times New Roman" w:hAnsi="DM Sans" w:cs="Calibri"/>
          <w:sz w:val="20"/>
          <w:lang w:eastAsia="en-GB"/>
        </w:rPr>
        <w:t xml:space="preserve">of DGR to all charities (see our </w:t>
      </w:r>
      <w:hyperlink r:id="rId19" w:history="1">
        <w:r w:rsidR="00FB6092" w:rsidRPr="00FB6092">
          <w:rPr>
            <w:rStyle w:val="Hyperlink"/>
            <w:rFonts w:ascii="DM Sans" w:eastAsia="Times New Roman" w:hAnsi="DM Sans" w:cs="Calibri"/>
            <w:sz w:val="20"/>
            <w:lang w:val="en-AU" w:eastAsia="en-GB"/>
          </w:rPr>
          <w:t>May 2023 Submission</w:t>
        </w:r>
      </w:hyperlink>
      <w:r w:rsidR="00FB6092" w:rsidRPr="00FB6092">
        <w:rPr>
          <w:rFonts w:ascii="DM Sans" w:eastAsia="Times New Roman" w:hAnsi="DM Sans" w:cs="Calibri"/>
          <w:sz w:val="20"/>
          <w:lang w:val="en-AU" w:eastAsia="en-GB"/>
        </w:rPr>
        <w:t>, p.19-22</w:t>
      </w:r>
      <w:r w:rsidR="00FB6092">
        <w:rPr>
          <w:rFonts w:ascii="DM Sans" w:eastAsia="Times New Roman" w:hAnsi="DM Sans" w:cs="Calibri"/>
          <w:sz w:val="20"/>
          <w:lang w:val="en-AU" w:eastAsia="en-GB"/>
        </w:rPr>
        <w:t>)</w:t>
      </w:r>
      <w:r w:rsidR="004F331E">
        <w:rPr>
          <w:rFonts w:ascii="DM Sans" w:eastAsia="Times New Roman" w:hAnsi="DM Sans" w:cs="Calibri"/>
          <w:sz w:val="20"/>
          <w:lang w:val="en-AU" w:eastAsia="en-GB"/>
        </w:rPr>
        <w:t>,</w:t>
      </w:r>
      <w:r w:rsidRPr="00BB619C">
        <w:rPr>
          <w:rFonts w:ascii="DM Sans" w:eastAsia="Times New Roman" w:hAnsi="DM Sans" w:cs="Calibri"/>
          <w:sz w:val="20"/>
          <w:vertAlign w:val="superscript"/>
          <w:lang w:eastAsia="en-GB"/>
        </w:rPr>
        <w:t xml:space="preserve"> </w:t>
      </w:r>
      <w:r w:rsidRPr="00B244E9">
        <w:rPr>
          <w:rFonts w:ascii="DM Sans" w:eastAsia="Times New Roman" w:hAnsi="DM Sans" w:cs="Calibri"/>
          <w:sz w:val="20"/>
          <w:lang w:eastAsia="en-GB"/>
        </w:rPr>
        <w:t xml:space="preserve">we </w:t>
      </w:r>
      <w:r w:rsidR="004F331E">
        <w:rPr>
          <w:rFonts w:ascii="DM Sans" w:eastAsia="Times New Roman" w:hAnsi="DM Sans" w:cs="Calibri"/>
          <w:sz w:val="20"/>
          <w:lang w:eastAsia="en-GB"/>
        </w:rPr>
        <w:t>welcome the PC’s</w:t>
      </w:r>
      <w:r w:rsidRPr="00B244E9">
        <w:rPr>
          <w:rFonts w:ascii="DM Sans" w:eastAsia="Times New Roman" w:hAnsi="DM Sans" w:cs="Calibri"/>
          <w:sz w:val="20"/>
          <w:lang w:eastAsia="en-GB"/>
        </w:rPr>
        <w:t xml:space="preserve"> recommendations to expand DGR to more charities.  We appreciate the rigorous, principles-based approach taken to developing this reform, including its aim to focus expansion </w:t>
      </w:r>
      <w:proofErr w:type="gramStart"/>
      <w:r w:rsidRPr="00B244E9">
        <w:rPr>
          <w:rFonts w:ascii="DM Sans" w:eastAsia="Times New Roman" w:hAnsi="DM Sans" w:cs="Calibri"/>
          <w:sz w:val="20"/>
          <w:lang w:eastAsia="en-GB"/>
        </w:rPr>
        <w:t>in</w:t>
      </w:r>
      <w:proofErr w:type="gramEnd"/>
      <w:r w:rsidRPr="00B244E9">
        <w:rPr>
          <w:rFonts w:ascii="DM Sans" w:eastAsia="Times New Roman" w:hAnsi="DM Sans" w:cs="Calibri"/>
          <w:sz w:val="20"/>
          <w:lang w:eastAsia="en-GB"/>
        </w:rPr>
        <w:t xml:space="preserve"> ways that maximise community benefit.   The reforms will benefit a suite of charities, including those with multiple purposes, undertaking advocacy, or working on animal welfare, injury prevention and public interest journalism.  With modest revenue foregone, they also provide the government with a sound framework for reform and something practical </w:t>
      </w:r>
      <w:r w:rsidR="002B0D9C">
        <w:rPr>
          <w:rFonts w:ascii="DM Sans" w:eastAsia="Times New Roman" w:hAnsi="DM Sans" w:cs="Calibri"/>
          <w:sz w:val="20"/>
          <w:lang w:eastAsia="en-GB"/>
        </w:rPr>
        <w:t xml:space="preserve">and achievable </w:t>
      </w:r>
      <w:r w:rsidRPr="00B244E9">
        <w:rPr>
          <w:rFonts w:ascii="DM Sans" w:eastAsia="Times New Roman" w:hAnsi="DM Sans" w:cs="Calibri"/>
          <w:sz w:val="20"/>
          <w:lang w:eastAsia="en-GB"/>
        </w:rPr>
        <w:t xml:space="preserve">it can implement.  </w:t>
      </w:r>
    </w:p>
    <w:p w14:paraId="4A1D9CF5" w14:textId="5363CF56" w:rsidR="00182D72" w:rsidRDefault="00182D72" w:rsidP="00A547B7">
      <w:pPr>
        <w:pStyle w:val="Heading3"/>
        <w:numPr>
          <w:ilvl w:val="0"/>
          <w:numId w:val="89"/>
        </w:numPr>
        <w:spacing w:before="0" w:after="120" w:line="240" w:lineRule="auto"/>
      </w:pPr>
      <w:bookmarkStart w:id="4" w:name="_Toc158381881"/>
      <w:r>
        <w:t>A broader, more ambitious framework for the final report.</w:t>
      </w:r>
      <w:bookmarkEnd w:id="4"/>
    </w:p>
    <w:p w14:paraId="67540888" w14:textId="4A20E2FA" w:rsidR="00D902AB" w:rsidRPr="00C27804" w:rsidRDefault="00D902AB" w:rsidP="00812E03">
      <w:pPr>
        <w:rPr>
          <w:rFonts w:ascii="DM Sans" w:hAnsi="DM Sans" w:cs="Calibri"/>
          <w:lang w:eastAsia="en-GB"/>
        </w:rPr>
      </w:pPr>
      <w:r w:rsidRPr="00C27804">
        <w:rPr>
          <w:rFonts w:ascii="DM Sans" w:hAnsi="DM Sans" w:cs="Calibri"/>
          <w:lang w:eastAsia="en-GB"/>
        </w:rPr>
        <w:t xml:space="preserve">PA respects the </w:t>
      </w:r>
      <w:r w:rsidR="00DB2D74">
        <w:rPr>
          <w:rFonts w:ascii="DM Sans" w:hAnsi="DM Sans" w:cs="Calibri"/>
          <w:lang w:eastAsia="en-GB"/>
        </w:rPr>
        <w:t>PC’s</w:t>
      </w:r>
      <w:r w:rsidRPr="00C27804">
        <w:rPr>
          <w:rFonts w:ascii="DM Sans" w:hAnsi="DM Sans" w:cs="Calibri"/>
          <w:lang w:eastAsia="en-GB"/>
        </w:rPr>
        <w:t xml:space="preserve"> economic framework for considering policy reforms – both in the aggregate sense (chapter two on market failure and the role of government) and in its approach to specific issues (such as the thoughtful approach to DGR reform in chapters 4-6).  </w:t>
      </w:r>
      <w:r w:rsidR="00F03463">
        <w:rPr>
          <w:rFonts w:ascii="DM Sans" w:hAnsi="DM Sans" w:cs="Calibri"/>
          <w:lang w:eastAsia="en-GB"/>
        </w:rPr>
        <w:t>We agree</w:t>
      </w:r>
      <w:r w:rsidRPr="00C27804">
        <w:rPr>
          <w:rFonts w:ascii="DM Sans" w:hAnsi="DM Sans" w:cs="Calibri"/>
          <w:lang w:eastAsia="en-GB"/>
        </w:rPr>
        <w:t xml:space="preserve"> measures should not be recommended where they favour one sector of the economy (whether an industry sector, </w:t>
      </w:r>
      <w:proofErr w:type="gramStart"/>
      <w:r w:rsidRPr="00C27804">
        <w:rPr>
          <w:rFonts w:ascii="DM Sans" w:hAnsi="DM Sans" w:cs="Calibri"/>
          <w:lang w:eastAsia="en-GB"/>
        </w:rPr>
        <w:t>philanthropy</w:t>
      </w:r>
      <w:proofErr w:type="gramEnd"/>
      <w:r w:rsidRPr="00C27804">
        <w:rPr>
          <w:rFonts w:ascii="DM Sans" w:hAnsi="DM Sans" w:cs="Calibri"/>
          <w:lang w:eastAsia="en-GB"/>
        </w:rPr>
        <w:t xml:space="preserve"> or charity) but impose a net detriment to community-wide welfare (for instance because they produce large revenue losses relative to the benefits they create, impose significant economic distortions, or go beyond the appropriate role of government).  </w:t>
      </w:r>
    </w:p>
    <w:p w14:paraId="0386FC8B" w14:textId="1CFAB7B6" w:rsidR="00B96507" w:rsidRDefault="00D902AB" w:rsidP="00812E03">
      <w:pPr>
        <w:rPr>
          <w:rFonts w:ascii="DM Sans" w:hAnsi="DM Sans" w:cs="Calibri"/>
          <w:lang w:eastAsia="en-GB"/>
        </w:rPr>
      </w:pPr>
      <w:r w:rsidRPr="00C27804">
        <w:rPr>
          <w:rFonts w:ascii="DM Sans" w:hAnsi="DM Sans" w:cs="Calibri"/>
          <w:lang w:eastAsia="en-GB"/>
        </w:rPr>
        <w:t xml:space="preserve">PA believes the PC could recommend a broader set of measures to lift giving that would also </w:t>
      </w:r>
      <w:r w:rsidR="00230E0A">
        <w:rPr>
          <w:rFonts w:ascii="DM Sans" w:hAnsi="DM Sans" w:cs="Calibri"/>
          <w:lang w:eastAsia="en-GB"/>
        </w:rPr>
        <w:t xml:space="preserve">deliver </w:t>
      </w:r>
      <w:r w:rsidRPr="00C27804">
        <w:rPr>
          <w:rFonts w:ascii="DM Sans" w:hAnsi="DM Sans" w:cs="Calibri"/>
          <w:lang w:eastAsia="en-GB"/>
        </w:rPr>
        <w:t xml:space="preserve">an improvement in community-wide welfare.  </w:t>
      </w:r>
      <w:r w:rsidR="00B96507">
        <w:rPr>
          <w:rFonts w:ascii="DM Sans" w:hAnsi="DM Sans" w:cs="Calibri"/>
          <w:lang w:eastAsia="en-GB"/>
        </w:rPr>
        <w:t>We suggest that in the final report, the PC:</w:t>
      </w:r>
    </w:p>
    <w:p w14:paraId="1DD82C2A" w14:textId="1CD72281" w:rsidR="00D902AB" w:rsidRDefault="006663D6" w:rsidP="00A547B7">
      <w:pPr>
        <w:pStyle w:val="ListParagraph"/>
        <w:numPr>
          <w:ilvl w:val="0"/>
          <w:numId w:val="90"/>
        </w:numPr>
        <w:spacing w:after="120"/>
        <w:rPr>
          <w:rFonts w:ascii="DM Sans" w:hAnsi="DM Sans" w:cs="Calibri"/>
          <w:b/>
          <w:bCs/>
          <w:sz w:val="20"/>
          <w:lang w:eastAsia="en-GB"/>
        </w:rPr>
      </w:pPr>
      <w:r w:rsidRPr="006663D6">
        <w:rPr>
          <w:rFonts w:ascii="DM Sans" w:hAnsi="DM Sans" w:cs="Calibri"/>
          <w:b/>
          <w:bCs/>
          <w:sz w:val="20"/>
          <w:lang w:eastAsia="en-GB"/>
        </w:rPr>
        <w:t>Provide the Government with a suite of practical, high-impact policy options that would deliver a step-change increase in the culture and practice of giving in Australia.</w:t>
      </w:r>
      <w:r w:rsidR="00D902AB" w:rsidRPr="006663D6">
        <w:rPr>
          <w:rFonts w:ascii="DM Sans" w:hAnsi="DM Sans" w:cs="Calibri"/>
          <w:b/>
          <w:bCs/>
          <w:sz w:val="20"/>
          <w:lang w:eastAsia="en-GB"/>
        </w:rPr>
        <w:t xml:space="preserve"> </w:t>
      </w:r>
    </w:p>
    <w:p w14:paraId="713A2D65" w14:textId="77777777" w:rsidR="0039092B" w:rsidRPr="00F81778" w:rsidRDefault="00402D6E" w:rsidP="00A547B7">
      <w:pPr>
        <w:pStyle w:val="ListParagraph"/>
        <w:numPr>
          <w:ilvl w:val="0"/>
          <w:numId w:val="91"/>
        </w:numPr>
        <w:spacing w:after="120"/>
        <w:ind w:left="357" w:hanging="357"/>
        <w:rPr>
          <w:rFonts w:ascii="DM Sans" w:hAnsi="DM Sans" w:cs="Calibri"/>
          <w:sz w:val="20"/>
          <w:lang w:eastAsia="en-GB"/>
        </w:rPr>
      </w:pPr>
      <w:r w:rsidRPr="00222DA6">
        <w:rPr>
          <w:rFonts w:ascii="DM Sans" w:hAnsi="DM Sans" w:cs="Calibri"/>
          <w:sz w:val="20"/>
          <w:lang w:eastAsia="en-GB"/>
        </w:rPr>
        <w:t xml:space="preserve">The Terms of Reference indicate </w:t>
      </w:r>
      <w:r w:rsidR="00981BAD" w:rsidRPr="00222DA6">
        <w:rPr>
          <w:rFonts w:ascii="DM Sans" w:hAnsi="DM Sans" w:cs="Calibri"/>
          <w:sz w:val="20"/>
          <w:lang w:eastAsia="en-GB"/>
        </w:rPr>
        <w:t>that</w:t>
      </w:r>
      <w:r w:rsidR="007D22B1" w:rsidRPr="00222DA6">
        <w:rPr>
          <w:rFonts w:ascii="DM Sans" w:hAnsi="DM Sans" w:cs="Calibri"/>
          <w:sz w:val="20"/>
          <w:lang w:eastAsia="en-GB"/>
        </w:rPr>
        <w:t xml:space="preserve"> – in the context of the Government’s historic commitment to develop a strategy to double giving to charity </w:t>
      </w:r>
      <w:r w:rsidR="00981BAD" w:rsidRPr="00222DA6">
        <w:rPr>
          <w:rFonts w:ascii="DM Sans" w:hAnsi="DM Sans" w:cs="Calibri"/>
          <w:sz w:val="20"/>
          <w:lang w:eastAsia="en-GB"/>
        </w:rPr>
        <w:t>by 2030 –</w:t>
      </w:r>
      <w:r w:rsidR="007D22B1" w:rsidRPr="00222DA6">
        <w:rPr>
          <w:rFonts w:ascii="DM Sans" w:hAnsi="DM Sans" w:cs="Calibri"/>
          <w:sz w:val="20"/>
          <w:lang w:eastAsia="en-GB"/>
        </w:rPr>
        <w:t xml:space="preserve"> </w:t>
      </w:r>
      <w:r w:rsidR="00981BAD" w:rsidRPr="00222DA6">
        <w:rPr>
          <w:rFonts w:ascii="DM Sans" w:hAnsi="DM Sans" w:cs="Calibri"/>
          <w:sz w:val="20"/>
          <w:lang w:eastAsia="en-GB"/>
        </w:rPr>
        <w:t xml:space="preserve">the primary purpose of the inquiry is to </w:t>
      </w:r>
      <w:r w:rsidR="006A6097" w:rsidRPr="00222DA6">
        <w:rPr>
          <w:rFonts w:ascii="DM Sans" w:hAnsi="DM Sans" w:cs="Calibri"/>
          <w:sz w:val="20"/>
          <w:lang w:eastAsia="en-GB"/>
        </w:rPr>
        <w:t xml:space="preserve">identify reform options to lift giving </w:t>
      </w:r>
      <w:r w:rsidR="00B47957" w:rsidRPr="00222DA6">
        <w:rPr>
          <w:rFonts w:ascii="DM Sans" w:hAnsi="DM Sans" w:cs="Calibri"/>
          <w:sz w:val="20"/>
          <w:lang w:eastAsia="en-GB"/>
        </w:rPr>
        <w:t>to ‘</w:t>
      </w:r>
      <w:r w:rsidR="00B47957" w:rsidRPr="00222DA6">
        <w:rPr>
          <w:rFonts w:ascii="DM Sans" w:hAnsi="DM Sans"/>
          <w:sz w:val="20"/>
        </w:rPr>
        <w:t>provide a roadmap to achieving this objective.’</w:t>
      </w:r>
    </w:p>
    <w:p w14:paraId="4994BF70" w14:textId="43173E05" w:rsidR="00F81778" w:rsidRDefault="00F81778" w:rsidP="00A547B7">
      <w:pPr>
        <w:pStyle w:val="ListParagraph"/>
        <w:numPr>
          <w:ilvl w:val="0"/>
          <w:numId w:val="91"/>
        </w:numPr>
        <w:spacing w:after="60"/>
        <w:rPr>
          <w:rFonts w:ascii="DM Sans" w:hAnsi="DM Sans"/>
          <w:sz w:val="20"/>
        </w:rPr>
      </w:pPr>
      <w:r>
        <w:rPr>
          <w:rFonts w:ascii="DM Sans" w:hAnsi="DM Sans"/>
          <w:sz w:val="20"/>
        </w:rPr>
        <w:t xml:space="preserve">Dr Leigh’s ‘double giving’ commitment was intended as a ‘lighting rod’ for action.  More than just a numerical </w:t>
      </w:r>
      <w:r w:rsidR="002A6BD5">
        <w:rPr>
          <w:rFonts w:ascii="DM Sans" w:hAnsi="DM Sans"/>
          <w:sz w:val="20"/>
        </w:rPr>
        <w:t>target</w:t>
      </w:r>
      <w:r>
        <w:rPr>
          <w:rFonts w:ascii="DM Sans" w:hAnsi="DM Sans"/>
          <w:sz w:val="20"/>
        </w:rPr>
        <w:t>, it was about achieving a step</w:t>
      </w:r>
      <w:r w:rsidR="00E313AE">
        <w:rPr>
          <w:rFonts w:ascii="DM Sans" w:hAnsi="DM Sans"/>
          <w:sz w:val="20"/>
        </w:rPr>
        <w:t>-</w:t>
      </w:r>
      <w:r>
        <w:rPr>
          <w:rFonts w:ascii="DM Sans" w:hAnsi="DM Sans"/>
          <w:sz w:val="20"/>
        </w:rPr>
        <w:t xml:space="preserve">change increase in the culture and practice of giving in Australia because the evidence shows there is so much more we can achieve.  Despite high and rapidly rising wealth in Australia, with around 21,000 Australians holding net </w:t>
      </w:r>
      <w:r w:rsidR="00221946">
        <w:rPr>
          <w:rFonts w:ascii="DM Sans" w:hAnsi="DM Sans"/>
          <w:sz w:val="20"/>
        </w:rPr>
        <w:t>wealth</w:t>
      </w:r>
      <w:r>
        <w:rPr>
          <w:rFonts w:ascii="DM Sans" w:hAnsi="DM Sans"/>
          <w:sz w:val="20"/>
        </w:rPr>
        <w:t xml:space="preserve"> of $30 million</w:t>
      </w:r>
      <w:r w:rsidR="007F6FBE">
        <w:rPr>
          <w:rFonts w:ascii="DM Sans" w:hAnsi="DM Sans"/>
          <w:sz w:val="20"/>
        </w:rPr>
        <w:t>-</w:t>
      </w:r>
      <w:r>
        <w:rPr>
          <w:rFonts w:ascii="DM Sans" w:hAnsi="DM Sans"/>
          <w:sz w:val="20"/>
        </w:rPr>
        <w:t xml:space="preserve">plus and wealth rising among </w:t>
      </w:r>
      <w:r w:rsidRPr="00C27804">
        <w:rPr>
          <w:rFonts w:ascii="DM Sans" w:hAnsi="DM Sans"/>
          <w:sz w:val="20"/>
        </w:rPr>
        <w:t>the Top 200 from $209 billion to $563 billion between 2016 and 2023</w:t>
      </w:r>
      <w:r>
        <w:rPr>
          <w:rFonts w:ascii="DM Sans" w:hAnsi="DM Sans"/>
          <w:sz w:val="20"/>
        </w:rPr>
        <w:t>:</w:t>
      </w:r>
    </w:p>
    <w:p w14:paraId="6A80FCFC" w14:textId="77777777" w:rsidR="00F81778" w:rsidRDefault="00F81778" w:rsidP="00AE459E">
      <w:pPr>
        <w:pStyle w:val="ListParagraph"/>
        <w:numPr>
          <w:ilvl w:val="1"/>
          <w:numId w:val="19"/>
        </w:numPr>
        <w:spacing w:after="120"/>
        <w:ind w:left="709" w:hanging="357"/>
        <w:rPr>
          <w:rFonts w:ascii="DM Sans" w:hAnsi="DM Sans"/>
          <w:sz w:val="20"/>
        </w:rPr>
      </w:pPr>
      <w:r w:rsidRPr="00C27804">
        <w:rPr>
          <w:rFonts w:ascii="DM Sans" w:hAnsi="DM Sans"/>
          <w:sz w:val="20"/>
        </w:rPr>
        <w:t xml:space="preserve">Australia </w:t>
      </w:r>
      <w:proofErr w:type="gramStart"/>
      <w:r w:rsidRPr="00C27804">
        <w:rPr>
          <w:rFonts w:ascii="DM Sans" w:hAnsi="DM Sans"/>
          <w:sz w:val="20"/>
        </w:rPr>
        <w:t>lag</w:t>
      </w:r>
      <w:r>
        <w:rPr>
          <w:rFonts w:ascii="DM Sans" w:hAnsi="DM Sans"/>
          <w:sz w:val="20"/>
        </w:rPr>
        <w:t>s</w:t>
      </w:r>
      <w:r w:rsidRPr="00C27804">
        <w:rPr>
          <w:rFonts w:ascii="DM Sans" w:hAnsi="DM Sans"/>
          <w:sz w:val="20"/>
        </w:rPr>
        <w:t xml:space="preserve"> behind</w:t>
      </w:r>
      <w:proofErr w:type="gramEnd"/>
      <w:r w:rsidRPr="00C27804">
        <w:rPr>
          <w:rFonts w:ascii="DM Sans" w:hAnsi="DM Sans"/>
          <w:sz w:val="20"/>
        </w:rPr>
        <w:t xml:space="preserve"> comparable nations, with giving as a percentage of GDP around 0.81 per cent, compared to 1.84 per cent in New Zealand and 2.1 per cent in the United States.  </w:t>
      </w:r>
    </w:p>
    <w:p w14:paraId="71762C75" w14:textId="77777777" w:rsidR="00F81778" w:rsidRDefault="00F81778" w:rsidP="00AE459E">
      <w:pPr>
        <w:pStyle w:val="ListParagraph"/>
        <w:numPr>
          <w:ilvl w:val="1"/>
          <w:numId w:val="19"/>
        </w:numPr>
        <w:spacing w:after="120"/>
        <w:ind w:left="709" w:hanging="357"/>
        <w:rPr>
          <w:rFonts w:ascii="DM Sans" w:hAnsi="DM Sans"/>
          <w:sz w:val="20"/>
        </w:rPr>
      </w:pPr>
      <w:r w:rsidRPr="00C27804">
        <w:rPr>
          <w:rFonts w:ascii="DM Sans" w:hAnsi="DM Sans"/>
          <w:sz w:val="20"/>
        </w:rPr>
        <w:t>The percentage of Australians giving to charity is falling rapidly.</w:t>
      </w:r>
    </w:p>
    <w:p w14:paraId="5D946755" w14:textId="4DB27EDA" w:rsidR="00F81778" w:rsidRDefault="00700C46" w:rsidP="00AE459E">
      <w:pPr>
        <w:pStyle w:val="ListParagraph"/>
        <w:numPr>
          <w:ilvl w:val="1"/>
          <w:numId w:val="19"/>
        </w:numPr>
        <w:spacing w:after="120"/>
        <w:ind w:left="709" w:hanging="357"/>
        <w:rPr>
          <w:rFonts w:ascii="DM Sans" w:hAnsi="DM Sans"/>
          <w:sz w:val="20"/>
        </w:rPr>
      </w:pPr>
      <w:r>
        <w:rPr>
          <w:rFonts w:ascii="DM Sans" w:hAnsi="DM Sans"/>
          <w:sz w:val="20"/>
        </w:rPr>
        <w:t xml:space="preserve">By </w:t>
      </w:r>
      <w:r w:rsidR="008951F3">
        <w:rPr>
          <w:rFonts w:ascii="DM Sans" w:hAnsi="DM Sans"/>
          <w:sz w:val="20"/>
        </w:rPr>
        <w:t>the standards of leading nations</w:t>
      </w:r>
      <w:r>
        <w:rPr>
          <w:rFonts w:ascii="DM Sans" w:hAnsi="DM Sans"/>
          <w:sz w:val="20"/>
        </w:rPr>
        <w:t>, r</w:t>
      </w:r>
      <w:r w:rsidR="00F81778">
        <w:rPr>
          <w:rFonts w:ascii="DM Sans" w:hAnsi="DM Sans"/>
          <w:sz w:val="20"/>
        </w:rPr>
        <w:t>elatively few wealthy Australians give substantially.</w:t>
      </w:r>
    </w:p>
    <w:p w14:paraId="214D1833" w14:textId="4F8166CF" w:rsidR="00F81778" w:rsidRDefault="00F81778" w:rsidP="00AE459E">
      <w:pPr>
        <w:pStyle w:val="ListParagraph"/>
        <w:numPr>
          <w:ilvl w:val="1"/>
          <w:numId w:val="19"/>
        </w:numPr>
        <w:spacing w:after="120"/>
        <w:ind w:left="709" w:hanging="357"/>
        <w:rPr>
          <w:rFonts w:ascii="DM Sans" w:hAnsi="DM Sans"/>
          <w:sz w:val="20"/>
        </w:rPr>
      </w:pPr>
      <w:r>
        <w:rPr>
          <w:rFonts w:ascii="DM Sans" w:hAnsi="DM Sans"/>
          <w:sz w:val="20"/>
        </w:rPr>
        <w:lastRenderedPageBreak/>
        <w:t>As Leigh and Terrell chart</w:t>
      </w:r>
      <w:r w:rsidR="00F80E86">
        <w:rPr>
          <w:rFonts w:ascii="DM Sans" w:hAnsi="DM Sans"/>
          <w:sz w:val="20"/>
        </w:rPr>
        <w:t xml:space="preserve"> in </w:t>
      </w:r>
      <w:r w:rsidR="00F80E86" w:rsidRPr="00F80E86">
        <w:rPr>
          <w:rFonts w:ascii="DM Sans" w:hAnsi="DM Sans"/>
          <w:i/>
          <w:iCs/>
          <w:sz w:val="20"/>
        </w:rPr>
        <w:t>Reconnected</w:t>
      </w:r>
      <w:r>
        <w:rPr>
          <w:rFonts w:ascii="DM Sans" w:hAnsi="DM Sans"/>
          <w:sz w:val="20"/>
        </w:rPr>
        <w:t xml:space="preserve">, there has been a significant decline in community </w:t>
      </w:r>
      <w:r w:rsidR="004E5939">
        <w:rPr>
          <w:rFonts w:ascii="DM Sans" w:hAnsi="DM Sans"/>
          <w:sz w:val="20"/>
        </w:rPr>
        <w:t>participation</w:t>
      </w:r>
      <w:r>
        <w:rPr>
          <w:rFonts w:ascii="DM Sans" w:hAnsi="DM Sans"/>
          <w:sz w:val="20"/>
        </w:rPr>
        <w:t xml:space="preserve"> and social capital in recent decades.</w:t>
      </w:r>
    </w:p>
    <w:p w14:paraId="6F08993E" w14:textId="6BF6597C" w:rsidR="00E60635" w:rsidRDefault="00E60635" w:rsidP="00B255C9">
      <w:pPr>
        <w:pStyle w:val="ListParagraph"/>
        <w:numPr>
          <w:ilvl w:val="1"/>
          <w:numId w:val="19"/>
        </w:numPr>
        <w:spacing w:after="120"/>
        <w:ind w:left="709"/>
        <w:rPr>
          <w:rFonts w:ascii="DM Sans" w:hAnsi="DM Sans"/>
          <w:sz w:val="20"/>
        </w:rPr>
      </w:pPr>
      <w:r>
        <w:rPr>
          <w:rFonts w:ascii="DM Sans" w:hAnsi="DM Sans"/>
          <w:sz w:val="20"/>
        </w:rPr>
        <w:t xml:space="preserve">Our policy environment is less favourable for giving than </w:t>
      </w:r>
      <w:r w:rsidR="00305D81">
        <w:rPr>
          <w:rFonts w:ascii="DM Sans" w:hAnsi="DM Sans"/>
          <w:sz w:val="20"/>
        </w:rPr>
        <w:t>in leading nations.</w:t>
      </w:r>
    </w:p>
    <w:p w14:paraId="25A61AB8" w14:textId="4D68AA0C" w:rsidR="00F81778" w:rsidRDefault="00F81778" w:rsidP="00A547B7">
      <w:pPr>
        <w:pStyle w:val="ListParagraph"/>
        <w:numPr>
          <w:ilvl w:val="0"/>
          <w:numId w:val="91"/>
        </w:numPr>
        <w:spacing w:after="120"/>
        <w:rPr>
          <w:rFonts w:ascii="DM Sans" w:hAnsi="DM Sans"/>
          <w:sz w:val="20"/>
        </w:rPr>
      </w:pPr>
      <w:r>
        <w:rPr>
          <w:rFonts w:ascii="DM Sans" w:hAnsi="DM Sans"/>
          <w:sz w:val="20"/>
        </w:rPr>
        <w:t>Philanthropy delivers major benefits for society – as distilled in PA’s May 2023 submission and the PC’s draft report</w:t>
      </w:r>
      <w:r w:rsidR="004104D3">
        <w:rPr>
          <w:rFonts w:ascii="DM Sans" w:hAnsi="DM Sans"/>
          <w:sz w:val="20"/>
        </w:rPr>
        <w:t>.  We have</w:t>
      </w:r>
      <w:r w:rsidR="00E313AE">
        <w:rPr>
          <w:rFonts w:ascii="DM Sans" w:hAnsi="DM Sans"/>
          <w:sz w:val="20"/>
        </w:rPr>
        <w:t xml:space="preserve"> an opportunity to drive transformational change.</w:t>
      </w:r>
    </w:p>
    <w:p w14:paraId="20470095" w14:textId="5E580163" w:rsidR="0039092B" w:rsidRPr="00203220" w:rsidRDefault="0039092B" w:rsidP="00A547B7">
      <w:pPr>
        <w:pStyle w:val="ListParagraph"/>
        <w:numPr>
          <w:ilvl w:val="0"/>
          <w:numId w:val="91"/>
        </w:numPr>
        <w:spacing w:after="120"/>
        <w:rPr>
          <w:rFonts w:ascii="DM Sans" w:hAnsi="DM Sans" w:cs="Calibri"/>
          <w:sz w:val="20"/>
          <w:lang w:eastAsia="en-GB"/>
        </w:rPr>
      </w:pPr>
      <w:r w:rsidRPr="00E675FB">
        <w:rPr>
          <w:rFonts w:ascii="DM Sans" w:hAnsi="DM Sans"/>
          <w:sz w:val="20"/>
        </w:rPr>
        <w:t xml:space="preserve">However, the draft report provides few policy options to lift giving and collectively would do little to increase giving.   Even in relation to the most substantive reform recommended – expanding DGR – the Commission notes ‘…the reforms are only likely to make a small addition to overall giving.’ </w:t>
      </w:r>
    </w:p>
    <w:p w14:paraId="35C1F822" w14:textId="1F19AFC1" w:rsidR="004C0C54" w:rsidRPr="004C0C54" w:rsidRDefault="00B33C62" w:rsidP="00A547B7">
      <w:pPr>
        <w:pStyle w:val="ListParagraph"/>
        <w:numPr>
          <w:ilvl w:val="0"/>
          <w:numId w:val="91"/>
        </w:numPr>
        <w:spacing w:after="60"/>
        <w:ind w:left="357" w:hanging="357"/>
        <w:rPr>
          <w:rFonts w:ascii="DM Sans" w:hAnsi="DM Sans" w:cs="Calibri"/>
          <w:sz w:val="20"/>
          <w:lang w:eastAsia="en-GB"/>
        </w:rPr>
      </w:pPr>
      <w:r w:rsidRPr="00F9211B">
        <w:rPr>
          <w:rFonts w:ascii="DM Sans" w:hAnsi="DM Sans"/>
          <w:sz w:val="20"/>
        </w:rPr>
        <w:t>There are no recommendations in a suite of areas that could markedly lift giving</w:t>
      </w:r>
      <w:r w:rsidR="004C0C54">
        <w:rPr>
          <w:rFonts w:ascii="DM Sans" w:hAnsi="DM Sans"/>
          <w:sz w:val="20"/>
        </w:rPr>
        <w:t>.</w:t>
      </w:r>
      <w:r w:rsidR="005935F6">
        <w:rPr>
          <w:rFonts w:ascii="DM Sans" w:hAnsi="DM Sans"/>
          <w:sz w:val="20"/>
        </w:rPr>
        <w:t xml:space="preserve">  For instance:</w:t>
      </w:r>
    </w:p>
    <w:p w14:paraId="550D6ECD" w14:textId="3C9F8B2E" w:rsidR="000B07D4" w:rsidRPr="0019118C" w:rsidRDefault="005935F6" w:rsidP="00A547B7">
      <w:pPr>
        <w:pStyle w:val="ListParagraph"/>
        <w:numPr>
          <w:ilvl w:val="1"/>
          <w:numId w:val="91"/>
        </w:numPr>
        <w:spacing w:after="120"/>
        <w:ind w:left="709" w:hanging="357"/>
        <w:rPr>
          <w:rFonts w:ascii="DM Sans" w:hAnsi="DM Sans" w:cs="Calibri"/>
          <w:sz w:val="20"/>
          <w:lang w:eastAsia="en-GB"/>
        </w:rPr>
      </w:pPr>
      <w:r>
        <w:rPr>
          <w:rFonts w:ascii="DM Sans" w:hAnsi="DM Sans"/>
          <w:sz w:val="20"/>
        </w:rPr>
        <w:t>T</w:t>
      </w:r>
      <w:r w:rsidR="002764A4">
        <w:rPr>
          <w:rFonts w:ascii="DM Sans" w:hAnsi="DM Sans"/>
          <w:sz w:val="20"/>
        </w:rPr>
        <w:t>here are no recommendations and limited analysis on</w:t>
      </w:r>
      <w:r w:rsidR="00B33C62" w:rsidRPr="00F9211B">
        <w:rPr>
          <w:rFonts w:ascii="DM Sans" w:hAnsi="DM Sans"/>
          <w:sz w:val="20"/>
        </w:rPr>
        <w:t xml:space="preserve"> </w:t>
      </w:r>
      <w:r w:rsidR="00F868A4" w:rsidRPr="00F9211B">
        <w:rPr>
          <w:rFonts w:ascii="DM Sans" w:hAnsi="DM Sans"/>
          <w:sz w:val="20"/>
        </w:rPr>
        <w:t xml:space="preserve">community foundations, </w:t>
      </w:r>
      <w:r w:rsidR="00F9211B" w:rsidRPr="00F9211B">
        <w:rPr>
          <w:rFonts w:ascii="DM Sans" w:hAnsi="DM Sans"/>
          <w:sz w:val="20"/>
        </w:rPr>
        <w:t>meas</w:t>
      </w:r>
      <w:r w:rsidR="00F9211B">
        <w:rPr>
          <w:rFonts w:ascii="DM Sans" w:hAnsi="DM Sans"/>
          <w:sz w:val="20"/>
        </w:rPr>
        <w:t xml:space="preserve">ures to strengthen the charity sector and </w:t>
      </w:r>
      <w:r w:rsidR="00804C70">
        <w:rPr>
          <w:rFonts w:ascii="DM Sans" w:hAnsi="DM Sans"/>
          <w:sz w:val="20"/>
        </w:rPr>
        <w:t xml:space="preserve">establishing </w:t>
      </w:r>
      <w:r w:rsidR="002764A4">
        <w:rPr>
          <w:rFonts w:ascii="DM Sans" w:hAnsi="DM Sans"/>
          <w:sz w:val="20"/>
        </w:rPr>
        <w:t>Living Legacy Trusts</w:t>
      </w:r>
      <w:r w:rsidR="000B07D4">
        <w:rPr>
          <w:rFonts w:ascii="DM Sans" w:hAnsi="DM Sans"/>
          <w:sz w:val="20"/>
        </w:rPr>
        <w:t>.</w:t>
      </w:r>
    </w:p>
    <w:p w14:paraId="6976A5E0" w14:textId="7AD7B96A" w:rsidR="0019118C" w:rsidRPr="0019118C" w:rsidRDefault="0019118C" w:rsidP="00A547B7">
      <w:pPr>
        <w:pStyle w:val="ListParagraph"/>
        <w:numPr>
          <w:ilvl w:val="1"/>
          <w:numId w:val="91"/>
        </w:numPr>
        <w:spacing w:after="120"/>
        <w:ind w:left="709" w:hanging="357"/>
        <w:rPr>
          <w:rFonts w:ascii="DM Sans" w:hAnsi="DM Sans" w:cs="Calibri"/>
          <w:sz w:val="20"/>
          <w:lang w:eastAsia="en-GB"/>
        </w:rPr>
      </w:pPr>
      <w:r w:rsidRPr="00D708FC">
        <w:rPr>
          <w:rFonts w:ascii="DM Sans" w:hAnsi="DM Sans"/>
          <w:sz w:val="20"/>
        </w:rPr>
        <w:t xml:space="preserve">Despite the massive potential of super bequests to lift giving – and do so while </w:t>
      </w:r>
      <w:r w:rsidRPr="007417BA">
        <w:rPr>
          <w:rFonts w:ascii="DM Sans" w:hAnsi="DM Sans"/>
          <w:i/>
          <w:iCs/>
          <w:sz w:val="20"/>
        </w:rPr>
        <w:t xml:space="preserve">increasing </w:t>
      </w:r>
      <w:r w:rsidRPr="00D708FC">
        <w:rPr>
          <w:rFonts w:ascii="DM Sans" w:hAnsi="DM Sans"/>
          <w:sz w:val="20"/>
        </w:rPr>
        <w:t xml:space="preserve">revenue - a reform option to introduce super bequests </w:t>
      </w:r>
      <w:r w:rsidR="004629EE">
        <w:rPr>
          <w:rFonts w:ascii="DM Sans" w:hAnsi="DM Sans"/>
          <w:sz w:val="20"/>
        </w:rPr>
        <w:t xml:space="preserve">is only briefly </w:t>
      </w:r>
      <w:r w:rsidR="00461555">
        <w:rPr>
          <w:rFonts w:ascii="DM Sans" w:hAnsi="DM Sans"/>
          <w:sz w:val="20"/>
        </w:rPr>
        <w:t>mentioned</w:t>
      </w:r>
      <w:r w:rsidRPr="00D708FC">
        <w:rPr>
          <w:rFonts w:ascii="DM Sans" w:hAnsi="DM Sans"/>
          <w:sz w:val="20"/>
        </w:rPr>
        <w:t xml:space="preserve">, </w:t>
      </w:r>
      <w:r w:rsidR="004629EE">
        <w:rPr>
          <w:rFonts w:ascii="DM Sans" w:hAnsi="DM Sans"/>
          <w:sz w:val="20"/>
        </w:rPr>
        <w:t xml:space="preserve">and </w:t>
      </w:r>
      <w:proofErr w:type="gramStart"/>
      <w:r w:rsidR="004629EE">
        <w:rPr>
          <w:rFonts w:ascii="DM Sans" w:hAnsi="DM Sans"/>
          <w:sz w:val="20"/>
        </w:rPr>
        <w:t>few</w:t>
      </w:r>
      <w:proofErr w:type="gramEnd"/>
      <w:r w:rsidR="004629EE">
        <w:rPr>
          <w:rFonts w:ascii="DM Sans" w:hAnsi="DM Sans"/>
          <w:sz w:val="20"/>
        </w:rPr>
        <w:t xml:space="preserve"> of the substantial benefits are </w:t>
      </w:r>
      <w:r w:rsidR="00244DDC">
        <w:rPr>
          <w:rFonts w:ascii="DM Sans" w:hAnsi="DM Sans"/>
          <w:sz w:val="20"/>
        </w:rPr>
        <w:t xml:space="preserve">clearly </w:t>
      </w:r>
      <w:r w:rsidRPr="00D708FC">
        <w:rPr>
          <w:rFonts w:ascii="DM Sans" w:hAnsi="DM Sans"/>
          <w:sz w:val="20"/>
        </w:rPr>
        <w:t>identified and detailed.</w:t>
      </w:r>
      <w:r w:rsidR="000504D0">
        <w:rPr>
          <w:rFonts w:ascii="DM Sans" w:hAnsi="DM Sans"/>
          <w:sz w:val="20"/>
        </w:rPr>
        <w:t xml:space="preserve">  Risks are extensively canvassed, but without </w:t>
      </w:r>
      <w:r w:rsidR="00244DDC">
        <w:rPr>
          <w:rFonts w:ascii="DM Sans" w:hAnsi="DM Sans"/>
          <w:sz w:val="20"/>
        </w:rPr>
        <w:t>an attempt</w:t>
      </w:r>
      <w:r w:rsidR="000504D0">
        <w:rPr>
          <w:rFonts w:ascii="DM Sans" w:hAnsi="DM Sans"/>
          <w:sz w:val="20"/>
        </w:rPr>
        <w:t xml:space="preserve"> </w:t>
      </w:r>
      <w:r w:rsidR="00253E45">
        <w:rPr>
          <w:rFonts w:ascii="DM Sans" w:hAnsi="DM Sans"/>
          <w:sz w:val="20"/>
        </w:rPr>
        <w:t>to detail how they could be mitigated.</w:t>
      </w:r>
    </w:p>
    <w:p w14:paraId="1E970B7D" w14:textId="7BA618C1" w:rsidR="00F5000C" w:rsidRPr="00F5000C" w:rsidRDefault="00575C0E" w:rsidP="00A547B7">
      <w:pPr>
        <w:pStyle w:val="ListParagraph"/>
        <w:numPr>
          <w:ilvl w:val="1"/>
          <w:numId w:val="91"/>
        </w:numPr>
        <w:spacing w:after="120"/>
        <w:ind w:left="709" w:hanging="357"/>
        <w:rPr>
          <w:rFonts w:ascii="DM Sans" w:hAnsi="DM Sans" w:cs="Calibri"/>
          <w:sz w:val="20"/>
          <w:lang w:eastAsia="en-GB"/>
        </w:rPr>
      </w:pPr>
      <w:r>
        <w:rPr>
          <w:rFonts w:ascii="DM Sans" w:hAnsi="DM Sans"/>
          <w:sz w:val="20"/>
        </w:rPr>
        <w:t xml:space="preserve">While the PC </w:t>
      </w:r>
      <w:r w:rsidR="00841FC3">
        <w:rPr>
          <w:rFonts w:ascii="DM Sans" w:hAnsi="DM Sans"/>
          <w:sz w:val="20"/>
        </w:rPr>
        <w:t>recogni</w:t>
      </w:r>
      <w:r w:rsidR="007417BA">
        <w:rPr>
          <w:rFonts w:ascii="DM Sans" w:hAnsi="DM Sans"/>
          <w:sz w:val="20"/>
        </w:rPr>
        <w:t>s</w:t>
      </w:r>
      <w:r w:rsidR="00841FC3">
        <w:rPr>
          <w:rFonts w:ascii="DM Sans" w:hAnsi="DM Sans"/>
          <w:sz w:val="20"/>
        </w:rPr>
        <w:t>es</w:t>
      </w:r>
      <w:r w:rsidR="006763FF">
        <w:rPr>
          <w:rFonts w:ascii="DM Sans" w:hAnsi="DM Sans"/>
          <w:sz w:val="20"/>
        </w:rPr>
        <w:t xml:space="preserve"> culture is pivotal to driving national giving - </w:t>
      </w:r>
      <w:r w:rsidR="00841FC3" w:rsidRPr="00EC4216">
        <w:rPr>
          <w:rFonts w:ascii="DM Sans" w:hAnsi="DM Sans"/>
          <w:sz w:val="20"/>
        </w:rPr>
        <w:t>‘There are good reasons to expect that social and cultural norms play an important role in attitudes towards expected giving and actual giving outcomes (p.96)</w:t>
      </w:r>
      <w:r w:rsidR="002F03C7">
        <w:rPr>
          <w:rFonts w:ascii="DM Sans" w:hAnsi="DM Sans"/>
          <w:sz w:val="20"/>
        </w:rPr>
        <w:t>’</w:t>
      </w:r>
      <w:r w:rsidR="006763FF" w:rsidRPr="00EC4216">
        <w:rPr>
          <w:rFonts w:ascii="DM Sans" w:hAnsi="DM Sans"/>
          <w:sz w:val="20"/>
        </w:rPr>
        <w:t xml:space="preserve"> – no</w:t>
      </w:r>
      <w:r w:rsidR="00EC4216" w:rsidRPr="00EC4216">
        <w:rPr>
          <w:rFonts w:ascii="DM Sans" w:hAnsi="DM Sans"/>
          <w:sz w:val="20"/>
        </w:rPr>
        <w:t xml:space="preserve"> major reforms </w:t>
      </w:r>
      <w:r w:rsidR="00EC4216">
        <w:rPr>
          <w:rFonts w:ascii="DM Sans" w:hAnsi="DM Sans"/>
          <w:sz w:val="20"/>
        </w:rPr>
        <w:t>are developed to c</w:t>
      </w:r>
      <w:r w:rsidR="00F5000C">
        <w:rPr>
          <w:rFonts w:ascii="DM Sans" w:hAnsi="DM Sans"/>
          <w:sz w:val="20"/>
        </w:rPr>
        <w:t>reate a more generous and giving culture in Australia.</w:t>
      </w:r>
    </w:p>
    <w:p w14:paraId="647D34B6" w14:textId="1D242DD0" w:rsidR="0062522A" w:rsidRPr="0062522A" w:rsidRDefault="00977381" w:rsidP="00A547B7">
      <w:pPr>
        <w:pStyle w:val="ListParagraph"/>
        <w:numPr>
          <w:ilvl w:val="1"/>
          <w:numId w:val="91"/>
        </w:numPr>
        <w:spacing w:after="120"/>
        <w:ind w:left="709"/>
        <w:rPr>
          <w:rFonts w:ascii="DM Sans" w:hAnsi="DM Sans" w:cs="Calibri"/>
          <w:sz w:val="20"/>
          <w:lang w:eastAsia="en-GB"/>
        </w:rPr>
      </w:pPr>
      <w:r>
        <w:rPr>
          <w:rFonts w:ascii="DM Sans" w:hAnsi="DM Sans"/>
          <w:sz w:val="20"/>
        </w:rPr>
        <w:t>The draft report would leave Australia without a single, comprehensive national giving data set</w:t>
      </w:r>
      <w:r w:rsidR="00CC6299">
        <w:rPr>
          <w:rFonts w:ascii="DM Sans" w:hAnsi="DM Sans"/>
          <w:sz w:val="20"/>
        </w:rPr>
        <w:t xml:space="preserve"> on giving and volunteering to inform policy and the work of philanthropy and charity</w:t>
      </w:r>
      <w:r w:rsidR="008D3CCE">
        <w:rPr>
          <w:rFonts w:ascii="DM Sans" w:hAnsi="DM Sans"/>
          <w:sz w:val="20"/>
        </w:rPr>
        <w:t>, and no substantive</w:t>
      </w:r>
      <w:r w:rsidR="00CF2AC9">
        <w:rPr>
          <w:rFonts w:ascii="DM Sans" w:hAnsi="DM Sans"/>
          <w:sz w:val="20"/>
        </w:rPr>
        <w:t xml:space="preserve"> governance arrangements to drive </w:t>
      </w:r>
      <w:r w:rsidR="00A153F4">
        <w:rPr>
          <w:rFonts w:ascii="DM Sans" w:hAnsi="DM Sans"/>
          <w:sz w:val="20"/>
        </w:rPr>
        <w:t xml:space="preserve">stronger collaboration between government and philanthropy, and in turn, </w:t>
      </w:r>
      <w:r w:rsidR="00CF2AC9">
        <w:rPr>
          <w:rFonts w:ascii="DM Sans" w:hAnsi="DM Sans"/>
          <w:sz w:val="20"/>
        </w:rPr>
        <w:t xml:space="preserve">much stronger social impact per philanthropy dollar </w:t>
      </w:r>
      <w:r w:rsidR="007B122C">
        <w:rPr>
          <w:rFonts w:ascii="DM Sans" w:hAnsi="DM Sans"/>
          <w:sz w:val="20"/>
        </w:rPr>
        <w:t>expended</w:t>
      </w:r>
      <w:r w:rsidR="00CF2AC9">
        <w:rPr>
          <w:rFonts w:ascii="DM Sans" w:hAnsi="DM Sans"/>
          <w:sz w:val="20"/>
        </w:rPr>
        <w:t>.</w:t>
      </w:r>
    </w:p>
    <w:p w14:paraId="0A3ABB31" w14:textId="532869A7" w:rsidR="006826F9" w:rsidRPr="00F9211B" w:rsidRDefault="00F9211B" w:rsidP="00A547B7">
      <w:pPr>
        <w:pStyle w:val="ListParagraph"/>
        <w:numPr>
          <w:ilvl w:val="0"/>
          <w:numId w:val="91"/>
        </w:numPr>
        <w:spacing w:after="120"/>
        <w:ind w:hanging="357"/>
        <w:rPr>
          <w:rFonts w:ascii="DM Sans" w:hAnsi="DM Sans" w:cs="Calibri"/>
          <w:sz w:val="20"/>
          <w:lang w:eastAsia="en-GB"/>
        </w:rPr>
      </w:pPr>
      <w:r>
        <w:rPr>
          <w:rFonts w:ascii="DM Sans" w:hAnsi="DM Sans"/>
          <w:sz w:val="20"/>
        </w:rPr>
        <w:t>PA is</w:t>
      </w:r>
      <w:r w:rsidR="006826F9" w:rsidRPr="00F9211B">
        <w:rPr>
          <w:rFonts w:ascii="DM Sans" w:hAnsi="DM Sans"/>
          <w:sz w:val="20"/>
        </w:rPr>
        <w:t xml:space="preserve"> concerned the PC is indicating limited reform is needed.  </w:t>
      </w:r>
    </w:p>
    <w:p w14:paraId="0782A380" w14:textId="3B25EFD8" w:rsidR="006826F9" w:rsidRPr="009735E7" w:rsidRDefault="006826F9" w:rsidP="007B1070">
      <w:pPr>
        <w:pStyle w:val="ListParagraph"/>
        <w:numPr>
          <w:ilvl w:val="0"/>
          <w:numId w:val="19"/>
        </w:numPr>
        <w:spacing w:after="120"/>
        <w:ind w:hanging="357"/>
        <w:rPr>
          <w:rFonts w:ascii="DM Sans" w:hAnsi="DM Sans"/>
          <w:sz w:val="20"/>
        </w:rPr>
      </w:pPr>
      <w:r w:rsidRPr="000738E9">
        <w:rPr>
          <w:rFonts w:ascii="DM Sans" w:hAnsi="DM Sans"/>
          <w:sz w:val="20"/>
        </w:rPr>
        <w:t>The draft report</w:t>
      </w:r>
      <w:r w:rsidR="00A72E56">
        <w:rPr>
          <w:rFonts w:ascii="DM Sans" w:hAnsi="DM Sans"/>
          <w:sz w:val="20"/>
        </w:rPr>
        <w:t xml:space="preserve"> states: </w:t>
      </w:r>
      <w:r w:rsidR="00A72E56" w:rsidRPr="000738E9">
        <w:rPr>
          <w:rFonts w:ascii="DM Sans" w:hAnsi="DM Sans"/>
          <w:sz w:val="20"/>
        </w:rPr>
        <w:t xml:space="preserve">‘The Productivity Commission estimates that total giving to all registered charities will be about $26.5 billion in 2029-30 if the average nominal growth rate </w:t>
      </w:r>
      <w:r w:rsidR="00A72E56" w:rsidRPr="009735E7">
        <w:rPr>
          <w:rFonts w:ascii="DM Sans" w:hAnsi="DM Sans"/>
          <w:sz w:val="20"/>
        </w:rPr>
        <w:t>(7.9%) of this measure of giving continues [a doubling from $13 billion in 2021].’</w:t>
      </w:r>
      <w:r w:rsidR="009735E7" w:rsidRPr="009735E7">
        <w:rPr>
          <w:rFonts w:ascii="DM Sans" w:hAnsi="DM Sans"/>
          <w:sz w:val="20"/>
        </w:rPr>
        <w:t xml:space="preserve">  The PC states</w:t>
      </w:r>
      <w:r w:rsidRPr="009735E7">
        <w:rPr>
          <w:rFonts w:ascii="DM Sans" w:hAnsi="DM Sans"/>
          <w:sz w:val="20"/>
        </w:rPr>
        <w:t xml:space="preserve"> ‘Keeping the status quo is also an option available to government, and it is likely that giving, particularly donations by individuals, will continue to grow under the status quo.’ (p.68)</w:t>
      </w:r>
    </w:p>
    <w:p w14:paraId="277D5054" w14:textId="74BD28B1" w:rsidR="006826F9" w:rsidRDefault="006826F9" w:rsidP="007B1070">
      <w:pPr>
        <w:pStyle w:val="ListParagraph"/>
        <w:numPr>
          <w:ilvl w:val="1"/>
          <w:numId w:val="19"/>
        </w:numPr>
        <w:spacing w:after="120"/>
        <w:ind w:left="709"/>
        <w:rPr>
          <w:rFonts w:ascii="DM Sans" w:hAnsi="DM Sans"/>
          <w:sz w:val="20"/>
        </w:rPr>
      </w:pPr>
      <w:r w:rsidRPr="005B3C40">
        <w:rPr>
          <w:rFonts w:ascii="DM Sans" w:hAnsi="DM Sans"/>
          <w:sz w:val="20"/>
        </w:rPr>
        <w:t xml:space="preserve">PA does not consider it helpful to point out that, during a period of high inflation, giving will double in nominal terms over a decade.  A more credible measure of doubling giving would be to do so in real terms, or as a percentage of GDP (which would still leave us short of the US and New Zealand).  This would require that Australia increase its giving to in the vicinity of $35-40 billion by 2029-30. </w:t>
      </w:r>
      <w:r w:rsidR="00D53480">
        <w:rPr>
          <w:rFonts w:ascii="DM Sans" w:hAnsi="DM Sans"/>
          <w:sz w:val="20"/>
        </w:rPr>
        <w:t>Still, arguments about the numerical target miss a more important point.</w:t>
      </w:r>
    </w:p>
    <w:p w14:paraId="671D9EC0" w14:textId="06054D09" w:rsidR="00D53480" w:rsidRPr="006863B0" w:rsidRDefault="000067FE" w:rsidP="00A547B7">
      <w:pPr>
        <w:pStyle w:val="ListParagraph"/>
        <w:numPr>
          <w:ilvl w:val="0"/>
          <w:numId w:val="91"/>
        </w:numPr>
        <w:spacing w:after="120"/>
        <w:rPr>
          <w:rFonts w:ascii="DM Sans" w:hAnsi="DM Sans"/>
          <w:sz w:val="20"/>
        </w:rPr>
      </w:pPr>
      <w:r>
        <w:rPr>
          <w:rFonts w:ascii="DM Sans" w:hAnsi="DM Sans"/>
          <w:sz w:val="20"/>
        </w:rPr>
        <w:t xml:space="preserve">The key point is to consider how the final report can deliver </w:t>
      </w:r>
      <w:r w:rsidR="00E2109E">
        <w:rPr>
          <w:rFonts w:ascii="DM Sans" w:hAnsi="DM Sans"/>
          <w:sz w:val="20"/>
        </w:rPr>
        <w:t xml:space="preserve">the greatest improvement possible in community welfare.  </w:t>
      </w:r>
      <w:r w:rsidR="008B568C" w:rsidRPr="006863B0">
        <w:rPr>
          <w:rFonts w:ascii="DM Sans" w:hAnsi="DM Sans"/>
          <w:sz w:val="20"/>
        </w:rPr>
        <w:t xml:space="preserve">PA </w:t>
      </w:r>
      <w:r w:rsidR="00ED64BD" w:rsidRPr="006863B0">
        <w:rPr>
          <w:rFonts w:ascii="DM Sans" w:hAnsi="DM Sans"/>
          <w:sz w:val="20"/>
        </w:rPr>
        <w:t xml:space="preserve">is concerned a huge </w:t>
      </w:r>
      <w:r w:rsidR="00087416" w:rsidRPr="006863B0">
        <w:rPr>
          <w:rFonts w:ascii="DM Sans" w:hAnsi="DM Sans"/>
          <w:sz w:val="20"/>
        </w:rPr>
        <w:t>opportunity</w:t>
      </w:r>
      <w:r w:rsidR="00ED64BD" w:rsidRPr="006863B0">
        <w:rPr>
          <w:rFonts w:ascii="DM Sans" w:hAnsi="DM Sans"/>
          <w:sz w:val="20"/>
        </w:rPr>
        <w:t xml:space="preserve"> to create a stronger society </w:t>
      </w:r>
      <w:r w:rsidR="00AF62B7" w:rsidRPr="006863B0">
        <w:rPr>
          <w:rFonts w:ascii="DM Sans" w:hAnsi="DM Sans"/>
          <w:sz w:val="20"/>
        </w:rPr>
        <w:t xml:space="preserve">could be </w:t>
      </w:r>
      <w:r w:rsidR="00EC6244">
        <w:rPr>
          <w:rFonts w:ascii="DM Sans" w:hAnsi="DM Sans"/>
          <w:sz w:val="20"/>
        </w:rPr>
        <w:t>less than fully grasped.</w:t>
      </w:r>
      <w:r w:rsidR="00AF62B7" w:rsidRPr="006863B0">
        <w:rPr>
          <w:rFonts w:ascii="DM Sans" w:hAnsi="DM Sans"/>
          <w:sz w:val="20"/>
        </w:rPr>
        <w:t xml:space="preserve">  </w:t>
      </w:r>
      <w:r w:rsidR="00A72DC2" w:rsidRPr="006863B0">
        <w:rPr>
          <w:rFonts w:ascii="DM Sans" w:hAnsi="DM Sans"/>
          <w:sz w:val="20"/>
        </w:rPr>
        <w:t xml:space="preserve">We urge the PC in their final report to </w:t>
      </w:r>
      <w:r w:rsidR="000609BE" w:rsidRPr="006863B0">
        <w:rPr>
          <w:rFonts w:ascii="DM Sans" w:hAnsi="DM Sans"/>
          <w:sz w:val="20"/>
        </w:rPr>
        <w:t xml:space="preserve">provide the </w:t>
      </w:r>
      <w:r w:rsidR="005D5A07" w:rsidRPr="006863B0">
        <w:rPr>
          <w:rFonts w:ascii="DM Sans" w:hAnsi="DM Sans"/>
          <w:sz w:val="20"/>
        </w:rPr>
        <w:t xml:space="preserve">government </w:t>
      </w:r>
      <w:r w:rsidR="000609BE" w:rsidRPr="006863B0">
        <w:rPr>
          <w:rFonts w:ascii="DM Sans" w:hAnsi="DM Sans"/>
          <w:sz w:val="20"/>
        </w:rPr>
        <w:t>with a suite of high impact policy</w:t>
      </w:r>
      <w:r w:rsidR="005D5A07" w:rsidRPr="006863B0">
        <w:rPr>
          <w:rFonts w:ascii="DM Sans" w:hAnsi="DM Sans"/>
          <w:sz w:val="20"/>
        </w:rPr>
        <w:t xml:space="preserve"> options aimed at delivering a step-change increase in the culture and practice of giving in Australia</w:t>
      </w:r>
      <w:r w:rsidR="00CE62C3" w:rsidRPr="006863B0">
        <w:rPr>
          <w:rFonts w:ascii="DM Sans" w:hAnsi="DM Sans"/>
          <w:sz w:val="20"/>
        </w:rPr>
        <w:t>.</w:t>
      </w:r>
      <w:r w:rsidR="00115644" w:rsidRPr="006863B0">
        <w:rPr>
          <w:rFonts w:ascii="DM Sans" w:hAnsi="DM Sans"/>
          <w:sz w:val="20"/>
        </w:rPr>
        <w:t xml:space="preserve">  </w:t>
      </w:r>
      <w:r w:rsidR="00533A2A" w:rsidRPr="00533A2A">
        <w:rPr>
          <w:rFonts w:ascii="DM Sans" w:hAnsi="DM Sans"/>
          <w:sz w:val="20"/>
          <w:lang w:val="en-AU"/>
        </w:rPr>
        <w:t xml:space="preserve">It has been rare that governments have given philanthropy such substantive consideration – so this might be the only opportunity to optimise </w:t>
      </w:r>
      <w:r w:rsidR="009655E2">
        <w:rPr>
          <w:rFonts w:ascii="DM Sans" w:hAnsi="DM Sans"/>
          <w:sz w:val="20"/>
          <w:lang w:val="en-AU"/>
        </w:rPr>
        <w:t xml:space="preserve">system-wide </w:t>
      </w:r>
      <w:r w:rsidR="00533A2A" w:rsidRPr="00533A2A">
        <w:rPr>
          <w:rFonts w:ascii="DM Sans" w:hAnsi="DM Sans"/>
          <w:sz w:val="20"/>
          <w:lang w:val="en-AU"/>
        </w:rPr>
        <w:t>policy settings for giving and volunteering in a generation or more.</w:t>
      </w:r>
      <w:r w:rsidR="00533A2A">
        <w:rPr>
          <w:rFonts w:ascii="DM Sans" w:hAnsi="DM Sans"/>
          <w:sz w:val="20"/>
          <w:lang w:val="en-AU"/>
        </w:rPr>
        <w:t xml:space="preserve"> </w:t>
      </w:r>
      <w:r w:rsidR="006863B0" w:rsidRPr="006863B0">
        <w:rPr>
          <w:rFonts w:ascii="DM Sans" w:hAnsi="DM Sans"/>
          <w:sz w:val="20"/>
        </w:rPr>
        <w:t xml:space="preserve">Let us </w:t>
      </w:r>
      <w:r w:rsidR="00115644" w:rsidRPr="006863B0">
        <w:rPr>
          <w:rFonts w:ascii="DM Sans" w:hAnsi="DM Sans"/>
          <w:sz w:val="20"/>
        </w:rPr>
        <w:t>grasp this rare opportunity to create a more generous and giving Australia, with greater support to address our biggest challenges, including more support for people in greatest need</w:t>
      </w:r>
      <w:r w:rsidR="006863B0">
        <w:rPr>
          <w:rFonts w:ascii="DM Sans" w:hAnsi="DM Sans"/>
          <w:sz w:val="20"/>
        </w:rPr>
        <w:t>.</w:t>
      </w:r>
    </w:p>
    <w:p w14:paraId="7E22CB5C" w14:textId="77777777" w:rsidR="00902C3A" w:rsidRDefault="00902C3A">
      <w:pPr>
        <w:spacing w:before="200" w:after="200" w:line="260" w:lineRule="atLeast"/>
        <w:rPr>
          <w:rFonts w:ascii="DM Sans" w:eastAsia="MS ??" w:hAnsi="DM Sans" w:cs="Calibri"/>
          <w:b/>
          <w:bCs/>
          <w:lang w:val="en-US" w:eastAsia="en-GB"/>
        </w:rPr>
      </w:pPr>
      <w:r>
        <w:rPr>
          <w:rFonts w:ascii="DM Sans" w:hAnsi="DM Sans" w:cs="Calibri"/>
          <w:b/>
          <w:bCs/>
          <w:lang w:eastAsia="en-GB"/>
        </w:rPr>
        <w:br w:type="page"/>
      </w:r>
    </w:p>
    <w:p w14:paraId="3D792945" w14:textId="5C8F3CF8" w:rsidR="00A62E5F" w:rsidRPr="00A62E5F" w:rsidRDefault="005E5BEF" w:rsidP="00A547B7">
      <w:pPr>
        <w:pStyle w:val="ListParagraph"/>
        <w:numPr>
          <w:ilvl w:val="0"/>
          <w:numId w:val="90"/>
        </w:numPr>
        <w:spacing w:after="120"/>
        <w:rPr>
          <w:rFonts w:ascii="DM Sans" w:hAnsi="DM Sans" w:cs="Calibri"/>
          <w:b/>
          <w:bCs/>
          <w:sz w:val="20"/>
          <w:lang w:eastAsia="en-GB"/>
        </w:rPr>
      </w:pPr>
      <w:r>
        <w:rPr>
          <w:rFonts w:ascii="DM Sans" w:hAnsi="DM Sans" w:cs="Calibri"/>
          <w:b/>
          <w:bCs/>
          <w:sz w:val="20"/>
          <w:lang w:eastAsia="en-GB"/>
        </w:rPr>
        <w:lastRenderedPageBreak/>
        <w:t>Further i</w:t>
      </w:r>
      <w:r w:rsidR="00A62E5F" w:rsidRPr="00A62E5F">
        <w:rPr>
          <w:rFonts w:ascii="DM Sans" w:hAnsi="DM Sans" w:cs="Calibri"/>
          <w:b/>
          <w:bCs/>
          <w:sz w:val="20"/>
          <w:lang w:eastAsia="en-GB"/>
        </w:rPr>
        <w:t xml:space="preserve">dentify, </w:t>
      </w:r>
      <w:proofErr w:type="gramStart"/>
      <w:r w:rsidR="00A62E5F" w:rsidRPr="00A62E5F">
        <w:rPr>
          <w:rFonts w:ascii="DM Sans" w:hAnsi="DM Sans" w:cs="Calibri"/>
          <w:b/>
          <w:bCs/>
          <w:sz w:val="20"/>
          <w:lang w:eastAsia="en-GB"/>
        </w:rPr>
        <w:t>develop</w:t>
      </w:r>
      <w:proofErr w:type="gramEnd"/>
      <w:r w:rsidR="00A62E5F" w:rsidRPr="00A62E5F">
        <w:rPr>
          <w:rFonts w:ascii="DM Sans" w:hAnsi="DM Sans" w:cs="Calibri"/>
          <w:b/>
          <w:bCs/>
          <w:sz w:val="20"/>
          <w:lang w:eastAsia="en-GB"/>
        </w:rPr>
        <w:t xml:space="preserve"> and reflect in the report the </w:t>
      </w:r>
      <w:r>
        <w:rPr>
          <w:rFonts w:ascii="DM Sans" w:hAnsi="DM Sans" w:cs="Calibri"/>
          <w:b/>
          <w:bCs/>
          <w:sz w:val="20"/>
          <w:lang w:eastAsia="en-GB"/>
        </w:rPr>
        <w:t>‘yes’</w:t>
      </w:r>
      <w:r w:rsidR="00F8348F">
        <w:rPr>
          <w:rFonts w:ascii="DM Sans" w:hAnsi="DM Sans" w:cs="Calibri"/>
          <w:b/>
          <w:bCs/>
          <w:sz w:val="20"/>
          <w:lang w:eastAsia="en-GB"/>
        </w:rPr>
        <w:t xml:space="preserve"> </w:t>
      </w:r>
      <w:r w:rsidR="00A62E5F" w:rsidRPr="00A62E5F">
        <w:rPr>
          <w:rFonts w:ascii="DM Sans" w:hAnsi="DM Sans" w:cs="Calibri"/>
          <w:b/>
          <w:bCs/>
          <w:sz w:val="20"/>
          <w:lang w:eastAsia="en-GB"/>
        </w:rPr>
        <w:t>case for high-impact reforms</w:t>
      </w:r>
      <w:r w:rsidR="00F8348F">
        <w:rPr>
          <w:rFonts w:ascii="DM Sans" w:hAnsi="DM Sans" w:cs="Calibri"/>
          <w:b/>
          <w:bCs/>
          <w:sz w:val="20"/>
          <w:lang w:eastAsia="en-GB"/>
        </w:rPr>
        <w:t>, including</w:t>
      </w:r>
      <w:r w:rsidR="00A62E5F" w:rsidRPr="00A62E5F">
        <w:rPr>
          <w:rFonts w:ascii="DM Sans" w:hAnsi="DM Sans" w:cs="Calibri"/>
          <w:b/>
          <w:bCs/>
          <w:sz w:val="20"/>
          <w:lang w:eastAsia="en-GB"/>
        </w:rPr>
        <w:t xml:space="preserve"> how they can be designed to overcome risks, work effectively and efficiently, and deliver a net community benefit</w:t>
      </w:r>
      <w:r w:rsidR="005E504D">
        <w:rPr>
          <w:rFonts w:ascii="DM Sans" w:hAnsi="DM Sans" w:cs="Calibri"/>
          <w:b/>
          <w:bCs/>
          <w:sz w:val="20"/>
          <w:lang w:eastAsia="en-GB"/>
        </w:rPr>
        <w:t>.</w:t>
      </w:r>
      <w:r w:rsidR="00A62E5F" w:rsidRPr="00A62E5F">
        <w:rPr>
          <w:rFonts w:ascii="DM Sans" w:hAnsi="DM Sans" w:cs="Calibri"/>
          <w:b/>
          <w:bCs/>
          <w:sz w:val="20"/>
          <w:lang w:eastAsia="en-GB"/>
        </w:rPr>
        <w:t xml:space="preserve"> </w:t>
      </w:r>
    </w:p>
    <w:p w14:paraId="772198E7" w14:textId="123A5C68" w:rsidR="00172228" w:rsidRDefault="005D6178" w:rsidP="00812E03">
      <w:pPr>
        <w:pStyle w:val="BodyText"/>
        <w:rPr>
          <w:rFonts w:ascii="DM Sans" w:hAnsi="DM Sans"/>
        </w:rPr>
      </w:pPr>
      <w:r w:rsidRPr="00CE48C8">
        <w:rPr>
          <w:rFonts w:ascii="DM Sans" w:hAnsi="DM Sans"/>
        </w:rPr>
        <w:t xml:space="preserve">In </w:t>
      </w:r>
      <w:r w:rsidR="008B5C27">
        <w:rPr>
          <w:rFonts w:ascii="DM Sans" w:hAnsi="DM Sans"/>
        </w:rPr>
        <w:t>many</w:t>
      </w:r>
      <w:r w:rsidRPr="00CE48C8">
        <w:rPr>
          <w:rFonts w:ascii="DM Sans" w:hAnsi="DM Sans"/>
        </w:rPr>
        <w:t xml:space="preserve"> cases in the draft report – such as DGR reform – the </w:t>
      </w:r>
      <w:r w:rsidR="00D7425B">
        <w:rPr>
          <w:rFonts w:ascii="DM Sans" w:hAnsi="DM Sans"/>
        </w:rPr>
        <w:t xml:space="preserve">policy </w:t>
      </w:r>
      <w:r w:rsidR="00D7425B" w:rsidRPr="005E504D">
        <w:rPr>
          <w:rFonts w:ascii="DM Sans" w:hAnsi="DM Sans"/>
        </w:rPr>
        <w:t>option</w:t>
      </w:r>
      <w:r w:rsidR="00D7425B">
        <w:rPr>
          <w:rFonts w:ascii="DM Sans" w:hAnsi="DM Sans"/>
        </w:rPr>
        <w:t xml:space="preserve"> and the </w:t>
      </w:r>
      <w:r w:rsidRPr="00CE48C8">
        <w:rPr>
          <w:rFonts w:ascii="DM Sans" w:hAnsi="DM Sans"/>
        </w:rPr>
        <w:t xml:space="preserve">case for </w:t>
      </w:r>
      <w:r w:rsidR="00364E80">
        <w:rPr>
          <w:rFonts w:ascii="DM Sans" w:hAnsi="DM Sans"/>
        </w:rPr>
        <w:t xml:space="preserve">and against </w:t>
      </w:r>
      <w:r w:rsidRPr="00CE48C8">
        <w:rPr>
          <w:rFonts w:ascii="DM Sans" w:hAnsi="DM Sans"/>
        </w:rPr>
        <w:t>reform is well</w:t>
      </w:r>
      <w:r w:rsidR="00B20C24">
        <w:rPr>
          <w:rFonts w:ascii="DM Sans" w:hAnsi="DM Sans"/>
        </w:rPr>
        <w:t xml:space="preserve"> </w:t>
      </w:r>
      <w:r w:rsidRPr="00CE48C8">
        <w:rPr>
          <w:rFonts w:ascii="DM Sans" w:hAnsi="DM Sans"/>
        </w:rPr>
        <w:t xml:space="preserve">articulated.  </w:t>
      </w:r>
      <w:r w:rsidR="00194F93">
        <w:rPr>
          <w:rFonts w:ascii="DM Sans" w:hAnsi="DM Sans"/>
        </w:rPr>
        <w:t xml:space="preserve">In a few cases, </w:t>
      </w:r>
      <w:r w:rsidR="003F4A1D">
        <w:rPr>
          <w:rFonts w:ascii="DM Sans" w:hAnsi="DM Sans"/>
        </w:rPr>
        <w:t xml:space="preserve">such as super bequests and the voluntary choice to donate as part of the tax return, the case for reform </w:t>
      </w:r>
      <w:r w:rsidR="00052638">
        <w:rPr>
          <w:rFonts w:ascii="DM Sans" w:hAnsi="DM Sans"/>
        </w:rPr>
        <w:t xml:space="preserve">is less than fully developed, </w:t>
      </w:r>
      <w:r w:rsidR="000472AC">
        <w:rPr>
          <w:rFonts w:ascii="DM Sans" w:hAnsi="DM Sans"/>
        </w:rPr>
        <w:t>while costs and risks are extensively canvassed</w:t>
      </w:r>
      <w:r w:rsidR="00A93E07">
        <w:rPr>
          <w:rFonts w:ascii="DM Sans" w:hAnsi="DM Sans"/>
        </w:rPr>
        <w:t xml:space="preserve">. </w:t>
      </w:r>
      <w:r w:rsidR="00F96FAD">
        <w:rPr>
          <w:rFonts w:ascii="DM Sans" w:hAnsi="DM Sans"/>
        </w:rPr>
        <w:t xml:space="preserve"> PA would like to see more attention given to identifying the case for action</w:t>
      </w:r>
      <w:r w:rsidR="000E0E7D">
        <w:rPr>
          <w:rFonts w:ascii="DM Sans" w:hAnsi="DM Sans"/>
        </w:rPr>
        <w:t>, how</w:t>
      </w:r>
      <w:r w:rsidR="008B5C27">
        <w:rPr>
          <w:rFonts w:ascii="DM Sans" w:hAnsi="DM Sans"/>
        </w:rPr>
        <w:t xml:space="preserve"> risks can be mitigated, and a policy option designed </w:t>
      </w:r>
      <w:r w:rsidR="006A6ACD">
        <w:rPr>
          <w:rFonts w:ascii="DM Sans" w:hAnsi="DM Sans"/>
        </w:rPr>
        <w:t>to work effectively.</w:t>
      </w:r>
      <w:r w:rsidR="00337EF2">
        <w:rPr>
          <w:rFonts w:ascii="DM Sans" w:hAnsi="DM Sans"/>
        </w:rPr>
        <w:t xml:space="preserve">  </w:t>
      </w:r>
      <w:r w:rsidR="0060365A">
        <w:rPr>
          <w:rFonts w:ascii="DM Sans" w:hAnsi="DM Sans"/>
        </w:rPr>
        <w:t xml:space="preserve">More detail on these arguments is provided at </w:t>
      </w:r>
      <w:r w:rsidR="0060365A" w:rsidRPr="00D9302E">
        <w:rPr>
          <w:rFonts w:ascii="DM Sans" w:hAnsi="DM Sans"/>
          <w:u w:val="single"/>
        </w:rPr>
        <w:t xml:space="preserve">Attachment One: </w:t>
      </w:r>
      <w:r w:rsidR="0060365A">
        <w:rPr>
          <w:rFonts w:ascii="DM Sans" w:hAnsi="DM Sans"/>
          <w:u w:val="single"/>
        </w:rPr>
        <w:t xml:space="preserve">Further Developing the </w:t>
      </w:r>
      <w:r w:rsidR="00F11885">
        <w:rPr>
          <w:rFonts w:ascii="DM Sans" w:hAnsi="DM Sans"/>
          <w:u w:val="single"/>
        </w:rPr>
        <w:t>Case for Reform</w:t>
      </w:r>
      <w:r w:rsidR="0060365A" w:rsidRPr="00D9302E">
        <w:rPr>
          <w:rFonts w:ascii="DM Sans" w:hAnsi="DM Sans"/>
          <w:u w:val="single"/>
        </w:rPr>
        <w:t>.</w:t>
      </w:r>
      <w:r w:rsidR="0060365A" w:rsidRPr="00ED1443">
        <w:rPr>
          <w:rFonts w:ascii="DM Sans" w:hAnsi="DM Sans"/>
        </w:rPr>
        <w:t xml:space="preserve">  In a nutshell:</w:t>
      </w:r>
    </w:p>
    <w:p w14:paraId="37E0E6A8" w14:textId="0219CFBC" w:rsidR="009E2E34" w:rsidRDefault="009E2E34" w:rsidP="00B255C9">
      <w:pPr>
        <w:pStyle w:val="BodyText"/>
        <w:numPr>
          <w:ilvl w:val="0"/>
          <w:numId w:val="37"/>
        </w:numPr>
        <w:rPr>
          <w:rFonts w:ascii="DM Sans" w:hAnsi="DM Sans"/>
          <w:b/>
          <w:bCs/>
        </w:rPr>
      </w:pPr>
      <w:r w:rsidRPr="00390478">
        <w:rPr>
          <w:rFonts w:ascii="DM Sans" w:hAnsi="DM Sans"/>
          <w:b/>
          <w:bCs/>
        </w:rPr>
        <w:t xml:space="preserve">A voluntary choice to donate as part of the tax return: </w:t>
      </w:r>
      <w:r>
        <w:rPr>
          <w:rFonts w:ascii="DM Sans" w:hAnsi="DM Sans"/>
        </w:rPr>
        <w:t xml:space="preserve"> </w:t>
      </w:r>
      <w:r w:rsidR="00310A9A">
        <w:rPr>
          <w:rFonts w:ascii="DM Sans" w:hAnsi="DM Sans"/>
        </w:rPr>
        <w:t>T</w:t>
      </w:r>
      <w:r>
        <w:rPr>
          <w:rFonts w:ascii="DM Sans" w:hAnsi="DM Sans"/>
        </w:rPr>
        <w:t xml:space="preserve">his reform </w:t>
      </w:r>
      <w:r w:rsidR="00ED1443">
        <w:rPr>
          <w:rFonts w:ascii="DM Sans" w:hAnsi="DM Sans"/>
        </w:rPr>
        <w:t>may have the</w:t>
      </w:r>
      <w:r>
        <w:rPr>
          <w:rFonts w:ascii="DM Sans" w:hAnsi="DM Sans"/>
        </w:rPr>
        <w:t xml:space="preserve"> potential to deliver tens of billions each decade, making it one of the two very high impact potential reforms available to lift giving</w:t>
      </w:r>
      <w:r w:rsidR="00ED1443">
        <w:rPr>
          <w:rFonts w:ascii="DM Sans" w:hAnsi="DM Sans"/>
        </w:rPr>
        <w:t>,</w:t>
      </w:r>
      <w:r>
        <w:rPr>
          <w:rFonts w:ascii="DM Sans" w:hAnsi="DM Sans"/>
        </w:rPr>
        <w:t xml:space="preserve"> along with super bequests.</w:t>
      </w:r>
      <w:r>
        <w:rPr>
          <w:rFonts w:ascii="DM Sans" w:hAnsi="DM Sans"/>
          <w:b/>
          <w:bCs/>
        </w:rPr>
        <w:t xml:space="preserve">  </w:t>
      </w:r>
      <w:r w:rsidRPr="00A868BA">
        <w:rPr>
          <w:rFonts w:ascii="DM Sans" w:hAnsi="DM Sans"/>
        </w:rPr>
        <w:t xml:space="preserve">The PC has indicated that </w:t>
      </w:r>
      <w:r>
        <w:rPr>
          <w:rFonts w:ascii="DM Sans" w:hAnsi="DM Sans"/>
        </w:rPr>
        <w:t>‘DGR giving’ is welfare enhancing, so if this reform can enhance such giving, (all other things being equal)</w:t>
      </w:r>
      <w:r w:rsidR="00630BB0">
        <w:rPr>
          <w:rFonts w:ascii="DM Sans" w:hAnsi="DM Sans"/>
        </w:rPr>
        <w:t>,</w:t>
      </w:r>
      <w:r>
        <w:rPr>
          <w:rFonts w:ascii="DM Sans" w:hAnsi="DM Sans"/>
        </w:rPr>
        <w:t xml:space="preserve"> it too is welfare enhancing.</w:t>
      </w:r>
      <w:r>
        <w:rPr>
          <w:rFonts w:ascii="DM Sans" w:hAnsi="DM Sans"/>
          <w:b/>
          <w:bCs/>
        </w:rPr>
        <w:t xml:space="preserve"> </w:t>
      </w:r>
      <w:r w:rsidR="002409BC">
        <w:rPr>
          <w:rFonts w:ascii="DM Sans" w:hAnsi="DM Sans"/>
          <w:b/>
          <w:bCs/>
        </w:rPr>
        <w:t xml:space="preserve"> </w:t>
      </w:r>
      <w:r w:rsidR="002409BC" w:rsidRPr="003C79A2">
        <w:rPr>
          <w:rFonts w:ascii="DM Sans" w:hAnsi="DM Sans"/>
        </w:rPr>
        <w:t xml:space="preserve">The analysis in the draft report focuses </w:t>
      </w:r>
      <w:r w:rsidR="005F06D7" w:rsidRPr="003C79A2">
        <w:rPr>
          <w:rFonts w:ascii="DM Sans" w:hAnsi="DM Sans"/>
        </w:rPr>
        <w:t xml:space="preserve">almost exclusively </w:t>
      </w:r>
      <w:r w:rsidR="003C79A2" w:rsidRPr="003C79A2">
        <w:rPr>
          <w:rFonts w:ascii="DM Sans" w:hAnsi="DM Sans"/>
        </w:rPr>
        <w:t xml:space="preserve">on why the reform should not occur. </w:t>
      </w:r>
      <w:r w:rsidR="00310A9A">
        <w:rPr>
          <w:rFonts w:ascii="DM Sans" w:hAnsi="DM Sans"/>
        </w:rPr>
        <w:t>As detailed in Attachment</w:t>
      </w:r>
      <w:r w:rsidR="00F951C9">
        <w:rPr>
          <w:rFonts w:ascii="DM Sans" w:hAnsi="DM Sans"/>
        </w:rPr>
        <w:t xml:space="preserve"> One</w:t>
      </w:r>
      <w:r w:rsidR="00310A9A">
        <w:rPr>
          <w:rFonts w:ascii="DM Sans" w:hAnsi="DM Sans"/>
        </w:rPr>
        <w:t>, P</w:t>
      </w:r>
      <w:r w:rsidR="008E48F7">
        <w:rPr>
          <w:rFonts w:ascii="DM Sans" w:hAnsi="DM Sans"/>
        </w:rPr>
        <w:t xml:space="preserve">A does not agree with the analysis outlined. </w:t>
      </w:r>
      <w:r w:rsidR="002409BC" w:rsidRPr="003C79A2">
        <w:rPr>
          <w:rFonts w:ascii="DM Sans" w:hAnsi="DM Sans"/>
        </w:rPr>
        <w:t xml:space="preserve"> </w:t>
      </w:r>
      <w:r w:rsidR="003C79A2">
        <w:rPr>
          <w:rFonts w:ascii="DM Sans" w:hAnsi="DM Sans"/>
        </w:rPr>
        <w:t xml:space="preserve">Given the </w:t>
      </w:r>
      <w:r w:rsidR="004E61F4">
        <w:rPr>
          <w:rFonts w:ascii="DM Sans" w:hAnsi="DM Sans"/>
        </w:rPr>
        <w:t>magnitude of the potential benefits, we</w:t>
      </w:r>
      <w:r w:rsidRPr="00852238">
        <w:rPr>
          <w:rFonts w:ascii="DM Sans" w:hAnsi="DM Sans"/>
        </w:rPr>
        <w:t xml:space="preserve"> believe the </w:t>
      </w:r>
      <w:r w:rsidRPr="00E9353B">
        <w:rPr>
          <w:rFonts w:ascii="DM Sans" w:hAnsi="DM Sans"/>
        </w:rPr>
        <w:t xml:space="preserve">PC </w:t>
      </w:r>
      <w:r w:rsidRPr="00572248">
        <w:rPr>
          <w:rFonts w:ascii="DM Sans" w:hAnsi="DM Sans"/>
        </w:rPr>
        <w:t xml:space="preserve">could do more to </w:t>
      </w:r>
      <w:r w:rsidRPr="00E9353B">
        <w:rPr>
          <w:rFonts w:ascii="DM Sans" w:hAnsi="DM Sans"/>
        </w:rPr>
        <w:t xml:space="preserve">consider the ‘yes case’ for action, how </w:t>
      </w:r>
      <w:r w:rsidRPr="00572248">
        <w:rPr>
          <w:rFonts w:ascii="DM Sans" w:hAnsi="DM Sans"/>
        </w:rPr>
        <w:t xml:space="preserve">the </w:t>
      </w:r>
      <w:r w:rsidRPr="00E9353B">
        <w:rPr>
          <w:rFonts w:ascii="DM Sans" w:hAnsi="DM Sans"/>
        </w:rPr>
        <w:t xml:space="preserve">risks </w:t>
      </w:r>
      <w:r w:rsidRPr="00572248">
        <w:rPr>
          <w:rFonts w:ascii="DM Sans" w:hAnsi="DM Sans"/>
        </w:rPr>
        <w:t>it identifies</w:t>
      </w:r>
      <w:r w:rsidRPr="00E9353B">
        <w:rPr>
          <w:rFonts w:ascii="DM Sans" w:hAnsi="DM Sans"/>
        </w:rPr>
        <w:t xml:space="preserve"> could be mitigated, whether benefits are likely to outweigh costs, and</w:t>
      </w:r>
      <w:r w:rsidRPr="00572248">
        <w:rPr>
          <w:rFonts w:ascii="DM Sans" w:hAnsi="DM Sans"/>
        </w:rPr>
        <w:t xml:space="preserve"> </w:t>
      </w:r>
      <w:r w:rsidRPr="00E9353B">
        <w:rPr>
          <w:rFonts w:ascii="DM Sans" w:hAnsi="DM Sans"/>
        </w:rPr>
        <w:t>how a scheme could be designed to lift giving and be welfare-enhancing.</w:t>
      </w:r>
      <w:r w:rsidRPr="00E9353B">
        <w:rPr>
          <w:rFonts w:ascii="DM Sans" w:hAnsi="DM Sans"/>
          <w:b/>
          <w:bCs/>
        </w:rPr>
        <w:t xml:space="preserve">  </w:t>
      </w:r>
    </w:p>
    <w:p w14:paraId="30C0FE1B" w14:textId="77777777" w:rsidR="0059130A" w:rsidRPr="00C64E9D" w:rsidRDefault="0059130A" w:rsidP="00542DCB">
      <w:pPr>
        <w:pStyle w:val="BodyText"/>
        <w:numPr>
          <w:ilvl w:val="0"/>
          <w:numId w:val="37"/>
        </w:numPr>
        <w:spacing w:after="60"/>
        <w:ind w:hanging="357"/>
        <w:rPr>
          <w:rFonts w:ascii="DM Sans" w:hAnsi="DM Sans"/>
          <w:b/>
          <w:bCs/>
        </w:rPr>
      </w:pPr>
      <w:r w:rsidRPr="005248E9">
        <w:rPr>
          <w:rFonts w:ascii="DM Sans" w:hAnsi="DM Sans"/>
          <w:b/>
          <w:bCs/>
        </w:rPr>
        <w:t xml:space="preserve">The choice to bequest through super: </w:t>
      </w:r>
      <w:r w:rsidRPr="00C83643">
        <w:rPr>
          <w:rFonts w:ascii="DM Sans" w:hAnsi="DM Sans"/>
        </w:rPr>
        <w:t xml:space="preserve">The report </w:t>
      </w:r>
      <w:r>
        <w:rPr>
          <w:rFonts w:ascii="DM Sans" w:hAnsi="DM Sans"/>
        </w:rPr>
        <w:t>underplays the benefits of reform by noting it would make the process simpler</w:t>
      </w:r>
      <w:r w:rsidRPr="00C83643">
        <w:rPr>
          <w:rFonts w:ascii="DM Sans" w:hAnsi="DM Sans"/>
        </w:rPr>
        <w:t xml:space="preserve">, </w:t>
      </w:r>
      <w:r>
        <w:rPr>
          <w:rFonts w:ascii="DM Sans" w:hAnsi="DM Sans"/>
        </w:rPr>
        <w:t>moves to a</w:t>
      </w:r>
      <w:r w:rsidRPr="00C83643">
        <w:rPr>
          <w:rFonts w:ascii="DM Sans" w:hAnsi="DM Sans"/>
        </w:rPr>
        <w:t xml:space="preserve"> section entitled ‘There should be a high threshold for changes to superannuation’, highlights a suite of risks and then calls for views from stakeholders.</w:t>
      </w:r>
      <w:r>
        <w:rPr>
          <w:rFonts w:ascii="DM Sans" w:hAnsi="DM Sans"/>
        </w:rPr>
        <w:t xml:space="preserve">  PA believes that, in stakeholder consultations, and in the final report, there could be a greater focus on:</w:t>
      </w:r>
    </w:p>
    <w:p w14:paraId="76E10E46" w14:textId="4DCA231B" w:rsidR="0059130A" w:rsidRDefault="0059130A" w:rsidP="00A547B7">
      <w:pPr>
        <w:pStyle w:val="BodyText"/>
        <w:numPr>
          <w:ilvl w:val="0"/>
          <w:numId w:val="92"/>
        </w:numPr>
        <w:spacing w:after="60"/>
        <w:ind w:hanging="357"/>
        <w:rPr>
          <w:rFonts w:ascii="DM Sans" w:hAnsi="DM Sans"/>
        </w:rPr>
      </w:pPr>
      <w:r w:rsidRPr="00ED5C01">
        <w:rPr>
          <w:rFonts w:ascii="DM Sans" w:hAnsi="DM Sans"/>
        </w:rPr>
        <w:t xml:space="preserve">Developing and reflecting the case for reform, </w:t>
      </w:r>
      <w:r>
        <w:rPr>
          <w:rFonts w:ascii="DM Sans" w:hAnsi="DM Sans"/>
        </w:rPr>
        <w:t>including</w:t>
      </w:r>
      <w:r w:rsidRPr="00ED5C01">
        <w:rPr>
          <w:rFonts w:ascii="DM Sans" w:hAnsi="DM Sans"/>
        </w:rPr>
        <w:t xml:space="preserve"> that it </w:t>
      </w:r>
      <w:r>
        <w:rPr>
          <w:rFonts w:ascii="DM Sans" w:hAnsi="DM Sans"/>
        </w:rPr>
        <w:t>w</w:t>
      </w:r>
      <w:r w:rsidRPr="00ED5C01">
        <w:rPr>
          <w:rFonts w:ascii="DM Sans" w:hAnsi="DM Sans"/>
        </w:rPr>
        <w:t xml:space="preserve">ould </w:t>
      </w:r>
      <w:r>
        <w:rPr>
          <w:rFonts w:ascii="DM Sans" w:hAnsi="DM Sans"/>
        </w:rPr>
        <w:t xml:space="preserve">likely </w:t>
      </w:r>
      <w:r w:rsidRPr="00ED5C01">
        <w:rPr>
          <w:rFonts w:ascii="DM Sans" w:hAnsi="DM Sans"/>
        </w:rPr>
        <w:t xml:space="preserve">deliver </w:t>
      </w:r>
      <w:r w:rsidR="00DB53E0">
        <w:rPr>
          <w:rFonts w:ascii="DM Sans" w:hAnsi="DM Sans"/>
        </w:rPr>
        <w:t>a</w:t>
      </w:r>
      <w:r w:rsidR="00DE7DFB">
        <w:rPr>
          <w:rFonts w:ascii="DM Sans" w:hAnsi="DM Sans"/>
        </w:rPr>
        <w:t>t least tens</w:t>
      </w:r>
      <w:r w:rsidR="005B582B">
        <w:rPr>
          <w:rFonts w:ascii="DM Sans" w:hAnsi="DM Sans"/>
        </w:rPr>
        <w:t xml:space="preserve"> </w:t>
      </w:r>
      <w:r w:rsidR="00DE7DFB">
        <w:rPr>
          <w:rFonts w:ascii="DM Sans" w:hAnsi="DM Sans"/>
        </w:rPr>
        <w:t xml:space="preserve">of billions in increased </w:t>
      </w:r>
      <w:r w:rsidR="00DB53E0">
        <w:rPr>
          <w:rFonts w:ascii="DM Sans" w:hAnsi="DM Sans"/>
        </w:rPr>
        <w:t xml:space="preserve">giving </w:t>
      </w:r>
      <w:r>
        <w:rPr>
          <w:rFonts w:ascii="DM Sans" w:hAnsi="DM Sans"/>
        </w:rPr>
        <w:t xml:space="preserve">by 2060 </w:t>
      </w:r>
      <w:r w:rsidRPr="00ED5C01">
        <w:rPr>
          <w:rFonts w:ascii="DM Sans" w:hAnsi="DM Sans"/>
        </w:rPr>
        <w:t>at no revenue cost</w:t>
      </w:r>
      <w:r>
        <w:rPr>
          <w:rFonts w:ascii="DM Sans" w:hAnsi="DM Sans"/>
        </w:rPr>
        <w:t xml:space="preserve"> (indeed revenue would rise)</w:t>
      </w:r>
      <w:r w:rsidRPr="00ED5C01">
        <w:rPr>
          <w:rFonts w:ascii="DM Sans" w:hAnsi="DM Sans"/>
        </w:rPr>
        <w:t>.</w:t>
      </w:r>
    </w:p>
    <w:p w14:paraId="32ED83AC" w14:textId="77777777" w:rsidR="0059130A" w:rsidRDefault="0059130A" w:rsidP="00A547B7">
      <w:pPr>
        <w:pStyle w:val="BodyText"/>
        <w:numPr>
          <w:ilvl w:val="0"/>
          <w:numId w:val="92"/>
        </w:numPr>
        <w:spacing w:after="60"/>
        <w:ind w:hanging="357"/>
        <w:rPr>
          <w:rFonts w:ascii="DM Sans" w:hAnsi="DM Sans"/>
        </w:rPr>
      </w:pPr>
      <w:r>
        <w:rPr>
          <w:rFonts w:ascii="DM Sans" w:hAnsi="DM Sans"/>
        </w:rPr>
        <w:t>Mitigating the risks identified and solving implementation challenges.</w:t>
      </w:r>
    </w:p>
    <w:p w14:paraId="5CE13B38" w14:textId="3AC6D51C" w:rsidR="0059130A" w:rsidRDefault="0059130A" w:rsidP="00A547B7">
      <w:pPr>
        <w:pStyle w:val="BodyText"/>
        <w:numPr>
          <w:ilvl w:val="0"/>
          <w:numId w:val="92"/>
        </w:numPr>
        <w:rPr>
          <w:rFonts w:ascii="DM Sans" w:hAnsi="DM Sans"/>
        </w:rPr>
      </w:pPr>
      <w:r>
        <w:rPr>
          <w:rFonts w:ascii="DM Sans" w:hAnsi="DM Sans"/>
        </w:rPr>
        <w:t xml:space="preserve">Assessing </w:t>
      </w:r>
      <w:r w:rsidR="0078461F">
        <w:rPr>
          <w:rFonts w:ascii="DM Sans" w:hAnsi="DM Sans"/>
        </w:rPr>
        <w:t xml:space="preserve">the magnitude of </w:t>
      </w:r>
      <w:r>
        <w:rPr>
          <w:rFonts w:ascii="DM Sans" w:hAnsi="DM Sans"/>
        </w:rPr>
        <w:t>benefits against costs and risks in determining whether to recommend the reform.  Our research and engagement with the super industry indicates there are implementation challenges and costs to be considered – and we identify these and show how they can be mitigated</w:t>
      </w:r>
      <w:r w:rsidR="00FF07D9">
        <w:rPr>
          <w:rFonts w:ascii="DM Sans" w:hAnsi="DM Sans"/>
        </w:rPr>
        <w:t xml:space="preserve"> (see Box 1.1 in the detailed report below)</w:t>
      </w:r>
      <w:r>
        <w:rPr>
          <w:rFonts w:ascii="DM Sans" w:hAnsi="DM Sans"/>
        </w:rPr>
        <w:t>.  However, in aggregate, the</w:t>
      </w:r>
      <w:r w:rsidR="00BB1583">
        <w:rPr>
          <w:rFonts w:ascii="DM Sans" w:hAnsi="DM Sans"/>
        </w:rPr>
        <w:t xml:space="preserve"> risks</w:t>
      </w:r>
      <w:r>
        <w:rPr>
          <w:rFonts w:ascii="DM Sans" w:hAnsi="DM Sans"/>
        </w:rPr>
        <w:t xml:space="preserve"> are modest relative to the large benefits likely to ensue from reform, so </w:t>
      </w:r>
      <w:r w:rsidR="0026294A">
        <w:rPr>
          <w:rFonts w:ascii="DM Sans" w:hAnsi="DM Sans"/>
        </w:rPr>
        <w:t xml:space="preserve">we think </w:t>
      </w:r>
      <w:r>
        <w:rPr>
          <w:rFonts w:ascii="DM Sans" w:hAnsi="DM Sans"/>
        </w:rPr>
        <w:t xml:space="preserve">modest technical challenges or costs should not stand in the way of reform.  As a further safeguard, we recommend further engagement with the super industry before implementation of the reform.  </w:t>
      </w:r>
    </w:p>
    <w:p w14:paraId="400DF1F9" w14:textId="5C72E989" w:rsidR="005D6178" w:rsidRPr="00D77D6F" w:rsidRDefault="004258E3" w:rsidP="004D3CD3">
      <w:pPr>
        <w:pStyle w:val="BodyText"/>
        <w:numPr>
          <w:ilvl w:val="0"/>
          <w:numId w:val="37"/>
        </w:numPr>
        <w:spacing w:after="60"/>
        <w:ind w:hanging="357"/>
        <w:rPr>
          <w:rFonts w:ascii="DM Sans" w:hAnsi="DM Sans"/>
          <w:b/>
          <w:bCs/>
        </w:rPr>
      </w:pPr>
      <w:r w:rsidRPr="00D77D6F">
        <w:rPr>
          <w:rFonts w:ascii="DM Sans" w:hAnsi="DM Sans"/>
          <w:b/>
          <w:bCs/>
        </w:rPr>
        <w:t>Removing the tax penalty on super bequests</w:t>
      </w:r>
      <w:r w:rsidR="00D77D6F">
        <w:rPr>
          <w:rFonts w:ascii="DM Sans" w:hAnsi="DM Sans"/>
        </w:rPr>
        <w:t xml:space="preserve">: </w:t>
      </w:r>
      <w:r w:rsidR="006E37C1">
        <w:rPr>
          <w:rFonts w:ascii="DM Sans" w:hAnsi="DM Sans"/>
        </w:rPr>
        <w:t>PA will no longer advocate to the PC for removal of the tax on super</w:t>
      </w:r>
      <w:r w:rsidR="00DC7408">
        <w:rPr>
          <w:rFonts w:ascii="DM Sans" w:hAnsi="DM Sans"/>
        </w:rPr>
        <w:t xml:space="preserve">, as the </w:t>
      </w:r>
      <w:r w:rsidR="00AF0EC6">
        <w:rPr>
          <w:rFonts w:ascii="DM Sans" w:hAnsi="DM Sans"/>
        </w:rPr>
        <w:t xml:space="preserve">PC has </w:t>
      </w:r>
      <w:r w:rsidR="00DC7408">
        <w:rPr>
          <w:rFonts w:ascii="DM Sans" w:hAnsi="DM Sans"/>
        </w:rPr>
        <w:t xml:space="preserve">come to a firm position that </w:t>
      </w:r>
      <w:r w:rsidR="00EA0E51" w:rsidRPr="00630577">
        <w:rPr>
          <w:rFonts w:ascii="DM Sans" w:hAnsi="DM Sans"/>
        </w:rPr>
        <w:t xml:space="preserve">‘There is no case to change tax arrangements for superannuation bequests to charities.’  </w:t>
      </w:r>
      <w:r w:rsidR="00EA0E51">
        <w:rPr>
          <w:rFonts w:ascii="DM Sans" w:hAnsi="DM Sans"/>
        </w:rPr>
        <w:t xml:space="preserve">PA agrees </w:t>
      </w:r>
      <w:r w:rsidR="00B13EE9">
        <w:rPr>
          <w:rFonts w:ascii="DM Sans" w:hAnsi="DM Sans"/>
        </w:rPr>
        <w:t>the PC has made strong</w:t>
      </w:r>
      <w:r w:rsidR="00EA0E51">
        <w:rPr>
          <w:rFonts w:ascii="DM Sans" w:hAnsi="DM Sans"/>
        </w:rPr>
        <w:t xml:space="preserve"> arguments for this position, including </w:t>
      </w:r>
      <w:r w:rsidR="004D68E0">
        <w:rPr>
          <w:rFonts w:ascii="DM Sans" w:hAnsi="DM Sans"/>
        </w:rPr>
        <w:t xml:space="preserve">that it may be inequitable to allow tax free </w:t>
      </w:r>
      <w:r w:rsidR="003D47F1">
        <w:rPr>
          <w:rFonts w:ascii="DM Sans" w:hAnsi="DM Sans"/>
        </w:rPr>
        <w:t xml:space="preserve">bequests to charity, but not to adult dependents. </w:t>
      </w:r>
      <w:r w:rsidR="00624D6E">
        <w:rPr>
          <w:rFonts w:ascii="DM Sans" w:hAnsi="DM Sans"/>
        </w:rPr>
        <w:t>However, reflecting the views of our membership</w:t>
      </w:r>
      <w:r w:rsidR="009E1CD5">
        <w:rPr>
          <w:rFonts w:ascii="DM Sans" w:hAnsi="DM Sans"/>
        </w:rPr>
        <w:t xml:space="preserve">, we note some strong arguments for reform that were not canvassed in the draft report.  </w:t>
      </w:r>
      <w:r w:rsidR="003D47F1">
        <w:rPr>
          <w:rFonts w:ascii="DM Sans" w:hAnsi="DM Sans"/>
        </w:rPr>
        <w:t xml:space="preserve"> </w:t>
      </w:r>
    </w:p>
    <w:p w14:paraId="293D4181" w14:textId="2AB73257" w:rsidR="00431DDD" w:rsidRPr="00431DDD" w:rsidRDefault="000774C9" w:rsidP="00A547B7">
      <w:pPr>
        <w:pStyle w:val="BodyText"/>
        <w:numPr>
          <w:ilvl w:val="0"/>
          <w:numId w:val="92"/>
        </w:numPr>
        <w:spacing w:after="60"/>
        <w:ind w:hanging="357"/>
        <w:rPr>
          <w:rFonts w:ascii="DM Sans" w:hAnsi="DM Sans"/>
          <w:b/>
          <w:bCs/>
          <w:lang w:val="en-US"/>
        </w:rPr>
      </w:pPr>
      <w:r>
        <w:rPr>
          <w:rFonts w:ascii="DM Sans" w:hAnsi="DM Sans"/>
          <w:b/>
          <w:bCs/>
          <w:lang w:val="en-US"/>
        </w:rPr>
        <w:t>Consistent</w:t>
      </w:r>
      <w:r w:rsidR="00431DDD" w:rsidRPr="00431DDD">
        <w:rPr>
          <w:rFonts w:ascii="DM Sans" w:hAnsi="DM Sans"/>
          <w:b/>
          <w:bCs/>
          <w:lang w:val="en-US"/>
        </w:rPr>
        <w:t xml:space="preserve"> tax treatment: </w:t>
      </w:r>
      <w:r w:rsidR="00431DDD" w:rsidRPr="00431DDD">
        <w:rPr>
          <w:rFonts w:ascii="DM Sans" w:hAnsi="DM Sans"/>
          <w:lang w:val="en-US"/>
        </w:rPr>
        <w:t xml:space="preserve">It is not consistent logic to state that in one context, charitable giving should be encouraged through a tax break and is welfare enhancing, but in another context, a tax penalty should be imposed on charitable giving to protect community welfare. </w:t>
      </w:r>
    </w:p>
    <w:p w14:paraId="038F75F8" w14:textId="77777777" w:rsidR="0047517A" w:rsidRPr="00431DDD" w:rsidRDefault="0047517A" w:rsidP="00A547B7">
      <w:pPr>
        <w:pStyle w:val="BodyText"/>
        <w:numPr>
          <w:ilvl w:val="0"/>
          <w:numId w:val="92"/>
        </w:numPr>
        <w:spacing w:after="60"/>
        <w:ind w:hanging="357"/>
        <w:rPr>
          <w:rFonts w:ascii="DM Sans" w:hAnsi="DM Sans"/>
          <w:b/>
          <w:bCs/>
          <w:lang w:val="en-US"/>
        </w:rPr>
      </w:pPr>
      <w:r>
        <w:rPr>
          <w:rFonts w:ascii="DM Sans" w:hAnsi="DM Sans"/>
          <w:b/>
          <w:bCs/>
          <w:lang w:val="en-US"/>
        </w:rPr>
        <w:t>A less – not more - costly way to give</w:t>
      </w:r>
      <w:r w:rsidRPr="00431DDD">
        <w:rPr>
          <w:rFonts w:ascii="DM Sans" w:hAnsi="DM Sans"/>
          <w:b/>
          <w:bCs/>
          <w:lang w:val="en-US"/>
        </w:rPr>
        <w:t>:</w:t>
      </w:r>
      <w:r w:rsidRPr="00431DDD">
        <w:rPr>
          <w:rFonts w:ascii="DM Sans" w:hAnsi="DM Sans"/>
          <w:lang w:val="en-US"/>
        </w:rPr>
        <w:t xml:space="preserve"> </w:t>
      </w:r>
      <w:r>
        <w:rPr>
          <w:rFonts w:ascii="DM Sans" w:hAnsi="DM Sans"/>
        </w:rPr>
        <w:t xml:space="preserve">The revenue cost would be 17 cents per dollar compared with each person’s top marginal tax rate for DGR giving.  </w:t>
      </w:r>
      <w:r w:rsidRPr="00431DDD">
        <w:rPr>
          <w:rFonts w:ascii="DM Sans" w:hAnsi="DM Sans"/>
          <w:lang w:val="en-US"/>
        </w:rPr>
        <w:t>A policy costing would only count the cost of the change from the status quo</w:t>
      </w:r>
      <w:r>
        <w:rPr>
          <w:rFonts w:ascii="DM Sans" w:hAnsi="DM Sans"/>
          <w:lang w:val="en-US"/>
        </w:rPr>
        <w:t>, not ‘load up’ all the previous ways super is concessionally taxed.</w:t>
      </w:r>
    </w:p>
    <w:p w14:paraId="571BFAD3" w14:textId="08D70E11" w:rsidR="00B84EA1" w:rsidRPr="004D3CD3" w:rsidRDefault="00431DDD" w:rsidP="00A547B7">
      <w:pPr>
        <w:pStyle w:val="BodyText"/>
        <w:numPr>
          <w:ilvl w:val="0"/>
          <w:numId w:val="92"/>
        </w:numPr>
        <w:rPr>
          <w:rFonts w:ascii="DM Sans" w:hAnsi="DM Sans"/>
        </w:rPr>
      </w:pPr>
      <w:r w:rsidRPr="00431DDD">
        <w:rPr>
          <w:rFonts w:ascii="DM Sans" w:hAnsi="DM Sans"/>
          <w:b/>
          <w:bCs/>
          <w:lang w:val="en-US"/>
        </w:rPr>
        <w:t xml:space="preserve">Encouraging charitable giving: </w:t>
      </w:r>
      <w:r w:rsidR="00F138E7">
        <w:rPr>
          <w:rFonts w:ascii="DM Sans" w:hAnsi="DM Sans"/>
          <w:lang w:val="en-US"/>
        </w:rPr>
        <w:t>International evidence on the effects of tax on charitable giving</w:t>
      </w:r>
      <w:r w:rsidRPr="00431DDD">
        <w:rPr>
          <w:rFonts w:ascii="DM Sans" w:hAnsi="DM Sans"/>
          <w:lang w:val="en-US"/>
        </w:rPr>
        <w:t xml:space="preserve"> </w:t>
      </w:r>
      <w:r w:rsidR="00E3699C">
        <w:rPr>
          <w:rFonts w:ascii="DM Sans" w:hAnsi="DM Sans"/>
          <w:lang w:val="en-US"/>
        </w:rPr>
        <w:t xml:space="preserve">indicates </w:t>
      </w:r>
      <w:r w:rsidRPr="00431DDD">
        <w:rPr>
          <w:rFonts w:ascii="DM Sans" w:hAnsi="DM Sans"/>
          <w:lang w:val="en-US"/>
        </w:rPr>
        <w:t xml:space="preserve">that removing the tax penalty on super bequests would increase giving. </w:t>
      </w:r>
    </w:p>
    <w:p w14:paraId="3260A4D6" w14:textId="77777777" w:rsidR="00AE459E" w:rsidRDefault="00AE459E">
      <w:pPr>
        <w:spacing w:before="200" w:after="200" w:line="260" w:lineRule="atLeast"/>
        <w:rPr>
          <w:rFonts w:ascii="DM Sans" w:hAnsi="DM Sans"/>
          <w:b/>
          <w:bCs/>
        </w:rPr>
      </w:pPr>
      <w:r>
        <w:rPr>
          <w:rFonts w:ascii="DM Sans" w:hAnsi="DM Sans"/>
          <w:b/>
          <w:bCs/>
        </w:rPr>
        <w:br w:type="page"/>
      </w:r>
    </w:p>
    <w:p w14:paraId="09A6BEEA" w14:textId="7B7E2BBB" w:rsidR="00852238" w:rsidRDefault="004F2B75" w:rsidP="00A547B7">
      <w:pPr>
        <w:pStyle w:val="BodyText"/>
        <w:numPr>
          <w:ilvl w:val="0"/>
          <w:numId w:val="90"/>
        </w:numPr>
        <w:rPr>
          <w:rFonts w:ascii="DM Sans" w:hAnsi="DM Sans"/>
          <w:b/>
          <w:bCs/>
        </w:rPr>
      </w:pPr>
      <w:r>
        <w:rPr>
          <w:rFonts w:ascii="DM Sans" w:hAnsi="DM Sans"/>
          <w:b/>
          <w:bCs/>
        </w:rPr>
        <w:lastRenderedPageBreak/>
        <w:t xml:space="preserve">Broaden the </w:t>
      </w:r>
      <w:r w:rsidR="00FA5FF8">
        <w:rPr>
          <w:rFonts w:ascii="DM Sans" w:hAnsi="DM Sans"/>
          <w:b/>
          <w:bCs/>
        </w:rPr>
        <w:t xml:space="preserve">scope of the </w:t>
      </w:r>
      <w:r>
        <w:rPr>
          <w:rFonts w:ascii="DM Sans" w:hAnsi="DM Sans"/>
          <w:b/>
          <w:bCs/>
        </w:rPr>
        <w:t>economic framework and policy tools to lift giving.</w:t>
      </w:r>
    </w:p>
    <w:p w14:paraId="39750C15" w14:textId="3F6CABCC" w:rsidR="00EF6C37" w:rsidRPr="00EF6C37" w:rsidRDefault="00510DB9" w:rsidP="00EF6C37">
      <w:pPr>
        <w:pStyle w:val="BodyText"/>
        <w:rPr>
          <w:rFonts w:ascii="DM Sans" w:hAnsi="DM Sans"/>
        </w:rPr>
      </w:pPr>
      <w:r w:rsidRPr="00C8046F">
        <w:rPr>
          <w:rFonts w:ascii="DM Sans" w:hAnsi="DM Sans"/>
        </w:rPr>
        <w:t xml:space="preserve">The </w:t>
      </w:r>
      <w:r w:rsidR="008F1240">
        <w:rPr>
          <w:rFonts w:ascii="DM Sans" w:hAnsi="DM Sans"/>
        </w:rPr>
        <w:t xml:space="preserve">PC </w:t>
      </w:r>
      <w:r w:rsidR="00BC5D22">
        <w:rPr>
          <w:rFonts w:ascii="DM Sans" w:hAnsi="DM Sans"/>
        </w:rPr>
        <w:t>writes</w:t>
      </w:r>
      <w:r w:rsidR="00A54DF6">
        <w:rPr>
          <w:rFonts w:ascii="DM Sans" w:hAnsi="DM Sans"/>
        </w:rPr>
        <w:t xml:space="preserve">: </w:t>
      </w:r>
      <w:r w:rsidR="00EF6C37" w:rsidRPr="00EF6C37">
        <w:rPr>
          <w:rFonts w:ascii="DM Sans" w:hAnsi="DM Sans"/>
        </w:rPr>
        <w:t>‘There are three main areas where policy changes to encourage philanthropy are likely to increase the wellbeing of the Australian community – the personal income tax deduction to incentivise giving, the regulatory framework for charities and public information for donors.</w:t>
      </w:r>
      <w:r w:rsidR="0087627C">
        <w:rPr>
          <w:rFonts w:ascii="DM Sans" w:hAnsi="DM Sans"/>
        </w:rPr>
        <w:t xml:space="preserve"> (p.10)</w:t>
      </w:r>
      <w:r w:rsidR="00EF6C37" w:rsidRPr="00EF6C37">
        <w:rPr>
          <w:rFonts w:ascii="DM Sans" w:hAnsi="DM Sans"/>
        </w:rPr>
        <w:t>’</w:t>
      </w:r>
      <w:r w:rsidR="00CF24B4">
        <w:rPr>
          <w:rFonts w:ascii="DM Sans" w:hAnsi="DM Sans"/>
        </w:rPr>
        <w:t xml:space="preserve"> </w:t>
      </w:r>
    </w:p>
    <w:tbl>
      <w:tblPr>
        <w:tblStyle w:val="TableGrid10"/>
        <w:tblW w:w="0" w:type="auto"/>
        <w:tblInd w:w="-147" w:type="dxa"/>
        <w:tblLook w:val="04A0" w:firstRow="1" w:lastRow="0" w:firstColumn="1" w:lastColumn="0" w:noHBand="0" w:noVBand="1"/>
      </w:tblPr>
      <w:tblGrid>
        <w:gridCol w:w="3637"/>
        <w:gridCol w:w="3069"/>
        <w:gridCol w:w="3069"/>
      </w:tblGrid>
      <w:tr w:rsidR="00B67A49" w:rsidRPr="00C27804" w14:paraId="10B2F714" w14:textId="77777777" w:rsidTr="00A0549C">
        <w:tc>
          <w:tcPr>
            <w:tcW w:w="9775" w:type="dxa"/>
            <w:gridSpan w:val="3"/>
            <w:tcBorders>
              <w:bottom w:val="single" w:sz="4" w:space="0" w:color="auto"/>
            </w:tcBorders>
            <w:shd w:val="clear" w:color="auto" w:fill="3D7EDB" w:themeFill="accent1"/>
          </w:tcPr>
          <w:p w14:paraId="13C53C9C" w14:textId="7A70EADD" w:rsidR="00B67A49" w:rsidRPr="00C27804" w:rsidRDefault="00B67A49" w:rsidP="00FA0B43">
            <w:pPr>
              <w:pStyle w:val="BodyText"/>
              <w:rPr>
                <w:rFonts w:ascii="DM Sans" w:hAnsi="DM Sans"/>
                <w:b/>
                <w:bCs/>
                <w:color w:val="FFFFFF" w:themeColor="background1"/>
                <w:sz w:val="20"/>
                <w:szCs w:val="20"/>
              </w:rPr>
            </w:pPr>
            <w:r w:rsidRPr="00C27804">
              <w:rPr>
                <w:rFonts w:ascii="DM Sans" w:hAnsi="DM Sans"/>
                <w:b/>
                <w:bCs/>
                <w:color w:val="FFFFFF" w:themeColor="background1"/>
                <w:sz w:val="20"/>
                <w:szCs w:val="20"/>
              </w:rPr>
              <w:t xml:space="preserve">The PC’s Framework </w:t>
            </w:r>
          </w:p>
        </w:tc>
      </w:tr>
      <w:tr w:rsidR="00B67A49" w:rsidRPr="00C27804" w14:paraId="4E8E06A2" w14:textId="77777777" w:rsidTr="00A0549C">
        <w:tc>
          <w:tcPr>
            <w:tcW w:w="3637" w:type="dxa"/>
            <w:shd w:val="clear" w:color="auto" w:fill="D8E5F7" w:themeFill="accent1" w:themeFillTint="33"/>
          </w:tcPr>
          <w:p w14:paraId="3CBD7BE7" w14:textId="77777777" w:rsidR="00B67A49" w:rsidRPr="00C27804" w:rsidRDefault="00B67A49" w:rsidP="00FA0B43">
            <w:pPr>
              <w:pStyle w:val="BodyText"/>
              <w:rPr>
                <w:rFonts w:ascii="DM Sans" w:hAnsi="DM Sans"/>
                <w:sz w:val="20"/>
                <w:szCs w:val="20"/>
              </w:rPr>
            </w:pPr>
            <w:r w:rsidRPr="00C27804">
              <w:rPr>
                <w:rFonts w:ascii="DM Sans" w:hAnsi="DM Sans"/>
                <w:sz w:val="20"/>
                <w:szCs w:val="20"/>
              </w:rPr>
              <w:t>The personal tax deduction</w:t>
            </w:r>
          </w:p>
        </w:tc>
        <w:tc>
          <w:tcPr>
            <w:tcW w:w="3069" w:type="dxa"/>
            <w:shd w:val="clear" w:color="auto" w:fill="D8E5F7" w:themeFill="accent1" w:themeFillTint="33"/>
          </w:tcPr>
          <w:p w14:paraId="4C472B41" w14:textId="77777777" w:rsidR="00B67A49" w:rsidRPr="00C27804" w:rsidRDefault="00B67A49" w:rsidP="00FA0B43">
            <w:pPr>
              <w:pStyle w:val="BodyText"/>
              <w:rPr>
                <w:rFonts w:ascii="DM Sans" w:hAnsi="DM Sans"/>
                <w:sz w:val="20"/>
                <w:szCs w:val="20"/>
              </w:rPr>
            </w:pPr>
            <w:r w:rsidRPr="00C27804">
              <w:rPr>
                <w:rFonts w:ascii="DM Sans" w:hAnsi="DM Sans"/>
                <w:sz w:val="20"/>
                <w:szCs w:val="20"/>
              </w:rPr>
              <w:t>Regulation</w:t>
            </w:r>
          </w:p>
        </w:tc>
        <w:tc>
          <w:tcPr>
            <w:tcW w:w="3069" w:type="dxa"/>
            <w:shd w:val="clear" w:color="auto" w:fill="D8E5F7" w:themeFill="accent1" w:themeFillTint="33"/>
          </w:tcPr>
          <w:p w14:paraId="61532A63" w14:textId="77777777" w:rsidR="00B67A49" w:rsidRPr="00C27804" w:rsidRDefault="00B67A49" w:rsidP="00FA0B43">
            <w:pPr>
              <w:pStyle w:val="BodyText"/>
              <w:rPr>
                <w:rFonts w:ascii="DM Sans" w:hAnsi="DM Sans"/>
                <w:sz w:val="20"/>
                <w:szCs w:val="20"/>
              </w:rPr>
            </w:pPr>
            <w:r w:rsidRPr="00C27804">
              <w:rPr>
                <w:rFonts w:ascii="DM Sans" w:hAnsi="DM Sans"/>
                <w:sz w:val="20"/>
                <w:szCs w:val="20"/>
              </w:rPr>
              <w:t>Public information for donors</w:t>
            </w:r>
          </w:p>
        </w:tc>
      </w:tr>
    </w:tbl>
    <w:p w14:paraId="39A1598E" w14:textId="0C7378E2" w:rsidR="00B67A49" w:rsidRPr="0087627C" w:rsidRDefault="00A54DF6" w:rsidP="00CF24B4">
      <w:pPr>
        <w:pStyle w:val="BodyText"/>
        <w:spacing w:before="120"/>
        <w:rPr>
          <w:rFonts w:ascii="DM Sans" w:hAnsi="DM Sans"/>
        </w:rPr>
      </w:pPr>
      <w:r>
        <w:rPr>
          <w:rFonts w:ascii="DM Sans" w:hAnsi="DM Sans"/>
        </w:rPr>
        <w:t xml:space="preserve">This approach constrains the capacity to lift giving and improve community welfare.  </w:t>
      </w:r>
      <w:r w:rsidR="00B67A49" w:rsidRPr="0087627C">
        <w:rPr>
          <w:rFonts w:ascii="DM Sans" w:hAnsi="DM Sans"/>
        </w:rPr>
        <w:t xml:space="preserve">A wider framework </w:t>
      </w:r>
      <w:r w:rsidR="005101B8">
        <w:rPr>
          <w:rFonts w:ascii="DM Sans" w:hAnsi="DM Sans"/>
        </w:rPr>
        <w:t>could create more scope to</w:t>
      </w:r>
      <w:r w:rsidR="00B67A49" w:rsidRPr="0087627C">
        <w:rPr>
          <w:rFonts w:ascii="DM Sans" w:hAnsi="DM Sans"/>
        </w:rPr>
        <w:t xml:space="preserve"> capture all the key policy drivers of giving.</w:t>
      </w:r>
    </w:p>
    <w:tbl>
      <w:tblPr>
        <w:tblStyle w:val="GridTable4-Accent1"/>
        <w:tblW w:w="0" w:type="auto"/>
        <w:tblInd w:w="-147" w:type="dxa"/>
        <w:tblLook w:val="04A0" w:firstRow="1" w:lastRow="0" w:firstColumn="1" w:lastColumn="0" w:noHBand="0" w:noVBand="1"/>
      </w:tblPr>
      <w:tblGrid>
        <w:gridCol w:w="2694"/>
        <w:gridCol w:w="2551"/>
        <w:gridCol w:w="2123"/>
        <w:gridCol w:w="2407"/>
      </w:tblGrid>
      <w:tr w:rsidR="000F72D5" w14:paraId="362D0D02" w14:textId="77777777" w:rsidTr="00594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5" w:type="dxa"/>
            <w:gridSpan w:val="4"/>
          </w:tcPr>
          <w:p w14:paraId="0BB191A5" w14:textId="651EC937" w:rsidR="000F72D5" w:rsidRDefault="000F72D5" w:rsidP="004F2B75">
            <w:pPr>
              <w:pStyle w:val="BodyText"/>
              <w:rPr>
                <w:rFonts w:ascii="DM Sans" w:hAnsi="DM Sans"/>
              </w:rPr>
            </w:pPr>
            <w:r>
              <w:rPr>
                <w:rFonts w:ascii="DM Sans" w:hAnsi="DM Sans"/>
              </w:rPr>
              <w:t>Broaden the framework to include key drivers of giving</w:t>
            </w:r>
          </w:p>
        </w:tc>
      </w:tr>
      <w:tr w:rsidR="00B0627D" w14:paraId="014A0999" w14:textId="77777777" w:rsidTr="00594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958C3B0" w14:textId="701810AB" w:rsidR="00B0627D" w:rsidRPr="00011FA8" w:rsidRDefault="00011FA8" w:rsidP="004F2B75">
            <w:pPr>
              <w:pStyle w:val="BodyText"/>
              <w:rPr>
                <w:rFonts w:ascii="DM Sans" w:hAnsi="DM Sans"/>
                <w:b w:val="0"/>
                <w:bCs w:val="0"/>
              </w:rPr>
            </w:pPr>
            <w:r w:rsidRPr="00011FA8">
              <w:rPr>
                <w:rFonts w:ascii="DM Sans" w:hAnsi="DM Sans"/>
                <w:b w:val="0"/>
                <w:bCs w:val="0"/>
              </w:rPr>
              <w:t>Institutional economics (culture</w:t>
            </w:r>
            <w:r w:rsidR="004372A4">
              <w:rPr>
                <w:rFonts w:ascii="DM Sans" w:hAnsi="DM Sans"/>
                <w:b w:val="0"/>
                <w:bCs w:val="0"/>
              </w:rPr>
              <w:t xml:space="preserve"> </w:t>
            </w:r>
            <w:r w:rsidR="00594882">
              <w:rPr>
                <w:rFonts w:ascii="DM Sans" w:hAnsi="DM Sans"/>
                <w:b w:val="0"/>
                <w:bCs w:val="0"/>
              </w:rPr>
              <w:t>&amp;</w:t>
            </w:r>
            <w:r w:rsidR="004372A4">
              <w:rPr>
                <w:rFonts w:ascii="DM Sans" w:hAnsi="DM Sans"/>
                <w:b w:val="0"/>
                <w:bCs w:val="0"/>
              </w:rPr>
              <w:t xml:space="preserve"> social norms</w:t>
            </w:r>
            <w:r w:rsidRPr="00011FA8">
              <w:rPr>
                <w:rFonts w:ascii="DM Sans" w:hAnsi="DM Sans"/>
                <w:b w:val="0"/>
                <w:bCs w:val="0"/>
              </w:rPr>
              <w:t>)</w:t>
            </w:r>
          </w:p>
        </w:tc>
        <w:tc>
          <w:tcPr>
            <w:tcW w:w="2551" w:type="dxa"/>
          </w:tcPr>
          <w:p w14:paraId="5D583F75" w14:textId="5B1DA429" w:rsidR="00B0627D" w:rsidRPr="00011FA8" w:rsidRDefault="00011FA8" w:rsidP="004F2B75">
            <w:pPr>
              <w:pStyle w:val="BodyText"/>
              <w:cnfStyle w:val="000000100000" w:firstRow="0" w:lastRow="0" w:firstColumn="0" w:lastColumn="0" w:oddVBand="0" w:evenVBand="0" w:oddHBand="1" w:evenHBand="0" w:firstRowFirstColumn="0" w:firstRowLastColumn="0" w:lastRowFirstColumn="0" w:lastRowLastColumn="0"/>
              <w:rPr>
                <w:rFonts w:ascii="DM Sans" w:hAnsi="DM Sans"/>
              </w:rPr>
            </w:pPr>
            <w:r>
              <w:rPr>
                <w:rFonts w:ascii="DM Sans" w:hAnsi="DM Sans"/>
              </w:rPr>
              <w:t>Behavioural economics</w:t>
            </w:r>
          </w:p>
        </w:tc>
        <w:tc>
          <w:tcPr>
            <w:tcW w:w="2123" w:type="dxa"/>
          </w:tcPr>
          <w:p w14:paraId="1D87438C" w14:textId="38704A22" w:rsidR="00B0627D" w:rsidRPr="00011FA8" w:rsidRDefault="002B4DA9" w:rsidP="004F2B75">
            <w:pPr>
              <w:pStyle w:val="BodyText"/>
              <w:cnfStyle w:val="000000100000" w:firstRow="0" w:lastRow="0" w:firstColumn="0" w:lastColumn="0" w:oddVBand="0" w:evenVBand="0" w:oddHBand="1" w:evenHBand="0" w:firstRowFirstColumn="0" w:firstRowLastColumn="0" w:lastRowFirstColumn="0" w:lastRowLastColumn="0"/>
              <w:rPr>
                <w:rFonts w:ascii="DM Sans" w:hAnsi="DM Sans"/>
              </w:rPr>
            </w:pPr>
            <w:r>
              <w:rPr>
                <w:rFonts w:ascii="DM Sans" w:hAnsi="DM Sans"/>
              </w:rPr>
              <w:t>Governance</w:t>
            </w:r>
          </w:p>
        </w:tc>
        <w:tc>
          <w:tcPr>
            <w:tcW w:w="2407" w:type="dxa"/>
          </w:tcPr>
          <w:p w14:paraId="693715BE" w14:textId="4C33EBB0" w:rsidR="00B0627D" w:rsidRPr="00011FA8" w:rsidRDefault="002B4DA9" w:rsidP="004F2B75">
            <w:pPr>
              <w:pStyle w:val="BodyText"/>
              <w:cnfStyle w:val="000000100000" w:firstRow="0" w:lastRow="0" w:firstColumn="0" w:lastColumn="0" w:oddVBand="0" w:evenVBand="0" w:oddHBand="1" w:evenHBand="0" w:firstRowFirstColumn="0" w:firstRowLastColumn="0" w:lastRowFirstColumn="0" w:lastRowLastColumn="0"/>
              <w:rPr>
                <w:rFonts w:ascii="DM Sans" w:hAnsi="DM Sans"/>
              </w:rPr>
            </w:pPr>
            <w:r>
              <w:rPr>
                <w:rFonts w:ascii="DM Sans" w:hAnsi="DM Sans"/>
              </w:rPr>
              <w:t>A better environment for charities</w:t>
            </w:r>
          </w:p>
        </w:tc>
      </w:tr>
      <w:tr w:rsidR="005F3FF3" w:rsidRPr="00AB5EBF" w14:paraId="5EBEA872" w14:textId="77777777" w:rsidTr="00594882">
        <w:tc>
          <w:tcPr>
            <w:cnfStyle w:val="001000000000" w:firstRow="0" w:lastRow="0" w:firstColumn="1" w:lastColumn="0" w:oddVBand="0" w:evenVBand="0" w:oddHBand="0" w:evenHBand="0" w:firstRowFirstColumn="0" w:firstRowLastColumn="0" w:lastRowFirstColumn="0" w:lastRowLastColumn="0"/>
            <w:tcW w:w="2694" w:type="dxa"/>
          </w:tcPr>
          <w:p w14:paraId="2C54A513" w14:textId="77777777" w:rsidR="005F3FF3" w:rsidRPr="009E6437" w:rsidRDefault="00C82E65" w:rsidP="00A547B7">
            <w:pPr>
              <w:pStyle w:val="BodyText"/>
              <w:numPr>
                <w:ilvl w:val="0"/>
                <w:numId w:val="93"/>
              </w:numPr>
              <w:spacing w:after="0"/>
              <w:ind w:left="314"/>
              <w:rPr>
                <w:rFonts w:ascii="DM Sans" w:hAnsi="DM Sans"/>
                <w:b w:val="0"/>
                <w:bCs w:val="0"/>
                <w:sz w:val="18"/>
                <w:szCs w:val="18"/>
              </w:rPr>
            </w:pPr>
            <w:r w:rsidRPr="009E6437">
              <w:rPr>
                <w:rFonts w:ascii="DM Sans" w:hAnsi="DM Sans"/>
                <w:b w:val="0"/>
                <w:bCs w:val="0"/>
                <w:sz w:val="18"/>
                <w:szCs w:val="18"/>
              </w:rPr>
              <w:t>Giving campaign</w:t>
            </w:r>
          </w:p>
          <w:p w14:paraId="479C1D28" w14:textId="77777777" w:rsidR="00C82E65" w:rsidRPr="003E6FEB" w:rsidRDefault="00C82E65" w:rsidP="00A547B7">
            <w:pPr>
              <w:pStyle w:val="BodyText"/>
              <w:numPr>
                <w:ilvl w:val="0"/>
                <w:numId w:val="93"/>
              </w:numPr>
              <w:spacing w:after="0"/>
              <w:ind w:left="314"/>
              <w:rPr>
                <w:rFonts w:ascii="DM Sans" w:hAnsi="DM Sans"/>
                <w:b w:val="0"/>
                <w:bCs w:val="0"/>
                <w:sz w:val="18"/>
                <w:szCs w:val="18"/>
              </w:rPr>
            </w:pPr>
            <w:r w:rsidRPr="009E6437">
              <w:rPr>
                <w:rFonts w:ascii="DM Sans" w:hAnsi="DM Sans"/>
                <w:b w:val="0"/>
                <w:bCs w:val="0"/>
                <w:sz w:val="18"/>
                <w:szCs w:val="18"/>
              </w:rPr>
              <w:t>Nudge in tax return</w:t>
            </w:r>
          </w:p>
          <w:p w14:paraId="70B48C08" w14:textId="03EA2850" w:rsidR="003E6FEB" w:rsidRPr="009E6437" w:rsidRDefault="003E6FEB" w:rsidP="00A547B7">
            <w:pPr>
              <w:pStyle w:val="BodyText"/>
              <w:numPr>
                <w:ilvl w:val="0"/>
                <w:numId w:val="93"/>
              </w:numPr>
              <w:spacing w:after="0"/>
              <w:ind w:left="314"/>
              <w:rPr>
                <w:rFonts w:ascii="DM Sans" w:hAnsi="DM Sans"/>
                <w:b w:val="0"/>
                <w:bCs w:val="0"/>
                <w:sz w:val="18"/>
                <w:szCs w:val="18"/>
              </w:rPr>
            </w:pPr>
            <w:r>
              <w:rPr>
                <w:rFonts w:ascii="DM Sans" w:hAnsi="DM Sans"/>
                <w:b w:val="0"/>
                <w:bCs w:val="0"/>
                <w:sz w:val="18"/>
                <w:szCs w:val="18"/>
              </w:rPr>
              <w:t>Super bequests</w:t>
            </w:r>
          </w:p>
        </w:tc>
        <w:tc>
          <w:tcPr>
            <w:tcW w:w="2551" w:type="dxa"/>
          </w:tcPr>
          <w:p w14:paraId="23FD3FBD" w14:textId="77777777" w:rsidR="005F3FF3" w:rsidRPr="009E6437" w:rsidRDefault="0021199B" w:rsidP="00A547B7">
            <w:pPr>
              <w:pStyle w:val="BodyText"/>
              <w:numPr>
                <w:ilvl w:val="0"/>
                <w:numId w:val="93"/>
              </w:numPr>
              <w:spacing w:after="0"/>
              <w:ind w:left="323"/>
              <w:cnfStyle w:val="000000000000" w:firstRow="0" w:lastRow="0" w:firstColumn="0" w:lastColumn="0" w:oddVBand="0" w:evenVBand="0" w:oddHBand="0" w:evenHBand="0" w:firstRowFirstColumn="0" w:firstRowLastColumn="0" w:lastRowFirstColumn="0" w:lastRowLastColumn="0"/>
              <w:rPr>
                <w:rFonts w:ascii="DM Sans" w:hAnsi="DM Sans"/>
                <w:sz w:val="18"/>
                <w:szCs w:val="18"/>
              </w:rPr>
            </w:pPr>
            <w:r w:rsidRPr="009E6437">
              <w:rPr>
                <w:rFonts w:ascii="DM Sans" w:hAnsi="DM Sans"/>
                <w:sz w:val="18"/>
                <w:szCs w:val="18"/>
              </w:rPr>
              <w:t>Nudge in tax return</w:t>
            </w:r>
          </w:p>
          <w:p w14:paraId="5EC02AB7" w14:textId="77777777" w:rsidR="0021199B" w:rsidRPr="009E6437" w:rsidRDefault="0021199B" w:rsidP="00A547B7">
            <w:pPr>
              <w:pStyle w:val="BodyText"/>
              <w:numPr>
                <w:ilvl w:val="0"/>
                <w:numId w:val="93"/>
              </w:numPr>
              <w:spacing w:after="0"/>
              <w:ind w:left="323"/>
              <w:cnfStyle w:val="000000000000" w:firstRow="0" w:lastRow="0" w:firstColumn="0" w:lastColumn="0" w:oddVBand="0" w:evenVBand="0" w:oddHBand="0" w:evenHBand="0" w:firstRowFirstColumn="0" w:firstRowLastColumn="0" w:lastRowFirstColumn="0" w:lastRowLastColumn="0"/>
              <w:rPr>
                <w:rFonts w:ascii="DM Sans" w:hAnsi="DM Sans"/>
                <w:sz w:val="18"/>
                <w:szCs w:val="18"/>
              </w:rPr>
            </w:pPr>
            <w:r w:rsidRPr="009E6437">
              <w:rPr>
                <w:rFonts w:ascii="DM Sans" w:hAnsi="DM Sans"/>
                <w:sz w:val="18"/>
                <w:szCs w:val="18"/>
              </w:rPr>
              <w:t>Super bequests</w:t>
            </w:r>
          </w:p>
          <w:p w14:paraId="596CF448" w14:textId="3EFECA02" w:rsidR="00144E89" w:rsidRPr="009E6437" w:rsidRDefault="00144E89" w:rsidP="00A547B7">
            <w:pPr>
              <w:pStyle w:val="BodyText"/>
              <w:numPr>
                <w:ilvl w:val="0"/>
                <w:numId w:val="93"/>
              </w:numPr>
              <w:spacing w:after="0"/>
              <w:ind w:left="323"/>
              <w:cnfStyle w:val="000000000000" w:firstRow="0" w:lastRow="0" w:firstColumn="0" w:lastColumn="0" w:oddVBand="0" w:evenVBand="0" w:oddHBand="0" w:evenHBand="0" w:firstRowFirstColumn="0" w:firstRowLastColumn="0" w:lastRowFirstColumn="0" w:lastRowLastColumn="0"/>
              <w:rPr>
                <w:rFonts w:ascii="DM Sans" w:hAnsi="DM Sans"/>
                <w:sz w:val="18"/>
                <w:szCs w:val="18"/>
              </w:rPr>
            </w:pPr>
            <w:r w:rsidRPr="009E6437">
              <w:rPr>
                <w:rFonts w:ascii="DM Sans" w:hAnsi="DM Sans"/>
                <w:sz w:val="18"/>
                <w:szCs w:val="18"/>
              </w:rPr>
              <w:t>Annual data set</w:t>
            </w:r>
          </w:p>
        </w:tc>
        <w:tc>
          <w:tcPr>
            <w:tcW w:w="2123" w:type="dxa"/>
          </w:tcPr>
          <w:p w14:paraId="43E46538" w14:textId="20FB2A0E" w:rsidR="005F3FF3" w:rsidRPr="009E6437" w:rsidRDefault="00AB5EBF" w:rsidP="00A547B7">
            <w:pPr>
              <w:pStyle w:val="BodyText"/>
              <w:numPr>
                <w:ilvl w:val="0"/>
                <w:numId w:val="93"/>
              </w:numPr>
              <w:spacing w:after="0"/>
              <w:ind w:left="340"/>
              <w:cnfStyle w:val="000000000000" w:firstRow="0" w:lastRow="0" w:firstColumn="0" w:lastColumn="0" w:oddVBand="0" w:evenVBand="0" w:oddHBand="0" w:evenHBand="0" w:firstRowFirstColumn="0" w:firstRowLastColumn="0" w:lastRowFirstColumn="0" w:lastRowLastColumn="0"/>
              <w:rPr>
                <w:rFonts w:ascii="DM Sans" w:hAnsi="DM Sans"/>
                <w:sz w:val="18"/>
                <w:szCs w:val="18"/>
              </w:rPr>
            </w:pPr>
            <w:r w:rsidRPr="009E6437">
              <w:rPr>
                <w:rFonts w:ascii="DM Sans" w:hAnsi="DM Sans"/>
                <w:sz w:val="18"/>
                <w:szCs w:val="18"/>
              </w:rPr>
              <w:t>Govt-phil</w:t>
            </w:r>
            <w:r w:rsidR="009E6437">
              <w:rPr>
                <w:rFonts w:ascii="DM Sans" w:hAnsi="DM Sans"/>
                <w:sz w:val="18"/>
                <w:szCs w:val="18"/>
              </w:rPr>
              <w:t xml:space="preserve">anthropy </w:t>
            </w:r>
            <w:r w:rsidRPr="009E6437">
              <w:rPr>
                <w:rFonts w:ascii="DM Sans" w:hAnsi="DM Sans"/>
                <w:sz w:val="18"/>
                <w:szCs w:val="18"/>
              </w:rPr>
              <w:t>collaboration</w:t>
            </w:r>
          </w:p>
        </w:tc>
        <w:tc>
          <w:tcPr>
            <w:tcW w:w="2407" w:type="dxa"/>
          </w:tcPr>
          <w:p w14:paraId="2C0BE0DF" w14:textId="470D0E14" w:rsidR="005F3FF3" w:rsidRPr="009E6437" w:rsidRDefault="00A949BB" w:rsidP="00A547B7">
            <w:pPr>
              <w:pStyle w:val="BodyText"/>
              <w:numPr>
                <w:ilvl w:val="0"/>
                <w:numId w:val="93"/>
              </w:numPr>
              <w:spacing w:after="0"/>
              <w:ind w:left="321" w:hanging="321"/>
              <w:cnfStyle w:val="000000000000" w:firstRow="0" w:lastRow="0" w:firstColumn="0" w:lastColumn="0" w:oddVBand="0" w:evenVBand="0" w:oddHBand="0" w:evenHBand="0" w:firstRowFirstColumn="0" w:firstRowLastColumn="0" w:lastRowFirstColumn="0" w:lastRowLastColumn="0"/>
              <w:rPr>
                <w:rFonts w:ascii="DM Sans" w:hAnsi="DM Sans"/>
                <w:sz w:val="18"/>
                <w:szCs w:val="18"/>
              </w:rPr>
            </w:pPr>
            <w:r w:rsidRPr="009E6437">
              <w:rPr>
                <w:rFonts w:ascii="DM Sans" w:hAnsi="DM Sans"/>
                <w:sz w:val="18"/>
                <w:szCs w:val="18"/>
              </w:rPr>
              <w:t>The charities agenda</w:t>
            </w:r>
          </w:p>
        </w:tc>
      </w:tr>
    </w:tbl>
    <w:p w14:paraId="67120313" w14:textId="4CA941EE" w:rsidR="006636E2" w:rsidRPr="005E588A" w:rsidRDefault="006636E2" w:rsidP="00B255C9">
      <w:pPr>
        <w:pStyle w:val="BodyText"/>
        <w:numPr>
          <w:ilvl w:val="0"/>
          <w:numId w:val="24"/>
        </w:numPr>
        <w:spacing w:before="120"/>
        <w:ind w:left="397" w:hanging="397"/>
        <w:rPr>
          <w:rFonts w:ascii="DM Sans" w:hAnsi="DM Sans"/>
          <w:color w:val="auto"/>
        </w:rPr>
      </w:pPr>
      <w:r w:rsidRPr="00C27804">
        <w:rPr>
          <w:rFonts w:ascii="DM Sans" w:hAnsi="DM Sans"/>
          <w:b/>
          <w:bCs/>
          <w:color w:val="auto"/>
        </w:rPr>
        <w:t>Institutional economics</w:t>
      </w:r>
      <w:r w:rsidR="003119A5">
        <w:rPr>
          <w:rFonts w:ascii="DM Sans" w:hAnsi="DM Sans"/>
          <w:color w:val="auto"/>
        </w:rPr>
        <w:t>:</w:t>
      </w:r>
      <w:r w:rsidR="00294229" w:rsidRPr="00C27804">
        <w:rPr>
          <w:rFonts w:ascii="DM Sans" w:hAnsi="DM Sans"/>
          <w:color w:val="auto"/>
        </w:rPr>
        <w:t xml:space="preserve"> </w:t>
      </w:r>
      <w:r w:rsidR="004D6FD8" w:rsidRPr="003119A5">
        <w:rPr>
          <w:rFonts w:ascii="DM Sans" w:hAnsi="DM Sans"/>
        </w:rPr>
        <w:t xml:space="preserve">Government incentives </w:t>
      </w:r>
      <w:r w:rsidR="007408B0" w:rsidRPr="003119A5">
        <w:rPr>
          <w:rFonts w:ascii="DM Sans" w:hAnsi="DM Sans"/>
        </w:rPr>
        <w:t xml:space="preserve">can </w:t>
      </w:r>
      <w:r w:rsidR="004D6FD8" w:rsidRPr="003119A5">
        <w:rPr>
          <w:rFonts w:ascii="DM Sans" w:hAnsi="DM Sans"/>
        </w:rPr>
        <w:t xml:space="preserve">only fulfil their potential where </w:t>
      </w:r>
      <w:r w:rsidR="00C943FD" w:rsidRPr="003119A5">
        <w:rPr>
          <w:rFonts w:ascii="DM Sans" w:hAnsi="DM Sans"/>
        </w:rPr>
        <w:t xml:space="preserve">people see it as part of their identity </w:t>
      </w:r>
      <w:r w:rsidR="008C57B4">
        <w:rPr>
          <w:rFonts w:ascii="DM Sans" w:hAnsi="DM Sans"/>
        </w:rPr>
        <w:t xml:space="preserve">and culture </w:t>
      </w:r>
      <w:r w:rsidR="00C943FD" w:rsidRPr="003119A5">
        <w:rPr>
          <w:rFonts w:ascii="DM Sans" w:hAnsi="DM Sans"/>
        </w:rPr>
        <w:t xml:space="preserve">to contribute to the community.  </w:t>
      </w:r>
      <w:r w:rsidR="007408B0" w:rsidRPr="003119A5">
        <w:rPr>
          <w:rFonts w:ascii="DM Sans" w:hAnsi="DM Sans"/>
        </w:rPr>
        <w:t xml:space="preserve">The proportion of Australians giving to charity is rapidly falling </w:t>
      </w:r>
      <w:r w:rsidR="0099749D" w:rsidRPr="003119A5">
        <w:rPr>
          <w:rFonts w:ascii="DM Sans" w:hAnsi="DM Sans"/>
        </w:rPr>
        <w:t xml:space="preserve">and the proportion of wealthy Australians significantly embracing philanthropy is radically lower than in leading </w:t>
      </w:r>
      <w:r w:rsidR="006021BC" w:rsidRPr="003119A5">
        <w:rPr>
          <w:rFonts w:ascii="DM Sans" w:hAnsi="DM Sans"/>
        </w:rPr>
        <w:t xml:space="preserve">philanthropic </w:t>
      </w:r>
      <w:r w:rsidR="0099749D" w:rsidRPr="003119A5">
        <w:rPr>
          <w:rFonts w:ascii="DM Sans" w:hAnsi="DM Sans"/>
        </w:rPr>
        <w:t>nations such as the United States</w:t>
      </w:r>
      <w:r w:rsidR="006B5AB6" w:rsidRPr="003119A5">
        <w:rPr>
          <w:rFonts w:ascii="DM Sans" w:hAnsi="DM Sans"/>
        </w:rPr>
        <w:t xml:space="preserve">. </w:t>
      </w:r>
      <w:r w:rsidR="00A03DC3" w:rsidRPr="003119A5">
        <w:rPr>
          <w:rFonts w:ascii="DM Sans" w:hAnsi="DM Sans"/>
        </w:rPr>
        <w:t xml:space="preserve"> </w:t>
      </w:r>
      <w:r w:rsidR="003724D5">
        <w:rPr>
          <w:rFonts w:ascii="DM Sans" w:hAnsi="DM Sans"/>
        </w:rPr>
        <w:t xml:space="preserve">Measures to address culture are essential if Australia is to </w:t>
      </w:r>
      <w:r w:rsidR="009416C5">
        <w:rPr>
          <w:rFonts w:ascii="DM Sans" w:hAnsi="DM Sans"/>
        </w:rPr>
        <w:t>achieve a step-change in giving.</w:t>
      </w:r>
      <w:r w:rsidR="00B23EDC">
        <w:rPr>
          <w:rStyle w:val="FootnoteReference"/>
          <w:rFonts w:ascii="DM Sans" w:hAnsi="DM Sans"/>
        </w:rPr>
        <w:footnoteReference w:id="2"/>
      </w:r>
      <w:r w:rsidR="009416C5">
        <w:rPr>
          <w:rFonts w:ascii="DM Sans" w:hAnsi="DM Sans"/>
        </w:rPr>
        <w:t xml:space="preserve">  </w:t>
      </w:r>
    </w:p>
    <w:p w14:paraId="390CF01B" w14:textId="54506E59" w:rsidR="006636E2" w:rsidRPr="00C27804" w:rsidRDefault="006636E2" w:rsidP="00B255C9">
      <w:pPr>
        <w:pStyle w:val="BodyText"/>
        <w:numPr>
          <w:ilvl w:val="0"/>
          <w:numId w:val="24"/>
        </w:numPr>
        <w:ind w:left="397" w:hanging="397"/>
        <w:rPr>
          <w:rFonts w:ascii="DM Sans" w:hAnsi="DM Sans"/>
          <w:b/>
          <w:bCs/>
          <w:color w:val="auto"/>
        </w:rPr>
      </w:pPr>
      <w:r w:rsidRPr="00C27804">
        <w:rPr>
          <w:rFonts w:ascii="DM Sans" w:hAnsi="DM Sans"/>
          <w:b/>
          <w:bCs/>
          <w:color w:val="auto"/>
        </w:rPr>
        <w:t>Behavioural economics</w:t>
      </w:r>
      <w:r w:rsidR="005E5BF7" w:rsidRPr="00C27804">
        <w:rPr>
          <w:rFonts w:ascii="DM Sans" w:hAnsi="DM Sans"/>
          <w:b/>
          <w:bCs/>
          <w:color w:val="auto"/>
        </w:rPr>
        <w:t xml:space="preserve"> </w:t>
      </w:r>
      <w:r w:rsidR="005E5BF7" w:rsidRPr="00C27804">
        <w:rPr>
          <w:rFonts w:ascii="DM Sans" w:hAnsi="DM Sans"/>
          <w:color w:val="auto"/>
        </w:rPr>
        <w:t xml:space="preserve">– Research confirms that behavioural </w:t>
      </w:r>
      <w:r w:rsidR="00332CA8">
        <w:rPr>
          <w:rFonts w:ascii="DM Sans" w:hAnsi="DM Sans"/>
          <w:color w:val="auto"/>
        </w:rPr>
        <w:t>prompts</w:t>
      </w:r>
      <w:r w:rsidR="005E5BF7" w:rsidRPr="00C27804">
        <w:rPr>
          <w:rFonts w:ascii="DM Sans" w:hAnsi="DM Sans"/>
          <w:color w:val="auto"/>
        </w:rPr>
        <w:t xml:space="preserve"> have been effective in increasing giving</w:t>
      </w:r>
      <w:r w:rsidR="00911A4F" w:rsidRPr="00C27804">
        <w:rPr>
          <w:rFonts w:ascii="DM Sans" w:hAnsi="DM Sans"/>
          <w:color w:val="auto"/>
        </w:rPr>
        <w:t xml:space="preserve">.  The PC could consider this evidence in its final report and </w:t>
      </w:r>
      <w:r w:rsidR="00F62DC2" w:rsidRPr="00C27804">
        <w:rPr>
          <w:rFonts w:ascii="DM Sans" w:hAnsi="DM Sans"/>
          <w:color w:val="auto"/>
        </w:rPr>
        <w:t>the potential of high value options to lift giving, such as a voluntary choice to donate as part of the tax return process.</w:t>
      </w:r>
    </w:p>
    <w:p w14:paraId="2BF17AC1" w14:textId="7AC5242E" w:rsidR="008C6CC7" w:rsidRPr="00C27804" w:rsidRDefault="006636E2" w:rsidP="00B255C9">
      <w:pPr>
        <w:pStyle w:val="BodyText"/>
        <w:numPr>
          <w:ilvl w:val="0"/>
          <w:numId w:val="24"/>
        </w:numPr>
        <w:ind w:left="397" w:hanging="397"/>
        <w:rPr>
          <w:rFonts w:ascii="DM Sans" w:hAnsi="DM Sans"/>
          <w:b/>
          <w:bCs/>
          <w:color w:val="auto"/>
        </w:rPr>
      </w:pPr>
      <w:r w:rsidRPr="00C27804">
        <w:rPr>
          <w:rFonts w:ascii="DM Sans" w:hAnsi="DM Sans"/>
          <w:b/>
          <w:bCs/>
          <w:color w:val="auto"/>
        </w:rPr>
        <w:t>Governance</w:t>
      </w:r>
      <w:r w:rsidR="00E32E67" w:rsidRPr="00C27804">
        <w:rPr>
          <w:rFonts w:ascii="DM Sans" w:hAnsi="DM Sans"/>
          <w:color w:val="auto"/>
        </w:rPr>
        <w:t xml:space="preserve"> </w:t>
      </w:r>
      <w:r w:rsidR="00DD2587" w:rsidRPr="00C27804">
        <w:rPr>
          <w:rFonts w:ascii="DM Sans" w:hAnsi="DM Sans"/>
          <w:color w:val="auto"/>
        </w:rPr>
        <w:t>–</w:t>
      </w:r>
      <w:r w:rsidR="00E32E67" w:rsidRPr="00C27804">
        <w:rPr>
          <w:rFonts w:ascii="DM Sans" w:hAnsi="DM Sans"/>
          <w:color w:val="auto"/>
        </w:rPr>
        <w:t xml:space="preserve"> </w:t>
      </w:r>
      <w:r w:rsidR="002A0874" w:rsidRPr="00C27804">
        <w:rPr>
          <w:rFonts w:ascii="DM Sans" w:hAnsi="DM Sans"/>
          <w:color w:val="auto"/>
        </w:rPr>
        <w:t xml:space="preserve">The PC could consider simple governance reforms that would </w:t>
      </w:r>
      <w:r w:rsidR="008C6CC7" w:rsidRPr="00C27804">
        <w:rPr>
          <w:rFonts w:ascii="DM Sans" w:hAnsi="DM Sans"/>
          <w:color w:val="auto"/>
        </w:rPr>
        <w:t>create stronger impact from collective investments by government and the philanthropic sector</w:t>
      </w:r>
      <w:r w:rsidR="00EC6FC9" w:rsidRPr="00C27804">
        <w:rPr>
          <w:rFonts w:ascii="DM Sans" w:hAnsi="DM Sans"/>
          <w:b/>
          <w:bCs/>
          <w:color w:val="auto"/>
        </w:rPr>
        <w:t xml:space="preserve">.  </w:t>
      </w:r>
    </w:p>
    <w:p w14:paraId="0A1D93C9" w14:textId="5A0B0667" w:rsidR="000E4302" w:rsidRPr="00A02C54" w:rsidRDefault="007C4C0E" w:rsidP="00B255C9">
      <w:pPr>
        <w:pStyle w:val="BodyText"/>
        <w:numPr>
          <w:ilvl w:val="0"/>
          <w:numId w:val="24"/>
        </w:numPr>
        <w:ind w:left="397" w:hanging="397"/>
        <w:rPr>
          <w:rFonts w:ascii="DM Sans" w:hAnsi="DM Sans"/>
          <w:b/>
          <w:bCs/>
          <w:color w:val="auto"/>
        </w:rPr>
      </w:pPr>
      <w:r w:rsidRPr="00C27804">
        <w:rPr>
          <w:rFonts w:ascii="DM Sans" w:hAnsi="DM Sans"/>
          <w:b/>
          <w:bCs/>
          <w:color w:val="auto"/>
        </w:rPr>
        <w:t>Creating a sound environment for charities</w:t>
      </w:r>
      <w:r w:rsidR="00CA16F5" w:rsidRPr="00C27804">
        <w:rPr>
          <w:rFonts w:ascii="DM Sans" w:hAnsi="DM Sans"/>
          <w:b/>
          <w:bCs/>
          <w:color w:val="auto"/>
        </w:rPr>
        <w:t xml:space="preserve">.  </w:t>
      </w:r>
      <w:r w:rsidR="00165FF7" w:rsidRPr="00165FF7">
        <w:rPr>
          <w:rFonts w:ascii="DM Sans" w:hAnsi="DM Sans"/>
          <w:color w:val="auto"/>
        </w:rPr>
        <w:t>The PC could lift giving and its effectiveness through</w:t>
      </w:r>
      <w:r w:rsidR="00CA16F5" w:rsidRPr="00C27804">
        <w:rPr>
          <w:rFonts w:ascii="DM Sans" w:hAnsi="DM Sans"/>
        </w:rPr>
        <w:t xml:space="preserve"> measures to build capability </w:t>
      </w:r>
      <w:r w:rsidR="00737258">
        <w:rPr>
          <w:rFonts w:ascii="DM Sans" w:hAnsi="DM Sans"/>
        </w:rPr>
        <w:t xml:space="preserve">and create a more favourable operating environment for charities. </w:t>
      </w:r>
    </w:p>
    <w:p w14:paraId="797700D4" w14:textId="17879E66" w:rsidR="00A02C54" w:rsidRDefault="00047C72" w:rsidP="00A547B7">
      <w:pPr>
        <w:pStyle w:val="Heading3"/>
        <w:numPr>
          <w:ilvl w:val="0"/>
          <w:numId w:val="89"/>
        </w:numPr>
        <w:spacing w:before="0" w:after="120" w:line="240" w:lineRule="auto"/>
      </w:pPr>
      <w:bookmarkStart w:id="5" w:name="_Toc158381882"/>
      <w:r w:rsidRPr="00A02C54">
        <w:t>PA’s proposed changes to the final report</w:t>
      </w:r>
      <w:bookmarkEnd w:id="5"/>
    </w:p>
    <w:p w14:paraId="39DF0A1E" w14:textId="462E8884" w:rsidR="00FC0368" w:rsidRDefault="00FC0368" w:rsidP="00A02C54">
      <w:pPr>
        <w:pStyle w:val="BodyText"/>
        <w:rPr>
          <w:b/>
          <w:bCs/>
        </w:rPr>
      </w:pPr>
      <w:r>
        <w:rPr>
          <w:b/>
          <w:bCs/>
        </w:rPr>
        <w:t>P</w:t>
      </w:r>
      <w:r w:rsidR="00D62853" w:rsidRPr="00E814BA">
        <w:rPr>
          <w:b/>
          <w:bCs/>
        </w:rPr>
        <w:t>A</w:t>
      </w:r>
      <w:r>
        <w:rPr>
          <w:b/>
          <w:bCs/>
        </w:rPr>
        <w:t>’s</w:t>
      </w:r>
      <w:r w:rsidR="00D62853" w:rsidRPr="00E814BA">
        <w:rPr>
          <w:b/>
          <w:bCs/>
        </w:rPr>
        <w:t xml:space="preserve"> approach</w:t>
      </w:r>
    </w:p>
    <w:p w14:paraId="2A9AFCB2" w14:textId="107F2E53" w:rsidR="0001062E" w:rsidRDefault="00A25BF8" w:rsidP="00A02C54">
      <w:pPr>
        <w:pStyle w:val="BodyText"/>
      </w:pPr>
      <w:r>
        <w:t xml:space="preserve">PA is seeking to be highly constructive in its </w:t>
      </w:r>
      <w:r w:rsidR="001631A3">
        <w:t xml:space="preserve">proposed changes to the final report, making sure we </w:t>
      </w:r>
      <w:r w:rsidR="00D972E3">
        <w:t>‘ve listened to and are responding to the clear messages in the PC’s draft report.  This includes:</w:t>
      </w:r>
    </w:p>
    <w:p w14:paraId="15B7E01A" w14:textId="3EFC4E11" w:rsidR="0001062E" w:rsidRPr="00B73A8F" w:rsidRDefault="0001062E" w:rsidP="00A547B7">
      <w:pPr>
        <w:pStyle w:val="BodyText"/>
        <w:numPr>
          <w:ilvl w:val="0"/>
          <w:numId w:val="94"/>
        </w:numPr>
        <w:rPr>
          <w:b/>
          <w:bCs/>
        </w:rPr>
      </w:pPr>
      <w:r w:rsidRPr="0001062E">
        <w:rPr>
          <w:b/>
          <w:bCs/>
        </w:rPr>
        <w:t>Accepting clear recommendations and findings</w:t>
      </w:r>
      <w:r>
        <w:rPr>
          <w:b/>
          <w:bCs/>
        </w:rPr>
        <w:t xml:space="preserve">: </w:t>
      </w:r>
      <w:r w:rsidR="00762A63">
        <w:rPr>
          <w:b/>
          <w:bCs/>
        </w:rPr>
        <w:t xml:space="preserve"> </w:t>
      </w:r>
      <w:r w:rsidR="00807CFB">
        <w:rPr>
          <w:b/>
          <w:bCs/>
        </w:rPr>
        <w:t xml:space="preserve"> </w:t>
      </w:r>
      <w:r w:rsidR="00973218">
        <w:t xml:space="preserve"> As set out in our May submission, PA </w:t>
      </w:r>
      <w:r w:rsidR="0072482A">
        <w:t xml:space="preserve">believes DGR should be extended to all charities, but we will not repeat these arguments, given the rigour and care the PC has undertaken to formulate its recommendations.  Similarly, while we believe the case to remove the </w:t>
      </w:r>
      <w:r w:rsidR="00F15502">
        <w:t>17</w:t>
      </w:r>
      <w:r w:rsidR="00F73ED3">
        <w:t xml:space="preserve"> per </w:t>
      </w:r>
      <w:r w:rsidR="00F15502">
        <w:t>cent</w:t>
      </w:r>
      <w:r w:rsidR="0072482A">
        <w:t xml:space="preserve"> tax penalty on super bequests is strong, </w:t>
      </w:r>
      <w:r w:rsidR="008C0473">
        <w:t xml:space="preserve">we recognise the PC </w:t>
      </w:r>
      <w:r w:rsidR="00F73ED3">
        <w:t>considered the matter and reached a conclusion</w:t>
      </w:r>
      <w:r w:rsidR="00784E93">
        <w:t xml:space="preserve">.  </w:t>
      </w:r>
    </w:p>
    <w:p w14:paraId="328F5A4F" w14:textId="00A60B08" w:rsidR="00B7745A" w:rsidRPr="00DE10BE" w:rsidRDefault="00B73A8F" w:rsidP="00A547B7">
      <w:pPr>
        <w:pStyle w:val="BodyText"/>
        <w:numPr>
          <w:ilvl w:val="0"/>
          <w:numId w:val="94"/>
        </w:numPr>
        <w:rPr>
          <w:b/>
          <w:bCs/>
        </w:rPr>
      </w:pPr>
      <w:r>
        <w:t>A</w:t>
      </w:r>
      <w:r>
        <w:rPr>
          <w:b/>
          <w:bCs/>
        </w:rPr>
        <w:t>voiding a shopping list.</w:t>
      </w:r>
      <w:r w:rsidR="00660447">
        <w:rPr>
          <w:b/>
          <w:bCs/>
        </w:rPr>
        <w:t xml:space="preserve">  </w:t>
      </w:r>
      <w:r w:rsidR="00660447" w:rsidRPr="00221FA0">
        <w:t xml:space="preserve">PA’s original submission had 18 measures to lift giving.  Here we focus on </w:t>
      </w:r>
      <w:r w:rsidR="00221FA0" w:rsidRPr="00221FA0">
        <w:t>seven, selected</w:t>
      </w:r>
      <w:r w:rsidR="00221FA0">
        <w:t xml:space="preserve"> </w:t>
      </w:r>
      <w:proofErr w:type="gramStart"/>
      <w:r w:rsidR="00221FA0">
        <w:t>on the basis of</w:t>
      </w:r>
      <w:proofErr w:type="gramEnd"/>
      <w:r w:rsidR="00A55142">
        <w:t>:</w:t>
      </w:r>
      <w:r w:rsidR="00DE10BE">
        <w:rPr>
          <w:b/>
          <w:bCs/>
        </w:rPr>
        <w:t xml:space="preserve"> </w:t>
      </w:r>
      <w:r w:rsidR="00A55142">
        <w:t>potential to lift giving, while enhancing community-wide welfare (</w:t>
      </w:r>
      <w:r w:rsidR="00564455">
        <w:t xml:space="preserve">exemplified most strongly by </w:t>
      </w:r>
      <w:r w:rsidR="00A55142">
        <w:t>super bequests and the choice to donate at tax time); and</w:t>
      </w:r>
      <w:r w:rsidR="00DE10BE">
        <w:rPr>
          <w:b/>
          <w:bCs/>
        </w:rPr>
        <w:t xml:space="preserve"> </w:t>
      </w:r>
      <w:r w:rsidR="00564455">
        <w:t>ability to be implemented (eg a national giving and volunteering data set</w:t>
      </w:r>
      <w:r w:rsidR="00C15265">
        <w:t>)</w:t>
      </w:r>
      <w:r w:rsidR="00564455">
        <w:t>.</w:t>
      </w:r>
    </w:p>
    <w:p w14:paraId="40B00B36" w14:textId="0D2C6A12" w:rsidR="00E1778B" w:rsidRPr="00E1778B" w:rsidRDefault="00E1778B" w:rsidP="00A547B7">
      <w:pPr>
        <w:pStyle w:val="BodyText"/>
        <w:numPr>
          <w:ilvl w:val="0"/>
          <w:numId w:val="94"/>
        </w:numPr>
        <w:rPr>
          <w:b/>
          <w:bCs/>
        </w:rPr>
      </w:pPr>
      <w:r w:rsidRPr="00E1778B">
        <w:rPr>
          <w:b/>
          <w:bCs/>
        </w:rPr>
        <w:t xml:space="preserve">Adjusting recommendations: </w:t>
      </w:r>
      <w:r>
        <w:t xml:space="preserve"> Most of our recommendations have been adjusted to </w:t>
      </w:r>
      <w:proofErr w:type="gramStart"/>
      <w:r>
        <w:t>take into account</w:t>
      </w:r>
      <w:proofErr w:type="gramEnd"/>
      <w:r>
        <w:t xml:space="preserve"> the PC’s analysis.</w:t>
      </w:r>
    </w:p>
    <w:p w14:paraId="2B538720" w14:textId="77777777" w:rsidR="00767503" w:rsidRDefault="00767503" w:rsidP="00932723">
      <w:pPr>
        <w:pStyle w:val="BodyText"/>
        <w:rPr>
          <w:b/>
          <w:bCs/>
        </w:rPr>
      </w:pPr>
    </w:p>
    <w:p w14:paraId="1C2F865D" w14:textId="218FF916" w:rsidR="003D3DB8" w:rsidRPr="00A55142" w:rsidRDefault="003D3DB8" w:rsidP="00932723">
      <w:pPr>
        <w:pStyle w:val="BodyText"/>
        <w:rPr>
          <w:b/>
          <w:bCs/>
        </w:rPr>
      </w:pPr>
      <w:r w:rsidRPr="003D3DB8">
        <w:rPr>
          <w:b/>
          <w:bCs/>
        </w:rPr>
        <w:lastRenderedPageBreak/>
        <w:t>Our recommended policy changes are:</w:t>
      </w:r>
    </w:p>
    <w:p w14:paraId="00006CB5" w14:textId="304647D0" w:rsidR="00A55142" w:rsidRPr="00DF4F38" w:rsidRDefault="002030BD" w:rsidP="00A547B7">
      <w:pPr>
        <w:pStyle w:val="BodyText"/>
        <w:numPr>
          <w:ilvl w:val="0"/>
          <w:numId w:val="80"/>
        </w:numPr>
        <w:ind w:left="357" w:hanging="357"/>
        <w:rPr>
          <w:b/>
          <w:bCs/>
          <w:lang w:val="en-US"/>
        </w:rPr>
      </w:pPr>
      <w:r>
        <w:rPr>
          <w:b/>
          <w:bCs/>
          <w:lang w:val="en-US"/>
        </w:rPr>
        <w:t xml:space="preserve">Super bequests: </w:t>
      </w:r>
      <w:r w:rsidR="00932723" w:rsidRPr="00932723">
        <w:rPr>
          <w:lang w:val="en-US"/>
        </w:rPr>
        <w:t>The PC recommend that the Federal Government</w:t>
      </w:r>
      <w:r w:rsidR="003608FA" w:rsidRPr="002030BD">
        <w:rPr>
          <w:lang w:val="en-US"/>
        </w:rPr>
        <w:t xml:space="preserve"> it announce its </w:t>
      </w:r>
      <w:r w:rsidR="00532FCD">
        <w:rPr>
          <w:lang w:val="en-US"/>
        </w:rPr>
        <w:t>commitment</w:t>
      </w:r>
      <w:r w:rsidR="003608FA" w:rsidRPr="002030BD">
        <w:rPr>
          <w:lang w:val="en-US"/>
        </w:rPr>
        <w:t xml:space="preserve"> to </w:t>
      </w:r>
      <w:r w:rsidR="00932723" w:rsidRPr="00932723">
        <w:t>give Australians the choice to make a bequest through super</w:t>
      </w:r>
      <w:r w:rsidR="00BE4CE4" w:rsidRPr="002030BD">
        <w:t xml:space="preserve">, but proceed </w:t>
      </w:r>
      <w:r w:rsidR="00932723" w:rsidRPr="002030BD">
        <w:rPr>
          <w:lang w:val="en-US"/>
        </w:rPr>
        <w:t>only after consultation with the superannuation industry to ensure implementation challenges are effectively addressed.</w:t>
      </w:r>
    </w:p>
    <w:p w14:paraId="4E607396" w14:textId="785FB084" w:rsidR="00E22AFE" w:rsidRPr="00E22AFE" w:rsidRDefault="00541B24" w:rsidP="00A547B7">
      <w:pPr>
        <w:pStyle w:val="BodyText"/>
        <w:numPr>
          <w:ilvl w:val="0"/>
          <w:numId w:val="96"/>
        </w:numPr>
        <w:ind w:left="357" w:hanging="357"/>
        <w:rPr>
          <w:lang w:val="en-US"/>
        </w:rPr>
      </w:pPr>
      <w:r w:rsidRPr="00B44287">
        <w:rPr>
          <w:lang w:val="en-US"/>
        </w:rPr>
        <w:t>It</w:t>
      </w:r>
      <w:r w:rsidR="00127F33" w:rsidRPr="00B44287">
        <w:rPr>
          <w:lang w:val="en-US"/>
        </w:rPr>
        <w:t xml:space="preserve"> would remove unnecessary regulatory </w:t>
      </w:r>
      <w:proofErr w:type="gramStart"/>
      <w:r w:rsidR="00127F33" w:rsidRPr="00B44287">
        <w:rPr>
          <w:lang w:val="en-US"/>
        </w:rPr>
        <w:t>barriers, and</w:t>
      </w:r>
      <w:proofErr w:type="gramEnd"/>
      <w:r w:rsidR="00127F33" w:rsidRPr="00B44287">
        <w:rPr>
          <w:lang w:val="en-US"/>
        </w:rPr>
        <w:t xml:space="preserve"> </w:t>
      </w:r>
      <w:r w:rsidR="0047650F">
        <w:rPr>
          <w:lang w:val="en-US"/>
        </w:rPr>
        <w:t xml:space="preserve">make it easier for people to choose to give to charity through </w:t>
      </w:r>
      <w:r w:rsidR="00B44287" w:rsidRPr="00B44287">
        <w:rPr>
          <w:lang w:val="en-US"/>
        </w:rPr>
        <w:t>a simple process.</w:t>
      </w:r>
    </w:p>
    <w:p w14:paraId="33ECF506" w14:textId="77777777" w:rsidR="00E22AFE" w:rsidRDefault="00E22AFE" w:rsidP="00A547B7">
      <w:pPr>
        <w:pStyle w:val="BodyText"/>
        <w:numPr>
          <w:ilvl w:val="0"/>
          <w:numId w:val="96"/>
        </w:numPr>
        <w:ind w:left="357" w:hanging="357"/>
        <w:rPr>
          <w:lang w:val="en-US"/>
        </w:rPr>
      </w:pPr>
      <w:r>
        <w:rPr>
          <w:lang w:val="en-US"/>
        </w:rPr>
        <w:t>It would likely deliver hundreds of billions in additional giving across the 21</w:t>
      </w:r>
      <w:r w:rsidRPr="00E22AFE">
        <w:rPr>
          <w:vertAlign w:val="superscript"/>
          <w:lang w:val="en-US"/>
        </w:rPr>
        <w:t>st</w:t>
      </w:r>
      <w:r>
        <w:rPr>
          <w:lang w:val="en-US"/>
        </w:rPr>
        <w:t xml:space="preserve"> century.</w:t>
      </w:r>
    </w:p>
    <w:p w14:paraId="190D871F" w14:textId="0C245DE9" w:rsidR="00DB39D6" w:rsidRPr="00C27804" w:rsidRDefault="00DB39D6" w:rsidP="00B255C9">
      <w:pPr>
        <w:numPr>
          <w:ilvl w:val="0"/>
          <w:numId w:val="58"/>
        </w:numPr>
        <w:spacing w:before="60" w:after="60"/>
        <w:rPr>
          <w:rFonts w:ascii="DM Sans" w:eastAsia="MS ??" w:hAnsi="DM Sans"/>
        </w:rPr>
      </w:pPr>
      <w:r w:rsidRPr="00C27804">
        <w:rPr>
          <w:rFonts w:ascii="DM Sans" w:eastAsia="MS ??" w:hAnsi="DM Sans"/>
        </w:rPr>
        <w:t xml:space="preserve">Treasury </w:t>
      </w:r>
      <w:r w:rsidR="00D6768F">
        <w:rPr>
          <w:rFonts w:ascii="DM Sans" w:eastAsia="MS ??" w:hAnsi="DM Sans"/>
        </w:rPr>
        <w:t xml:space="preserve">forecasts show </w:t>
      </w:r>
      <w:r w:rsidR="00450814">
        <w:rPr>
          <w:rFonts w:ascii="DM Sans" w:eastAsia="MS ??" w:hAnsi="DM Sans"/>
        </w:rPr>
        <w:t>many trillions of super balances will pass at death this century</w:t>
      </w:r>
      <w:r w:rsidR="00CC24DE">
        <w:rPr>
          <w:rFonts w:ascii="DM Sans" w:eastAsia="MS ??" w:hAnsi="DM Sans"/>
        </w:rPr>
        <w:t>.  If</w:t>
      </w:r>
      <w:r w:rsidRPr="00C27804">
        <w:rPr>
          <w:rFonts w:ascii="DM Sans" w:eastAsia="MS ??" w:hAnsi="DM Sans"/>
        </w:rPr>
        <w:t xml:space="preserve"> just a modest proportion goes to charity, it will amount to hundreds of billions in increased giving.</w:t>
      </w:r>
    </w:p>
    <w:p w14:paraId="37056B28" w14:textId="39F1EB36" w:rsidR="00DB39D6" w:rsidRPr="008E0652" w:rsidRDefault="004A5A4E" w:rsidP="00B255C9">
      <w:pPr>
        <w:numPr>
          <w:ilvl w:val="0"/>
          <w:numId w:val="58"/>
        </w:numPr>
        <w:spacing w:before="60" w:after="60"/>
        <w:rPr>
          <w:rFonts w:ascii="DM Sans" w:eastAsia="MS ??" w:hAnsi="DM Sans"/>
        </w:rPr>
      </w:pPr>
      <w:r>
        <w:rPr>
          <w:rFonts w:ascii="DM Sans" w:eastAsia="MS ??" w:hAnsi="DM Sans"/>
        </w:rPr>
        <w:t>Giving would be spurred as: the process would be easy</w:t>
      </w:r>
      <w:r w:rsidR="00A527F3">
        <w:rPr>
          <w:rFonts w:ascii="DM Sans" w:eastAsia="MS ??" w:hAnsi="DM Sans"/>
        </w:rPr>
        <w:t xml:space="preserve">; giving to great causes would be marketed by charities and super funds; and people would be prompted across their lifetimes </w:t>
      </w:r>
      <w:r w:rsidR="008E0652">
        <w:rPr>
          <w:rFonts w:ascii="DM Sans" w:eastAsia="MS ??" w:hAnsi="DM Sans"/>
        </w:rPr>
        <w:t>to consider super bequests (such as at the start of their career</w:t>
      </w:r>
      <w:r w:rsidR="00ED47A2">
        <w:rPr>
          <w:rFonts w:ascii="DM Sans" w:eastAsia="MS ??" w:hAnsi="DM Sans"/>
        </w:rPr>
        <w:t>,</w:t>
      </w:r>
      <w:r w:rsidR="008E0652">
        <w:rPr>
          <w:rFonts w:ascii="DM Sans" w:eastAsia="MS ??" w:hAnsi="DM Sans"/>
        </w:rPr>
        <w:t xml:space="preserve"> or </w:t>
      </w:r>
      <w:r w:rsidR="008E0652" w:rsidRPr="00C27804">
        <w:rPr>
          <w:rFonts w:ascii="DM Sans" w:hAnsi="DM Sans"/>
        </w:rPr>
        <w:t>in later years when many people are in a financial position to give and considering leaving a legacy to society</w:t>
      </w:r>
      <w:r w:rsidR="00ED47A2">
        <w:rPr>
          <w:rFonts w:ascii="DM Sans" w:hAnsi="DM Sans"/>
        </w:rPr>
        <w:t>)</w:t>
      </w:r>
      <w:r w:rsidR="008E0652">
        <w:rPr>
          <w:rFonts w:ascii="DM Sans" w:hAnsi="DM Sans"/>
        </w:rPr>
        <w:t>.</w:t>
      </w:r>
    </w:p>
    <w:p w14:paraId="67D1CC57" w14:textId="20946732" w:rsidR="00DB39D6" w:rsidRPr="000F398A" w:rsidRDefault="006E0511" w:rsidP="00B255C9">
      <w:pPr>
        <w:numPr>
          <w:ilvl w:val="0"/>
          <w:numId w:val="58"/>
        </w:numPr>
        <w:spacing w:before="60" w:after="60"/>
        <w:rPr>
          <w:lang w:val="en-US"/>
        </w:rPr>
      </w:pPr>
      <w:r>
        <w:rPr>
          <w:rFonts w:ascii="DM Sans" w:hAnsi="DM Sans"/>
        </w:rPr>
        <w:t xml:space="preserve">Impact Economics provided two scenarios with credible assumptions to </w:t>
      </w:r>
      <w:r w:rsidR="000B4072">
        <w:rPr>
          <w:rFonts w:ascii="DM Sans" w:hAnsi="DM Sans"/>
        </w:rPr>
        <w:t xml:space="preserve">provide the PC with a likely ballpark of increased giving and found over </w:t>
      </w:r>
      <w:r w:rsidR="00DB39D6" w:rsidRPr="000B4072">
        <w:rPr>
          <w:rFonts w:ascii="DM Sans" w:eastAsia="MS ??" w:hAnsi="DM Sans"/>
        </w:rPr>
        <w:t xml:space="preserve">the period to 2060, the reform could generate between $64.6 and $260.3 billion in additional income for charities </w:t>
      </w:r>
      <w:r w:rsidR="00DB39D6" w:rsidRPr="000B4072">
        <w:rPr>
          <w:rFonts w:ascii="DM Sans" w:eastAsia="MS ??" w:hAnsi="DM Sans"/>
          <w:u w:val="single"/>
        </w:rPr>
        <w:t>in current dollars</w:t>
      </w:r>
      <w:r w:rsidR="00DB39D6" w:rsidRPr="000B4072">
        <w:rPr>
          <w:rFonts w:ascii="DM Sans" w:eastAsia="MS ??" w:hAnsi="DM Sans"/>
        </w:rPr>
        <w:t>.</w:t>
      </w:r>
      <w:r w:rsidR="000F398A">
        <w:rPr>
          <w:rFonts w:ascii="DM Sans" w:eastAsia="MS ??" w:hAnsi="DM Sans"/>
        </w:rPr>
        <w:t xml:space="preserve">  </w:t>
      </w:r>
      <w:r w:rsidR="00DB39D6" w:rsidRPr="000F398A">
        <w:rPr>
          <w:rFonts w:ascii="DM Sans" w:eastAsia="MS ??" w:hAnsi="DM Sans"/>
        </w:rPr>
        <w:t>Australians donated $13.4 billion to charity in 2021.  The modelling indicates that in the year 2060 alone, the</w:t>
      </w:r>
      <w:r w:rsidR="00DB39D6" w:rsidRPr="000F398A">
        <w:rPr>
          <w:rFonts w:ascii="DM Sans" w:eastAsia="MS ??" w:hAnsi="DM Sans"/>
          <w:bCs/>
        </w:rPr>
        <w:t xml:space="preserve"> reforms </w:t>
      </w:r>
      <w:r w:rsidR="00D378C5">
        <w:rPr>
          <w:rFonts w:ascii="DM Sans" w:eastAsia="MS ??" w:hAnsi="DM Sans"/>
          <w:bCs/>
        </w:rPr>
        <w:t>c</w:t>
      </w:r>
      <w:r w:rsidR="00DB39D6" w:rsidRPr="000F398A">
        <w:rPr>
          <w:rFonts w:ascii="DM Sans" w:eastAsia="MS ??" w:hAnsi="DM Sans"/>
          <w:bCs/>
        </w:rPr>
        <w:t xml:space="preserve">ould yield between $4.8 and $21.9 billion for charity.  </w:t>
      </w:r>
    </w:p>
    <w:p w14:paraId="401403B4" w14:textId="1DD5CE77" w:rsidR="000F398A" w:rsidRDefault="0028764D" w:rsidP="00A547B7">
      <w:pPr>
        <w:pStyle w:val="BodyText"/>
        <w:numPr>
          <w:ilvl w:val="0"/>
          <w:numId w:val="96"/>
        </w:numPr>
        <w:ind w:left="357" w:hanging="357"/>
        <w:rPr>
          <w:lang w:val="en-US"/>
        </w:rPr>
      </w:pPr>
      <w:r>
        <w:rPr>
          <w:lang w:val="en-US"/>
        </w:rPr>
        <w:t>It would be a highly efficient form of giving, with no revenue cost.  Indeed</w:t>
      </w:r>
      <w:r w:rsidR="00735961">
        <w:rPr>
          <w:lang w:val="en-US"/>
        </w:rPr>
        <w:t>,</w:t>
      </w:r>
      <w:r>
        <w:rPr>
          <w:lang w:val="en-US"/>
        </w:rPr>
        <w:t xml:space="preserve"> revenue would rise, where giving to charity (taxed at 17 cents) crowded out giving to child dependents (tax free).</w:t>
      </w:r>
    </w:p>
    <w:p w14:paraId="5FB15BC8" w14:textId="0386AC4D" w:rsidR="000F2732" w:rsidRDefault="00806094" w:rsidP="00A547B7">
      <w:pPr>
        <w:pStyle w:val="BodyText"/>
        <w:numPr>
          <w:ilvl w:val="0"/>
          <w:numId w:val="96"/>
        </w:numPr>
        <w:ind w:left="357" w:hanging="357"/>
        <w:rPr>
          <w:lang w:val="en-US"/>
        </w:rPr>
      </w:pPr>
      <w:r w:rsidRPr="008760C3">
        <w:rPr>
          <w:lang w:val="en-US"/>
        </w:rPr>
        <w:t xml:space="preserve">It would help spread </w:t>
      </w:r>
      <w:r w:rsidR="00735961">
        <w:rPr>
          <w:lang w:val="en-US"/>
        </w:rPr>
        <w:t xml:space="preserve">wealth and </w:t>
      </w:r>
      <w:r w:rsidRPr="008760C3">
        <w:rPr>
          <w:lang w:val="en-US"/>
        </w:rPr>
        <w:t xml:space="preserve">opportunity to all Australians. </w:t>
      </w:r>
      <w:r w:rsidR="00DE28A4">
        <w:rPr>
          <w:lang w:val="en-US"/>
        </w:rPr>
        <w:t xml:space="preserve">Super assets – at $3 trillion and rising rapidly – are concentrated </w:t>
      </w:r>
      <w:r w:rsidR="00E55321">
        <w:rPr>
          <w:lang w:val="en-US"/>
        </w:rPr>
        <w:t xml:space="preserve">in the accounts of higher income earners.  Tax concessions also accrue overwhelmingly to high income earners.  </w:t>
      </w:r>
      <w:r w:rsidR="00FB76E5">
        <w:rPr>
          <w:lang w:val="en-US"/>
        </w:rPr>
        <w:t xml:space="preserve">Super bequests can be a </w:t>
      </w:r>
      <w:r w:rsidR="007B50F9">
        <w:rPr>
          <w:lang w:val="en-US"/>
        </w:rPr>
        <w:t xml:space="preserve">crucial mechanism to transfer funds from </w:t>
      </w:r>
      <w:r w:rsidR="003D728C">
        <w:rPr>
          <w:lang w:val="en-US"/>
        </w:rPr>
        <w:t xml:space="preserve">Australians more fortunately placed to those in greater need.  </w:t>
      </w:r>
    </w:p>
    <w:p w14:paraId="58E35703" w14:textId="7E472BBC" w:rsidR="00EC71A9" w:rsidRDefault="005F3328" w:rsidP="00A547B7">
      <w:pPr>
        <w:pStyle w:val="BodyText"/>
        <w:numPr>
          <w:ilvl w:val="0"/>
          <w:numId w:val="96"/>
        </w:numPr>
        <w:ind w:left="357" w:hanging="357"/>
        <w:rPr>
          <w:lang w:val="en-US"/>
        </w:rPr>
      </w:pPr>
      <w:r>
        <w:rPr>
          <w:lang w:val="en-US"/>
        </w:rPr>
        <w:t xml:space="preserve">PA has </w:t>
      </w:r>
      <w:proofErr w:type="gramStart"/>
      <w:r>
        <w:rPr>
          <w:lang w:val="en-US"/>
        </w:rPr>
        <w:t>made a contribution</w:t>
      </w:r>
      <w:proofErr w:type="gramEnd"/>
      <w:r>
        <w:rPr>
          <w:lang w:val="en-US"/>
        </w:rPr>
        <w:t xml:space="preserve"> to addressing implementation challenges </w:t>
      </w:r>
      <w:r w:rsidR="00EC71A9">
        <w:rPr>
          <w:lang w:val="en-US"/>
        </w:rPr>
        <w:t>(See Box 1.1 below).</w:t>
      </w:r>
    </w:p>
    <w:p w14:paraId="529D836A" w14:textId="7D475BD9" w:rsidR="00B26438" w:rsidRPr="00210499" w:rsidRDefault="002F34FB" w:rsidP="00A547B7">
      <w:pPr>
        <w:pStyle w:val="BodyText"/>
        <w:numPr>
          <w:ilvl w:val="0"/>
          <w:numId w:val="80"/>
        </w:numPr>
        <w:ind w:left="357" w:hanging="357"/>
        <w:rPr>
          <w:b/>
          <w:bCs/>
          <w:lang w:val="en-US"/>
        </w:rPr>
      </w:pPr>
      <w:r w:rsidRPr="002F34FB">
        <w:rPr>
          <w:b/>
          <w:bCs/>
          <w:lang w:val="en-US"/>
        </w:rPr>
        <w:t>A voluntary choice to donate as part of the tax return process</w:t>
      </w:r>
      <w:r w:rsidR="00E31B62">
        <w:rPr>
          <w:b/>
          <w:bCs/>
          <w:lang w:val="en-US"/>
        </w:rPr>
        <w:t xml:space="preserve">: </w:t>
      </w:r>
      <w:r w:rsidR="00E31B62" w:rsidRPr="005E7A92">
        <w:rPr>
          <w:lang w:val="en-US"/>
        </w:rPr>
        <w:t>The PC recommend the Federal Government provide Australians</w:t>
      </w:r>
      <w:r w:rsidR="00E31B62">
        <w:rPr>
          <w:b/>
          <w:bCs/>
          <w:lang w:val="en-US"/>
        </w:rPr>
        <w:t xml:space="preserve"> </w:t>
      </w:r>
      <w:r w:rsidR="005E7A92" w:rsidRPr="005E7A92">
        <w:rPr>
          <w:lang w:val="en-US"/>
        </w:rPr>
        <w:t>with a voluntary choice to donate as part of the tax return process.</w:t>
      </w:r>
      <w:r w:rsidR="00210499">
        <w:rPr>
          <w:lang w:val="en-US"/>
        </w:rPr>
        <w:t xml:space="preserve">  </w:t>
      </w:r>
    </w:p>
    <w:p w14:paraId="572E3025" w14:textId="1DBDE112" w:rsidR="00210499" w:rsidRDefault="003E3C6C" w:rsidP="00A547B7">
      <w:pPr>
        <w:pStyle w:val="BodyText"/>
        <w:numPr>
          <w:ilvl w:val="0"/>
          <w:numId w:val="96"/>
        </w:numPr>
        <w:ind w:left="357" w:hanging="357"/>
        <w:rPr>
          <w:lang w:val="en-US"/>
        </w:rPr>
      </w:pPr>
      <w:r>
        <w:rPr>
          <w:lang w:val="en-US"/>
        </w:rPr>
        <w:t>The reform addresses clear policy issues</w:t>
      </w:r>
      <w:r w:rsidR="00DD16A5">
        <w:rPr>
          <w:lang w:val="en-US"/>
        </w:rPr>
        <w:t>:</w:t>
      </w:r>
      <w:r>
        <w:rPr>
          <w:lang w:val="en-US"/>
        </w:rPr>
        <w:t xml:space="preserve"> </w:t>
      </w:r>
      <w:r w:rsidR="009B4FD1">
        <w:rPr>
          <w:lang w:val="en-US"/>
        </w:rPr>
        <w:t xml:space="preserve">building a more generous culture through </w:t>
      </w:r>
      <w:r>
        <w:rPr>
          <w:lang w:val="en-US"/>
        </w:rPr>
        <w:t xml:space="preserve">prompting and establishing a national custom; and assisting to make giving </w:t>
      </w:r>
      <w:r w:rsidR="001638F9">
        <w:rPr>
          <w:lang w:val="en-US"/>
        </w:rPr>
        <w:t>simpler and easier.</w:t>
      </w:r>
    </w:p>
    <w:p w14:paraId="1F808BD0" w14:textId="1F2ED29E" w:rsidR="001638F9" w:rsidRDefault="001638F9" w:rsidP="00A547B7">
      <w:pPr>
        <w:pStyle w:val="BodyText"/>
        <w:numPr>
          <w:ilvl w:val="0"/>
          <w:numId w:val="96"/>
        </w:numPr>
        <w:ind w:left="357" w:hanging="357"/>
        <w:rPr>
          <w:lang w:val="en-US"/>
        </w:rPr>
      </w:pPr>
      <w:r>
        <w:rPr>
          <w:lang w:val="en-US"/>
        </w:rPr>
        <w:t xml:space="preserve">The PC confirms DGR giving is welfare enhancing.  </w:t>
      </w:r>
      <w:r w:rsidR="00764251">
        <w:rPr>
          <w:lang w:val="en-US"/>
        </w:rPr>
        <w:t>Therefore</w:t>
      </w:r>
      <w:r>
        <w:rPr>
          <w:lang w:val="en-US"/>
        </w:rPr>
        <w:t xml:space="preserve">, </w:t>
      </w:r>
      <w:r w:rsidR="00BA1A93">
        <w:rPr>
          <w:lang w:val="en-US"/>
        </w:rPr>
        <w:t>if this reform lifts such giving, all things being equal, it too is welfare enhancing.</w:t>
      </w:r>
    </w:p>
    <w:p w14:paraId="06E805CB" w14:textId="04EA2711" w:rsidR="00BA1A93" w:rsidRDefault="00BA1A93" w:rsidP="00A547B7">
      <w:pPr>
        <w:pStyle w:val="BodyText"/>
        <w:numPr>
          <w:ilvl w:val="0"/>
          <w:numId w:val="96"/>
        </w:numPr>
        <w:ind w:left="357" w:hanging="357"/>
        <w:rPr>
          <w:lang w:val="en-US"/>
        </w:rPr>
      </w:pPr>
      <w:r>
        <w:rPr>
          <w:lang w:val="en-US"/>
        </w:rPr>
        <w:t xml:space="preserve">With </w:t>
      </w:r>
      <w:r w:rsidR="00735FBD">
        <w:rPr>
          <w:lang w:val="en-US"/>
        </w:rPr>
        <w:t>$30 billion returned each year, it has potential to deliver several billion a year</w:t>
      </w:r>
      <w:r w:rsidR="00F2723B">
        <w:rPr>
          <w:lang w:val="en-US"/>
        </w:rPr>
        <w:t xml:space="preserve">, making it one of the top </w:t>
      </w:r>
      <w:r w:rsidR="00764251">
        <w:rPr>
          <w:lang w:val="en-US"/>
        </w:rPr>
        <w:t xml:space="preserve">two </w:t>
      </w:r>
      <w:r w:rsidR="00F2723B">
        <w:rPr>
          <w:lang w:val="en-US"/>
        </w:rPr>
        <w:t>most transformative giving reforms available alongside super bequests.</w:t>
      </w:r>
    </w:p>
    <w:p w14:paraId="60140F05" w14:textId="2791EE25" w:rsidR="0045503E" w:rsidRDefault="0045503E" w:rsidP="00A547B7">
      <w:pPr>
        <w:pStyle w:val="BodyText"/>
        <w:numPr>
          <w:ilvl w:val="0"/>
          <w:numId w:val="96"/>
        </w:numPr>
        <w:ind w:left="357" w:hanging="357"/>
        <w:rPr>
          <w:lang w:val="en-US"/>
        </w:rPr>
      </w:pPr>
      <w:r>
        <w:rPr>
          <w:lang w:val="en-US"/>
        </w:rPr>
        <w:t xml:space="preserve">Evidence confirms </w:t>
      </w:r>
      <w:r w:rsidR="006A1719">
        <w:rPr>
          <w:lang w:val="en-US"/>
        </w:rPr>
        <w:t>behavioural prompts can be highly effective in lifting the proportion of people giving and the amount they give.</w:t>
      </w:r>
    </w:p>
    <w:p w14:paraId="7E8990BC" w14:textId="17137E92" w:rsidR="0031091E" w:rsidRPr="00210499" w:rsidRDefault="0031091E" w:rsidP="00A547B7">
      <w:pPr>
        <w:pStyle w:val="BodyText"/>
        <w:numPr>
          <w:ilvl w:val="0"/>
          <w:numId w:val="96"/>
        </w:numPr>
        <w:ind w:left="357" w:hanging="357"/>
        <w:rPr>
          <w:lang w:val="en-US"/>
        </w:rPr>
      </w:pPr>
      <w:r>
        <w:rPr>
          <w:lang w:val="en-US"/>
        </w:rPr>
        <w:t>Provided it is well communicated, it will be well received by the Australian people</w:t>
      </w:r>
      <w:r w:rsidR="008D4274">
        <w:rPr>
          <w:lang w:val="en-US"/>
        </w:rPr>
        <w:t xml:space="preserve"> (as indicated by Redbridge polling)</w:t>
      </w:r>
      <w:r w:rsidR="00A33BE3">
        <w:rPr>
          <w:lang w:val="en-US"/>
        </w:rPr>
        <w:t>.</w:t>
      </w:r>
      <w:r w:rsidR="005E455F">
        <w:rPr>
          <w:lang w:val="en-US"/>
        </w:rPr>
        <w:t xml:space="preserve">  Over time, </w:t>
      </w:r>
      <w:r w:rsidR="00465B57">
        <w:rPr>
          <w:lang w:val="en-US"/>
        </w:rPr>
        <w:t xml:space="preserve">people </w:t>
      </w:r>
      <w:r w:rsidR="005E455F">
        <w:rPr>
          <w:lang w:val="en-US"/>
        </w:rPr>
        <w:t xml:space="preserve">will </w:t>
      </w:r>
      <w:r w:rsidR="00465B57">
        <w:rPr>
          <w:lang w:val="en-US"/>
        </w:rPr>
        <w:t>accept it as positive custom to help those in need.</w:t>
      </w:r>
      <w:r>
        <w:rPr>
          <w:lang w:val="en-US"/>
        </w:rPr>
        <w:t xml:space="preserve"> </w:t>
      </w:r>
    </w:p>
    <w:p w14:paraId="7C1BA675" w14:textId="0C74E5FF" w:rsidR="009851D5" w:rsidRDefault="00DE5DAE" w:rsidP="00A547B7">
      <w:pPr>
        <w:pStyle w:val="BodyText"/>
        <w:numPr>
          <w:ilvl w:val="0"/>
          <w:numId w:val="80"/>
        </w:numPr>
        <w:ind w:left="357" w:hanging="357"/>
        <w:rPr>
          <w:b/>
          <w:bCs/>
          <w:lang w:val="en-US"/>
        </w:rPr>
      </w:pPr>
      <w:r w:rsidRPr="00F378CA">
        <w:rPr>
          <w:b/>
          <w:bCs/>
          <w:lang w:val="en-US"/>
        </w:rPr>
        <w:t>Community Foundations</w:t>
      </w:r>
      <w:r w:rsidR="00D35D20">
        <w:rPr>
          <w:b/>
          <w:bCs/>
          <w:lang w:val="en-US"/>
        </w:rPr>
        <w:t xml:space="preserve"> (CFs)</w:t>
      </w:r>
      <w:r w:rsidR="00F378CA">
        <w:rPr>
          <w:b/>
          <w:bCs/>
          <w:lang w:val="en-US"/>
        </w:rPr>
        <w:t xml:space="preserve">: </w:t>
      </w:r>
      <w:r w:rsidR="00F378CA" w:rsidRPr="00F378CA">
        <w:rPr>
          <w:lang w:val="en-US"/>
        </w:rPr>
        <w:t xml:space="preserve">The PC recommend the Federal Government work with the </w:t>
      </w:r>
      <w:r w:rsidR="00D35D20">
        <w:rPr>
          <w:lang w:val="en-US"/>
        </w:rPr>
        <w:t>CF</w:t>
      </w:r>
      <w:r w:rsidR="00F378CA" w:rsidRPr="00F378CA">
        <w:rPr>
          <w:lang w:val="en-US"/>
        </w:rPr>
        <w:t xml:space="preserve"> and broader philanthropic sectors in a dedicated policy process to Develop a Strategy to Strengthen and Grow Australia’s </w:t>
      </w:r>
      <w:r w:rsidR="00D35D20">
        <w:rPr>
          <w:lang w:val="en-US"/>
        </w:rPr>
        <w:t>CF</w:t>
      </w:r>
      <w:r w:rsidR="00F378CA" w:rsidRPr="00F378CA">
        <w:rPr>
          <w:lang w:val="en-US"/>
        </w:rPr>
        <w:t xml:space="preserve"> Network</w:t>
      </w:r>
      <w:r w:rsidR="009851D5">
        <w:rPr>
          <w:b/>
          <w:bCs/>
          <w:lang w:val="en-US"/>
        </w:rPr>
        <w:t>.</w:t>
      </w:r>
    </w:p>
    <w:p w14:paraId="50CA73B9" w14:textId="77777777" w:rsidR="00953957" w:rsidRDefault="00F5664C" w:rsidP="00A547B7">
      <w:pPr>
        <w:pStyle w:val="BodyText"/>
        <w:numPr>
          <w:ilvl w:val="0"/>
          <w:numId w:val="96"/>
        </w:numPr>
        <w:ind w:left="357" w:hanging="357"/>
        <w:rPr>
          <w:lang w:val="en-US"/>
        </w:rPr>
      </w:pPr>
      <w:r>
        <w:rPr>
          <w:lang w:val="en-US"/>
        </w:rPr>
        <w:t xml:space="preserve">Australia’s </w:t>
      </w:r>
      <w:r w:rsidR="00FD2158">
        <w:rPr>
          <w:lang w:val="en-US"/>
        </w:rPr>
        <w:t xml:space="preserve">CF sector has considerable momentum – </w:t>
      </w:r>
      <w:r w:rsidR="00F37606">
        <w:rPr>
          <w:lang w:val="en-US"/>
        </w:rPr>
        <w:t xml:space="preserve">growing strongly, with DGR reform imminent and a </w:t>
      </w:r>
      <w:r w:rsidR="00D90594">
        <w:rPr>
          <w:lang w:val="en-US"/>
        </w:rPr>
        <w:t>strengthened peak body – but the sector remains well below its potential</w:t>
      </w:r>
      <w:r w:rsidR="00953957">
        <w:rPr>
          <w:lang w:val="en-US"/>
        </w:rPr>
        <w:t xml:space="preserve"> and what has been achieved in leading nations like Canada.</w:t>
      </w:r>
    </w:p>
    <w:p w14:paraId="30CE7F84" w14:textId="49F72145" w:rsidR="00216141" w:rsidRPr="004B6402" w:rsidRDefault="003D267B" w:rsidP="00A547B7">
      <w:pPr>
        <w:pStyle w:val="BodyText"/>
        <w:numPr>
          <w:ilvl w:val="0"/>
          <w:numId w:val="96"/>
        </w:numPr>
        <w:ind w:left="357" w:hanging="357"/>
        <w:rPr>
          <w:lang w:val="en-US"/>
        </w:rPr>
      </w:pPr>
      <w:r>
        <w:rPr>
          <w:lang w:val="en-US"/>
        </w:rPr>
        <w:t xml:space="preserve">Now is a great time to develop a strategic policy framework, identifying the key roles of CFs, government and philanthropy, considering the international evidence, </w:t>
      </w:r>
      <w:r w:rsidR="00810DF4">
        <w:rPr>
          <w:lang w:val="en-US"/>
        </w:rPr>
        <w:t xml:space="preserve">and exploring co-investment opportunities and priority reforms, as detailed in the specific PA-CFA submission to the PC, </w:t>
      </w:r>
      <w:r w:rsidR="00F37606">
        <w:rPr>
          <w:lang w:val="en-US"/>
        </w:rPr>
        <w:t xml:space="preserve"> </w:t>
      </w:r>
      <w:hyperlink r:id="rId20" w:history="1">
        <w:r w:rsidR="00B14624" w:rsidRPr="00F378CA">
          <w:rPr>
            <w:rStyle w:val="Hyperlink"/>
            <w:b/>
            <w:bCs/>
            <w:i/>
            <w:iCs/>
          </w:rPr>
          <w:t>The opportunity to grow Australia’s community foundation network: A strategic roadmap</w:t>
        </w:r>
      </w:hyperlink>
      <w:r w:rsidR="00B14624" w:rsidRPr="00F378CA">
        <w:rPr>
          <w:b/>
          <w:bCs/>
          <w:i/>
          <w:iCs/>
        </w:rPr>
        <w:t>.</w:t>
      </w:r>
    </w:p>
    <w:p w14:paraId="0E8E3B17" w14:textId="6CB506FE" w:rsidR="004B6402" w:rsidRDefault="00AE2736" w:rsidP="00A547B7">
      <w:pPr>
        <w:pStyle w:val="BodyText"/>
        <w:numPr>
          <w:ilvl w:val="0"/>
          <w:numId w:val="96"/>
        </w:numPr>
        <w:ind w:left="357" w:hanging="357"/>
        <w:rPr>
          <w:lang w:val="en-US"/>
        </w:rPr>
      </w:pPr>
      <w:r>
        <w:rPr>
          <w:lang w:val="en-US"/>
        </w:rPr>
        <w:lastRenderedPageBreak/>
        <w:t xml:space="preserve">CFs can address key policy issues: </w:t>
      </w:r>
      <w:r w:rsidR="00D23902">
        <w:rPr>
          <w:lang w:val="en-US"/>
        </w:rPr>
        <w:t xml:space="preserve">galvanizing local people to solve local problems, helping to address the decline in social capital and community </w:t>
      </w:r>
      <w:r w:rsidR="00DC5A27">
        <w:rPr>
          <w:lang w:val="en-US"/>
        </w:rPr>
        <w:t xml:space="preserve">participation; developing innovative solutions to </w:t>
      </w:r>
      <w:r w:rsidR="004E49CD">
        <w:rPr>
          <w:lang w:val="en-US"/>
        </w:rPr>
        <w:t>key social</w:t>
      </w:r>
      <w:r w:rsidR="00256F62">
        <w:rPr>
          <w:lang w:val="en-US"/>
        </w:rPr>
        <w:t xml:space="preserve"> challenges; </w:t>
      </w:r>
      <w:r w:rsidR="005F1B83">
        <w:rPr>
          <w:lang w:val="en-US"/>
        </w:rPr>
        <w:t>and helping better target philanthropic resources to areas of need.</w:t>
      </w:r>
    </w:p>
    <w:p w14:paraId="4ED33995" w14:textId="2A16EA3D" w:rsidR="000F2732" w:rsidRPr="00A12005" w:rsidRDefault="00DB4333" w:rsidP="00A547B7">
      <w:pPr>
        <w:pStyle w:val="BodyText"/>
        <w:numPr>
          <w:ilvl w:val="0"/>
          <w:numId w:val="80"/>
        </w:numPr>
        <w:ind w:left="357" w:hanging="357"/>
        <w:rPr>
          <w:b/>
          <w:bCs/>
          <w:lang w:val="en-US"/>
        </w:rPr>
      </w:pPr>
      <w:r w:rsidRPr="00DB4333">
        <w:rPr>
          <w:b/>
          <w:bCs/>
          <w:lang w:val="en-US"/>
        </w:rPr>
        <w:t>A National Giving Campaign</w:t>
      </w:r>
      <w:r w:rsidR="00E525AA">
        <w:rPr>
          <w:b/>
          <w:bCs/>
          <w:lang w:val="en-US"/>
        </w:rPr>
        <w:t xml:space="preserve">: </w:t>
      </w:r>
      <w:r w:rsidRPr="00E525AA">
        <w:t xml:space="preserve">The PC recommend the Federal Government and the philanthropic sector collaborate to develop, </w:t>
      </w:r>
      <w:r w:rsidR="00E525AA" w:rsidRPr="00E525AA">
        <w:t>co-</w:t>
      </w:r>
      <w:r w:rsidRPr="00E525AA">
        <w:t>fund, trial and evaluate a three-year National Giving Campaign.  If successful, the government could increase its investment, with the campaign sustained over 10-15 years, the timeframe likely to be needed to achieve lasting behavioural and cultural change.</w:t>
      </w:r>
    </w:p>
    <w:p w14:paraId="60F50FB0" w14:textId="43A6B3FD" w:rsidR="00A12005" w:rsidRDefault="0090133C" w:rsidP="00A547B7">
      <w:pPr>
        <w:pStyle w:val="BodyText"/>
        <w:numPr>
          <w:ilvl w:val="0"/>
          <w:numId w:val="96"/>
        </w:numPr>
        <w:ind w:left="357" w:hanging="357"/>
        <w:rPr>
          <w:lang w:val="en-US"/>
        </w:rPr>
      </w:pPr>
      <w:r>
        <w:rPr>
          <w:lang w:val="en-US"/>
        </w:rPr>
        <w:t>PA and the PC agree culture is a key driver of giving outcomes</w:t>
      </w:r>
      <w:r w:rsidR="006878B8">
        <w:rPr>
          <w:lang w:val="en-US"/>
        </w:rPr>
        <w:t xml:space="preserve">, yet a key problem in Australia.  </w:t>
      </w:r>
      <w:r w:rsidR="00D129C7">
        <w:rPr>
          <w:lang w:val="en-US"/>
        </w:rPr>
        <w:t>National g</w:t>
      </w:r>
      <w:r w:rsidR="006878B8">
        <w:rPr>
          <w:lang w:val="en-US"/>
        </w:rPr>
        <w:t>iving is low, the proportion of the population giving is rapidly declining and relatively few wealthy Australians give compared to leading philanthropic nations such as the United States.</w:t>
      </w:r>
    </w:p>
    <w:p w14:paraId="415744C2" w14:textId="77777777" w:rsidR="009B4D31" w:rsidRDefault="00236187" w:rsidP="00A547B7">
      <w:pPr>
        <w:pStyle w:val="BodyText"/>
        <w:numPr>
          <w:ilvl w:val="0"/>
          <w:numId w:val="96"/>
        </w:numPr>
        <w:ind w:left="357" w:hanging="357"/>
        <w:rPr>
          <w:lang w:val="en-US"/>
        </w:rPr>
      </w:pPr>
      <w:r>
        <w:rPr>
          <w:lang w:val="en-US"/>
        </w:rPr>
        <w:t>At present, the PC roadmap for government contains no substantial initiatives to address cultu</w:t>
      </w:r>
      <w:r w:rsidR="001F1529">
        <w:rPr>
          <w:lang w:val="en-US"/>
        </w:rPr>
        <w:t xml:space="preserve">re.  </w:t>
      </w:r>
    </w:p>
    <w:p w14:paraId="0A59F202" w14:textId="5F617379" w:rsidR="009B4D31" w:rsidRDefault="009B4D31" w:rsidP="00A547B7">
      <w:pPr>
        <w:pStyle w:val="BodyText"/>
        <w:numPr>
          <w:ilvl w:val="0"/>
          <w:numId w:val="96"/>
        </w:numPr>
        <w:ind w:left="357" w:hanging="357"/>
        <w:rPr>
          <w:lang w:val="en-US"/>
        </w:rPr>
      </w:pPr>
      <w:r>
        <w:rPr>
          <w:lang w:val="en-US"/>
        </w:rPr>
        <w:t xml:space="preserve">National campaigns are a proven method of shifting national behaviour and culture in </w:t>
      </w:r>
      <w:r w:rsidR="000F5BA3">
        <w:rPr>
          <w:lang w:val="en-US"/>
        </w:rPr>
        <w:t xml:space="preserve">many </w:t>
      </w:r>
      <w:r>
        <w:rPr>
          <w:lang w:val="en-US"/>
        </w:rPr>
        <w:t xml:space="preserve">fields, but evidence </w:t>
      </w:r>
      <w:proofErr w:type="gramStart"/>
      <w:r w:rsidR="008C5469">
        <w:rPr>
          <w:lang w:val="en-US"/>
        </w:rPr>
        <w:t>on</w:t>
      </w:r>
      <w:proofErr w:type="gramEnd"/>
      <w:r w:rsidR="008C5469">
        <w:rPr>
          <w:lang w:val="en-US"/>
        </w:rPr>
        <w:t xml:space="preserve"> giving </w:t>
      </w:r>
      <w:r w:rsidR="000F5BA3">
        <w:rPr>
          <w:lang w:val="en-US"/>
        </w:rPr>
        <w:t xml:space="preserve">campaigns </w:t>
      </w:r>
      <w:r w:rsidR="008C5469">
        <w:rPr>
          <w:lang w:val="en-US"/>
        </w:rPr>
        <w:t xml:space="preserve">is mixed.  A trial with </w:t>
      </w:r>
      <w:r w:rsidR="002D5000">
        <w:rPr>
          <w:lang w:val="en-US"/>
        </w:rPr>
        <w:t xml:space="preserve">rigorous </w:t>
      </w:r>
      <w:r w:rsidR="008C5469">
        <w:rPr>
          <w:lang w:val="en-US"/>
        </w:rPr>
        <w:t>evaluation therefore makes sense.</w:t>
      </w:r>
    </w:p>
    <w:p w14:paraId="099DCE50" w14:textId="0C76567B" w:rsidR="00707211" w:rsidRDefault="00707211" w:rsidP="00A547B7">
      <w:pPr>
        <w:pStyle w:val="BodyText"/>
        <w:numPr>
          <w:ilvl w:val="0"/>
          <w:numId w:val="84"/>
        </w:numPr>
        <w:rPr>
          <w:bCs/>
        </w:rPr>
      </w:pPr>
      <w:r w:rsidRPr="00707211">
        <w:rPr>
          <w:bCs/>
        </w:rPr>
        <w:t xml:space="preserve">Government co-funding </w:t>
      </w:r>
      <w:r w:rsidR="00714312">
        <w:rPr>
          <w:bCs/>
        </w:rPr>
        <w:t>is justified</w:t>
      </w:r>
      <w:r w:rsidRPr="00707211">
        <w:rPr>
          <w:bCs/>
        </w:rPr>
        <w:t xml:space="preserve"> as this is an area of market failure - without more information, awareness, prompting and a culture of giving, contributions to charitable organisations will be underprovided.  Government involvement can help ensure a robust trial and evaluation, and assist it coming to a view about the merits of longer-term funding.  Government’s also have more capacity to contribute - $685 billion in annual revenue (2023-24 MYEFO, p.339) compared with </w:t>
      </w:r>
      <w:r w:rsidR="00A66E6B">
        <w:rPr>
          <w:bCs/>
        </w:rPr>
        <w:t xml:space="preserve">a little more than $2 </w:t>
      </w:r>
      <w:r w:rsidRPr="00707211">
        <w:rPr>
          <w:bCs/>
        </w:rPr>
        <w:t>billion being distributed annually in structured giving vehicles.</w:t>
      </w:r>
    </w:p>
    <w:p w14:paraId="14D1F4A0" w14:textId="4B737BBB" w:rsidR="005E0BCE" w:rsidRPr="00707211" w:rsidRDefault="005E0BCE" w:rsidP="00A547B7">
      <w:pPr>
        <w:pStyle w:val="BodyText"/>
        <w:numPr>
          <w:ilvl w:val="0"/>
          <w:numId w:val="84"/>
        </w:numPr>
        <w:rPr>
          <w:bCs/>
        </w:rPr>
      </w:pPr>
      <w:r>
        <w:rPr>
          <w:bCs/>
        </w:rPr>
        <w:t xml:space="preserve">PA has </w:t>
      </w:r>
      <w:r w:rsidR="00204843">
        <w:rPr>
          <w:bCs/>
        </w:rPr>
        <w:t>made progress on</w:t>
      </w:r>
      <w:r w:rsidR="004C0ACA">
        <w:rPr>
          <w:bCs/>
        </w:rPr>
        <w:t xml:space="preserve"> a campaign to meet the PC’s key design principles </w:t>
      </w:r>
      <w:r w:rsidR="001A4DB2">
        <w:rPr>
          <w:bCs/>
        </w:rPr>
        <w:t xml:space="preserve">(see 1.4 below).  By targeting lucrative markets – </w:t>
      </w:r>
      <w:r w:rsidR="005277D0">
        <w:rPr>
          <w:bCs/>
        </w:rPr>
        <w:t xml:space="preserve">such as </w:t>
      </w:r>
      <w:r w:rsidR="001A4DB2">
        <w:rPr>
          <w:bCs/>
        </w:rPr>
        <w:t xml:space="preserve">wealthy </w:t>
      </w:r>
      <w:r w:rsidR="005277D0">
        <w:rPr>
          <w:bCs/>
        </w:rPr>
        <w:t>Australians</w:t>
      </w:r>
      <w:r w:rsidR="001A4DB2">
        <w:rPr>
          <w:bCs/>
        </w:rPr>
        <w:t xml:space="preserve">, </w:t>
      </w:r>
      <w:proofErr w:type="gramStart"/>
      <w:r w:rsidR="001A4DB2">
        <w:rPr>
          <w:bCs/>
        </w:rPr>
        <w:t>business</w:t>
      </w:r>
      <w:proofErr w:type="gramEnd"/>
      <w:r w:rsidR="005277D0">
        <w:rPr>
          <w:bCs/>
        </w:rPr>
        <w:t xml:space="preserve"> and financial advisers – it is highly likely to spur giving many fold the modest investment needed to run the campaign.</w:t>
      </w:r>
    </w:p>
    <w:p w14:paraId="31398EDE" w14:textId="48468A30" w:rsidR="00F52AE4" w:rsidRPr="00F52AE4" w:rsidRDefault="001A4901" w:rsidP="00A547B7">
      <w:pPr>
        <w:pStyle w:val="BodyText"/>
        <w:numPr>
          <w:ilvl w:val="0"/>
          <w:numId w:val="80"/>
        </w:numPr>
        <w:ind w:left="357" w:hanging="357"/>
        <w:rPr>
          <w:rFonts w:ascii="DM Sans" w:hAnsi="DM Sans"/>
          <w:b/>
          <w:bCs/>
          <w:u w:val="single"/>
        </w:rPr>
      </w:pPr>
      <w:r w:rsidRPr="00CB1B71">
        <w:rPr>
          <w:b/>
          <w:bCs/>
          <w:lang w:val="en-US"/>
        </w:rPr>
        <w:t>Strengthening the Charity Sector</w:t>
      </w:r>
      <w:r w:rsidR="00A2153F">
        <w:rPr>
          <w:b/>
          <w:bCs/>
          <w:lang w:val="en-US"/>
        </w:rPr>
        <w:t xml:space="preserve">: </w:t>
      </w:r>
      <w:r w:rsidR="00A2153F" w:rsidRPr="00A2153F">
        <w:rPr>
          <w:rFonts w:ascii="DM Sans" w:hAnsi="DM Sans"/>
          <w:bCs/>
        </w:rPr>
        <w:t>The PC recommend the Federal Government implement a package of reforms to strengthen the charity sector</w:t>
      </w:r>
      <w:r w:rsidR="00A2153F">
        <w:rPr>
          <w:rFonts w:ascii="DM Sans" w:hAnsi="DM Sans"/>
          <w:bCs/>
        </w:rPr>
        <w:t xml:space="preserve">, including </w:t>
      </w:r>
      <w:r w:rsidR="00D37594">
        <w:rPr>
          <w:rFonts w:ascii="DM Sans" w:hAnsi="DM Sans"/>
          <w:bCs/>
        </w:rPr>
        <w:t xml:space="preserve">1) establishing an Office of the Not-For-Profit Sector to drive reform; 2) building capabilities in areas such as leadership, evaluation and innovation; 3) </w:t>
      </w:r>
      <w:r w:rsidR="008138C9">
        <w:rPr>
          <w:rFonts w:ascii="DM Sans" w:hAnsi="DM Sans"/>
          <w:bCs/>
        </w:rPr>
        <w:t>Establishing a</w:t>
      </w:r>
      <w:r w:rsidR="00F52AE4" w:rsidRPr="008138C9">
        <w:rPr>
          <w:rFonts w:ascii="DM Sans" w:hAnsi="DM Sans"/>
        </w:rPr>
        <w:t xml:space="preserve"> national strategy to create a top-class cadre of talented, professional fundraisers</w:t>
      </w:r>
      <w:r w:rsidR="008138C9">
        <w:rPr>
          <w:rFonts w:ascii="DM Sans" w:hAnsi="DM Sans"/>
        </w:rPr>
        <w:t xml:space="preserve">; and 4) </w:t>
      </w:r>
      <w:r w:rsidR="000C30A6">
        <w:rPr>
          <w:rFonts w:ascii="DM Sans" w:hAnsi="DM Sans"/>
        </w:rPr>
        <w:t>creating a better operating environment (Fix Fundraising, cutting red tape, full funding for government service provision and longer contract lengths)</w:t>
      </w:r>
      <w:r w:rsidR="00694B69">
        <w:rPr>
          <w:rFonts w:ascii="DM Sans" w:hAnsi="DM Sans"/>
        </w:rPr>
        <w:t>.</w:t>
      </w:r>
    </w:p>
    <w:p w14:paraId="3F2E25CB" w14:textId="51F91115" w:rsidR="001A3193" w:rsidRDefault="00DF3E32" w:rsidP="00A547B7">
      <w:pPr>
        <w:pStyle w:val="BodyText"/>
        <w:numPr>
          <w:ilvl w:val="0"/>
          <w:numId w:val="84"/>
        </w:numPr>
        <w:rPr>
          <w:lang w:val="en-US"/>
        </w:rPr>
      </w:pPr>
      <w:r>
        <w:rPr>
          <w:lang w:val="en-US"/>
        </w:rPr>
        <w:t xml:space="preserve">Lifting </w:t>
      </w:r>
      <w:r w:rsidR="00446FBE">
        <w:rPr>
          <w:lang w:val="en-US"/>
        </w:rPr>
        <w:t>the effectiveness of the charity sector will</w:t>
      </w:r>
      <w:r w:rsidR="00715EF0">
        <w:rPr>
          <w:lang w:val="en-US"/>
        </w:rPr>
        <w:t xml:space="preserve"> </w:t>
      </w:r>
      <w:r w:rsidR="00446FBE">
        <w:rPr>
          <w:lang w:val="en-US"/>
        </w:rPr>
        <w:t xml:space="preserve">lift </w:t>
      </w:r>
      <w:r w:rsidR="00715EF0">
        <w:rPr>
          <w:lang w:val="en-US"/>
        </w:rPr>
        <w:t xml:space="preserve">national </w:t>
      </w:r>
      <w:r w:rsidR="00446FBE">
        <w:rPr>
          <w:lang w:val="en-US"/>
        </w:rPr>
        <w:t>giving</w:t>
      </w:r>
      <w:r w:rsidR="00737D35">
        <w:rPr>
          <w:lang w:val="en-US"/>
        </w:rPr>
        <w:t xml:space="preserve"> by giving donors greater confidence their money will be used well</w:t>
      </w:r>
      <w:r w:rsidR="00715EF0">
        <w:rPr>
          <w:lang w:val="en-US"/>
        </w:rPr>
        <w:t>.</w:t>
      </w:r>
    </w:p>
    <w:p w14:paraId="68B265BF" w14:textId="00972AC1" w:rsidR="00F72889" w:rsidRDefault="00496320" w:rsidP="00A547B7">
      <w:pPr>
        <w:pStyle w:val="BodyText"/>
        <w:numPr>
          <w:ilvl w:val="0"/>
          <w:numId w:val="84"/>
        </w:numPr>
        <w:rPr>
          <w:lang w:val="en-US"/>
        </w:rPr>
      </w:pPr>
      <w:r>
        <w:rPr>
          <w:lang w:val="en-US"/>
        </w:rPr>
        <w:t>Charities already make a massive contribution to millions of people in our society, at a magnitude bigger than many realise</w:t>
      </w:r>
      <w:r w:rsidR="009F4236">
        <w:rPr>
          <w:lang w:val="en-US"/>
        </w:rPr>
        <w:t xml:space="preserve"> – charity workers make up </w:t>
      </w:r>
      <w:r w:rsidR="00E76FFE">
        <w:rPr>
          <w:lang w:val="en-US"/>
        </w:rPr>
        <w:t xml:space="preserve">around 11 per cent of the workforce.  </w:t>
      </w:r>
      <w:r w:rsidR="009F4236">
        <w:rPr>
          <w:lang w:val="en-US"/>
        </w:rPr>
        <w:t>M</w:t>
      </w:r>
      <w:r w:rsidR="00EA0780">
        <w:rPr>
          <w:lang w:val="en-US"/>
        </w:rPr>
        <w:t xml:space="preserve">easures to lift their capability will </w:t>
      </w:r>
      <w:r w:rsidR="009F4236">
        <w:rPr>
          <w:lang w:val="en-US"/>
        </w:rPr>
        <w:t xml:space="preserve">therefore </w:t>
      </w:r>
      <w:r w:rsidR="00EA0780">
        <w:rPr>
          <w:lang w:val="en-US"/>
        </w:rPr>
        <w:t xml:space="preserve">create much stronger social </w:t>
      </w:r>
      <w:proofErr w:type="gramStart"/>
      <w:r w:rsidR="00EA0780">
        <w:rPr>
          <w:lang w:val="en-US"/>
        </w:rPr>
        <w:t>impact</w:t>
      </w:r>
      <w:r w:rsidR="00ED7485">
        <w:rPr>
          <w:lang w:val="en-US"/>
        </w:rPr>
        <w:t>, and</w:t>
      </w:r>
      <w:proofErr w:type="gramEnd"/>
      <w:r w:rsidR="00ED7485">
        <w:rPr>
          <w:lang w:val="en-US"/>
        </w:rPr>
        <w:t xml:space="preserve"> make a meaningful contribution to national productivity.  </w:t>
      </w:r>
    </w:p>
    <w:p w14:paraId="3463B566" w14:textId="7FEE49EC" w:rsidR="00454D76" w:rsidRPr="00694B69" w:rsidRDefault="00F72889" w:rsidP="00A547B7">
      <w:pPr>
        <w:pStyle w:val="BodyText"/>
        <w:numPr>
          <w:ilvl w:val="0"/>
          <w:numId w:val="84"/>
        </w:numPr>
        <w:rPr>
          <w:lang w:val="en-US"/>
        </w:rPr>
      </w:pPr>
      <w:r>
        <w:rPr>
          <w:lang w:val="en-US"/>
        </w:rPr>
        <w:t>Governments have – for decades – promised to better partner with charities</w:t>
      </w:r>
      <w:r w:rsidR="00426A9D">
        <w:rPr>
          <w:lang w:val="en-US"/>
        </w:rPr>
        <w:t>.  The time for action is long past due.</w:t>
      </w:r>
      <w:r w:rsidR="00454D76">
        <w:rPr>
          <w:lang w:val="en-US"/>
        </w:rPr>
        <w:t xml:space="preserve"> </w:t>
      </w:r>
    </w:p>
    <w:p w14:paraId="11A3145E" w14:textId="0875AD88" w:rsidR="00BD0A9D" w:rsidRPr="00232046" w:rsidRDefault="006F4E2D" w:rsidP="00A547B7">
      <w:pPr>
        <w:pStyle w:val="BodyText"/>
        <w:numPr>
          <w:ilvl w:val="0"/>
          <w:numId w:val="80"/>
        </w:numPr>
        <w:ind w:left="357" w:hanging="357"/>
        <w:rPr>
          <w:b/>
          <w:bCs/>
        </w:rPr>
      </w:pPr>
      <w:r>
        <w:rPr>
          <w:b/>
          <w:bCs/>
          <w:lang w:val="en-US"/>
        </w:rPr>
        <w:t>A National Giving and Volunteering Data Set</w:t>
      </w:r>
      <w:r w:rsidR="00BD0A9D">
        <w:rPr>
          <w:b/>
          <w:bCs/>
          <w:lang w:val="en-US"/>
        </w:rPr>
        <w:t xml:space="preserve">: </w:t>
      </w:r>
      <w:r w:rsidR="00BD0A9D" w:rsidRPr="007F67FC">
        <w:t>The PC recommend a single agency – such as the ABS – bring together the various data sources on giving into a single, comprehensive national data set on total giving and volunteering and its key components, published annually</w:t>
      </w:r>
      <w:r w:rsidR="007F67FC">
        <w:t>.</w:t>
      </w:r>
    </w:p>
    <w:p w14:paraId="238024BC" w14:textId="33AD7381" w:rsidR="00232046" w:rsidRPr="00687E54" w:rsidRDefault="00F931C0" w:rsidP="00A547B7">
      <w:pPr>
        <w:pStyle w:val="BodyText"/>
        <w:numPr>
          <w:ilvl w:val="0"/>
          <w:numId w:val="84"/>
        </w:numPr>
        <w:rPr>
          <w:bCs/>
        </w:rPr>
      </w:pPr>
      <w:r w:rsidRPr="00687E54">
        <w:rPr>
          <w:bCs/>
        </w:rPr>
        <w:t>PC</w:t>
      </w:r>
      <w:r w:rsidR="00232046" w:rsidRPr="00687E54">
        <w:rPr>
          <w:bCs/>
        </w:rPr>
        <w:t xml:space="preserve"> recommendations to improve data collection by </w:t>
      </w:r>
      <w:r w:rsidR="007707A0" w:rsidRPr="00687E54">
        <w:rPr>
          <w:bCs/>
        </w:rPr>
        <w:t xml:space="preserve">the ABS (volunteering), ACNC (bequests) and ATO (corporate giving) are welcome, but leave </w:t>
      </w:r>
      <w:r w:rsidR="009178E0">
        <w:rPr>
          <w:bCs/>
        </w:rPr>
        <w:t>Australia with</w:t>
      </w:r>
      <w:r w:rsidR="00667604" w:rsidRPr="00687E54">
        <w:rPr>
          <w:bCs/>
        </w:rPr>
        <w:t xml:space="preserve"> incoherent data arrangements -</w:t>
      </w:r>
      <w:r w:rsidR="00D709F8" w:rsidRPr="00687E54">
        <w:rPr>
          <w:bCs/>
        </w:rPr>
        <w:t xml:space="preserve"> </w:t>
      </w:r>
      <w:r w:rsidR="00822806" w:rsidRPr="00687E54">
        <w:rPr>
          <w:bCs/>
        </w:rPr>
        <w:t xml:space="preserve">multiple agencies reporting on components of data at different times, with no comprehensive ‘single source of truth’ on total national giving and volunteering and its </w:t>
      </w:r>
      <w:r w:rsidR="00FA137D">
        <w:rPr>
          <w:bCs/>
        </w:rPr>
        <w:t xml:space="preserve">key </w:t>
      </w:r>
      <w:r w:rsidR="00822806" w:rsidRPr="00687E54">
        <w:rPr>
          <w:bCs/>
        </w:rPr>
        <w:t xml:space="preserve">components.  </w:t>
      </w:r>
    </w:p>
    <w:p w14:paraId="7E2502F9" w14:textId="732F0E25" w:rsidR="00687E54" w:rsidRDefault="00687E54" w:rsidP="00A547B7">
      <w:pPr>
        <w:pStyle w:val="BodyText"/>
        <w:numPr>
          <w:ilvl w:val="0"/>
          <w:numId w:val="84"/>
        </w:numPr>
        <w:rPr>
          <w:bCs/>
        </w:rPr>
      </w:pPr>
      <w:r w:rsidRPr="00687E54">
        <w:rPr>
          <w:bCs/>
        </w:rPr>
        <w:t xml:space="preserve">Compiling a single data set would help guide policy, provide a frequent </w:t>
      </w:r>
      <w:r w:rsidR="006E5D53">
        <w:rPr>
          <w:bCs/>
        </w:rPr>
        <w:t>‘</w:t>
      </w:r>
      <w:r w:rsidRPr="00687E54">
        <w:rPr>
          <w:bCs/>
        </w:rPr>
        <w:t>nudge</w:t>
      </w:r>
      <w:r w:rsidR="006E5D53">
        <w:rPr>
          <w:bCs/>
        </w:rPr>
        <w:t>’</w:t>
      </w:r>
      <w:r w:rsidRPr="00687E54">
        <w:rPr>
          <w:bCs/>
        </w:rPr>
        <w:t xml:space="preserve"> to the community – including business - to lift giving, and help guide the work of philanthropists and charities.</w:t>
      </w:r>
    </w:p>
    <w:p w14:paraId="6948B7E5" w14:textId="16675786" w:rsidR="00F931C0" w:rsidRPr="00BB7362" w:rsidRDefault="0076778E" w:rsidP="00A547B7">
      <w:pPr>
        <w:pStyle w:val="BodyText"/>
        <w:numPr>
          <w:ilvl w:val="0"/>
          <w:numId w:val="84"/>
        </w:numPr>
        <w:rPr>
          <w:bCs/>
        </w:rPr>
      </w:pPr>
      <w:r>
        <w:rPr>
          <w:bCs/>
        </w:rPr>
        <w:t xml:space="preserve">This should be undertaken by government.  </w:t>
      </w:r>
      <w:r w:rsidR="00F931C0" w:rsidRPr="00F931C0">
        <w:rPr>
          <w:lang w:val="en-US"/>
        </w:rPr>
        <w:t xml:space="preserve">The key players collecting the information – ABS, ATO and ACNC – are government agencies and have the relevant expertise. </w:t>
      </w:r>
      <w:r w:rsidR="00663394">
        <w:rPr>
          <w:lang w:val="en-US"/>
        </w:rPr>
        <w:t>They are trusted sources of information.  Giving data</w:t>
      </w:r>
      <w:r w:rsidR="00F931C0" w:rsidRPr="00F931C0">
        <w:rPr>
          <w:lang w:val="en-US"/>
        </w:rPr>
        <w:t xml:space="preserve"> is a public good, of use to policymakers, charities, philanthropists, </w:t>
      </w:r>
      <w:proofErr w:type="gramStart"/>
      <w:r w:rsidR="00F931C0" w:rsidRPr="00F931C0">
        <w:rPr>
          <w:lang w:val="en-US"/>
        </w:rPr>
        <w:lastRenderedPageBreak/>
        <w:t>businesses</w:t>
      </w:r>
      <w:proofErr w:type="gramEnd"/>
      <w:r w:rsidR="00F931C0" w:rsidRPr="00F931C0">
        <w:rPr>
          <w:lang w:val="en-US"/>
        </w:rPr>
        <w:t xml:space="preserve"> and volunteers right across our society.  Provision of public information in a suite of economic, </w:t>
      </w:r>
      <w:proofErr w:type="gramStart"/>
      <w:r w:rsidR="00F931C0" w:rsidRPr="00F931C0">
        <w:rPr>
          <w:lang w:val="en-US"/>
        </w:rPr>
        <w:t>social</w:t>
      </w:r>
      <w:proofErr w:type="gramEnd"/>
      <w:r w:rsidR="00F931C0" w:rsidRPr="00F931C0">
        <w:rPr>
          <w:lang w:val="en-US"/>
        </w:rPr>
        <w:t xml:space="preserve"> and environmental fields has primarily been the preserve of government.</w:t>
      </w:r>
    </w:p>
    <w:p w14:paraId="6763E5F6" w14:textId="7D050B33" w:rsidR="00BB7362" w:rsidRPr="00F931C0" w:rsidRDefault="00BB7362" w:rsidP="00A547B7">
      <w:pPr>
        <w:pStyle w:val="BodyText"/>
        <w:numPr>
          <w:ilvl w:val="0"/>
          <w:numId w:val="84"/>
        </w:numPr>
        <w:rPr>
          <w:bCs/>
        </w:rPr>
      </w:pPr>
      <w:r>
        <w:rPr>
          <w:lang w:val="en-US"/>
        </w:rPr>
        <w:t xml:space="preserve">By obviating the need for numerous additional reports to fill data gaps, </w:t>
      </w:r>
      <w:r w:rsidR="00C32A5C">
        <w:rPr>
          <w:lang w:val="en-US"/>
        </w:rPr>
        <w:t xml:space="preserve">the comprehensive </w:t>
      </w:r>
      <w:r w:rsidR="00112203">
        <w:rPr>
          <w:lang w:val="en-US"/>
        </w:rPr>
        <w:t>data set would deliver better national giving and volunteering information at lower national cost.</w:t>
      </w:r>
    </w:p>
    <w:p w14:paraId="1527FEC4" w14:textId="0171BDEB" w:rsidR="00B766B1" w:rsidRPr="00C0589C" w:rsidRDefault="0070750B" w:rsidP="00A547B7">
      <w:pPr>
        <w:pStyle w:val="BodyText"/>
        <w:numPr>
          <w:ilvl w:val="0"/>
          <w:numId w:val="80"/>
        </w:numPr>
        <w:ind w:left="357" w:hanging="357"/>
        <w:rPr>
          <w:b/>
          <w:bCs/>
          <w:lang w:val="en-US"/>
        </w:rPr>
      </w:pPr>
      <w:r>
        <w:rPr>
          <w:b/>
          <w:bCs/>
          <w:lang w:val="en-US"/>
        </w:rPr>
        <w:t>Governance arrangements to drive stronger impact</w:t>
      </w:r>
      <w:r w:rsidR="00CF6991">
        <w:rPr>
          <w:b/>
          <w:bCs/>
          <w:lang w:val="en-US"/>
        </w:rPr>
        <w:t xml:space="preserve">: </w:t>
      </w:r>
      <w:r w:rsidR="00B766B1" w:rsidRPr="00C0589C">
        <w:rPr>
          <w:rFonts w:ascii="DM Sans" w:eastAsia="MS ??" w:hAnsi="DM Sans"/>
        </w:rPr>
        <w:t>The PC recommend governance arrangements that facilitate regular engagement between government and philanthropy to drive greater social and environmental impact</w:t>
      </w:r>
      <w:r w:rsidR="006373FE">
        <w:rPr>
          <w:rFonts w:ascii="DM Sans" w:eastAsia="MS ??" w:hAnsi="DM Sans"/>
        </w:rPr>
        <w:t>, including: a Prime Minister’s and/or Treasurer’s Giving Council</w:t>
      </w:r>
      <w:r w:rsidR="00506813">
        <w:rPr>
          <w:rFonts w:ascii="DM Sans" w:eastAsia="MS ??" w:hAnsi="DM Sans"/>
        </w:rPr>
        <w:t xml:space="preserve"> – annual meetings with sector leaders from </w:t>
      </w:r>
      <w:r w:rsidR="00F61B1D">
        <w:rPr>
          <w:rFonts w:ascii="DM Sans" w:eastAsia="MS ??" w:hAnsi="DM Sans"/>
        </w:rPr>
        <w:t xml:space="preserve">business, philanthropy and charity to discuss progress with the double giving agenda and outline plans for the coming year; and portfolio level engagement – learning from the Investment Dialogue for Australia’s Children, </w:t>
      </w:r>
      <w:r w:rsidR="002C19D2">
        <w:rPr>
          <w:rFonts w:ascii="DM Sans" w:eastAsia="MS ??" w:hAnsi="DM Sans"/>
        </w:rPr>
        <w:t xml:space="preserve">rolling out similar </w:t>
      </w:r>
      <w:r w:rsidR="00E8110A">
        <w:rPr>
          <w:rFonts w:ascii="DM Sans" w:eastAsia="MS ??" w:hAnsi="DM Sans"/>
        </w:rPr>
        <w:t xml:space="preserve">engagement between Ministers and/or senior officials and the philanthropic sector in other portfolios such as First Nation’s justice, </w:t>
      </w:r>
      <w:r w:rsidR="00D01870">
        <w:rPr>
          <w:rFonts w:ascii="DM Sans" w:eastAsia="MS ??" w:hAnsi="DM Sans"/>
        </w:rPr>
        <w:t>the arts and the environment.</w:t>
      </w:r>
      <w:r w:rsidR="002C19D2">
        <w:rPr>
          <w:rFonts w:ascii="DM Sans" w:eastAsia="MS ??" w:hAnsi="DM Sans"/>
        </w:rPr>
        <w:t xml:space="preserve"> </w:t>
      </w:r>
    </w:p>
    <w:p w14:paraId="35B5B198" w14:textId="781DEC34" w:rsidR="000F2732" w:rsidRDefault="00217CC9" w:rsidP="00A547B7">
      <w:pPr>
        <w:pStyle w:val="BodyText"/>
        <w:numPr>
          <w:ilvl w:val="0"/>
          <w:numId w:val="84"/>
        </w:numPr>
        <w:rPr>
          <w:lang w:val="en-US"/>
        </w:rPr>
      </w:pPr>
      <w:r>
        <w:rPr>
          <w:lang w:val="en-US"/>
        </w:rPr>
        <w:t xml:space="preserve">Without collaborative arrangements, a massive source of social </w:t>
      </w:r>
      <w:r w:rsidR="00030A07">
        <w:rPr>
          <w:lang w:val="en-US"/>
        </w:rPr>
        <w:t>impact</w:t>
      </w:r>
      <w:r>
        <w:rPr>
          <w:lang w:val="en-US"/>
        </w:rPr>
        <w:t xml:space="preserve"> is being left untapped.</w:t>
      </w:r>
    </w:p>
    <w:p w14:paraId="599BF1E6" w14:textId="6262D0A8" w:rsidR="00217CC9" w:rsidRDefault="00526E41" w:rsidP="00A547B7">
      <w:pPr>
        <w:pStyle w:val="BodyText"/>
        <w:numPr>
          <w:ilvl w:val="0"/>
          <w:numId w:val="84"/>
        </w:numPr>
        <w:rPr>
          <w:lang w:val="en-US"/>
        </w:rPr>
      </w:pPr>
      <w:r>
        <w:rPr>
          <w:lang w:val="en-US"/>
        </w:rPr>
        <w:t>Government and philanthropy have similar goals and complementary strengths.</w:t>
      </w:r>
      <w:r w:rsidR="00B57D74">
        <w:rPr>
          <w:lang w:val="en-US"/>
        </w:rPr>
        <w:t xml:space="preserve">  </w:t>
      </w:r>
      <w:proofErr w:type="gramStart"/>
      <w:r w:rsidR="00B57D74">
        <w:rPr>
          <w:lang w:val="en-US"/>
        </w:rPr>
        <w:t>In particular, philanthropy</w:t>
      </w:r>
      <w:proofErr w:type="gramEnd"/>
      <w:r w:rsidR="00B57D74">
        <w:rPr>
          <w:lang w:val="en-US"/>
        </w:rPr>
        <w:t xml:space="preserve"> has flexibility to trial social innovations, while government is better positioned to adopt better practices system</w:t>
      </w:r>
      <w:r w:rsidR="00F07DF7">
        <w:rPr>
          <w:lang w:val="en-US"/>
        </w:rPr>
        <w:t>-</w:t>
      </w:r>
      <w:r w:rsidR="00B57D74">
        <w:rPr>
          <w:lang w:val="en-US"/>
        </w:rPr>
        <w:t>wide.</w:t>
      </w:r>
      <w:r w:rsidR="00F60BB5">
        <w:rPr>
          <w:lang w:val="en-US"/>
        </w:rPr>
        <w:t xml:space="preserve">  </w:t>
      </w:r>
      <w:r w:rsidR="000242C8">
        <w:rPr>
          <w:lang w:val="en-US"/>
        </w:rPr>
        <w:t xml:space="preserve">Working together, we could achieve much stronger impact per philanthropic dollar </w:t>
      </w:r>
      <w:proofErr w:type="gramStart"/>
      <w:r w:rsidR="000242C8">
        <w:rPr>
          <w:lang w:val="en-US"/>
        </w:rPr>
        <w:t>expended</w:t>
      </w:r>
      <w:proofErr w:type="gramEnd"/>
      <w:r w:rsidR="000242C8">
        <w:rPr>
          <w:lang w:val="en-US"/>
        </w:rPr>
        <w:t>.</w:t>
      </w:r>
    </w:p>
    <w:p w14:paraId="681909AC" w14:textId="041A2396" w:rsidR="00362304" w:rsidRDefault="00362304" w:rsidP="00A547B7">
      <w:pPr>
        <w:pStyle w:val="BodyText"/>
        <w:numPr>
          <w:ilvl w:val="0"/>
          <w:numId w:val="84"/>
        </w:numPr>
        <w:rPr>
          <w:lang w:val="en-US"/>
        </w:rPr>
      </w:pPr>
      <w:r>
        <w:rPr>
          <w:lang w:val="en-US"/>
        </w:rPr>
        <w:t xml:space="preserve">To date, </w:t>
      </w:r>
      <w:r w:rsidR="00031C5B">
        <w:rPr>
          <w:lang w:val="en-US"/>
        </w:rPr>
        <w:t xml:space="preserve">innovation through </w:t>
      </w:r>
      <w:r w:rsidR="000062CF">
        <w:rPr>
          <w:lang w:val="en-US"/>
        </w:rPr>
        <w:t xml:space="preserve">government-philanthropy collaboration has worked </w:t>
      </w:r>
      <w:r w:rsidR="005F1D0A">
        <w:rPr>
          <w:lang w:val="en-US"/>
        </w:rPr>
        <w:t xml:space="preserve">largely </w:t>
      </w:r>
      <w:r w:rsidR="000062CF">
        <w:rPr>
          <w:lang w:val="en-US"/>
        </w:rPr>
        <w:t>through serendipity</w:t>
      </w:r>
      <w:r w:rsidR="00D1432E">
        <w:rPr>
          <w:lang w:val="en-US"/>
        </w:rPr>
        <w:t xml:space="preserve">.  </w:t>
      </w:r>
      <w:r w:rsidR="00AD22DC">
        <w:rPr>
          <w:lang w:val="en-US"/>
        </w:rPr>
        <w:t>Simple, non-onerous collaborative structures could help drive innovation</w:t>
      </w:r>
      <w:r w:rsidR="0063652D">
        <w:rPr>
          <w:lang w:val="en-US"/>
        </w:rPr>
        <w:t xml:space="preserve"> across all social and environmental portfolios on a more consistent basis.</w:t>
      </w:r>
    </w:p>
    <w:p w14:paraId="461D0DD3" w14:textId="77777777" w:rsidR="00A71CE5" w:rsidRDefault="00A71CE5" w:rsidP="00A547B7">
      <w:pPr>
        <w:pStyle w:val="Heading3"/>
        <w:numPr>
          <w:ilvl w:val="0"/>
          <w:numId w:val="89"/>
        </w:numPr>
        <w:spacing w:before="0" w:after="120" w:line="240" w:lineRule="auto"/>
      </w:pPr>
      <w:bookmarkStart w:id="6" w:name="_Toc158381883"/>
      <w:r w:rsidRPr="00A71CE5">
        <w:t>Responses on key issues</w:t>
      </w:r>
      <w:bookmarkEnd w:id="6"/>
    </w:p>
    <w:p w14:paraId="4923020E" w14:textId="1F605C54" w:rsidR="00B50832" w:rsidRDefault="00CA3C54" w:rsidP="00A547B7">
      <w:pPr>
        <w:pStyle w:val="BodyText"/>
        <w:numPr>
          <w:ilvl w:val="6"/>
          <w:numId w:val="84"/>
        </w:numPr>
        <w:ind w:left="340"/>
        <w:rPr>
          <w:b/>
          <w:bCs/>
          <w:lang w:val="en-US"/>
        </w:rPr>
      </w:pPr>
      <w:r w:rsidRPr="00CA3C54">
        <w:rPr>
          <w:b/>
          <w:bCs/>
          <w:lang w:val="en-US"/>
        </w:rPr>
        <w:t>Changing minimum distribution rates.</w:t>
      </w:r>
    </w:p>
    <w:p w14:paraId="6A952E69" w14:textId="279C9B12" w:rsidR="00CA3C54" w:rsidRPr="00CC3607" w:rsidRDefault="00CA3C54" w:rsidP="00CA3C54">
      <w:pPr>
        <w:pStyle w:val="BodyText"/>
      </w:pPr>
      <w:r>
        <w:t xml:space="preserve">The </w:t>
      </w:r>
      <w:r w:rsidR="00B53D1E">
        <w:t xml:space="preserve">majority </w:t>
      </w:r>
      <w:r>
        <w:t xml:space="preserve">view of PA members is that </w:t>
      </w:r>
      <w:r w:rsidR="00F3367D">
        <w:t xml:space="preserve">Australia’s </w:t>
      </w:r>
      <w:r w:rsidRPr="00CC3607">
        <w:t xml:space="preserve">long-term giving will be higher if minimum distribution rates are </w:t>
      </w:r>
      <w:r w:rsidR="00085E3A">
        <w:t>not changed</w:t>
      </w:r>
      <w:r w:rsidRPr="00CC3607">
        <w:t xml:space="preserve">.  </w:t>
      </w:r>
    </w:p>
    <w:p w14:paraId="13720732" w14:textId="77777777" w:rsidR="005752D4" w:rsidRDefault="00CA3C54" w:rsidP="00A547B7">
      <w:pPr>
        <w:pStyle w:val="BodyText"/>
        <w:numPr>
          <w:ilvl w:val="0"/>
          <w:numId w:val="85"/>
        </w:numPr>
      </w:pPr>
      <w:r w:rsidRPr="00CC3607">
        <w:t>The key driver of increasing donations is to increase the number of ancillary funds.  Increasing the minimum distribution amounts could impede this growth, harming long-term giving outcomes.</w:t>
      </w:r>
    </w:p>
    <w:p w14:paraId="3301F545" w14:textId="4DE73ADF" w:rsidR="0077730C" w:rsidRDefault="000230D3" w:rsidP="00A547B7">
      <w:pPr>
        <w:pStyle w:val="BodyText"/>
        <w:numPr>
          <w:ilvl w:val="0"/>
          <w:numId w:val="85"/>
        </w:numPr>
      </w:pPr>
      <w:r>
        <w:t xml:space="preserve">While the number of PAFs has risen </w:t>
      </w:r>
      <w:r w:rsidR="0077730C">
        <w:t>to more than 2,000</w:t>
      </w:r>
      <w:r w:rsidR="008D0B4D">
        <w:t xml:space="preserve"> since 2001</w:t>
      </w:r>
      <w:r w:rsidR="0077730C">
        <w:t>, a common view is that, given our level of national wealth</w:t>
      </w:r>
      <w:r w:rsidR="00B1111A">
        <w:t xml:space="preserve"> – including having around 21,000 ultra-hig</w:t>
      </w:r>
      <w:r w:rsidR="00822323">
        <w:t>h</w:t>
      </w:r>
      <w:r w:rsidR="00B1111A">
        <w:t>-net-worth individuals</w:t>
      </w:r>
      <w:r w:rsidR="00822323">
        <w:t>,</w:t>
      </w:r>
      <w:r w:rsidR="0077730C">
        <w:t xml:space="preserve"> we should aspire to having more than 20,000 PAFs.</w:t>
      </w:r>
      <w:r w:rsidR="005752D4">
        <w:t xml:space="preserve">  Growing the number of PAFs, rather than extracting more from existing PAFs, should therefore be the priority at this point in our nation’s giving history.</w:t>
      </w:r>
    </w:p>
    <w:p w14:paraId="5422EC6D" w14:textId="17697631" w:rsidR="00CA3C54" w:rsidRDefault="00CA3C54" w:rsidP="00A547B7">
      <w:pPr>
        <w:pStyle w:val="BodyText"/>
        <w:numPr>
          <w:ilvl w:val="0"/>
          <w:numId w:val="85"/>
        </w:numPr>
      </w:pPr>
      <w:r w:rsidRPr="00CC3607">
        <w:t xml:space="preserve">Imposing a minimum distribution rate that meant the corpus </w:t>
      </w:r>
      <w:r w:rsidR="0054213E">
        <w:t>w</w:t>
      </w:r>
      <w:r w:rsidR="00C475F4">
        <w:t>ould be</w:t>
      </w:r>
      <w:r w:rsidRPr="00CC3607">
        <w:t xml:space="preserve"> steadily eroded would mean less </w:t>
      </w:r>
      <w:r w:rsidR="0054213E">
        <w:t>long-term giving</w:t>
      </w:r>
      <w:r w:rsidRPr="00CC3607">
        <w:t xml:space="preserve"> than a rate that allowed ancillary funds to operate in perpetuity.</w:t>
      </w:r>
    </w:p>
    <w:p w14:paraId="4E8B5920" w14:textId="288686EC" w:rsidR="00C475F4" w:rsidRPr="00CC3607" w:rsidRDefault="00C475F4" w:rsidP="00A547B7">
      <w:pPr>
        <w:pStyle w:val="BodyText"/>
        <w:numPr>
          <w:ilvl w:val="0"/>
          <w:numId w:val="85"/>
        </w:numPr>
      </w:pPr>
      <w:r>
        <w:t xml:space="preserve">US evidence showed a 6 per cent rate resulted in the closure of </w:t>
      </w:r>
      <w:r w:rsidR="00BB0A53">
        <w:t>15% of funds</w:t>
      </w:r>
      <w:r w:rsidR="00F276EF">
        <w:t>.</w:t>
      </w:r>
      <w:r w:rsidR="00FB551B">
        <w:t xml:space="preserve">  </w:t>
      </w:r>
      <w:r w:rsidR="00F276EF">
        <w:t>A</w:t>
      </w:r>
      <w:r w:rsidR="00FB551B">
        <w:t xml:space="preserve"> shift to 5 per cent has struck the best balance between getting maximum funds to charities </w:t>
      </w:r>
      <w:r w:rsidR="00A272DB">
        <w:t>as early as possible and allowing funds to maintain real returns sufficient to operate in perpetuity</w:t>
      </w:r>
      <w:r w:rsidR="00BB0A53">
        <w:t xml:space="preserve"> (detail below).</w:t>
      </w:r>
    </w:p>
    <w:p w14:paraId="7F4DE69E" w14:textId="446047DB" w:rsidR="00CA3C54" w:rsidRPr="00F51641" w:rsidRDefault="00B53D1E" w:rsidP="00A547B7">
      <w:pPr>
        <w:pStyle w:val="BodyText"/>
        <w:numPr>
          <w:ilvl w:val="6"/>
          <w:numId w:val="84"/>
        </w:numPr>
        <w:ind w:left="340"/>
        <w:rPr>
          <w:b/>
          <w:bCs/>
          <w:lang w:val="en-US"/>
        </w:rPr>
      </w:pPr>
      <w:r w:rsidRPr="00F51641">
        <w:rPr>
          <w:b/>
          <w:bCs/>
          <w:lang w:val="en-US"/>
        </w:rPr>
        <w:t>Removing DGR for school buildings.</w:t>
      </w:r>
    </w:p>
    <w:p w14:paraId="71F79821" w14:textId="77777777" w:rsidR="00F45E8B" w:rsidRPr="00CC3607" w:rsidRDefault="00F45E8B" w:rsidP="00F45E8B">
      <w:proofErr w:type="gramStart"/>
      <w:r w:rsidRPr="00CC3607">
        <w:t>The majority of</w:t>
      </w:r>
      <w:proofErr w:type="gramEnd"/>
      <w:r w:rsidRPr="00CC3607">
        <w:t xml:space="preserve"> PA members expressing a view on this topic believe that DGR for school building funds should be retained as:</w:t>
      </w:r>
    </w:p>
    <w:p w14:paraId="42942F36" w14:textId="71A12CC0" w:rsidR="00F45E8B" w:rsidRPr="00CC3607" w:rsidRDefault="00F45E8B" w:rsidP="00A547B7">
      <w:pPr>
        <w:pStyle w:val="ListParagraph"/>
        <w:numPr>
          <w:ilvl w:val="0"/>
          <w:numId w:val="88"/>
        </w:numPr>
        <w:rPr>
          <w:rFonts w:asciiTheme="minorHAnsi" w:hAnsiTheme="minorHAnsi"/>
          <w:sz w:val="20"/>
        </w:rPr>
      </w:pPr>
      <w:r w:rsidRPr="00CC3607">
        <w:rPr>
          <w:rFonts w:asciiTheme="minorHAnsi" w:hAnsiTheme="minorHAnsi"/>
          <w:sz w:val="20"/>
        </w:rPr>
        <w:t xml:space="preserve">Education is pivotal to productivity, </w:t>
      </w:r>
      <w:proofErr w:type="gramStart"/>
      <w:r w:rsidRPr="00CC3607">
        <w:rPr>
          <w:rFonts w:asciiTheme="minorHAnsi" w:hAnsiTheme="minorHAnsi"/>
          <w:sz w:val="20"/>
        </w:rPr>
        <w:t>opportunity</w:t>
      </w:r>
      <w:proofErr w:type="gramEnd"/>
      <w:r w:rsidRPr="00CC3607">
        <w:rPr>
          <w:rFonts w:asciiTheme="minorHAnsi" w:hAnsiTheme="minorHAnsi"/>
          <w:sz w:val="20"/>
        </w:rPr>
        <w:t xml:space="preserve"> and equity in our society.  </w:t>
      </w:r>
    </w:p>
    <w:p w14:paraId="49E402F5" w14:textId="2FEBBD84" w:rsidR="00F45E8B" w:rsidRPr="00CC3607" w:rsidRDefault="00F45E8B" w:rsidP="00A547B7">
      <w:pPr>
        <w:pStyle w:val="ListParagraph"/>
        <w:numPr>
          <w:ilvl w:val="0"/>
          <w:numId w:val="88"/>
        </w:numPr>
        <w:rPr>
          <w:rFonts w:asciiTheme="minorHAnsi" w:hAnsiTheme="minorHAnsi"/>
          <w:sz w:val="20"/>
        </w:rPr>
      </w:pPr>
      <w:r w:rsidRPr="00CC3607">
        <w:rPr>
          <w:rFonts w:asciiTheme="minorHAnsi" w:hAnsiTheme="minorHAnsi"/>
          <w:sz w:val="20"/>
        </w:rPr>
        <w:t xml:space="preserve">The funds provide a significant community benefit.  Donations by families and alumni are often a way of ‘giving back’, with support for school infrastructure benefiting children right across the school, often for generations to come.  </w:t>
      </w:r>
      <w:r>
        <w:rPr>
          <w:rFonts w:asciiTheme="minorHAnsi" w:hAnsiTheme="minorHAnsi"/>
          <w:sz w:val="20"/>
        </w:rPr>
        <w:t xml:space="preserve">Indeed, a significant minority of donors are friends and alumni donating to the school long after their children have departed.  Many donors contribute to infrastructure </w:t>
      </w:r>
      <w:r w:rsidR="009C5229">
        <w:rPr>
          <w:rFonts w:asciiTheme="minorHAnsi" w:hAnsiTheme="minorHAnsi"/>
          <w:sz w:val="20"/>
        </w:rPr>
        <w:t xml:space="preserve">that is </w:t>
      </w:r>
      <w:r>
        <w:rPr>
          <w:rFonts w:asciiTheme="minorHAnsi" w:hAnsiTheme="minorHAnsi"/>
          <w:sz w:val="20"/>
        </w:rPr>
        <w:t>not finali</w:t>
      </w:r>
      <w:r w:rsidR="00F51641">
        <w:rPr>
          <w:rFonts w:asciiTheme="minorHAnsi" w:hAnsiTheme="minorHAnsi"/>
          <w:sz w:val="20"/>
        </w:rPr>
        <w:t>s</w:t>
      </w:r>
      <w:r>
        <w:rPr>
          <w:rFonts w:asciiTheme="minorHAnsi" w:hAnsiTheme="minorHAnsi"/>
          <w:sz w:val="20"/>
        </w:rPr>
        <w:t xml:space="preserve">ed until after their children have left </w:t>
      </w:r>
      <w:proofErr w:type="gramStart"/>
      <w:r>
        <w:rPr>
          <w:rFonts w:asciiTheme="minorHAnsi" w:hAnsiTheme="minorHAnsi"/>
          <w:sz w:val="20"/>
        </w:rPr>
        <w:t>the school</w:t>
      </w:r>
      <w:proofErr w:type="gramEnd"/>
      <w:r>
        <w:rPr>
          <w:rFonts w:asciiTheme="minorHAnsi" w:hAnsiTheme="minorHAnsi"/>
          <w:sz w:val="20"/>
        </w:rPr>
        <w:t xml:space="preserve">.  </w:t>
      </w:r>
      <w:r w:rsidRPr="00CC3607">
        <w:rPr>
          <w:rFonts w:asciiTheme="minorHAnsi" w:hAnsiTheme="minorHAnsi"/>
          <w:sz w:val="20"/>
        </w:rPr>
        <w:t>Many schools also make their buildings and facilities available for community use.</w:t>
      </w:r>
    </w:p>
    <w:p w14:paraId="5961913B" w14:textId="77777777" w:rsidR="005A62D5" w:rsidRDefault="005A62D5" w:rsidP="00B50832">
      <w:pPr>
        <w:pStyle w:val="BodyText"/>
        <w:sectPr w:rsidR="005A62D5" w:rsidSect="00A24A9A">
          <w:headerReference w:type="even" r:id="rId21"/>
          <w:headerReference w:type="default" r:id="rId22"/>
          <w:footerReference w:type="even" r:id="rId23"/>
          <w:headerReference w:type="first" r:id="rId24"/>
          <w:footerReference w:type="first" r:id="rId25"/>
          <w:pgSz w:w="11906" w:h="16838"/>
          <w:pgMar w:top="1134" w:right="1134" w:bottom="1134" w:left="1134" w:header="397" w:footer="397" w:gutter="0"/>
          <w:pgNumType w:fmt="lowerRoman" w:start="1"/>
          <w:cols w:space="708"/>
          <w:docGrid w:linePitch="360"/>
        </w:sectPr>
      </w:pPr>
    </w:p>
    <w:p w14:paraId="4A5894EF" w14:textId="1D3A15FF" w:rsidR="000B7133" w:rsidRDefault="006641E5" w:rsidP="000B7133">
      <w:pPr>
        <w:pStyle w:val="Heading1"/>
        <w:numPr>
          <w:ilvl w:val="0"/>
          <w:numId w:val="0"/>
        </w:numPr>
        <w:ind w:left="680" w:hanging="680"/>
        <w:rPr>
          <w:rFonts w:ascii="DM Sans" w:hAnsi="DM Sans"/>
        </w:rPr>
      </w:pPr>
      <w:bookmarkStart w:id="7" w:name="_Toc158381884"/>
      <w:r>
        <w:rPr>
          <w:rFonts w:ascii="DM Sans" w:hAnsi="DM Sans"/>
        </w:rPr>
        <w:lastRenderedPageBreak/>
        <w:t>Detail on PA</w:t>
      </w:r>
      <w:r w:rsidR="00CC0A34">
        <w:rPr>
          <w:rFonts w:ascii="DM Sans" w:hAnsi="DM Sans"/>
        </w:rPr>
        <w:t>’</w:t>
      </w:r>
      <w:r>
        <w:rPr>
          <w:rFonts w:ascii="DM Sans" w:hAnsi="DM Sans"/>
        </w:rPr>
        <w:t>s proposed changes to the final report</w:t>
      </w:r>
      <w:bookmarkEnd w:id="7"/>
    </w:p>
    <w:p w14:paraId="2327BB43" w14:textId="414C46FB" w:rsidR="009E3DEF" w:rsidRPr="00C27804" w:rsidRDefault="00C7709E" w:rsidP="00B255C9">
      <w:pPr>
        <w:pStyle w:val="Heading1"/>
        <w:numPr>
          <w:ilvl w:val="2"/>
          <w:numId w:val="25"/>
        </w:numPr>
        <w:spacing w:before="0" w:line="240" w:lineRule="auto"/>
        <w:ind w:left="357" w:hanging="357"/>
        <w:rPr>
          <w:rFonts w:ascii="DM Sans" w:hAnsi="DM Sans"/>
        </w:rPr>
      </w:pPr>
      <w:bookmarkStart w:id="8" w:name="_Toc158381885"/>
      <w:r w:rsidRPr="00C27804">
        <w:rPr>
          <w:rFonts w:ascii="DM Sans" w:hAnsi="DM Sans"/>
        </w:rPr>
        <w:t>Reforms we’d like to see recommended</w:t>
      </w:r>
      <w:r w:rsidR="004B75BB" w:rsidRPr="00C27804">
        <w:rPr>
          <w:rFonts w:ascii="DM Sans" w:hAnsi="DM Sans"/>
        </w:rPr>
        <w:t xml:space="preserve"> in the final report</w:t>
      </w:r>
      <w:bookmarkEnd w:id="8"/>
    </w:p>
    <w:p w14:paraId="14DEC0BE" w14:textId="6C67912F" w:rsidR="00527C3E" w:rsidRDefault="004D5B9E" w:rsidP="00A547B7">
      <w:pPr>
        <w:pStyle w:val="Heading2"/>
        <w:numPr>
          <w:ilvl w:val="1"/>
          <w:numId w:val="95"/>
        </w:numPr>
        <w:rPr>
          <w:rFonts w:ascii="DM Sans" w:hAnsi="DM Sans"/>
        </w:rPr>
      </w:pPr>
      <w:bookmarkStart w:id="9" w:name="_Toc158381886"/>
      <w:r w:rsidRPr="00C27804">
        <w:rPr>
          <w:rFonts w:ascii="DM Sans" w:hAnsi="DM Sans"/>
        </w:rPr>
        <w:t>The choice to bequest through superannuation</w:t>
      </w:r>
      <w:bookmarkEnd w:id="9"/>
    </w:p>
    <w:p w14:paraId="35255632" w14:textId="77777777" w:rsidR="00AE4048" w:rsidRPr="00C27804" w:rsidRDefault="00AE4048" w:rsidP="00EC2FB8">
      <w:pPr>
        <w:pStyle w:val="BodyText"/>
        <w:shd w:val="clear" w:color="auto" w:fill="D8E5F7" w:themeFill="accent1" w:themeFillTint="33"/>
        <w:rPr>
          <w:rFonts w:ascii="DM Sans" w:hAnsi="DM Sans"/>
          <w:b/>
          <w:bCs/>
          <w:color w:val="3D7EDB" w:themeColor="accent1"/>
          <w:sz w:val="24"/>
          <w:szCs w:val="24"/>
        </w:rPr>
      </w:pPr>
      <w:r w:rsidRPr="00C27804">
        <w:rPr>
          <w:rFonts w:ascii="DM Sans" w:hAnsi="DM Sans"/>
          <w:b/>
          <w:bCs/>
          <w:color w:val="3D7EDB" w:themeColor="accent1"/>
          <w:sz w:val="24"/>
          <w:szCs w:val="24"/>
        </w:rPr>
        <w:t>Recommendation</w:t>
      </w:r>
    </w:p>
    <w:p w14:paraId="63E54156" w14:textId="1BDB7FB0" w:rsidR="008C0125" w:rsidRPr="004B5C37" w:rsidRDefault="008C0125" w:rsidP="00A547B7">
      <w:pPr>
        <w:pStyle w:val="ListParagraph"/>
        <w:numPr>
          <w:ilvl w:val="0"/>
          <w:numId w:val="97"/>
        </w:numPr>
        <w:shd w:val="clear" w:color="auto" w:fill="D8E5F7" w:themeFill="accent1" w:themeFillTint="33"/>
        <w:rPr>
          <w:rFonts w:ascii="DM Sans" w:hAnsi="DM Sans"/>
          <w:b/>
          <w:bCs/>
          <w:sz w:val="20"/>
        </w:rPr>
      </w:pPr>
      <w:r w:rsidRPr="004B5C37">
        <w:rPr>
          <w:rFonts w:ascii="DM Sans" w:hAnsi="DM Sans"/>
          <w:b/>
          <w:bCs/>
          <w:sz w:val="20"/>
        </w:rPr>
        <w:t xml:space="preserve">The </w:t>
      </w:r>
      <w:r w:rsidR="00EC2FB8" w:rsidRPr="004B5C37">
        <w:rPr>
          <w:rFonts w:ascii="DM Sans" w:hAnsi="DM Sans"/>
          <w:b/>
          <w:bCs/>
          <w:sz w:val="20"/>
        </w:rPr>
        <w:t xml:space="preserve">PC recommend that the </w:t>
      </w:r>
      <w:r w:rsidRPr="004B5C37">
        <w:rPr>
          <w:rFonts w:ascii="DM Sans" w:hAnsi="DM Sans"/>
          <w:b/>
          <w:bCs/>
          <w:sz w:val="20"/>
        </w:rPr>
        <w:t>Federal Government:</w:t>
      </w:r>
    </w:p>
    <w:p w14:paraId="6D08768D" w14:textId="05636818" w:rsidR="008C0125" w:rsidRPr="00C27804" w:rsidRDefault="002C52D2" w:rsidP="00B255C9">
      <w:pPr>
        <w:widowControl w:val="0"/>
        <w:numPr>
          <w:ilvl w:val="0"/>
          <w:numId w:val="59"/>
        </w:numPr>
        <w:shd w:val="clear" w:color="auto" w:fill="D8E5F7" w:themeFill="accent1" w:themeFillTint="33"/>
        <w:autoSpaceDE w:val="0"/>
        <w:autoSpaceDN w:val="0"/>
        <w:adjustRightInd w:val="0"/>
        <w:spacing w:after="40"/>
        <w:rPr>
          <w:rFonts w:ascii="DM Sans" w:eastAsia="MS ??" w:hAnsi="DM Sans" w:cs="Arial"/>
          <w:lang w:val="en-US" w:eastAsia="en-US"/>
        </w:rPr>
      </w:pPr>
      <w:r w:rsidRPr="00C27804">
        <w:rPr>
          <w:rFonts w:ascii="DM Sans" w:eastAsia="MS ??" w:hAnsi="DM Sans" w:cs="Arial"/>
          <w:b/>
          <w:bCs/>
          <w:lang w:eastAsia="en-US"/>
        </w:rPr>
        <w:t xml:space="preserve">Announce its </w:t>
      </w:r>
      <w:r w:rsidR="005B386E">
        <w:rPr>
          <w:rFonts w:ascii="DM Sans" w:eastAsia="MS ??" w:hAnsi="DM Sans" w:cs="Arial"/>
          <w:b/>
          <w:bCs/>
          <w:lang w:eastAsia="en-US"/>
        </w:rPr>
        <w:t>commitment</w:t>
      </w:r>
      <w:r w:rsidRPr="00C27804">
        <w:rPr>
          <w:rFonts w:ascii="DM Sans" w:eastAsia="MS ??" w:hAnsi="DM Sans" w:cs="Arial"/>
          <w:b/>
          <w:bCs/>
          <w:lang w:eastAsia="en-US"/>
        </w:rPr>
        <w:t xml:space="preserve"> to g</w:t>
      </w:r>
      <w:r w:rsidR="008C0125" w:rsidRPr="00C27804">
        <w:rPr>
          <w:rFonts w:ascii="DM Sans" w:eastAsia="MS ??" w:hAnsi="DM Sans" w:cs="Arial"/>
          <w:b/>
          <w:bCs/>
          <w:lang w:eastAsia="en-US"/>
        </w:rPr>
        <w:t>ive Australians the choice to make a bequest through super</w:t>
      </w:r>
      <w:r w:rsidR="008C0125" w:rsidRPr="00C27804">
        <w:rPr>
          <w:rFonts w:ascii="DM Sans" w:eastAsia="MS ??" w:hAnsi="DM Sans" w:cs="Arial"/>
          <w:lang w:eastAsia="en-US"/>
        </w:rPr>
        <w:t>:</w:t>
      </w:r>
      <w:r w:rsidR="008C0125" w:rsidRPr="00C27804">
        <w:rPr>
          <w:rFonts w:ascii="DM Sans" w:eastAsia="MS ??" w:hAnsi="DM Sans" w:cs="Arial"/>
          <w:bCs/>
          <w:lang w:eastAsia="en-US"/>
        </w:rPr>
        <w:t xml:space="preserve"> </w:t>
      </w:r>
      <w:r w:rsidR="008C0125" w:rsidRPr="00C27804">
        <w:rPr>
          <w:rFonts w:ascii="DM Sans" w:eastAsia="MS ??" w:hAnsi="DM Sans" w:cs="Arial"/>
          <w:bCs/>
          <w:lang w:val="en-US" w:eastAsia="en-US"/>
        </w:rPr>
        <w:t xml:space="preserve">Allow Australians to bequest some of their </w:t>
      </w:r>
      <w:r w:rsidR="0086685A">
        <w:rPr>
          <w:rFonts w:ascii="DM Sans" w:eastAsia="MS ??" w:hAnsi="DM Sans" w:cs="Arial"/>
          <w:bCs/>
          <w:lang w:val="en-US" w:eastAsia="en-US"/>
        </w:rPr>
        <w:t>remaining</w:t>
      </w:r>
      <w:r w:rsidR="008C0125" w:rsidRPr="00C27804">
        <w:rPr>
          <w:rFonts w:ascii="DM Sans" w:eastAsia="MS ??" w:hAnsi="DM Sans" w:cs="Arial"/>
          <w:bCs/>
          <w:lang w:val="en-US" w:eastAsia="en-US"/>
        </w:rPr>
        <w:t xml:space="preserve"> superannuation (funds remaining when people pass away) to a nominated charity, through an instruction to their superannuation fund </w:t>
      </w:r>
      <w:r w:rsidR="008C0125" w:rsidRPr="00C27804">
        <w:rPr>
          <w:rFonts w:ascii="DM Sans" w:eastAsia="MS ??" w:hAnsi="DM Sans" w:cs="Arial"/>
          <w:lang w:val="en-US" w:eastAsia="en-US"/>
        </w:rPr>
        <w:t>(rather than having to follow a complicated legal process including the need to leave instructions in their will).</w:t>
      </w:r>
    </w:p>
    <w:p w14:paraId="78B8F827" w14:textId="1CFA0890" w:rsidR="008C0125" w:rsidRPr="00C27804" w:rsidRDefault="008C0125" w:rsidP="00B255C9">
      <w:pPr>
        <w:widowControl w:val="0"/>
        <w:numPr>
          <w:ilvl w:val="0"/>
          <w:numId w:val="59"/>
        </w:numPr>
        <w:shd w:val="clear" w:color="auto" w:fill="D8E5F7" w:themeFill="accent1" w:themeFillTint="33"/>
        <w:autoSpaceDE w:val="0"/>
        <w:autoSpaceDN w:val="0"/>
        <w:adjustRightInd w:val="0"/>
        <w:spacing w:after="40"/>
        <w:rPr>
          <w:rFonts w:ascii="DM Sans" w:eastAsia="MS ??" w:hAnsi="DM Sans" w:cs="Arial"/>
          <w:lang w:val="en-US" w:eastAsia="en-US"/>
        </w:rPr>
      </w:pPr>
      <w:r w:rsidRPr="00C27804">
        <w:rPr>
          <w:rFonts w:ascii="DM Sans" w:eastAsia="MS ??" w:hAnsi="DM Sans" w:cs="Arial"/>
          <w:b/>
          <w:bCs/>
          <w:lang w:val="en-US" w:eastAsia="en-US"/>
        </w:rPr>
        <w:t>Proceed only after consultation with the superannuation industry</w:t>
      </w:r>
      <w:r w:rsidR="00042CE8">
        <w:rPr>
          <w:rFonts w:ascii="DM Sans" w:eastAsia="MS ??" w:hAnsi="DM Sans" w:cs="Arial"/>
          <w:b/>
          <w:bCs/>
          <w:lang w:val="en-US" w:eastAsia="en-US"/>
        </w:rPr>
        <w:t xml:space="preserve"> to ensure implementation challenges are effectively addressed</w:t>
      </w:r>
      <w:r w:rsidRPr="00C27804">
        <w:rPr>
          <w:rFonts w:ascii="DM Sans" w:eastAsia="MS ??" w:hAnsi="DM Sans" w:cs="Arial"/>
          <w:b/>
          <w:bCs/>
          <w:lang w:val="en-US" w:eastAsia="en-US"/>
        </w:rPr>
        <w:t>.</w:t>
      </w:r>
      <w:r w:rsidRPr="00C27804">
        <w:rPr>
          <w:rFonts w:ascii="DM Sans" w:eastAsia="MS ??" w:hAnsi="DM Sans" w:cs="Arial"/>
          <w:lang w:val="en-US" w:eastAsia="en-US"/>
        </w:rPr>
        <w:t xml:space="preserve"> </w:t>
      </w:r>
      <w:r w:rsidR="00D54085">
        <w:rPr>
          <w:rFonts w:ascii="DM Sans" w:eastAsia="MS ??" w:hAnsi="DM Sans" w:cs="Arial"/>
          <w:lang w:val="en-US" w:eastAsia="en-US"/>
        </w:rPr>
        <w:t>E</w:t>
      </w:r>
      <w:r w:rsidRPr="00C27804">
        <w:rPr>
          <w:rFonts w:ascii="DM Sans" w:eastAsia="MS ??" w:hAnsi="DM Sans" w:cs="Arial"/>
          <w:lang w:val="en-US" w:eastAsia="en-US"/>
        </w:rPr>
        <w:t>ngage the superannuation industry to discuss super bequest reform and seek their input prior to the reform being implemented</w:t>
      </w:r>
      <w:r w:rsidR="00354044">
        <w:rPr>
          <w:rFonts w:ascii="DM Sans" w:eastAsia="MS ??" w:hAnsi="DM Sans" w:cs="Arial"/>
          <w:lang w:val="en-US" w:eastAsia="en-US"/>
        </w:rPr>
        <w:t xml:space="preserve">, as </w:t>
      </w:r>
      <w:r w:rsidR="00E40FD0" w:rsidRPr="00C27804">
        <w:rPr>
          <w:rFonts w:ascii="DM Sans" w:eastAsia="MS ??" w:hAnsi="DM Sans" w:cs="Arial"/>
          <w:lang w:val="en-US" w:eastAsia="en-US"/>
        </w:rPr>
        <w:t xml:space="preserve">the industry will have insights </w:t>
      </w:r>
      <w:r w:rsidR="00DB4070">
        <w:rPr>
          <w:rFonts w:ascii="DM Sans" w:eastAsia="MS ??" w:hAnsi="DM Sans" w:cs="Arial"/>
          <w:lang w:val="en-US" w:eastAsia="en-US"/>
        </w:rPr>
        <w:t xml:space="preserve">from practice as to </w:t>
      </w:r>
      <w:r w:rsidR="00E40FD0" w:rsidRPr="00C27804">
        <w:rPr>
          <w:rFonts w:ascii="DM Sans" w:eastAsia="MS ??" w:hAnsi="DM Sans" w:cs="Arial"/>
          <w:lang w:val="en-US" w:eastAsia="en-US"/>
        </w:rPr>
        <w:t>how implementation challenges can best be addressed</w:t>
      </w:r>
      <w:r w:rsidR="00226BA1" w:rsidRPr="00C27804">
        <w:rPr>
          <w:rFonts w:ascii="DM Sans" w:eastAsia="MS ??" w:hAnsi="DM Sans" w:cs="Arial"/>
          <w:lang w:val="en-US" w:eastAsia="en-US"/>
        </w:rPr>
        <w:t>.</w:t>
      </w:r>
    </w:p>
    <w:p w14:paraId="181E074F" w14:textId="7671FF75" w:rsidR="00226BA1" w:rsidRPr="0041321E" w:rsidRDefault="00E31F91" w:rsidP="00A547B7">
      <w:pPr>
        <w:pStyle w:val="ListParagraph"/>
        <w:numPr>
          <w:ilvl w:val="0"/>
          <w:numId w:val="97"/>
        </w:numPr>
        <w:shd w:val="clear" w:color="auto" w:fill="D8E5F7" w:themeFill="accent1" w:themeFillTint="33"/>
        <w:ind w:left="357" w:hanging="357"/>
        <w:rPr>
          <w:rFonts w:ascii="DM Sans" w:hAnsi="DM Sans"/>
          <w:b/>
          <w:bCs/>
          <w:sz w:val="20"/>
        </w:rPr>
      </w:pPr>
      <w:r w:rsidRPr="0041321E">
        <w:rPr>
          <w:rFonts w:ascii="DM Sans" w:hAnsi="DM Sans"/>
          <w:b/>
          <w:bCs/>
          <w:sz w:val="20"/>
        </w:rPr>
        <w:t>In considering whether to recommend this reform we ask that the PC:</w:t>
      </w:r>
    </w:p>
    <w:p w14:paraId="65BDE150" w14:textId="0C8D9A74" w:rsidR="00E31F91" w:rsidRPr="00C27804" w:rsidRDefault="00E43A97" w:rsidP="00B255C9">
      <w:pPr>
        <w:widowControl w:val="0"/>
        <w:numPr>
          <w:ilvl w:val="0"/>
          <w:numId w:val="59"/>
        </w:numPr>
        <w:shd w:val="clear" w:color="auto" w:fill="D8E5F7" w:themeFill="accent1" w:themeFillTint="33"/>
        <w:autoSpaceDE w:val="0"/>
        <w:autoSpaceDN w:val="0"/>
        <w:adjustRightInd w:val="0"/>
        <w:spacing w:after="40"/>
        <w:rPr>
          <w:rFonts w:ascii="DM Sans" w:eastAsia="MS ??" w:hAnsi="DM Sans" w:cs="Arial"/>
          <w:lang w:val="en-US" w:eastAsia="en-US"/>
        </w:rPr>
      </w:pPr>
      <w:r w:rsidRPr="00C27804">
        <w:rPr>
          <w:rFonts w:ascii="DM Sans" w:eastAsia="MS ??" w:hAnsi="DM Sans" w:cs="Arial"/>
          <w:b/>
          <w:bCs/>
          <w:lang w:val="en-US" w:eastAsia="en-US"/>
        </w:rPr>
        <w:t>Undertake greater analysis to identify and reflect the benefits of reform</w:t>
      </w:r>
      <w:r w:rsidR="000E7124" w:rsidRPr="00C27804">
        <w:rPr>
          <w:rFonts w:ascii="DM Sans" w:eastAsia="MS ??" w:hAnsi="DM Sans" w:cs="Arial"/>
          <w:b/>
          <w:bCs/>
          <w:lang w:val="en-US" w:eastAsia="en-US"/>
        </w:rPr>
        <w:t>:</w:t>
      </w:r>
      <w:r w:rsidR="000E7124" w:rsidRPr="00C27804">
        <w:rPr>
          <w:rFonts w:ascii="DM Sans" w:eastAsia="MS ??" w:hAnsi="DM Sans" w:cs="Arial"/>
          <w:lang w:val="en-US" w:eastAsia="en-US"/>
        </w:rPr>
        <w:t xml:space="preserve"> </w:t>
      </w:r>
      <w:r w:rsidR="00F33D7A" w:rsidRPr="00C27804">
        <w:rPr>
          <w:rFonts w:ascii="DM Sans" w:eastAsia="MS ??" w:hAnsi="DM Sans" w:cs="Arial"/>
          <w:lang w:val="en-US" w:eastAsia="en-US"/>
        </w:rPr>
        <w:t xml:space="preserve">Most particularly, </w:t>
      </w:r>
      <w:r w:rsidR="002348A9" w:rsidRPr="00C27804">
        <w:rPr>
          <w:rFonts w:ascii="DM Sans" w:eastAsia="MS ??" w:hAnsi="DM Sans" w:cs="Arial"/>
          <w:lang w:val="en-US" w:eastAsia="en-US"/>
        </w:rPr>
        <w:t xml:space="preserve">we think it important that the PC </w:t>
      </w:r>
      <w:proofErr w:type="gramStart"/>
      <w:r w:rsidR="00DD3951" w:rsidRPr="00C27804">
        <w:rPr>
          <w:rFonts w:ascii="DM Sans" w:eastAsia="MS ??" w:hAnsi="DM Sans" w:cs="Arial"/>
          <w:lang w:val="en-US" w:eastAsia="en-US"/>
        </w:rPr>
        <w:t>reflect</w:t>
      </w:r>
      <w:proofErr w:type="gramEnd"/>
      <w:r w:rsidR="00DD3951" w:rsidRPr="00C27804">
        <w:rPr>
          <w:rFonts w:ascii="DM Sans" w:eastAsia="MS ??" w:hAnsi="DM Sans" w:cs="Arial"/>
          <w:lang w:val="en-US" w:eastAsia="en-US"/>
        </w:rPr>
        <w:t xml:space="preserve"> a position </w:t>
      </w:r>
      <w:proofErr w:type="gramStart"/>
      <w:r w:rsidR="00DD3951" w:rsidRPr="00C27804">
        <w:rPr>
          <w:rFonts w:ascii="DM Sans" w:eastAsia="MS ??" w:hAnsi="DM Sans" w:cs="Arial"/>
          <w:lang w:val="en-US" w:eastAsia="en-US"/>
        </w:rPr>
        <w:t>on</w:t>
      </w:r>
      <w:r w:rsidR="00C90890" w:rsidRPr="00C27804">
        <w:rPr>
          <w:rFonts w:ascii="DM Sans" w:eastAsia="MS ??" w:hAnsi="DM Sans" w:cs="Arial"/>
          <w:lang w:val="en-US" w:eastAsia="en-US"/>
        </w:rPr>
        <w:t>:</w:t>
      </w:r>
      <w:proofErr w:type="gramEnd"/>
      <w:r w:rsidR="00DD3951" w:rsidRPr="00C27804">
        <w:rPr>
          <w:rFonts w:ascii="DM Sans" w:eastAsia="MS ??" w:hAnsi="DM Sans" w:cs="Arial"/>
          <w:lang w:val="en-US" w:eastAsia="en-US"/>
        </w:rPr>
        <w:t xml:space="preserve"> 1) </w:t>
      </w:r>
      <w:r w:rsidR="00886113" w:rsidRPr="00C27804">
        <w:rPr>
          <w:rFonts w:ascii="DM Sans" w:eastAsia="MS ??" w:hAnsi="DM Sans" w:cs="Arial"/>
          <w:lang w:val="en-US" w:eastAsia="en-US"/>
        </w:rPr>
        <w:t>T</w:t>
      </w:r>
      <w:r w:rsidR="00DD3951" w:rsidRPr="00C27804">
        <w:rPr>
          <w:rFonts w:ascii="DM Sans" w:eastAsia="MS ??" w:hAnsi="DM Sans" w:cs="Arial"/>
          <w:lang w:val="en-US" w:eastAsia="en-US"/>
        </w:rPr>
        <w:t xml:space="preserve">he likely broad magnitude of </w:t>
      </w:r>
      <w:r w:rsidR="0055345F" w:rsidRPr="00C27804">
        <w:rPr>
          <w:rFonts w:ascii="DM Sans" w:eastAsia="MS ??" w:hAnsi="DM Sans" w:cs="Arial"/>
          <w:lang w:val="en-US" w:eastAsia="en-US"/>
        </w:rPr>
        <w:t>increased giving</w:t>
      </w:r>
      <w:r w:rsidR="00585029" w:rsidRPr="00C27804">
        <w:rPr>
          <w:rFonts w:ascii="DM Sans" w:eastAsia="MS ??" w:hAnsi="DM Sans" w:cs="Arial"/>
          <w:lang w:val="en-US" w:eastAsia="en-US"/>
        </w:rPr>
        <w:t>.  While there is n</w:t>
      </w:r>
      <w:r w:rsidR="00791C4C" w:rsidRPr="00C27804">
        <w:rPr>
          <w:rFonts w:ascii="DM Sans" w:eastAsia="MS ??" w:hAnsi="DM Sans" w:cs="Arial"/>
          <w:lang w:val="en-US" w:eastAsia="en-US"/>
        </w:rPr>
        <w:t xml:space="preserve">o way to predict the future with </w:t>
      </w:r>
      <w:r w:rsidR="00A21AD3" w:rsidRPr="00C27804">
        <w:rPr>
          <w:rFonts w:ascii="DM Sans" w:eastAsia="MS ??" w:hAnsi="DM Sans" w:cs="Arial"/>
          <w:lang w:val="en-US" w:eastAsia="en-US"/>
        </w:rPr>
        <w:t xml:space="preserve">anything approaching </w:t>
      </w:r>
      <w:r w:rsidR="00791C4C" w:rsidRPr="00C27804">
        <w:rPr>
          <w:rFonts w:ascii="DM Sans" w:eastAsia="MS ??" w:hAnsi="DM Sans" w:cs="Arial"/>
          <w:lang w:val="en-US" w:eastAsia="en-US"/>
        </w:rPr>
        <w:t xml:space="preserve">specificity, our </w:t>
      </w:r>
      <w:r w:rsidR="008A4906" w:rsidRPr="00C27804">
        <w:rPr>
          <w:rFonts w:ascii="DM Sans" w:eastAsia="MS ??" w:hAnsi="DM Sans" w:cs="Arial"/>
          <w:lang w:val="en-US" w:eastAsia="en-US"/>
        </w:rPr>
        <w:t>analysis indicates increases in giving are likely to be in the hundreds of billions by the end of the century</w:t>
      </w:r>
      <w:r w:rsidR="005A6134" w:rsidRPr="00C27804">
        <w:rPr>
          <w:rFonts w:ascii="DM Sans" w:eastAsia="MS ??" w:hAnsi="DM Sans" w:cs="Arial"/>
          <w:lang w:val="en-US" w:eastAsia="en-US"/>
        </w:rPr>
        <w:t>.</w:t>
      </w:r>
      <w:r w:rsidR="00886113" w:rsidRPr="00C27804">
        <w:rPr>
          <w:rFonts w:ascii="DM Sans" w:eastAsia="MS ??" w:hAnsi="DM Sans" w:cs="Arial"/>
          <w:lang w:val="en-US" w:eastAsia="en-US"/>
        </w:rPr>
        <w:t xml:space="preserve"> </w:t>
      </w:r>
      <w:r w:rsidR="000163B4">
        <w:rPr>
          <w:rFonts w:ascii="DM Sans" w:eastAsia="MS ??" w:hAnsi="DM Sans" w:cs="Arial"/>
          <w:lang w:val="en-US" w:eastAsia="en-US"/>
        </w:rPr>
        <w:t xml:space="preserve"> </w:t>
      </w:r>
      <w:r w:rsidR="00886113" w:rsidRPr="00C27804">
        <w:rPr>
          <w:rFonts w:ascii="DM Sans" w:eastAsia="MS ??" w:hAnsi="DM Sans" w:cs="Arial"/>
          <w:lang w:val="en-US" w:eastAsia="en-US"/>
        </w:rPr>
        <w:t>2)</w:t>
      </w:r>
      <w:r w:rsidR="000163B4">
        <w:rPr>
          <w:rFonts w:ascii="DM Sans" w:eastAsia="MS ??" w:hAnsi="DM Sans" w:cs="Arial"/>
          <w:lang w:val="en-US" w:eastAsia="en-US"/>
        </w:rPr>
        <w:t> </w:t>
      </w:r>
      <w:r w:rsidR="00886113" w:rsidRPr="00C27804">
        <w:rPr>
          <w:rFonts w:ascii="DM Sans" w:eastAsia="MS ??" w:hAnsi="DM Sans" w:cs="Arial"/>
          <w:lang w:val="en-US" w:eastAsia="en-US"/>
        </w:rPr>
        <w:t>The revenue gains that would accrue</w:t>
      </w:r>
      <w:r w:rsidR="00ED6D8F" w:rsidRPr="00C27804">
        <w:rPr>
          <w:rFonts w:ascii="DM Sans" w:eastAsia="MS ??" w:hAnsi="DM Sans" w:cs="Arial"/>
          <w:lang w:val="en-US" w:eastAsia="en-US"/>
        </w:rPr>
        <w:t>, as these too could be large</w:t>
      </w:r>
      <w:r w:rsidR="0082004B" w:rsidRPr="00C27804">
        <w:rPr>
          <w:rFonts w:ascii="DM Sans" w:eastAsia="MS ??" w:hAnsi="DM Sans" w:cs="Arial"/>
          <w:lang w:val="en-US" w:eastAsia="en-US"/>
        </w:rPr>
        <w:t xml:space="preserve"> (see below)</w:t>
      </w:r>
      <w:r w:rsidR="00886113" w:rsidRPr="00C27804">
        <w:rPr>
          <w:rFonts w:ascii="DM Sans" w:eastAsia="MS ??" w:hAnsi="DM Sans" w:cs="Arial"/>
          <w:lang w:val="en-US" w:eastAsia="en-US"/>
        </w:rPr>
        <w:t>.</w:t>
      </w:r>
      <w:r w:rsidR="007F09E2" w:rsidRPr="00C27804">
        <w:rPr>
          <w:rFonts w:ascii="DM Sans" w:eastAsia="MS ??" w:hAnsi="DM Sans" w:cs="Arial"/>
          <w:lang w:val="en-US" w:eastAsia="en-US"/>
        </w:rPr>
        <w:t xml:space="preserve">  </w:t>
      </w:r>
      <w:r w:rsidR="00F76FCE">
        <w:rPr>
          <w:rFonts w:ascii="DM Sans" w:eastAsia="MS ??" w:hAnsi="DM Sans" w:cs="Arial"/>
          <w:lang w:val="en-US" w:eastAsia="en-US"/>
        </w:rPr>
        <w:t xml:space="preserve">As super bequests would not attract </w:t>
      </w:r>
      <w:r w:rsidR="002D32B7">
        <w:rPr>
          <w:rFonts w:ascii="DM Sans" w:eastAsia="MS ??" w:hAnsi="DM Sans" w:cs="Arial"/>
          <w:lang w:val="en-US" w:eastAsia="en-US"/>
        </w:rPr>
        <w:t xml:space="preserve">a tax deduction, they’d be a highly efficient form of giving.  </w:t>
      </w:r>
      <w:r w:rsidR="0059620A">
        <w:rPr>
          <w:rFonts w:ascii="DM Sans" w:eastAsia="MS ??" w:hAnsi="DM Sans" w:cs="Arial"/>
          <w:lang w:val="en-US" w:eastAsia="en-US"/>
        </w:rPr>
        <w:t xml:space="preserve">Avoiding revenue losses also </w:t>
      </w:r>
      <w:r w:rsidR="00D30E9E" w:rsidRPr="00C27804">
        <w:rPr>
          <w:rFonts w:ascii="DM Sans" w:eastAsia="MS ??" w:hAnsi="DM Sans" w:cs="Arial"/>
          <w:lang w:val="en-US" w:eastAsia="en-US"/>
        </w:rPr>
        <w:t xml:space="preserve">avoids risks the PC identified if the </w:t>
      </w:r>
      <w:r w:rsidR="000F2C45" w:rsidRPr="00C27804">
        <w:rPr>
          <w:rFonts w:ascii="DM Sans" w:eastAsia="MS ??" w:hAnsi="DM Sans" w:cs="Arial"/>
          <w:lang w:val="en-US" w:eastAsia="en-US"/>
        </w:rPr>
        <w:t>17</w:t>
      </w:r>
      <w:r w:rsidR="00711A5B">
        <w:rPr>
          <w:rFonts w:ascii="DM Sans" w:eastAsia="MS ??" w:hAnsi="DM Sans" w:cs="Arial"/>
          <w:lang w:val="en-US" w:eastAsia="en-US"/>
        </w:rPr>
        <w:t xml:space="preserve"> per </w:t>
      </w:r>
      <w:r w:rsidR="000F2C45" w:rsidRPr="00C27804">
        <w:rPr>
          <w:rFonts w:ascii="DM Sans" w:eastAsia="MS ??" w:hAnsi="DM Sans" w:cs="Arial"/>
          <w:lang w:val="en-US" w:eastAsia="en-US"/>
        </w:rPr>
        <w:t>cent</w:t>
      </w:r>
      <w:r w:rsidR="00D30E9E" w:rsidRPr="00C27804">
        <w:rPr>
          <w:rFonts w:ascii="DM Sans" w:eastAsia="MS ??" w:hAnsi="DM Sans" w:cs="Arial"/>
          <w:lang w:val="en-US" w:eastAsia="en-US"/>
        </w:rPr>
        <w:t xml:space="preserve"> tax were to be removed, such </w:t>
      </w:r>
      <w:r w:rsidR="005E7A17">
        <w:rPr>
          <w:rFonts w:ascii="DM Sans" w:eastAsia="MS ??" w:hAnsi="DM Sans" w:cs="Arial"/>
          <w:lang w:val="en-US" w:eastAsia="en-US"/>
        </w:rPr>
        <w:t>as</w:t>
      </w:r>
      <w:r w:rsidR="00D30E9E" w:rsidRPr="00C27804">
        <w:rPr>
          <w:rFonts w:ascii="DM Sans" w:eastAsia="MS ??" w:hAnsi="DM Sans" w:cs="Arial"/>
          <w:lang w:val="en-US" w:eastAsia="en-US"/>
        </w:rPr>
        <w:t xml:space="preserve"> reduced revenue </w:t>
      </w:r>
      <w:r w:rsidR="00382F8B">
        <w:rPr>
          <w:rFonts w:ascii="DM Sans" w:eastAsia="MS ??" w:hAnsi="DM Sans" w:cs="Arial"/>
          <w:lang w:val="en-US" w:eastAsia="en-US"/>
        </w:rPr>
        <w:t xml:space="preserve">that </w:t>
      </w:r>
      <w:r w:rsidR="00D30E9E" w:rsidRPr="00C27804">
        <w:rPr>
          <w:rFonts w:ascii="DM Sans" w:eastAsia="MS ??" w:hAnsi="DM Sans" w:cs="Arial"/>
          <w:lang w:val="en-US" w:eastAsia="en-US"/>
        </w:rPr>
        <w:t xml:space="preserve">could mean </w:t>
      </w:r>
      <w:r w:rsidR="00EF49D2" w:rsidRPr="00C27804">
        <w:rPr>
          <w:rFonts w:ascii="DM Sans" w:eastAsia="MS ??" w:hAnsi="DM Sans" w:cs="Arial"/>
          <w:lang w:val="en-US" w:eastAsia="en-US"/>
        </w:rPr>
        <w:t>less government funding for charities.</w:t>
      </w:r>
    </w:p>
    <w:p w14:paraId="5A07B3AE" w14:textId="55AEA6C0" w:rsidR="00017A86" w:rsidRPr="00C27804" w:rsidRDefault="008C442F" w:rsidP="00B255C9">
      <w:pPr>
        <w:widowControl w:val="0"/>
        <w:numPr>
          <w:ilvl w:val="0"/>
          <w:numId w:val="59"/>
        </w:numPr>
        <w:shd w:val="clear" w:color="auto" w:fill="D8E5F7" w:themeFill="accent1" w:themeFillTint="33"/>
        <w:autoSpaceDE w:val="0"/>
        <w:autoSpaceDN w:val="0"/>
        <w:adjustRightInd w:val="0"/>
        <w:spacing w:after="40"/>
        <w:rPr>
          <w:rFonts w:ascii="DM Sans" w:eastAsia="MS ??" w:hAnsi="DM Sans" w:cs="Arial"/>
          <w:lang w:val="en-US" w:eastAsia="en-US"/>
        </w:rPr>
      </w:pPr>
      <w:r w:rsidRPr="00C27804">
        <w:rPr>
          <w:rFonts w:ascii="DM Sans" w:eastAsia="MS ??" w:hAnsi="DM Sans" w:cs="Arial"/>
          <w:b/>
          <w:bCs/>
          <w:lang w:val="en-US" w:eastAsia="en-US"/>
        </w:rPr>
        <w:t xml:space="preserve">Proactively consider and detail how </w:t>
      </w:r>
      <w:r w:rsidR="00D14E65" w:rsidRPr="00C27804">
        <w:rPr>
          <w:rFonts w:ascii="DM Sans" w:eastAsia="MS ??" w:hAnsi="DM Sans" w:cs="Arial"/>
          <w:b/>
          <w:bCs/>
          <w:lang w:val="en-US" w:eastAsia="en-US"/>
        </w:rPr>
        <w:t>challenges/</w:t>
      </w:r>
      <w:r w:rsidRPr="00C27804">
        <w:rPr>
          <w:rFonts w:ascii="DM Sans" w:eastAsia="MS ??" w:hAnsi="DM Sans" w:cs="Arial"/>
          <w:b/>
          <w:bCs/>
          <w:lang w:val="en-US" w:eastAsia="en-US"/>
        </w:rPr>
        <w:t>risks can be mitigated</w:t>
      </w:r>
      <w:r w:rsidR="00BC4CEB" w:rsidRPr="00C27804">
        <w:rPr>
          <w:rFonts w:ascii="DM Sans" w:eastAsia="MS ??" w:hAnsi="DM Sans" w:cs="Arial"/>
          <w:b/>
          <w:bCs/>
          <w:lang w:val="en-US" w:eastAsia="en-US"/>
        </w:rPr>
        <w:t>:</w:t>
      </w:r>
      <w:r w:rsidR="00BC4CEB" w:rsidRPr="00C27804">
        <w:rPr>
          <w:rFonts w:ascii="DM Sans" w:eastAsia="MS ??" w:hAnsi="DM Sans" w:cs="Arial"/>
          <w:lang w:val="en-US" w:eastAsia="en-US"/>
        </w:rPr>
        <w:t xml:space="preserve">  </w:t>
      </w:r>
      <w:r w:rsidR="00266049">
        <w:rPr>
          <w:rFonts w:ascii="DM Sans" w:eastAsia="MS ??" w:hAnsi="DM Sans" w:cs="Arial"/>
          <w:lang w:val="en-US" w:eastAsia="en-US"/>
        </w:rPr>
        <w:t xml:space="preserve">Building on our May Submission and the Impact Economics report, we offer further advice on </w:t>
      </w:r>
      <w:r w:rsidR="00DC580D">
        <w:rPr>
          <w:rFonts w:ascii="DM Sans" w:eastAsia="MS ??" w:hAnsi="DM Sans" w:cs="Arial"/>
          <w:lang w:val="en-US" w:eastAsia="en-US"/>
        </w:rPr>
        <w:t xml:space="preserve">mitigating risks below in </w:t>
      </w:r>
      <w:r w:rsidR="006A03AC" w:rsidRPr="00C27804">
        <w:rPr>
          <w:rFonts w:ascii="DM Sans" w:eastAsia="MS ??" w:hAnsi="DM Sans" w:cs="Arial"/>
          <w:lang w:val="en-US" w:eastAsia="en-US"/>
        </w:rPr>
        <w:t xml:space="preserve">Box </w:t>
      </w:r>
      <w:r w:rsidR="00DC580D">
        <w:rPr>
          <w:rFonts w:ascii="DM Sans" w:eastAsia="MS ??" w:hAnsi="DM Sans" w:cs="Arial"/>
          <w:lang w:val="en-US" w:eastAsia="en-US"/>
        </w:rPr>
        <w:t>1.1</w:t>
      </w:r>
      <w:r w:rsidR="006A03AC" w:rsidRPr="00C27804">
        <w:rPr>
          <w:rFonts w:ascii="DM Sans" w:eastAsia="MS ??" w:hAnsi="DM Sans" w:cs="Arial"/>
          <w:lang w:val="en-US" w:eastAsia="en-US"/>
        </w:rPr>
        <w:t>: Addressing Implementation Challenges.</w:t>
      </w:r>
    </w:p>
    <w:p w14:paraId="69EA142B" w14:textId="1596FABB" w:rsidR="004C515E" w:rsidRPr="00C27804" w:rsidRDefault="00E56BDB" w:rsidP="00B255C9">
      <w:pPr>
        <w:widowControl w:val="0"/>
        <w:numPr>
          <w:ilvl w:val="0"/>
          <w:numId w:val="59"/>
        </w:numPr>
        <w:shd w:val="clear" w:color="auto" w:fill="D8E5F7" w:themeFill="accent1" w:themeFillTint="33"/>
        <w:autoSpaceDE w:val="0"/>
        <w:autoSpaceDN w:val="0"/>
        <w:adjustRightInd w:val="0"/>
        <w:spacing w:after="40"/>
        <w:rPr>
          <w:rFonts w:ascii="DM Sans" w:eastAsia="MS ??" w:hAnsi="DM Sans" w:cs="Arial"/>
          <w:lang w:val="en-US" w:eastAsia="en-US"/>
        </w:rPr>
      </w:pPr>
      <w:r w:rsidRPr="00C27804">
        <w:rPr>
          <w:rFonts w:ascii="DM Sans" w:eastAsia="MS ??" w:hAnsi="DM Sans" w:cs="Arial"/>
          <w:b/>
          <w:bCs/>
          <w:lang w:val="en-US" w:eastAsia="en-US"/>
        </w:rPr>
        <w:t>Assess the benefits against the costs and risks:</w:t>
      </w:r>
      <w:r w:rsidRPr="00C27804">
        <w:rPr>
          <w:rFonts w:ascii="DM Sans" w:eastAsia="MS ??" w:hAnsi="DM Sans" w:cs="Arial"/>
          <w:lang w:val="en-US" w:eastAsia="en-US"/>
        </w:rPr>
        <w:t xml:space="preserve">  </w:t>
      </w:r>
      <w:r w:rsidR="00FF4C74" w:rsidRPr="00C27804">
        <w:rPr>
          <w:rFonts w:ascii="DM Sans" w:eastAsia="MS ??" w:hAnsi="DM Sans" w:cs="Arial"/>
          <w:lang w:val="en-US" w:eastAsia="en-US"/>
        </w:rPr>
        <w:t>PA believes the benefits are very substantial and the costs and risks – even taken as a whole – are limited, making the case to recommend super bequest</w:t>
      </w:r>
      <w:r w:rsidR="00F220D5">
        <w:rPr>
          <w:rFonts w:ascii="DM Sans" w:eastAsia="MS ??" w:hAnsi="DM Sans" w:cs="Arial"/>
          <w:lang w:val="en-US" w:eastAsia="en-US"/>
        </w:rPr>
        <w:t xml:space="preserve">s </w:t>
      </w:r>
      <w:r w:rsidR="00FF4C74" w:rsidRPr="00C27804">
        <w:rPr>
          <w:rFonts w:ascii="DM Sans" w:eastAsia="MS ??" w:hAnsi="DM Sans" w:cs="Arial"/>
          <w:lang w:val="en-US" w:eastAsia="en-US"/>
        </w:rPr>
        <w:t>very strong.  As an additional safeguard, we recommend further engagement with the</w:t>
      </w:r>
      <w:r w:rsidR="00832567">
        <w:rPr>
          <w:rFonts w:ascii="DM Sans" w:eastAsia="MS ??" w:hAnsi="DM Sans" w:cs="Arial"/>
          <w:lang w:val="en-US" w:eastAsia="en-US"/>
        </w:rPr>
        <w:t xml:space="preserve"> super</w:t>
      </w:r>
      <w:r w:rsidR="00FF4C74" w:rsidRPr="00C27804">
        <w:rPr>
          <w:rFonts w:ascii="DM Sans" w:eastAsia="MS ??" w:hAnsi="DM Sans" w:cs="Arial"/>
          <w:lang w:val="en-US" w:eastAsia="en-US"/>
        </w:rPr>
        <w:t xml:space="preserve"> industry </w:t>
      </w:r>
      <w:r w:rsidR="003557A7" w:rsidRPr="00C27804">
        <w:rPr>
          <w:rFonts w:ascii="DM Sans" w:eastAsia="MS ??" w:hAnsi="DM Sans" w:cs="Arial"/>
          <w:lang w:val="en-US" w:eastAsia="en-US"/>
        </w:rPr>
        <w:t>on how best to implement the reform, prior to implementation.</w:t>
      </w:r>
      <w:r w:rsidR="00356F35" w:rsidRPr="00C27804">
        <w:rPr>
          <w:rFonts w:ascii="DM Sans" w:eastAsia="MS ??" w:hAnsi="DM Sans" w:cs="Arial"/>
          <w:lang w:val="en-US" w:eastAsia="en-US"/>
        </w:rPr>
        <w:t xml:space="preserve">  </w:t>
      </w:r>
    </w:p>
    <w:p w14:paraId="6B14F6F6" w14:textId="77777777" w:rsidR="008C0125" w:rsidRPr="00C27804" w:rsidRDefault="008C0125" w:rsidP="008C0125">
      <w:pPr>
        <w:keepNext/>
        <w:keepLines/>
        <w:spacing w:before="120"/>
        <w:outlineLvl w:val="3"/>
        <w:rPr>
          <w:rFonts w:ascii="DM Sans" w:eastAsiaTheme="majorEastAsia" w:hAnsi="DM Sans" w:cstheme="majorBidi"/>
          <w:b/>
          <w:bCs/>
          <w:iCs/>
          <w:color w:val="3D7EDB" w:themeColor="accent1"/>
          <w:sz w:val="21"/>
        </w:rPr>
      </w:pPr>
      <w:r w:rsidRPr="00C27804">
        <w:rPr>
          <w:rFonts w:ascii="DM Sans" w:eastAsiaTheme="majorEastAsia" w:hAnsi="DM Sans" w:cstheme="majorBidi"/>
          <w:b/>
          <w:bCs/>
          <w:iCs/>
          <w:color w:val="3D7EDB" w:themeColor="accent1"/>
          <w:sz w:val="21"/>
        </w:rPr>
        <w:t>The Case for Reform</w:t>
      </w:r>
    </w:p>
    <w:p w14:paraId="1A4DFD9A" w14:textId="6DF061A9" w:rsidR="00A073EE" w:rsidRPr="00C27804" w:rsidRDefault="00977BDA" w:rsidP="00B255C9">
      <w:pPr>
        <w:numPr>
          <w:ilvl w:val="0"/>
          <w:numId w:val="52"/>
        </w:numPr>
        <w:spacing w:before="120" w:after="60"/>
        <w:rPr>
          <w:rFonts w:ascii="DM Sans" w:eastAsia="MS ??" w:hAnsi="DM Sans"/>
          <w:b/>
        </w:rPr>
      </w:pPr>
      <w:r w:rsidRPr="00C27804">
        <w:rPr>
          <w:rFonts w:ascii="DM Sans" w:eastAsia="MS ??" w:hAnsi="DM Sans"/>
          <w:b/>
        </w:rPr>
        <w:t xml:space="preserve">Removing </w:t>
      </w:r>
      <w:r w:rsidR="00210363" w:rsidRPr="00C27804">
        <w:rPr>
          <w:rFonts w:ascii="DM Sans" w:eastAsia="MS ??" w:hAnsi="DM Sans"/>
          <w:b/>
        </w:rPr>
        <w:t>unnecessary regulatory barriers</w:t>
      </w:r>
      <w:r w:rsidR="00005BE2" w:rsidRPr="00C27804">
        <w:rPr>
          <w:rFonts w:ascii="DM Sans" w:eastAsia="MS ??" w:hAnsi="DM Sans"/>
          <w:b/>
        </w:rPr>
        <w:t>.</w:t>
      </w:r>
    </w:p>
    <w:p w14:paraId="2EB829BA" w14:textId="4E1EB191" w:rsidR="004E5050" w:rsidRPr="00CA23CB" w:rsidRDefault="001A4C5C" w:rsidP="00B255C9">
      <w:pPr>
        <w:pStyle w:val="ListParagraph"/>
        <w:numPr>
          <w:ilvl w:val="0"/>
          <w:numId w:val="73"/>
        </w:numPr>
        <w:spacing w:before="120" w:after="60"/>
        <w:rPr>
          <w:rFonts w:ascii="DM Sans" w:hAnsi="DM Sans"/>
          <w:bCs/>
          <w:sz w:val="20"/>
        </w:rPr>
      </w:pPr>
      <w:r w:rsidRPr="00CA23CB">
        <w:rPr>
          <w:rFonts w:ascii="DM Sans" w:hAnsi="DM Sans"/>
          <w:bCs/>
          <w:sz w:val="20"/>
        </w:rPr>
        <w:t>As the PC describe</w:t>
      </w:r>
      <w:r w:rsidR="001520BD">
        <w:rPr>
          <w:rFonts w:ascii="DM Sans" w:hAnsi="DM Sans"/>
          <w:bCs/>
          <w:sz w:val="20"/>
        </w:rPr>
        <w:t>s</w:t>
      </w:r>
      <w:r w:rsidRPr="00CA23CB">
        <w:rPr>
          <w:rFonts w:ascii="DM Sans" w:hAnsi="DM Sans"/>
          <w:bCs/>
          <w:sz w:val="20"/>
        </w:rPr>
        <w:t xml:space="preserve"> in </w:t>
      </w:r>
      <w:r w:rsidR="001520BD">
        <w:rPr>
          <w:rFonts w:ascii="DM Sans" w:hAnsi="DM Sans"/>
          <w:bCs/>
          <w:sz w:val="20"/>
        </w:rPr>
        <w:t>its</w:t>
      </w:r>
      <w:r w:rsidRPr="00CA23CB">
        <w:rPr>
          <w:rFonts w:ascii="DM Sans" w:hAnsi="DM Sans"/>
          <w:bCs/>
          <w:sz w:val="20"/>
        </w:rPr>
        <w:t xml:space="preserve"> draft report, </w:t>
      </w:r>
      <w:r w:rsidR="00000BE8" w:rsidRPr="00CA23CB">
        <w:rPr>
          <w:rFonts w:ascii="DM Sans" w:hAnsi="DM Sans"/>
          <w:bCs/>
          <w:sz w:val="20"/>
        </w:rPr>
        <w:t xml:space="preserve">the process for bequesting through super is complicated and uncertain – </w:t>
      </w:r>
      <w:r w:rsidR="0022738F">
        <w:rPr>
          <w:rFonts w:ascii="DM Sans" w:hAnsi="DM Sans"/>
          <w:bCs/>
          <w:sz w:val="20"/>
        </w:rPr>
        <w:t xml:space="preserve">people </w:t>
      </w:r>
      <w:r w:rsidR="00000BE8" w:rsidRPr="00CA23CB">
        <w:rPr>
          <w:rFonts w:ascii="DM Sans" w:hAnsi="DM Sans"/>
          <w:bCs/>
          <w:sz w:val="20"/>
        </w:rPr>
        <w:t>requir</w:t>
      </w:r>
      <w:r w:rsidR="0022738F">
        <w:rPr>
          <w:rFonts w:ascii="DM Sans" w:hAnsi="DM Sans"/>
          <w:bCs/>
          <w:sz w:val="20"/>
        </w:rPr>
        <w:t>e</w:t>
      </w:r>
      <w:r w:rsidR="00000BE8" w:rsidRPr="00CA23CB">
        <w:rPr>
          <w:rFonts w:ascii="DM Sans" w:hAnsi="DM Sans"/>
          <w:bCs/>
          <w:sz w:val="20"/>
        </w:rPr>
        <w:t xml:space="preserve"> a legal will</w:t>
      </w:r>
      <w:r w:rsidR="002E1B9B">
        <w:rPr>
          <w:rFonts w:ascii="DM Sans" w:hAnsi="DM Sans"/>
          <w:bCs/>
          <w:sz w:val="20"/>
        </w:rPr>
        <w:t xml:space="preserve"> and an administration process </w:t>
      </w:r>
      <w:r w:rsidR="00664ECC">
        <w:rPr>
          <w:rFonts w:ascii="DM Sans" w:hAnsi="DM Sans"/>
          <w:bCs/>
          <w:sz w:val="20"/>
        </w:rPr>
        <w:t xml:space="preserve">and </w:t>
      </w:r>
      <w:r w:rsidR="0022738F">
        <w:rPr>
          <w:rFonts w:ascii="DM Sans" w:hAnsi="DM Sans"/>
          <w:bCs/>
          <w:sz w:val="20"/>
        </w:rPr>
        <w:t>then need to hope their wishes will be respected.</w:t>
      </w:r>
    </w:p>
    <w:p w14:paraId="7E3BE4C0" w14:textId="50E62350" w:rsidR="002F7016" w:rsidRPr="00CA23CB" w:rsidRDefault="002F7016" w:rsidP="00B255C9">
      <w:pPr>
        <w:pStyle w:val="ListParagraph"/>
        <w:numPr>
          <w:ilvl w:val="0"/>
          <w:numId w:val="73"/>
        </w:numPr>
        <w:spacing w:before="120" w:after="60"/>
        <w:rPr>
          <w:rFonts w:ascii="DM Sans" w:hAnsi="DM Sans"/>
          <w:bCs/>
          <w:sz w:val="20"/>
        </w:rPr>
      </w:pPr>
      <w:r w:rsidRPr="00CA23CB">
        <w:rPr>
          <w:rFonts w:ascii="DM Sans" w:hAnsi="DM Sans"/>
          <w:bCs/>
          <w:sz w:val="20"/>
        </w:rPr>
        <w:t xml:space="preserve">The process can be made simpler – directing </w:t>
      </w:r>
      <w:r w:rsidR="0063568C">
        <w:rPr>
          <w:rFonts w:ascii="DM Sans" w:hAnsi="DM Sans"/>
          <w:bCs/>
          <w:sz w:val="20"/>
        </w:rPr>
        <w:t>that</w:t>
      </w:r>
      <w:r w:rsidR="00036289">
        <w:rPr>
          <w:rFonts w:ascii="DM Sans" w:hAnsi="DM Sans"/>
          <w:bCs/>
          <w:sz w:val="20"/>
        </w:rPr>
        <w:t>,</w:t>
      </w:r>
      <w:r w:rsidR="0063568C">
        <w:rPr>
          <w:rFonts w:ascii="DM Sans" w:hAnsi="DM Sans"/>
          <w:bCs/>
          <w:sz w:val="20"/>
        </w:rPr>
        <w:t xml:space="preserve"> on your death</w:t>
      </w:r>
      <w:r w:rsidR="00036289">
        <w:rPr>
          <w:rFonts w:ascii="DM Sans" w:hAnsi="DM Sans"/>
          <w:bCs/>
          <w:sz w:val="20"/>
        </w:rPr>
        <w:t>,</w:t>
      </w:r>
      <w:r w:rsidR="0063568C">
        <w:rPr>
          <w:rFonts w:ascii="DM Sans" w:hAnsi="DM Sans"/>
          <w:bCs/>
          <w:sz w:val="20"/>
        </w:rPr>
        <w:t xml:space="preserve"> </w:t>
      </w:r>
      <w:r w:rsidRPr="00CA23CB">
        <w:rPr>
          <w:rFonts w:ascii="DM Sans" w:hAnsi="DM Sans"/>
          <w:bCs/>
          <w:sz w:val="20"/>
        </w:rPr>
        <w:t>your super fund</w:t>
      </w:r>
      <w:r w:rsidR="00817379" w:rsidRPr="00CA23CB">
        <w:rPr>
          <w:rFonts w:ascii="DM Sans" w:hAnsi="DM Sans"/>
          <w:bCs/>
          <w:sz w:val="20"/>
        </w:rPr>
        <w:t xml:space="preserve"> </w:t>
      </w:r>
      <w:proofErr w:type="gramStart"/>
      <w:r w:rsidR="00817379" w:rsidRPr="00CA23CB">
        <w:rPr>
          <w:rFonts w:ascii="DM Sans" w:hAnsi="DM Sans"/>
          <w:bCs/>
          <w:sz w:val="20"/>
        </w:rPr>
        <w:t>allocate</w:t>
      </w:r>
      <w:proofErr w:type="gramEnd"/>
      <w:r w:rsidR="00817379" w:rsidRPr="00CA23CB">
        <w:rPr>
          <w:rFonts w:ascii="DM Sans" w:hAnsi="DM Sans"/>
          <w:bCs/>
          <w:sz w:val="20"/>
        </w:rPr>
        <w:t xml:space="preserve"> an amount or proportion of your remaining funds to a nominated charity</w:t>
      </w:r>
      <w:r w:rsidR="00EB507B" w:rsidRPr="00CA23CB">
        <w:rPr>
          <w:rFonts w:ascii="DM Sans" w:hAnsi="DM Sans"/>
          <w:bCs/>
          <w:sz w:val="20"/>
        </w:rPr>
        <w:t>.</w:t>
      </w:r>
      <w:r w:rsidR="00817379" w:rsidRPr="00CA23CB">
        <w:rPr>
          <w:rFonts w:ascii="DM Sans" w:hAnsi="DM Sans"/>
          <w:bCs/>
          <w:sz w:val="20"/>
        </w:rPr>
        <w:t xml:space="preserve"> </w:t>
      </w:r>
    </w:p>
    <w:p w14:paraId="2B84C0C9" w14:textId="6D2BD5A1" w:rsidR="00977BDA" w:rsidRPr="00CA23CB" w:rsidRDefault="00977BDA" w:rsidP="00B255C9">
      <w:pPr>
        <w:numPr>
          <w:ilvl w:val="0"/>
          <w:numId w:val="52"/>
        </w:numPr>
        <w:spacing w:before="120" w:after="60"/>
        <w:rPr>
          <w:rFonts w:ascii="DM Sans" w:eastAsia="MS ??" w:hAnsi="DM Sans"/>
          <w:b/>
        </w:rPr>
      </w:pPr>
      <w:r w:rsidRPr="00CA23CB">
        <w:rPr>
          <w:rFonts w:ascii="DM Sans" w:eastAsia="MS ??" w:hAnsi="DM Sans"/>
          <w:b/>
        </w:rPr>
        <w:t xml:space="preserve">It’s the people’s money.  They should have the choice </w:t>
      </w:r>
      <w:r w:rsidR="0063568C">
        <w:rPr>
          <w:rFonts w:ascii="DM Sans" w:eastAsia="MS ??" w:hAnsi="DM Sans"/>
          <w:b/>
        </w:rPr>
        <w:t>to give remaining funds to charity</w:t>
      </w:r>
      <w:r w:rsidRPr="00CA23CB">
        <w:rPr>
          <w:rFonts w:ascii="DM Sans" w:eastAsia="MS ??" w:hAnsi="DM Sans"/>
          <w:b/>
        </w:rPr>
        <w:t xml:space="preserve">, and that choice should be made as easy as possible.  </w:t>
      </w:r>
    </w:p>
    <w:p w14:paraId="67E0DEDA" w14:textId="5EE14D62" w:rsidR="002834F2" w:rsidRPr="00EE19C8" w:rsidRDefault="0084370C" w:rsidP="00EE19C8">
      <w:pPr>
        <w:numPr>
          <w:ilvl w:val="0"/>
          <w:numId w:val="53"/>
        </w:numPr>
        <w:spacing w:before="60" w:after="60"/>
        <w:rPr>
          <w:rFonts w:ascii="DM Sans" w:eastAsia="MS ??" w:hAnsi="DM Sans"/>
        </w:rPr>
      </w:pPr>
      <w:r>
        <w:rPr>
          <w:rFonts w:ascii="DM Sans" w:eastAsia="MS ??" w:hAnsi="DM Sans"/>
        </w:rPr>
        <w:t>Government legislation making it challenging for people to give their money to charity through super bequests is</w:t>
      </w:r>
      <w:r w:rsidR="00800203">
        <w:rPr>
          <w:rFonts w:ascii="DM Sans" w:eastAsia="MS ??" w:hAnsi="DM Sans"/>
        </w:rPr>
        <w:t xml:space="preserve"> an excessive restriction on the ability of people to use their money </w:t>
      </w:r>
      <w:r w:rsidR="008B0729">
        <w:rPr>
          <w:rFonts w:ascii="DM Sans" w:eastAsia="MS ??" w:hAnsi="DM Sans"/>
        </w:rPr>
        <w:t xml:space="preserve">as they choose.  </w:t>
      </w:r>
      <w:proofErr w:type="gramStart"/>
      <w:r w:rsidR="002834F2" w:rsidRPr="002834F2">
        <w:rPr>
          <w:rFonts w:ascii="DM Sans" w:eastAsia="MS ??" w:hAnsi="DM Sans"/>
        </w:rPr>
        <w:t>In order to</w:t>
      </w:r>
      <w:proofErr w:type="gramEnd"/>
      <w:r w:rsidR="002834F2" w:rsidRPr="002834F2">
        <w:rPr>
          <w:rFonts w:ascii="DM Sans" w:eastAsia="MS ??" w:hAnsi="DM Sans"/>
        </w:rPr>
        <w:t xml:space="preserve"> maximise choice and take up, this choice should be made as simple as possible, available through each person’s super fund.</w:t>
      </w:r>
    </w:p>
    <w:p w14:paraId="3A90CFCC" w14:textId="77777777" w:rsidR="00FC1B96" w:rsidRPr="00C27804" w:rsidRDefault="00FC1B96">
      <w:pPr>
        <w:spacing w:before="200" w:after="200" w:line="260" w:lineRule="atLeast"/>
        <w:rPr>
          <w:rFonts w:ascii="DM Sans" w:eastAsia="MS ??" w:hAnsi="DM Sans"/>
          <w:b/>
        </w:rPr>
      </w:pPr>
      <w:r w:rsidRPr="00C27804">
        <w:rPr>
          <w:rFonts w:ascii="DM Sans" w:eastAsia="MS ??" w:hAnsi="DM Sans"/>
          <w:b/>
        </w:rPr>
        <w:br w:type="page"/>
      </w:r>
    </w:p>
    <w:p w14:paraId="1E5332E1" w14:textId="072F3F01" w:rsidR="008C0125" w:rsidRPr="00C27804" w:rsidRDefault="008C0125" w:rsidP="00B255C9">
      <w:pPr>
        <w:numPr>
          <w:ilvl w:val="0"/>
          <w:numId w:val="52"/>
        </w:numPr>
        <w:spacing w:before="120" w:after="60"/>
        <w:rPr>
          <w:rFonts w:ascii="DM Sans" w:eastAsia="MS ??" w:hAnsi="DM Sans"/>
          <w:b/>
        </w:rPr>
      </w:pPr>
      <w:r w:rsidRPr="00C27804">
        <w:rPr>
          <w:rFonts w:ascii="DM Sans" w:eastAsia="MS ??" w:hAnsi="DM Sans"/>
          <w:b/>
        </w:rPr>
        <w:lastRenderedPageBreak/>
        <w:t>Hundreds of billions for charity to support Australians in greatest need.</w:t>
      </w:r>
    </w:p>
    <w:p w14:paraId="69D2B586" w14:textId="01AB0F58" w:rsidR="00E72A2E" w:rsidRPr="00C27804" w:rsidRDefault="003107DA" w:rsidP="003107DA">
      <w:pPr>
        <w:spacing w:before="120" w:after="60"/>
        <w:rPr>
          <w:rFonts w:ascii="DM Sans" w:eastAsia="MS ??" w:hAnsi="DM Sans"/>
          <w:bCs/>
        </w:rPr>
      </w:pPr>
      <w:r w:rsidRPr="00C27804">
        <w:rPr>
          <w:rFonts w:ascii="DM Sans" w:eastAsia="MS ??" w:hAnsi="DM Sans"/>
          <w:bCs/>
        </w:rPr>
        <w:t>The logic behind PA’s position that the increase in bequests is likely to be very large</w:t>
      </w:r>
      <w:r w:rsidR="000C4CA9" w:rsidRPr="00C27804">
        <w:rPr>
          <w:rFonts w:ascii="DM Sans" w:eastAsia="MS ??" w:hAnsi="DM Sans"/>
          <w:bCs/>
        </w:rPr>
        <w:t xml:space="preserve"> is as follows:</w:t>
      </w:r>
    </w:p>
    <w:p w14:paraId="0792F808" w14:textId="6BEC3435" w:rsidR="000C4CA9" w:rsidRPr="00C27804" w:rsidRDefault="000C4CA9" w:rsidP="00A547B7">
      <w:pPr>
        <w:numPr>
          <w:ilvl w:val="0"/>
          <w:numId w:val="102"/>
        </w:numPr>
        <w:spacing w:before="60" w:after="60"/>
        <w:ind w:left="357" w:hanging="357"/>
        <w:rPr>
          <w:rFonts w:ascii="DM Sans" w:eastAsia="MS ??" w:hAnsi="DM Sans"/>
        </w:rPr>
      </w:pPr>
      <w:r w:rsidRPr="00C27804">
        <w:rPr>
          <w:rFonts w:ascii="DM Sans" w:eastAsia="MS ??" w:hAnsi="DM Sans"/>
        </w:rPr>
        <w:t xml:space="preserve">Treasury in its </w:t>
      </w:r>
      <w:r w:rsidRPr="00C27804">
        <w:rPr>
          <w:rFonts w:ascii="DM Sans" w:eastAsia="MS ??" w:hAnsi="DM Sans"/>
          <w:i/>
        </w:rPr>
        <w:t>Retirement Income Review</w:t>
      </w:r>
      <w:r w:rsidRPr="00C27804">
        <w:rPr>
          <w:rFonts w:ascii="DM Sans" w:eastAsia="MS ??" w:hAnsi="DM Sans"/>
        </w:rPr>
        <w:t xml:space="preserve"> (July 2020) forecast superannuation balances at death will increase from $17 billion in 2019 to $130 billion by 2059 in 2018-19 dollars.  </w:t>
      </w:r>
      <w:r w:rsidR="004B491C" w:rsidRPr="00C27804">
        <w:rPr>
          <w:rFonts w:ascii="DM Sans" w:eastAsia="MS ??" w:hAnsi="DM Sans"/>
        </w:rPr>
        <w:t>Many trillions of death benefits will pass over the 21</w:t>
      </w:r>
      <w:r w:rsidR="004B491C" w:rsidRPr="00C27804">
        <w:rPr>
          <w:rFonts w:ascii="DM Sans" w:eastAsia="MS ??" w:hAnsi="DM Sans"/>
          <w:vertAlign w:val="superscript"/>
        </w:rPr>
        <w:t>st</w:t>
      </w:r>
      <w:r w:rsidR="004B491C" w:rsidRPr="00C27804">
        <w:rPr>
          <w:rFonts w:ascii="DM Sans" w:eastAsia="MS ??" w:hAnsi="DM Sans"/>
        </w:rPr>
        <w:t xml:space="preserve"> century, so if </w:t>
      </w:r>
      <w:r w:rsidRPr="00C27804">
        <w:rPr>
          <w:rFonts w:ascii="DM Sans" w:eastAsia="MS ??" w:hAnsi="DM Sans"/>
        </w:rPr>
        <w:t>just a modest proportion goes to charity, it will amount to hundreds of billion</w:t>
      </w:r>
      <w:r w:rsidR="004B491C" w:rsidRPr="00C27804">
        <w:rPr>
          <w:rFonts w:ascii="DM Sans" w:eastAsia="MS ??" w:hAnsi="DM Sans"/>
        </w:rPr>
        <w:t>s i</w:t>
      </w:r>
      <w:r w:rsidR="000412EA" w:rsidRPr="00C27804">
        <w:rPr>
          <w:rFonts w:ascii="DM Sans" w:eastAsia="MS ??" w:hAnsi="DM Sans"/>
        </w:rPr>
        <w:t>n increased giving</w:t>
      </w:r>
      <w:r w:rsidRPr="00C27804">
        <w:rPr>
          <w:rFonts w:ascii="DM Sans" w:eastAsia="MS ??" w:hAnsi="DM Sans"/>
        </w:rPr>
        <w:t>.</w:t>
      </w:r>
    </w:p>
    <w:p w14:paraId="11D9B619" w14:textId="77777777" w:rsidR="00043187" w:rsidRPr="00C27804" w:rsidRDefault="004864A1" w:rsidP="00A547B7">
      <w:pPr>
        <w:numPr>
          <w:ilvl w:val="0"/>
          <w:numId w:val="102"/>
        </w:numPr>
        <w:spacing w:before="60" w:after="60"/>
        <w:ind w:left="357" w:hanging="357"/>
        <w:rPr>
          <w:rFonts w:ascii="DM Sans" w:eastAsia="MS ??" w:hAnsi="DM Sans"/>
        </w:rPr>
      </w:pPr>
      <w:r w:rsidRPr="00C27804">
        <w:rPr>
          <w:rFonts w:ascii="DM Sans" w:eastAsia="MS ??" w:hAnsi="DM Sans"/>
        </w:rPr>
        <w:t>Giving would be relatively modest in the early years as the reform needs to be implemented, people need to</w:t>
      </w:r>
      <w:r w:rsidR="008242FE" w:rsidRPr="00C27804">
        <w:rPr>
          <w:rFonts w:ascii="DM Sans" w:eastAsia="MS ??" w:hAnsi="DM Sans"/>
        </w:rPr>
        <w:t xml:space="preserve"> become aware of the option</w:t>
      </w:r>
      <w:r w:rsidR="00043187" w:rsidRPr="00C27804">
        <w:rPr>
          <w:rFonts w:ascii="DM Sans" w:eastAsia="MS ??" w:hAnsi="DM Sans"/>
        </w:rPr>
        <w:t>,</w:t>
      </w:r>
      <w:r w:rsidR="008242FE" w:rsidRPr="00C27804">
        <w:rPr>
          <w:rFonts w:ascii="DM Sans" w:eastAsia="MS ??" w:hAnsi="DM Sans"/>
        </w:rPr>
        <w:t xml:space="preserve"> then nominate a charity</w:t>
      </w:r>
      <w:r w:rsidR="00043187" w:rsidRPr="00C27804">
        <w:rPr>
          <w:rFonts w:ascii="DM Sans" w:eastAsia="MS ??" w:hAnsi="DM Sans"/>
        </w:rPr>
        <w:t>, then die and then the money needs to flow to charity.</w:t>
      </w:r>
    </w:p>
    <w:p w14:paraId="3C703C63" w14:textId="77777777" w:rsidR="003B616E" w:rsidRPr="00C27804" w:rsidRDefault="003B616E" w:rsidP="00A547B7">
      <w:pPr>
        <w:numPr>
          <w:ilvl w:val="0"/>
          <w:numId w:val="102"/>
        </w:numPr>
        <w:spacing w:before="60" w:after="60"/>
        <w:ind w:left="357" w:hanging="357"/>
        <w:rPr>
          <w:rFonts w:ascii="DM Sans" w:eastAsia="MS ??" w:hAnsi="DM Sans"/>
        </w:rPr>
      </w:pPr>
      <w:r w:rsidRPr="00C27804">
        <w:rPr>
          <w:rFonts w:ascii="DM Sans" w:eastAsia="MS ??" w:hAnsi="DM Sans"/>
        </w:rPr>
        <w:t>We would expect giving to grow rapidly across the 21</w:t>
      </w:r>
      <w:r w:rsidRPr="00C27804">
        <w:rPr>
          <w:rFonts w:ascii="DM Sans" w:eastAsia="MS ??" w:hAnsi="DM Sans"/>
          <w:vertAlign w:val="superscript"/>
        </w:rPr>
        <w:t>st</w:t>
      </w:r>
      <w:r w:rsidRPr="00C27804">
        <w:rPr>
          <w:rFonts w:ascii="DM Sans" w:eastAsia="MS ??" w:hAnsi="DM Sans"/>
        </w:rPr>
        <w:t xml:space="preserve"> century as:</w:t>
      </w:r>
    </w:p>
    <w:p w14:paraId="1549C3D3" w14:textId="620CE41E" w:rsidR="004864A1" w:rsidRPr="00C27804" w:rsidRDefault="003B616E" w:rsidP="00B255C9">
      <w:pPr>
        <w:numPr>
          <w:ilvl w:val="1"/>
          <w:numId w:val="58"/>
        </w:numPr>
        <w:spacing w:before="60" w:after="60"/>
        <w:ind w:left="709"/>
        <w:rPr>
          <w:rFonts w:ascii="DM Sans" w:eastAsia="MS ??" w:hAnsi="DM Sans"/>
        </w:rPr>
      </w:pPr>
      <w:r w:rsidRPr="00C27804">
        <w:rPr>
          <w:rFonts w:ascii="DM Sans" w:eastAsia="MS ??" w:hAnsi="DM Sans"/>
        </w:rPr>
        <w:t xml:space="preserve">The process can be </w:t>
      </w:r>
      <w:r w:rsidR="005C78F7" w:rsidRPr="00C27804">
        <w:rPr>
          <w:rFonts w:ascii="DM Sans" w:eastAsia="MS ??" w:hAnsi="DM Sans"/>
        </w:rPr>
        <w:t xml:space="preserve">very simple – </w:t>
      </w:r>
      <w:r w:rsidR="003B6F81">
        <w:rPr>
          <w:rFonts w:ascii="DM Sans" w:eastAsia="MS ??" w:hAnsi="DM Sans"/>
        </w:rPr>
        <w:t xml:space="preserve">people can instruct their super fund by filling in a form.  </w:t>
      </w:r>
      <w:r w:rsidR="000412EA" w:rsidRPr="00CB3A31">
        <w:rPr>
          <w:rFonts w:ascii="DM Sans" w:eastAsia="MS ??" w:hAnsi="DM Sans"/>
        </w:rPr>
        <w:t xml:space="preserve">Behavioural economics </w:t>
      </w:r>
      <w:r w:rsidR="00716BD7" w:rsidRPr="00CB3A31">
        <w:rPr>
          <w:rFonts w:ascii="DM Sans" w:eastAsia="MS ??" w:hAnsi="DM Sans"/>
        </w:rPr>
        <w:t xml:space="preserve">studies </w:t>
      </w:r>
      <w:r w:rsidR="000412EA" w:rsidRPr="00CB3A31">
        <w:rPr>
          <w:rFonts w:ascii="DM Sans" w:eastAsia="MS ??" w:hAnsi="DM Sans"/>
        </w:rPr>
        <w:t>confirm</w:t>
      </w:r>
      <w:r w:rsidR="000412EA" w:rsidRPr="00C27804">
        <w:rPr>
          <w:rFonts w:ascii="DM Sans" w:eastAsia="MS ??" w:hAnsi="DM Sans"/>
        </w:rPr>
        <w:t xml:space="preserve"> giving is spurred significantly where the process is made simple.</w:t>
      </w:r>
      <w:r w:rsidR="00CB3A31" w:rsidRPr="0034378D">
        <w:rPr>
          <w:rStyle w:val="FootnoteReference"/>
          <w:rFonts w:ascii="DM Sans" w:hAnsi="DM Sans" w:cs="ProximaNova-Light"/>
          <w:bCs/>
        </w:rPr>
        <w:footnoteReference w:id="3"/>
      </w:r>
    </w:p>
    <w:p w14:paraId="3A1BCA12" w14:textId="184164DD" w:rsidR="00D1111A" w:rsidRPr="00C27804" w:rsidRDefault="00D1111A" w:rsidP="00B255C9">
      <w:pPr>
        <w:numPr>
          <w:ilvl w:val="1"/>
          <w:numId w:val="58"/>
        </w:numPr>
        <w:spacing w:before="60" w:after="60"/>
        <w:ind w:left="709"/>
        <w:rPr>
          <w:rFonts w:ascii="DM Sans" w:eastAsia="MS ??" w:hAnsi="DM Sans"/>
        </w:rPr>
      </w:pPr>
      <w:r w:rsidRPr="00C27804">
        <w:rPr>
          <w:rFonts w:ascii="DM Sans" w:eastAsia="MS ??" w:hAnsi="DM Sans"/>
        </w:rPr>
        <w:t xml:space="preserve">Giving to great causes </w:t>
      </w:r>
      <w:r w:rsidR="00382AE8">
        <w:rPr>
          <w:rFonts w:ascii="DM Sans" w:eastAsia="MS ??" w:hAnsi="DM Sans"/>
        </w:rPr>
        <w:t xml:space="preserve">through super bequests </w:t>
      </w:r>
      <w:r w:rsidRPr="00C27804">
        <w:rPr>
          <w:rFonts w:ascii="DM Sans" w:eastAsia="MS ??" w:hAnsi="DM Sans"/>
        </w:rPr>
        <w:t>would be marketed by charities and super funds.</w:t>
      </w:r>
    </w:p>
    <w:p w14:paraId="219CFB9C" w14:textId="1DF8AED4" w:rsidR="00AD2BC0" w:rsidRPr="00C27804" w:rsidRDefault="00AD2BC0" w:rsidP="00B255C9">
      <w:pPr>
        <w:numPr>
          <w:ilvl w:val="1"/>
          <w:numId w:val="58"/>
        </w:numPr>
        <w:spacing w:before="60" w:after="60"/>
        <w:ind w:left="709"/>
        <w:rPr>
          <w:rFonts w:ascii="DM Sans" w:eastAsia="MS ??" w:hAnsi="DM Sans"/>
        </w:rPr>
      </w:pPr>
      <w:r w:rsidRPr="00C27804">
        <w:rPr>
          <w:rFonts w:ascii="DM Sans" w:hAnsi="DM Sans"/>
        </w:rPr>
        <w:t>People would be prompted multiple times across their lifespan to consider the reform (including in young, idealistic years</w:t>
      </w:r>
      <w:r w:rsidR="00107550" w:rsidRPr="00C27804">
        <w:rPr>
          <w:rFonts w:ascii="DM Sans" w:hAnsi="DM Sans"/>
        </w:rPr>
        <w:t xml:space="preserve"> when joining super</w:t>
      </w:r>
      <w:r w:rsidRPr="00C27804">
        <w:rPr>
          <w:rFonts w:ascii="DM Sans" w:hAnsi="DM Sans"/>
        </w:rPr>
        <w:t xml:space="preserve">, </w:t>
      </w:r>
      <w:r w:rsidR="00107550" w:rsidRPr="00C27804">
        <w:rPr>
          <w:rFonts w:ascii="DM Sans" w:hAnsi="DM Sans"/>
        </w:rPr>
        <w:t>and</w:t>
      </w:r>
      <w:r w:rsidRPr="00C27804">
        <w:rPr>
          <w:rFonts w:ascii="DM Sans" w:hAnsi="DM Sans"/>
        </w:rPr>
        <w:t xml:space="preserve"> in later years when many people are in a financial position to give</w:t>
      </w:r>
      <w:r w:rsidR="000E5563" w:rsidRPr="00C27804">
        <w:rPr>
          <w:rFonts w:ascii="DM Sans" w:hAnsi="DM Sans"/>
        </w:rPr>
        <w:t xml:space="preserve"> and considering leaving a legacy to society</w:t>
      </w:r>
      <w:r w:rsidRPr="00C27804">
        <w:rPr>
          <w:rFonts w:ascii="DM Sans" w:hAnsi="DM Sans"/>
        </w:rPr>
        <w:t xml:space="preserve">).  </w:t>
      </w:r>
      <w:r w:rsidR="00217BE7">
        <w:rPr>
          <w:rFonts w:ascii="DM Sans" w:hAnsi="DM Sans"/>
        </w:rPr>
        <w:t xml:space="preserve">Studies confirm prompts increase giving </w:t>
      </w:r>
      <w:r w:rsidR="00DA523B">
        <w:rPr>
          <w:rFonts w:ascii="DM Sans" w:hAnsi="DM Sans"/>
        </w:rPr>
        <w:t>– for instance, prompting people developing their wills to consider philanthropy up to triples the percentage giving and up to doubles the average amount donated.</w:t>
      </w:r>
      <w:r w:rsidR="00DA523B" w:rsidRPr="00DA523B">
        <w:rPr>
          <w:rFonts w:ascii="DM Sans" w:hAnsi="DM Sans"/>
          <w:bCs/>
          <w:vertAlign w:val="superscript"/>
        </w:rPr>
        <w:footnoteReference w:id="4"/>
      </w:r>
    </w:p>
    <w:p w14:paraId="6B5C77EA" w14:textId="340EDD99" w:rsidR="00107550" w:rsidRPr="00C27804" w:rsidRDefault="00D00941" w:rsidP="00A547B7">
      <w:pPr>
        <w:numPr>
          <w:ilvl w:val="0"/>
          <w:numId w:val="102"/>
        </w:numPr>
        <w:spacing w:before="60" w:after="60"/>
        <w:ind w:left="357" w:hanging="357"/>
        <w:rPr>
          <w:rFonts w:ascii="DM Sans" w:eastAsia="MS ??" w:hAnsi="DM Sans"/>
        </w:rPr>
      </w:pPr>
      <w:r w:rsidRPr="00EF6BC5">
        <w:rPr>
          <w:rFonts w:ascii="DM Sans" w:eastAsia="MS ??" w:hAnsi="DM Sans"/>
        </w:rPr>
        <w:t xml:space="preserve">In order to seek to ensure </w:t>
      </w:r>
      <w:r w:rsidR="003079F0" w:rsidRPr="00EF6BC5">
        <w:rPr>
          <w:rFonts w:ascii="DM Sans" w:eastAsia="MS ??" w:hAnsi="DM Sans"/>
        </w:rPr>
        <w:t>these potential very large gains in giving were considered by the PC and Government, w</w:t>
      </w:r>
      <w:r w:rsidR="00B83753" w:rsidRPr="00EF6BC5">
        <w:rPr>
          <w:rFonts w:ascii="DM Sans" w:eastAsia="MS ??" w:hAnsi="DM Sans"/>
        </w:rPr>
        <w:t xml:space="preserve">e commissioned </w:t>
      </w:r>
      <w:r w:rsidR="00107550" w:rsidRPr="00EF6BC5">
        <w:rPr>
          <w:rFonts w:ascii="DM Sans" w:eastAsia="MS ??" w:hAnsi="DM Sans"/>
        </w:rPr>
        <w:t xml:space="preserve">Dr Angela Jackson and Dr Emily Millane from Impact Economics and Policy </w:t>
      </w:r>
      <w:r w:rsidR="00B83753" w:rsidRPr="00EF6BC5">
        <w:rPr>
          <w:rFonts w:ascii="DM Sans" w:eastAsia="MS ??" w:hAnsi="DM Sans"/>
        </w:rPr>
        <w:t xml:space="preserve">to make broad estimates of the possible magnitude of </w:t>
      </w:r>
      <w:r w:rsidR="00382986" w:rsidRPr="00EF6BC5">
        <w:rPr>
          <w:rFonts w:ascii="DM Sans" w:eastAsia="MS ??" w:hAnsi="DM Sans"/>
        </w:rPr>
        <w:t xml:space="preserve">future giving, </w:t>
      </w:r>
      <w:r w:rsidR="00BE3BB6" w:rsidRPr="00EF6BC5">
        <w:rPr>
          <w:rFonts w:ascii="DM Sans" w:eastAsia="MS ??" w:hAnsi="DM Sans"/>
        </w:rPr>
        <w:t>with two scenarios, both based on reasonable assumptions</w:t>
      </w:r>
      <w:r w:rsidR="003079F0" w:rsidRPr="00EF6BC5">
        <w:rPr>
          <w:rFonts w:ascii="DM Sans" w:eastAsia="MS ??" w:hAnsi="DM Sans"/>
        </w:rPr>
        <w:t>,</w:t>
      </w:r>
      <w:r w:rsidR="0004063E" w:rsidRPr="00F1545F">
        <w:rPr>
          <w:rFonts w:eastAsia="MS ??"/>
          <w:vertAlign w:val="superscript"/>
        </w:rPr>
        <w:footnoteReference w:id="5"/>
      </w:r>
      <w:r w:rsidR="003079F0" w:rsidRPr="00EF6BC5">
        <w:rPr>
          <w:rFonts w:ascii="DM Sans" w:eastAsia="MS ??" w:hAnsi="DM Sans"/>
        </w:rPr>
        <w:t xml:space="preserve"> including that </w:t>
      </w:r>
      <w:r w:rsidR="008E0F04" w:rsidRPr="00EF6BC5">
        <w:rPr>
          <w:rFonts w:ascii="DM Sans" w:eastAsia="MS ??" w:hAnsi="DM Sans"/>
        </w:rPr>
        <w:t>super bequests, having effectively been locked out by red tape, would grow in line with trends in broader bequesting</w:t>
      </w:r>
      <w:r w:rsidR="001E1043" w:rsidRPr="00EF6BC5">
        <w:rPr>
          <w:rFonts w:ascii="DM Sans" w:eastAsia="MS ??" w:hAnsi="DM Sans"/>
        </w:rPr>
        <w:t xml:space="preserve">.  </w:t>
      </w:r>
      <w:r w:rsidR="00382986" w:rsidRPr="00EF6BC5">
        <w:rPr>
          <w:rFonts w:ascii="DM Sans" w:eastAsia="MS ??" w:hAnsi="DM Sans"/>
        </w:rPr>
        <w:t>They found</w:t>
      </w:r>
      <w:r w:rsidR="00107550" w:rsidRPr="00EF6BC5">
        <w:rPr>
          <w:rFonts w:ascii="DM Sans" w:eastAsia="MS ??" w:hAnsi="DM Sans"/>
        </w:rPr>
        <w:t>:</w:t>
      </w:r>
    </w:p>
    <w:p w14:paraId="55713CC6" w14:textId="1F2D6A17" w:rsidR="00107550" w:rsidRPr="00C27804" w:rsidRDefault="00107550" w:rsidP="00B255C9">
      <w:pPr>
        <w:numPr>
          <w:ilvl w:val="1"/>
          <w:numId w:val="55"/>
        </w:numPr>
        <w:spacing w:before="60" w:after="60"/>
        <w:ind w:left="709"/>
        <w:rPr>
          <w:rFonts w:ascii="DM Sans" w:eastAsia="MS ??" w:hAnsi="DM Sans"/>
        </w:rPr>
      </w:pPr>
      <w:r w:rsidRPr="00C27804">
        <w:rPr>
          <w:rFonts w:ascii="DM Sans" w:eastAsia="MS ??" w:hAnsi="DM Sans"/>
        </w:rPr>
        <w:t xml:space="preserve">Over the period to 2060, the reform could generate between </w:t>
      </w:r>
      <w:r w:rsidRPr="00316C52">
        <w:rPr>
          <w:rFonts w:ascii="DM Sans" w:eastAsia="MS ??" w:hAnsi="DM Sans"/>
        </w:rPr>
        <w:t>$64.6 and $260.3 billion in</w:t>
      </w:r>
      <w:r w:rsidRPr="00C27804">
        <w:rPr>
          <w:rFonts w:ascii="DM Sans" w:eastAsia="MS ??" w:hAnsi="DM Sans"/>
        </w:rPr>
        <w:t xml:space="preserve"> additional income for charities</w:t>
      </w:r>
      <w:r w:rsidR="00316C52">
        <w:rPr>
          <w:rFonts w:ascii="DM Sans" w:eastAsia="MS ??" w:hAnsi="DM Sans"/>
        </w:rPr>
        <w:t xml:space="preserve"> </w:t>
      </w:r>
      <w:r w:rsidR="00316C52" w:rsidRPr="00316C52">
        <w:rPr>
          <w:rFonts w:ascii="DM Sans" w:eastAsia="MS ??" w:hAnsi="DM Sans"/>
          <w:u w:val="single"/>
        </w:rPr>
        <w:t>in current dollars</w:t>
      </w:r>
      <w:r w:rsidRPr="00C27804">
        <w:rPr>
          <w:rFonts w:ascii="DM Sans" w:eastAsia="MS ??" w:hAnsi="DM Sans"/>
        </w:rPr>
        <w:t>.</w:t>
      </w:r>
    </w:p>
    <w:p w14:paraId="74356001" w14:textId="77777777" w:rsidR="00107550" w:rsidRPr="00C27804" w:rsidRDefault="00107550" w:rsidP="00B255C9">
      <w:pPr>
        <w:numPr>
          <w:ilvl w:val="1"/>
          <w:numId w:val="55"/>
        </w:numPr>
        <w:spacing w:before="60" w:after="60"/>
        <w:ind w:left="709"/>
        <w:rPr>
          <w:rFonts w:ascii="DM Sans" w:eastAsia="MS ??" w:hAnsi="DM Sans"/>
        </w:rPr>
      </w:pPr>
      <w:r w:rsidRPr="00C27804">
        <w:rPr>
          <w:rFonts w:ascii="DM Sans" w:eastAsia="MS ??" w:hAnsi="DM Sans"/>
        </w:rPr>
        <w:t>Australians donated $13.4 billion to charity in 2021.  The new modelling indicates that in the year 2060 alone, the</w:t>
      </w:r>
      <w:r w:rsidRPr="00C27804">
        <w:rPr>
          <w:rFonts w:ascii="DM Sans" w:eastAsia="MS ??" w:hAnsi="DM Sans"/>
          <w:bCs/>
        </w:rPr>
        <w:t xml:space="preserve"> reforms would yield between $4.8 and $21.9 billion for charity.  For more detail, see their full report, </w:t>
      </w:r>
      <w:hyperlink r:id="rId26" w:history="1">
        <w:r w:rsidRPr="00C27804">
          <w:rPr>
            <w:rFonts w:ascii="DM Sans" w:eastAsia="MS ??" w:hAnsi="DM Sans"/>
            <w:i/>
            <w:iCs/>
            <w:color w:val="3D7EDB" w:themeColor="hyperlink"/>
            <w:u w:val="single"/>
            <w:lang w:val="en-US"/>
          </w:rPr>
          <w:t>Charitable Superannuation Bequests: Making Giving Easy</w:t>
        </w:r>
      </w:hyperlink>
      <w:r w:rsidRPr="00C27804">
        <w:rPr>
          <w:rFonts w:ascii="DM Sans" w:eastAsia="MS ??" w:hAnsi="DM Sans"/>
          <w:lang w:val="en-US"/>
        </w:rPr>
        <w:t>.</w:t>
      </w:r>
    </w:p>
    <w:p w14:paraId="6C4CEAF9" w14:textId="3448B5DC" w:rsidR="00B004D6" w:rsidRPr="00C27804" w:rsidRDefault="00B004D6" w:rsidP="00B255C9">
      <w:pPr>
        <w:numPr>
          <w:ilvl w:val="0"/>
          <w:numId w:val="55"/>
        </w:numPr>
        <w:spacing w:before="60" w:after="60"/>
        <w:rPr>
          <w:rFonts w:ascii="DM Sans" w:eastAsia="MS ??" w:hAnsi="DM Sans"/>
        </w:rPr>
      </w:pPr>
      <w:r w:rsidRPr="00C27804">
        <w:rPr>
          <w:rFonts w:ascii="DM Sans" w:hAnsi="DM Sans"/>
        </w:rPr>
        <w:t xml:space="preserve">We believe the report by Dr Jackson and Dr Millane is a highly credible </w:t>
      </w:r>
      <w:r w:rsidR="008214AD" w:rsidRPr="00C27804">
        <w:rPr>
          <w:rFonts w:ascii="DM Sans" w:hAnsi="DM Sans"/>
        </w:rPr>
        <w:t xml:space="preserve">and proactive effort to identify the </w:t>
      </w:r>
      <w:r w:rsidR="00D65E37">
        <w:rPr>
          <w:rFonts w:ascii="DM Sans" w:hAnsi="DM Sans"/>
        </w:rPr>
        <w:t>possible</w:t>
      </w:r>
      <w:r w:rsidR="008214AD" w:rsidRPr="00C27804">
        <w:rPr>
          <w:rFonts w:ascii="DM Sans" w:hAnsi="DM Sans"/>
        </w:rPr>
        <w:t xml:space="preserve"> gains from a reform that could offer </w:t>
      </w:r>
      <w:r w:rsidR="00C91CBF" w:rsidRPr="00C27804">
        <w:rPr>
          <w:rFonts w:ascii="DM Sans" w:hAnsi="DM Sans"/>
        </w:rPr>
        <w:t>very substantial benefits</w:t>
      </w:r>
      <w:r w:rsidR="00D453E6" w:rsidRPr="00C27804">
        <w:rPr>
          <w:rFonts w:ascii="DM Sans" w:hAnsi="DM Sans"/>
        </w:rPr>
        <w:t>, particularly for people in greatest need</w:t>
      </w:r>
      <w:r w:rsidR="004F6B4F" w:rsidRPr="00C27804">
        <w:rPr>
          <w:rFonts w:ascii="DM Sans" w:hAnsi="DM Sans"/>
        </w:rPr>
        <w:t xml:space="preserve">.  </w:t>
      </w:r>
    </w:p>
    <w:p w14:paraId="20924F3D" w14:textId="6916F1B3" w:rsidR="00D94BD2" w:rsidRPr="00C27804" w:rsidRDefault="00592583" w:rsidP="00B255C9">
      <w:pPr>
        <w:numPr>
          <w:ilvl w:val="0"/>
          <w:numId w:val="55"/>
        </w:numPr>
        <w:spacing w:before="60" w:after="60"/>
        <w:rPr>
          <w:rFonts w:ascii="DM Sans" w:eastAsia="MS ??" w:hAnsi="DM Sans"/>
        </w:rPr>
      </w:pPr>
      <w:r w:rsidRPr="00C27804">
        <w:rPr>
          <w:rFonts w:ascii="DM Sans" w:hAnsi="DM Sans"/>
        </w:rPr>
        <w:t xml:space="preserve">The PC’s response to date has been to include </w:t>
      </w:r>
      <w:r w:rsidR="00C35145" w:rsidRPr="00C27804">
        <w:rPr>
          <w:rFonts w:ascii="DM Sans" w:hAnsi="DM Sans"/>
        </w:rPr>
        <w:t>Box 8.6 in the draft report providing a critique of the Impact Economic</w:t>
      </w:r>
      <w:r w:rsidR="00F446AF">
        <w:rPr>
          <w:rFonts w:ascii="DM Sans" w:hAnsi="DM Sans"/>
        </w:rPr>
        <w:t>s</w:t>
      </w:r>
      <w:r w:rsidR="00C35145" w:rsidRPr="00C27804">
        <w:rPr>
          <w:rFonts w:ascii="DM Sans" w:hAnsi="DM Sans"/>
        </w:rPr>
        <w:t xml:space="preserve"> work.  </w:t>
      </w:r>
      <w:r w:rsidR="00C33112" w:rsidRPr="00C27804">
        <w:rPr>
          <w:rFonts w:ascii="DM Sans" w:hAnsi="DM Sans"/>
        </w:rPr>
        <w:t xml:space="preserve">We think it is important that the PC now </w:t>
      </w:r>
      <w:r w:rsidR="002B4EE1" w:rsidRPr="00C27804">
        <w:rPr>
          <w:rFonts w:ascii="DM Sans" w:hAnsi="DM Sans"/>
        </w:rPr>
        <w:t>turn its attention to actively considering the potential large increase in giving and coming to its own broad vie</w:t>
      </w:r>
      <w:r w:rsidR="00D45D5A">
        <w:rPr>
          <w:rFonts w:ascii="DM Sans" w:hAnsi="DM Sans"/>
        </w:rPr>
        <w:t>w,</w:t>
      </w:r>
    </w:p>
    <w:p w14:paraId="65D46E4A" w14:textId="367954A6" w:rsidR="00721BBA" w:rsidRPr="00C27804" w:rsidRDefault="00744C30" w:rsidP="00B255C9">
      <w:pPr>
        <w:numPr>
          <w:ilvl w:val="0"/>
          <w:numId w:val="55"/>
        </w:numPr>
        <w:spacing w:before="60" w:after="60"/>
        <w:rPr>
          <w:rFonts w:ascii="DM Sans" w:eastAsia="MS ??" w:hAnsi="DM Sans"/>
        </w:rPr>
      </w:pPr>
      <w:r w:rsidRPr="00C27804">
        <w:rPr>
          <w:rFonts w:ascii="DM Sans" w:eastAsia="MS ??" w:hAnsi="DM Sans"/>
        </w:rPr>
        <w:t xml:space="preserve">We note the good </w:t>
      </w:r>
      <w:r w:rsidR="005B2716" w:rsidRPr="00C27804">
        <w:rPr>
          <w:rFonts w:ascii="DM Sans" w:eastAsia="MS ??" w:hAnsi="DM Sans"/>
        </w:rPr>
        <w:t xml:space="preserve">point raised by the PC </w:t>
      </w:r>
      <w:r w:rsidR="00A255C6" w:rsidRPr="00C27804">
        <w:rPr>
          <w:rFonts w:ascii="DM Sans" w:eastAsia="MS ??" w:hAnsi="DM Sans"/>
        </w:rPr>
        <w:t>that the Impact Economics report does not factor in substitution effects</w:t>
      </w:r>
      <w:r w:rsidR="00B1479E" w:rsidRPr="00C27804">
        <w:rPr>
          <w:rFonts w:ascii="DM Sans" w:eastAsia="MS ??" w:hAnsi="DM Sans"/>
        </w:rPr>
        <w:t xml:space="preserve">.  </w:t>
      </w:r>
    </w:p>
    <w:p w14:paraId="159B83C3" w14:textId="39F2C6C1" w:rsidR="005D1C5B" w:rsidRPr="00C27804" w:rsidRDefault="005D1C5B" w:rsidP="00B255C9">
      <w:pPr>
        <w:numPr>
          <w:ilvl w:val="1"/>
          <w:numId w:val="55"/>
        </w:numPr>
        <w:spacing w:before="60" w:after="60"/>
        <w:ind w:left="709"/>
        <w:rPr>
          <w:rFonts w:ascii="DM Sans" w:eastAsia="MS ??" w:hAnsi="DM Sans"/>
        </w:rPr>
      </w:pPr>
      <w:r w:rsidRPr="00C27804">
        <w:rPr>
          <w:rFonts w:ascii="DM Sans" w:eastAsia="MS ??" w:hAnsi="DM Sans"/>
        </w:rPr>
        <w:t xml:space="preserve">We believe substitution effects are likely to be limited as: </w:t>
      </w:r>
      <w:r w:rsidR="00BF0FFF" w:rsidRPr="00C27804">
        <w:rPr>
          <w:rFonts w:ascii="DM Sans" w:eastAsia="MS ??" w:hAnsi="DM Sans"/>
        </w:rPr>
        <w:t>such a simple means to bequest does no</w:t>
      </w:r>
      <w:r w:rsidR="00CD379F" w:rsidRPr="00C27804">
        <w:rPr>
          <w:rFonts w:ascii="DM Sans" w:eastAsia="MS ??" w:hAnsi="DM Sans"/>
        </w:rPr>
        <w:t>t yet</w:t>
      </w:r>
      <w:r w:rsidR="00BF0FFF" w:rsidRPr="00C27804">
        <w:rPr>
          <w:rFonts w:ascii="DM Sans" w:eastAsia="MS ??" w:hAnsi="DM Sans"/>
        </w:rPr>
        <w:t xml:space="preserve"> exist in Australia</w:t>
      </w:r>
      <w:r w:rsidR="008B017B" w:rsidRPr="00C27804">
        <w:rPr>
          <w:rFonts w:ascii="DM Sans" w:eastAsia="MS ??" w:hAnsi="DM Sans"/>
        </w:rPr>
        <w:t xml:space="preserve">; the complicated option available – through wills – has low take up; and people </w:t>
      </w:r>
      <w:r w:rsidR="00203955" w:rsidRPr="00C27804">
        <w:rPr>
          <w:rFonts w:ascii="DM Sans" w:eastAsia="MS ??" w:hAnsi="DM Sans"/>
        </w:rPr>
        <w:t xml:space="preserve">are unlikely to substantially </w:t>
      </w:r>
      <w:r w:rsidR="005C243B" w:rsidRPr="00C27804">
        <w:rPr>
          <w:rFonts w:ascii="DM Sans" w:eastAsia="MS ??" w:hAnsi="DM Sans"/>
        </w:rPr>
        <w:t>reduce</w:t>
      </w:r>
      <w:r w:rsidR="00203955" w:rsidRPr="00C27804">
        <w:rPr>
          <w:rFonts w:ascii="DM Sans" w:eastAsia="MS ??" w:hAnsi="DM Sans"/>
        </w:rPr>
        <w:t xml:space="preserve"> giving from their young adulthood onward on the basis that they may make a super bequest </w:t>
      </w:r>
      <w:r w:rsidR="000D556D">
        <w:rPr>
          <w:rFonts w:ascii="DM Sans" w:eastAsia="MS ??" w:hAnsi="DM Sans"/>
        </w:rPr>
        <w:t xml:space="preserve">decades later </w:t>
      </w:r>
      <w:r w:rsidR="00203955" w:rsidRPr="00C27804">
        <w:rPr>
          <w:rFonts w:ascii="DM Sans" w:eastAsia="MS ??" w:hAnsi="DM Sans"/>
        </w:rPr>
        <w:t>when they die</w:t>
      </w:r>
      <w:r w:rsidR="005C243B" w:rsidRPr="00C27804">
        <w:rPr>
          <w:rFonts w:ascii="DM Sans" w:eastAsia="MS ??" w:hAnsi="DM Sans"/>
        </w:rPr>
        <w:t xml:space="preserve">.  This isn’t how giving occurs across the lifecycle.  </w:t>
      </w:r>
      <w:r w:rsidR="000622F5" w:rsidRPr="00C27804">
        <w:rPr>
          <w:rFonts w:ascii="DM Sans" w:eastAsia="MS ??" w:hAnsi="DM Sans"/>
        </w:rPr>
        <w:t xml:space="preserve">People at any point can generally not predict their future economic </w:t>
      </w:r>
      <w:r w:rsidR="000622F5" w:rsidRPr="00C27804">
        <w:rPr>
          <w:rFonts w:ascii="DM Sans" w:eastAsia="MS ??" w:hAnsi="DM Sans"/>
        </w:rPr>
        <w:lastRenderedPageBreak/>
        <w:t>circumstances</w:t>
      </w:r>
      <w:r w:rsidR="00ED2AC7">
        <w:rPr>
          <w:rFonts w:ascii="DM Sans" w:eastAsia="MS ??" w:hAnsi="DM Sans"/>
        </w:rPr>
        <w:t>.  For this reason</w:t>
      </w:r>
      <w:r w:rsidR="000622F5" w:rsidRPr="00C27804">
        <w:rPr>
          <w:rFonts w:ascii="DM Sans" w:eastAsia="MS ??" w:hAnsi="DM Sans"/>
        </w:rPr>
        <w:t xml:space="preserve">, </w:t>
      </w:r>
      <w:r w:rsidR="0034425D" w:rsidRPr="00C27804">
        <w:rPr>
          <w:rFonts w:ascii="DM Sans" w:eastAsia="MS ??" w:hAnsi="DM Sans"/>
        </w:rPr>
        <w:t>people who are inclined to give tend to give incrementally across their lifetime</w:t>
      </w:r>
      <w:r w:rsidR="000622F5" w:rsidRPr="00C27804">
        <w:rPr>
          <w:rFonts w:ascii="DM Sans" w:eastAsia="MS ??" w:hAnsi="DM Sans"/>
        </w:rPr>
        <w:t>, according to what they can afford at the time.</w:t>
      </w:r>
    </w:p>
    <w:p w14:paraId="273DCF03" w14:textId="7437651F" w:rsidR="000622F5" w:rsidRPr="00C27804" w:rsidRDefault="00CF0D7A" w:rsidP="00B255C9">
      <w:pPr>
        <w:numPr>
          <w:ilvl w:val="1"/>
          <w:numId w:val="55"/>
        </w:numPr>
        <w:spacing w:before="60" w:after="60"/>
        <w:ind w:left="709"/>
        <w:rPr>
          <w:rFonts w:ascii="DM Sans" w:eastAsia="MS ??" w:hAnsi="DM Sans"/>
        </w:rPr>
      </w:pPr>
      <w:r w:rsidRPr="00C27804">
        <w:rPr>
          <w:rFonts w:ascii="DM Sans" w:eastAsia="MS ??" w:hAnsi="DM Sans"/>
        </w:rPr>
        <w:t>The report was not aiming for scientific precision.  Rather it was attempting to demonstrate based on reasonable assumptions that the lift in giving from super bequest reform is likely to be very large.</w:t>
      </w:r>
    </w:p>
    <w:p w14:paraId="7C4B3816" w14:textId="2166DF08" w:rsidR="00D84950" w:rsidRPr="00C27804" w:rsidRDefault="00A35E80" w:rsidP="00B255C9">
      <w:pPr>
        <w:numPr>
          <w:ilvl w:val="0"/>
          <w:numId w:val="55"/>
        </w:numPr>
        <w:spacing w:before="60" w:after="60"/>
        <w:rPr>
          <w:rFonts w:ascii="DM Sans" w:eastAsia="MS ??" w:hAnsi="DM Sans"/>
        </w:rPr>
      </w:pPr>
      <w:r>
        <w:rPr>
          <w:rFonts w:ascii="DM Sans" w:eastAsia="MS ??" w:hAnsi="DM Sans"/>
        </w:rPr>
        <w:t xml:space="preserve">Some may highlight </w:t>
      </w:r>
      <w:r w:rsidR="00D84950" w:rsidRPr="00C27804">
        <w:rPr>
          <w:rFonts w:ascii="DM Sans" w:eastAsia="MS ??" w:hAnsi="DM Sans"/>
        </w:rPr>
        <w:t xml:space="preserve">an additional reason why </w:t>
      </w:r>
      <w:r w:rsidR="00C765FB" w:rsidRPr="00C27804">
        <w:rPr>
          <w:rFonts w:ascii="DM Sans" w:eastAsia="MS ??" w:hAnsi="DM Sans"/>
        </w:rPr>
        <w:t>bequests could be lower than expected</w:t>
      </w:r>
      <w:r w:rsidR="00786D56" w:rsidRPr="00C27804">
        <w:rPr>
          <w:rFonts w:ascii="DM Sans" w:eastAsia="MS ??" w:hAnsi="DM Sans"/>
        </w:rPr>
        <w:t>.</w:t>
      </w:r>
    </w:p>
    <w:p w14:paraId="36E048C6" w14:textId="77777777" w:rsidR="00E07242" w:rsidRPr="00C27804" w:rsidRDefault="00786D56" w:rsidP="00B255C9">
      <w:pPr>
        <w:numPr>
          <w:ilvl w:val="1"/>
          <w:numId w:val="55"/>
        </w:numPr>
        <w:spacing w:before="60" w:after="60"/>
        <w:ind w:left="709"/>
        <w:rPr>
          <w:rFonts w:ascii="DM Sans" w:eastAsia="MS ??" w:hAnsi="DM Sans"/>
        </w:rPr>
      </w:pPr>
      <w:r w:rsidRPr="00C27804">
        <w:rPr>
          <w:rFonts w:ascii="DM Sans" w:eastAsia="MS ??" w:hAnsi="DM Sans"/>
        </w:rPr>
        <w:t>To date, significant funds have been passing at death as people have bee</w:t>
      </w:r>
      <w:r w:rsidR="00064C19" w:rsidRPr="00C27804">
        <w:rPr>
          <w:rFonts w:ascii="DM Sans" w:eastAsia="MS ??" w:hAnsi="DM Sans"/>
        </w:rPr>
        <w:t xml:space="preserve">n dying with most of their super – typically 90 per cent – intact.  </w:t>
      </w:r>
    </w:p>
    <w:p w14:paraId="58CB06A9" w14:textId="77777777" w:rsidR="00636D6E" w:rsidRPr="00C27804" w:rsidRDefault="00E07242" w:rsidP="00B255C9">
      <w:pPr>
        <w:numPr>
          <w:ilvl w:val="1"/>
          <w:numId w:val="55"/>
        </w:numPr>
        <w:spacing w:before="60" w:after="60"/>
        <w:ind w:left="709"/>
        <w:rPr>
          <w:rFonts w:ascii="DM Sans" w:eastAsia="MS ??" w:hAnsi="DM Sans"/>
        </w:rPr>
      </w:pPr>
      <w:r w:rsidRPr="00C27804">
        <w:rPr>
          <w:rFonts w:ascii="DM Sans" w:eastAsia="MS ??" w:hAnsi="DM Sans"/>
          <w:lang w:val="en-US"/>
        </w:rPr>
        <w:t xml:space="preserve">The Government, through the Retirement Income Covenant, is now encouraging super funds to work with people in their retirement phase to educate them about their </w:t>
      </w:r>
      <w:r w:rsidR="008A36FA" w:rsidRPr="00C27804">
        <w:rPr>
          <w:rFonts w:ascii="DM Sans" w:eastAsia="MS ??" w:hAnsi="DM Sans"/>
          <w:lang w:val="en-US"/>
        </w:rPr>
        <w:t xml:space="preserve">super and encourage them to draw down more in retirement.  This could mean less funds available for </w:t>
      </w:r>
      <w:r w:rsidR="00636D6E" w:rsidRPr="00C27804">
        <w:rPr>
          <w:rFonts w:ascii="DM Sans" w:eastAsia="MS ??" w:hAnsi="DM Sans"/>
          <w:lang w:val="en-US"/>
        </w:rPr>
        <w:t>bequesting.</w:t>
      </w:r>
    </w:p>
    <w:p w14:paraId="69EF04BC" w14:textId="3CCC306B" w:rsidR="00881710" w:rsidRPr="00C27804" w:rsidRDefault="00636D6E" w:rsidP="00B255C9">
      <w:pPr>
        <w:numPr>
          <w:ilvl w:val="1"/>
          <w:numId w:val="55"/>
        </w:numPr>
        <w:spacing w:before="60" w:after="60"/>
        <w:ind w:left="709"/>
        <w:rPr>
          <w:rFonts w:ascii="DM Sans" w:eastAsia="MS ??" w:hAnsi="DM Sans"/>
        </w:rPr>
      </w:pPr>
      <w:r w:rsidRPr="00C27804">
        <w:rPr>
          <w:rFonts w:ascii="DM Sans" w:eastAsia="MS ??" w:hAnsi="DM Sans"/>
          <w:lang w:val="en-US"/>
        </w:rPr>
        <w:t xml:space="preserve">For this reason, </w:t>
      </w:r>
      <w:r w:rsidR="00893EE2" w:rsidRPr="00C27804">
        <w:rPr>
          <w:rFonts w:ascii="DM Sans" w:eastAsia="MS ??" w:hAnsi="DM Sans"/>
          <w:lang w:val="en-US"/>
        </w:rPr>
        <w:t xml:space="preserve">the conservative estimate in the Impact Economics modelling assumed </w:t>
      </w:r>
      <w:r w:rsidR="00F86A53" w:rsidRPr="00C27804">
        <w:rPr>
          <w:rFonts w:ascii="DM Sans" w:eastAsia="MS ??" w:hAnsi="DM Sans"/>
          <w:lang w:val="en-US"/>
        </w:rPr>
        <w:t xml:space="preserve">a 50 per cent draw down </w:t>
      </w:r>
      <w:r w:rsidR="00881710" w:rsidRPr="00C27804">
        <w:rPr>
          <w:rFonts w:ascii="DM Sans" w:eastAsia="MS ??" w:hAnsi="DM Sans"/>
          <w:lang w:val="en-US"/>
        </w:rPr>
        <w:t>in retirement, a big drop from 90 per cent.</w:t>
      </w:r>
      <w:r w:rsidR="00197C5C">
        <w:rPr>
          <w:rFonts w:ascii="DM Sans" w:eastAsia="MS ??" w:hAnsi="DM Sans"/>
          <w:lang w:val="en-US"/>
        </w:rPr>
        <w:t xml:space="preserve">  Even accounting for this </w:t>
      </w:r>
      <w:r w:rsidR="00E369E5">
        <w:rPr>
          <w:rFonts w:ascii="DM Sans" w:eastAsia="MS ??" w:hAnsi="DM Sans"/>
          <w:lang w:val="en-US"/>
        </w:rPr>
        <w:t xml:space="preserve">large drop, </w:t>
      </w:r>
      <w:r w:rsidR="004C031E">
        <w:rPr>
          <w:rFonts w:ascii="DM Sans" w:eastAsia="MS ??" w:hAnsi="DM Sans"/>
          <w:lang w:val="en-US"/>
        </w:rPr>
        <w:t xml:space="preserve">and other conservative assumptions, </w:t>
      </w:r>
      <w:r w:rsidR="00E369E5">
        <w:rPr>
          <w:rFonts w:ascii="DM Sans" w:eastAsia="MS ??" w:hAnsi="DM Sans"/>
          <w:lang w:val="en-US"/>
        </w:rPr>
        <w:t>the conservative estimate was still $6</w:t>
      </w:r>
      <w:r w:rsidR="00D17BEF">
        <w:rPr>
          <w:rFonts w:ascii="DM Sans" w:eastAsia="MS ??" w:hAnsi="DM Sans"/>
          <w:lang w:val="en-US"/>
        </w:rPr>
        <w:t>5</w:t>
      </w:r>
      <w:r w:rsidR="00E369E5">
        <w:rPr>
          <w:rFonts w:ascii="DM Sans" w:eastAsia="MS ??" w:hAnsi="DM Sans"/>
          <w:lang w:val="en-US"/>
        </w:rPr>
        <w:t xml:space="preserve"> billion by 2060</w:t>
      </w:r>
      <w:r w:rsidR="00D17BEF">
        <w:rPr>
          <w:rFonts w:ascii="DM Sans" w:eastAsia="MS ??" w:hAnsi="DM Sans"/>
          <w:lang w:val="en-US"/>
        </w:rPr>
        <w:t xml:space="preserve"> </w:t>
      </w:r>
      <w:r w:rsidR="00D17BEF" w:rsidRPr="00D17BEF">
        <w:rPr>
          <w:rFonts w:ascii="DM Sans" w:eastAsia="MS ??" w:hAnsi="DM Sans"/>
          <w:u w:val="single"/>
          <w:lang w:val="en-US"/>
        </w:rPr>
        <w:t>in current dollars</w:t>
      </w:r>
      <w:r w:rsidR="00E369E5">
        <w:rPr>
          <w:rFonts w:ascii="DM Sans" w:eastAsia="MS ??" w:hAnsi="DM Sans"/>
          <w:lang w:val="en-US"/>
        </w:rPr>
        <w:t>.</w:t>
      </w:r>
    </w:p>
    <w:p w14:paraId="51CD4A88" w14:textId="277292B3" w:rsidR="008D5CC9" w:rsidRPr="00C27804" w:rsidRDefault="00881710" w:rsidP="00B255C9">
      <w:pPr>
        <w:numPr>
          <w:ilvl w:val="1"/>
          <w:numId w:val="55"/>
        </w:numPr>
        <w:spacing w:before="60" w:after="60"/>
        <w:ind w:left="709"/>
        <w:rPr>
          <w:rFonts w:ascii="DM Sans" w:eastAsia="MS ??" w:hAnsi="DM Sans"/>
        </w:rPr>
      </w:pPr>
      <w:r w:rsidRPr="00C27804">
        <w:rPr>
          <w:rFonts w:ascii="DM Sans" w:eastAsia="MS ??" w:hAnsi="DM Sans"/>
          <w:lang w:val="en-US"/>
        </w:rPr>
        <w:t>In considering this issue</w:t>
      </w:r>
      <w:r w:rsidR="005D103B" w:rsidRPr="00C27804">
        <w:rPr>
          <w:rFonts w:ascii="DM Sans" w:eastAsia="MS ??" w:hAnsi="DM Sans"/>
          <w:lang w:val="en-US"/>
        </w:rPr>
        <w:t xml:space="preserve"> in coming to its own conclusions about the </w:t>
      </w:r>
      <w:r w:rsidR="00D7521D">
        <w:rPr>
          <w:rFonts w:ascii="DM Sans" w:eastAsia="MS ??" w:hAnsi="DM Sans"/>
          <w:lang w:val="en-US"/>
        </w:rPr>
        <w:t xml:space="preserve">potential broad </w:t>
      </w:r>
      <w:r w:rsidR="005D103B" w:rsidRPr="00C27804">
        <w:rPr>
          <w:rFonts w:ascii="DM Sans" w:eastAsia="MS ??" w:hAnsi="DM Sans"/>
          <w:lang w:val="en-US"/>
        </w:rPr>
        <w:t xml:space="preserve">magnitude of </w:t>
      </w:r>
      <w:r w:rsidR="003F5A41" w:rsidRPr="00C27804">
        <w:rPr>
          <w:rFonts w:ascii="DM Sans" w:eastAsia="MS ??" w:hAnsi="DM Sans"/>
          <w:lang w:val="en-US"/>
        </w:rPr>
        <w:t xml:space="preserve">death benefits to pass in the future, we suggest the PC take into consideration powerful forces </w:t>
      </w:r>
      <w:r w:rsidR="008D5CC9" w:rsidRPr="00C27804">
        <w:rPr>
          <w:rFonts w:ascii="DM Sans" w:eastAsia="MS ??" w:hAnsi="DM Sans"/>
          <w:lang w:val="en-US"/>
        </w:rPr>
        <w:t>that lead to people conserving their superannuation assets:</w:t>
      </w:r>
    </w:p>
    <w:p w14:paraId="12E1DBC6" w14:textId="77777777" w:rsidR="003927F1" w:rsidRPr="00C27804" w:rsidRDefault="00C765FB" w:rsidP="00B255C9">
      <w:pPr>
        <w:numPr>
          <w:ilvl w:val="2"/>
          <w:numId w:val="55"/>
        </w:numPr>
        <w:spacing w:before="60" w:after="60"/>
        <w:ind w:left="1134"/>
        <w:rPr>
          <w:rFonts w:ascii="DM Sans" w:eastAsia="MS ??" w:hAnsi="DM Sans"/>
        </w:rPr>
      </w:pPr>
      <w:r w:rsidRPr="00C27804">
        <w:rPr>
          <w:rFonts w:ascii="DM Sans" w:eastAsia="MS ??" w:hAnsi="DM Sans"/>
          <w:lang w:val="en-US"/>
        </w:rPr>
        <w:t xml:space="preserve">Super is concessionally </w:t>
      </w:r>
      <w:proofErr w:type="gramStart"/>
      <w:r w:rsidRPr="00C27804">
        <w:rPr>
          <w:rFonts w:ascii="DM Sans" w:eastAsia="MS ??" w:hAnsi="DM Sans"/>
          <w:lang w:val="en-US"/>
        </w:rPr>
        <w:t>taxed</w:t>
      </w:r>
      <w:proofErr w:type="gramEnd"/>
      <w:r w:rsidRPr="00C27804">
        <w:rPr>
          <w:rFonts w:ascii="DM Sans" w:eastAsia="MS ??" w:hAnsi="DM Sans"/>
          <w:lang w:val="en-US"/>
        </w:rPr>
        <w:t xml:space="preserve"> so people tend to draw down other sources of income before turning to super.  </w:t>
      </w:r>
    </w:p>
    <w:p w14:paraId="3B3FD636" w14:textId="0F0A141A" w:rsidR="003927F1" w:rsidRPr="00C27804" w:rsidRDefault="00C765FB" w:rsidP="00B255C9">
      <w:pPr>
        <w:numPr>
          <w:ilvl w:val="2"/>
          <w:numId w:val="55"/>
        </w:numPr>
        <w:spacing w:before="60" w:after="60"/>
        <w:ind w:left="1134"/>
        <w:rPr>
          <w:rFonts w:ascii="DM Sans" w:eastAsia="MS ??" w:hAnsi="DM Sans"/>
        </w:rPr>
      </w:pPr>
      <w:r w:rsidRPr="00C27804">
        <w:rPr>
          <w:rFonts w:ascii="DM Sans" w:eastAsia="MS ??" w:hAnsi="DM Sans"/>
          <w:lang w:val="en-US"/>
        </w:rPr>
        <w:t xml:space="preserve">As people don’t know how long they’ll live, many spend conservatively to ensure they have funds available in their </w:t>
      </w:r>
      <w:r w:rsidR="002E6CAF" w:rsidRPr="00C27804">
        <w:rPr>
          <w:rFonts w:ascii="DM Sans" w:eastAsia="MS ??" w:hAnsi="DM Sans"/>
          <w:lang w:val="en-US"/>
        </w:rPr>
        <w:t>later</w:t>
      </w:r>
      <w:r w:rsidRPr="00C27804">
        <w:rPr>
          <w:rFonts w:ascii="DM Sans" w:eastAsia="MS ??" w:hAnsi="DM Sans"/>
          <w:lang w:val="en-US"/>
        </w:rPr>
        <w:t xml:space="preserve"> years.  </w:t>
      </w:r>
    </w:p>
    <w:p w14:paraId="3BE697D9" w14:textId="7DB8F299" w:rsidR="00C765FB" w:rsidRPr="00C27804" w:rsidRDefault="00C765FB" w:rsidP="00B255C9">
      <w:pPr>
        <w:numPr>
          <w:ilvl w:val="2"/>
          <w:numId w:val="55"/>
        </w:numPr>
        <w:spacing w:before="60" w:after="60"/>
        <w:ind w:left="1134"/>
        <w:rPr>
          <w:rFonts w:ascii="DM Sans" w:eastAsia="MS ??" w:hAnsi="DM Sans"/>
        </w:rPr>
      </w:pPr>
      <w:r w:rsidRPr="00C27804">
        <w:rPr>
          <w:rFonts w:ascii="DM Sans" w:eastAsia="MS ??" w:hAnsi="DM Sans"/>
          <w:lang w:val="en-US"/>
        </w:rPr>
        <w:t>Some Australians are motivated to bequest remaining funds to their families.</w:t>
      </w:r>
    </w:p>
    <w:p w14:paraId="11E06FC7" w14:textId="77777777" w:rsidR="004C406F" w:rsidRDefault="006D62E7" w:rsidP="00B255C9">
      <w:pPr>
        <w:numPr>
          <w:ilvl w:val="0"/>
          <w:numId w:val="52"/>
        </w:numPr>
        <w:spacing w:before="120" w:after="60"/>
        <w:rPr>
          <w:rFonts w:ascii="DM Sans" w:eastAsia="MS ??" w:hAnsi="DM Sans"/>
          <w:b/>
        </w:rPr>
      </w:pPr>
      <w:r>
        <w:rPr>
          <w:rFonts w:ascii="DM Sans" w:eastAsia="MS ??" w:hAnsi="DM Sans"/>
          <w:b/>
        </w:rPr>
        <w:t xml:space="preserve">A highly efficient, </w:t>
      </w:r>
      <w:r w:rsidR="004C406F">
        <w:rPr>
          <w:rFonts w:ascii="DM Sans" w:eastAsia="MS ??" w:hAnsi="DM Sans"/>
          <w:b/>
        </w:rPr>
        <w:t>cost-effective form of giving.</w:t>
      </w:r>
    </w:p>
    <w:p w14:paraId="0512B4CB" w14:textId="77777777" w:rsidR="008C0125" w:rsidRDefault="008C0125" w:rsidP="00B255C9">
      <w:pPr>
        <w:numPr>
          <w:ilvl w:val="0"/>
          <w:numId w:val="55"/>
        </w:numPr>
        <w:spacing w:before="60" w:after="60"/>
        <w:rPr>
          <w:rFonts w:ascii="DM Sans" w:eastAsia="MS ??" w:hAnsi="DM Sans"/>
        </w:rPr>
      </w:pPr>
      <w:r w:rsidRPr="00C27804">
        <w:rPr>
          <w:rFonts w:ascii="DM Sans" w:eastAsia="MS ??" w:hAnsi="DM Sans"/>
        </w:rPr>
        <w:t xml:space="preserve">Bequests are a particularly cost-effective means of charitable giving because donors do not receive a tax break in return for their bequest.  </w:t>
      </w:r>
    </w:p>
    <w:p w14:paraId="495E0596" w14:textId="4BD3994F" w:rsidR="004C406F" w:rsidRPr="00A75729" w:rsidRDefault="00747A86" w:rsidP="00B255C9">
      <w:pPr>
        <w:numPr>
          <w:ilvl w:val="0"/>
          <w:numId w:val="52"/>
        </w:numPr>
        <w:spacing w:before="120" w:after="60"/>
        <w:rPr>
          <w:rFonts w:ascii="DM Sans" w:eastAsia="MS ??" w:hAnsi="DM Sans"/>
          <w:b/>
        </w:rPr>
      </w:pPr>
      <w:r w:rsidRPr="00A75729">
        <w:rPr>
          <w:rFonts w:ascii="DM Sans" w:eastAsia="MS ??" w:hAnsi="DM Sans"/>
          <w:b/>
        </w:rPr>
        <w:t>Revenue would increase significantly over the long-term from a</w:t>
      </w:r>
      <w:r w:rsidR="002E1AED">
        <w:rPr>
          <w:rFonts w:ascii="DM Sans" w:eastAsia="MS ??" w:hAnsi="DM Sans"/>
          <w:b/>
        </w:rPr>
        <w:t>n</w:t>
      </w:r>
      <w:r w:rsidRPr="00A75729">
        <w:rPr>
          <w:rFonts w:ascii="DM Sans" w:eastAsia="MS ??" w:hAnsi="DM Sans"/>
          <w:b/>
        </w:rPr>
        <w:t xml:space="preserve"> efficient source.</w:t>
      </w:r>
    </w:p>
    <w:p w14:paraId="76CD54CC" w14:textId="2927693B" w:rsidR="008C0125" w:rsidRPr="00E30A56" w:rsidRDefault="008C0125" w:rsidP="00B255C9">
      <w:pPr>
        <w:numPr>
          <w:ilvl w:val="0"/>
          <w:numId w:val="55"/>
        </w:numPr>
        <w:spacing w:before="60" w:after="60"/>
        <w:rPr>
          <w:rFonts w:ascii="DM Sans" w:eastAsia="MS ??" w:hAnsi="DM Sans"/>
        </w:rPr>
      </w:pPr>
      <w:r w:rsidRPr="00C27804">
        <w:rPr>
          <w:rFonts w:ascii="DM Sans" w:eastAsia="MS ??" w:hAnsi="DM Sans"/>
        </w:rPr>
        <w:t>Money bequested through super is taxed at up to 17 cents in the dollar.</w:t>
      </w:r>
      <w:r w:rsidR="00E30A56">
        <w:rPr>
          <w:rFonts w:ascii="DM Sans" w:eastAsia="MS ??" w:hAnsi="DM Sans"/>
        </w:rPr>
        <w:t xml:space="preserve">  </w:t>
      </w:r>
      <w:r w:rsidRPr="00E30A56">
        <w:rPr>
          <w:rFonts w:ascii="DM Sans" w:eastAsia="MS ??" w:hAnsi="DM Sans"/>
        </w:rPr>
        <w:t xml:space="preserve">Where such bequests partially displaced funds otherwise to be distributed to non-adult dependents (which are tax free), they would create </w:t>
      </w:r>
      <w:r w:rsidR="002640C6">
        <w:rPr>
          <w:rFonts w:ascii="DM Sans" w:eastAsia="MS ??" w:hAnsi="DM Sans"/>
        </w:rPr>
        <w:t>additional</w:t>
      </w:r>
      <w:r w:rsidRPr="00E30A56">
        <w:rPr>
          <w:rFonts w:ascii="DM Sans" w:eastAsia="MS ??" w:hAnsi="DM Sans"/>
        </w:rPr>
        <w:t xml:space="preserve"> government revenue.</w:t>
      </w:r>
    </w:p>
    <w:p w14:paraId="3E3B1CD5" w14:textId="77777777" w:rsidR="008C0125" w:rsidRPr="00C27804" w:rsidRDefault="008C0125" w:rsidP="00B255C9">
      <w:pPr>
        <w:numPr>
          <w:ilvl w:val="1"/>
          <w:numId w:val="55"/>
        </w:numPr>
        <w:spacing w:before="60" w:after="60"/>
        <w:ind w:left="709"/>
        <w:rPr>
          <w:rFonts w:ascii="DM Sans" w:eastAsia="MS ??" w:hAnsi="DM Sans"/>
        </w:rPr>
      </w:pPr>
      <w:r w:rsidRPr="00C27804">
        <w:rPr>
          <w:rFonts w:ascii="DM Sans" w:eastAsia="MS ??" w:hAnsi="DM Sans"/>
        </w:rPr>
        <w:t>Note that where such bequests displaced funds otherwise to be distributed to adult dependents, there would be no impact on revenue, as both are taxed at up to 17 cents.</w:t>
      </w:r>
    </w:p>
    <w:p w14:paraId="1103D9AC" w14:textId="0D75CFE5" w:rsidR="00C40850" w:rsidRPr="00C27804" w:rsidRDefault="008178F1" w:rsidP="00B255C9">
      <w:pPr>
        <w:numPr>
          <w:ilvl w:val="0"/>
          <w:numId w:val="55"/>
        </w:numPr>
        <w:spacing w:before="60" w:after="60"/>
        <w:rPr>
          <w:rFonts w:ascii="DM Sans" w:eastAsia="MS ??" w:hAnsi="DM Sans"/>
        </w:rPr>
      </w:pPr>
      <w:r>
        <w:rPr>
          <w:rFonts w:ascii="DM Sans" w:hAnsi="DM Sans"/>
        </w:rPr>
        <w:t xml:space="preserve">Without knowing the split between funds </w:t>
      </w:r>
      <w:r w:rsidR="00626CE8">
        <w:rPr>
          <w:rFonts w:ascii="DM Sans" w:hAnsi="DM Sans"/>
        </w:rPr>
        <w:t xml:space="preserve">going to child versus adult dependents, we can’t </w:t>
      </w:r>
      <w:r w:rsidR="00C10010">
        <w:rPr>
          <w:rFonts w:ascii="DM Sans" w:hAnsi="DM Sans"/>
        </w:rPr>
        <w:t>be clear about the magnitude, but, a</w:t>
      </w:r>
      <w:r w:rsidR="003773F0">
        <w:rPr>
          <w:rFonts w:ascii="DM Sans" w:hAnsi="DM Sans"/>
        </w:rPr>
        <w:t xml:space="preserve">s the PC identifies in Box </w:t>
      </w:r>
      <w:r w:rsidR="00D970D3">
        <w:rPr>
          <w:rFonts w:ascii="DM Sans" w:hAnsi="DM Sans"/>
        </w:rPr>
        <w:t xml:space="preserve">8.6, very large sums </w:t>
      </w:r>
      <w:r>
        <w:rPr>
          <w:rFonts w:ascii="DM Sans" w:hAnsi="DM Sans"/>
        </w:rPr>
        <w:t>could be involved</w:t>
      </w:r>
      <w:r w:rsidR="00CB6B6E">
        <w:rPr>
          <w:rFonts w:ascii="DM Sans" w:hAnsi="DM Sans"/>
        </w:rPr>
        <w:t>.</w:t>
      </w:r>
    </w:p>
    <w:p w14:paraId="6DD34742" w14:textId="77777777" w:rsidR="008C0125" w:rsidRPr="00C27804" w:rsidRDefault="008C0125" w:rsidP="00B255C9">
      <w:pPr>
        <w:numPr>
          <w:ilvl w:val="0"/>
          <w:numId w:val="52"/>
        </w:numPr>
        <w:spacing w:before="120" w:after="60"/>
        <w:rPr>
          <w:rFonts w:ascii="DM Sans" w:eastAsia="MS ??" w:hAnsi="DM Sans"/>
          <w:b/>
        </w:rPr>
      </w:pPr>
      <w:r w:rsidRPr="00C27804">
        <w:rPr>
          <w:rFonts w:ascii="DM Sans" w:eastAsia="MS ??" w:hAnsi="DM Sans"/>
          <w:b/>
        </w:rPr>
        <w:t>Spreading wealth and opportunity to all Australians</w:t>
      </w:r>
    </w:p>
    <w:p w14:paraId="5D61A7E9" w14:textId="2DFBF42C" w:rsidR="008C0125" w:rsidRPr="00C27804" w:rsidRDefault="008C0125" w:rsidP="00B255C9">
      <w:pPr>
        <w:numPr>
          <w:ilvl w:val="0"/>
          <w:numId w:val="54"/>
        </w:numPr>
        <w:spacing w:before="60" w:after="60"/>
        <w:rPr>
          <w:rFonts w:ascii="DM Sans" w:eastAsia="MS ??" w:hAnsi="DM Sans"/>
        </w:rPr>
      </w:pPr>
      <w:r w:rsidRPr="00C27804">
        <w:rPr>
          <w:rFonts w:ascii="DM Sans" w:eastAsia="MS ??" w:hAnsi="DM Sans"/>
        </w:rPr>
        <w:t>Australia has a large amount of its wealth in superannuation assets, which are north of $3 trillion and rising rapidly.</w:t>
      </w:r>
      <w:r w:rsidR="000F0886">
        <w:rPr>
          <w:rFonts w:ascii="DM Sans" w:eastAsia="MS ??" w:hAnsi="DM Sans"/>
        </w:rPr>
        <w:t xml:space="preserve">  </w:t>
      </w:r>
    </w:p>
    <w:p w14:paraId="06737615" w14:textId="2782CCCB" w:rsidR="008C0125" w:rsidRPr="00C27804" w:rsidRDefault="008C0125" w:rsidP="00B255C9">
      <w:pPr>
        <w:numPr>
          <w:ilvl w:val="0"/>
          <w:numId w:val="54"/>
        </w:numPr>
        <w:spacing w:before="60" w:after="60"/>
        <w:rPr>
          <w:rFonts w:ascii="DM Sans" w:eastAsia="MS ??" w:hAnsi="DM Sans"/>
        </w:rPr>
      </w:pPr>
      <w:r w:rsidRPr="00C27804">
        <w:rPr>
          <w:rFonts w:ascii="DM Sans" w:eastAsia="MS ??" w:hAnsi="DM Sans"/>
        </w:rPr>
        <w:t xml:space="preserve">Wealth among the Top 200 has increased from $209 billion in 2016 to $563 billion in 2023, or from an average of $1.05 billion in 2016 to $2.8 billion in 2021. </w:t>
      </w:r>
      <w:r w:rsidR="00193CC6">
        <w:rPr>
          <w:rFonts w:ascii="DM Sans" w:eastAsia="MS ??" w:hAnsi="DM Sans"/>
        </w:rPr>
        <w:t xml:space="preserve">Most super tax concessions accrue to high income earners.  </w:t>
      </w:r>
      <w:r w:rsidRPr="00C27804">
        <w:rPr>
          <w:rFonts w:ascii="DM Sans" w:eastAsia="MS ??" w:hAnsi="DM Sans"/>
        </w:rPr>
        <w:t xml:space="preserve">Super bequests can be a crucial mechanism transferring funds from Australians fortunately placed to those in greatest need.  </w:t>
      </w:r>
    </w:p>
    <w:p w14:paraId="1685AE57" w14:textId="77777777" w:rsidR="008C0125" w:rsidRPr="00C27804" w:rsidRDefault="008C0125" w:rsidP="003B0BB7">
      <w:pPr>
        <w:keepLines/>
        <w:pBdr>
          <w:top w:val="single" w:sz="4" w:space="10" w:color="F5F9FD" w:themeColor="background2"/>
          <w:left w:val="single" w:sz="4" w:space="31" w:color="F5F9FD" w:themeColor="background2"/>
          <w:bottom w:val="single" w:sz="4" w:space="10" w:color="F5F9FD" w:themeColor="background2"/>
          <w:right w:val="single" w:sz="4" w:space="10" w:color="F5F9FD" w:themeColor="background2"/>
        </w:pBdr>
        <w:shd w:val="clear" w:color="auto" w:fill="E5F6F3" w:themeFill="accent3" w:themeFillTint="33"/>
        <w:ind w:left="360" w:right="227"/>
        <w:rPr>
          <w:rFonts w:ascii="DM Sans" w:eastAsia="Arial" w:hAnsi="DM Sans"/>
          <w:iCs/>
        </w:rPr>
      </w:pPr>
      <w:r w:rsidRPr="00C27804">
        <w:rPr>
          <w:rFonts w:ascii="DM Sans" w:eastAsia="Arial" w:hAnsi="DM Sans"/>
          <w:iCs/>
        </w:rPr>
        <w:t>As a society, we need to make a clear choice:  Do we wish to see all this wealth pass to future generations, maintaining wealth and privilege for those most fortunately placed, or do we wish to see some of this money used to support Australians in greatest need, so opportunity is more evenly shared in our country?</w:t>
      </w:r>
    </w:p>
    <w:p w14:paraId="769797D6" w14:textId="77777777" w:rsidR="0063136F" w:rsidRDefault="0063136F">
      <w:pPr>
        <w:spacing w:before="200" w:after="200" w:line="260" w:lineRule="atLeast"/>
        <w:rPr>
          <w:rFonts w:ascii="DM Sans" w:hAnsi="DM Sans"/>
          <w:b/>
          <w:bCs/>
        </w:rPr>
      </w:pPr>
      <w:r>
        <w:rPr>
          <w:rFonts w:ascii="DM Sans" w:hAnsi="DM Sans"/>
          <w:b/>
          <w:bCs/>
        </w:rPr>
        <w:br w:type="page"/>
      </w:r>
    </w:p>
    <w:p w14:paraId="2541FAFC" w14:textId="494BA8CD" w:rsidR="00121AF6" w:rsidRPr="00C27804" w:rsidRDefault="008F0BFD"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b/>
          <w:bCs/>
        </w:rPr>
      </w:pPr>
      <w:r w:rsidRPr="00C27804">
        <w:rPr>
          <w:rFonts w:ascii="DM Sans" w:hAnsi="DM Sans"/>
          <w:b/>
          <w:bCs/>
        </w:rPr>
        <w:lastRenderedPageBreak/>
        <w:t xml:space="preserve">BOX </w:t>
      </w:r>
      <w:r w:rsidR="00DC580D">
        <w:rPr>
          <w:rFonts w:ascii="DM Sans" w:hAnsi="DM Sans"/>
          <w:b/>
          <w:bCs/>
        </w:rPr>
        <w:t>1.1</w:t>
      </w:r>
      <w:r w:rsidRPr="00C27804">
        <w:rPr>
          <w:rFonts w:ascii="DM Sans" w:hAnsi="DM Sans"/>
          <w:b/>
          <w:bCs/>
        </w:rPr>
        <w:t xml:space="preserve">: </w:t>
      </w:r>
      <w:r w:rsidR="00D2579A" w:rsidRPr="00C27804">
        <w:rPr>
          <w:rFonts w:ascii="DM Sans" w:hAnsi="DM Sans"/>
          <w:b/>
          <w:bCs/>
        </w:rPr>
        <w:t>ADDRESSING IMPLEMENTATION CHALLENGES</w:t>
      </w:r>
      <w:r w:rsidR="00977F6F" w:rsidRPr="00C27804">
        <w:rPr>
          <w:rFonts w:ascii="DM Sans" w:hAnsi="DM Sans"/>
          <w:b/>
          <w:bCs/>
        </w:rPr>
        <w:t xml:space="preserve"> AND OPPORTUNITIES</w:t>
      </w:r>
    </w:p>
    <w:p w14:paraId="78ED4002" w14:textId="2CFEE03D" w:rsidR="00121AF6" w:rsidRPr="00C27804" w:rsidRDefault="007E19AD" w:rsidP="003B0BB7">
      <w:pPr>
        <w:pStyle w:val="ListParagraph"/>
        <w:numPr>
          <w:ilvl w:val="6"/>
          <w:numId w:val="53"/>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40"/>
        <w:rPr>
          <w:rFonts w:ascii="DM Sans" w:hAnsi="DM Sans"/>
          <w:b/>
          <w:bCs/>
          <w:sz w:val="20"/>
        </w:rPr>
      </w:pPr>
      <w:r w:rsidRPr="00C27804">
        <w:rPr>
          <w:rFonts w:ascii="DM Sans" w:hAnsi="DM Sans"/>
          <w:b/>
          <w:bCs/>
          <w:sz w:val="20"/>
        </w:rPr>
        <w:t>The mechanism for super bequesting</w:t>
      </w:r>
      <w:r w:rsidR="00220395" w:rsidRPr="00C27804">
        <w:rPr>
          <w:rFonts w:ascii="DM Sans" w:hAnsi="DM Sans"/>
          <w:b/>
          <w:bCs/>
          <w:sz w:val="20"/>
        </w:rPr>
        <w:t>.</w:t>
      </w:r>
    </w:p>
    <w:p w14:paraId="0F4AC8EE" w14:textId="77EF52E0" w:rsidR="00ED5724" w:rsidRPr="00C27804" w:rsidRDefault="00ED5724"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 xml:space="preserve">The mechanism can be simple – making an instruction to the super fund through a death nomination.  </w:t>
      </w:r>
    </w:p>
    <w:p w14:paraId="7775751B" w14:textId="33206091" w:rsidR="00BC3662" w:rsidRPr="00C27804" w:rsidRDefault="005161C1" w:rsidP="003B0BB7">
      <w:pPr>
        <w:pStyle w:val="ListParagraph"/>
        <w:numPr>
          <w:ilvl w:val="6"/>
          <w:numId w:val="53"/>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40"/>
        <w:rPr>
          <w:rFonts w:ascii="DM Sans" w:hAnsi="DM Sans"/>
          <w:b/>
          <w:bCs/>
          <w:sz w:val="20"/>
        </w:rPr>
      </w:pPr>
      <w:r w:rsidRPr="00C27804">
        <w:rPr>
          <w:rFonts w:ascii="DM Sans" w:hAnsi="DM Sans"/>
          <w:b/>
          <w:bCs/>
          <w:sz w:val="20"/>
        </w:rPr>
        <w:t xml:space="preserve">How to create certainty and limit costs: </w:t>
      </w:r>
      <w:r w:rsidR="0086709B" w:rsidRPr="00C27804">
        <w:rPr>
          <w:rFonts w:ascii="DM Sans" w:hAnsi="DM Sans"/>
          <w:b/>
          <w:bCs/>
          <w:sz w:val="20"/>
        </w:rPr>
        <w:t xml:space="preserve">Implications </w:t>
      </w:r>
      <w:r w:rsidR="0010100E">
        <w:rPr>
          <w:rFonts w:ascii="DM Sans" w:hAnsi="DM Sans"/>
          <w:b/>
          <w:bCs/>
          <w:sz w:val="20"/>
        </w:rPr>
        <w:t xml:space="preserve">of super bequest reform </w:t>
      </w:r>
      <w:r w:rsidR="0086709B" w:rsidRPr="00C27804">
        <w:rPr>
          <w:rFonts w:ascii="DM Sans" w:hAnsi="DM Sans"/>
          <w:b/>
          <w:bCs/>
          <w:sz w:val="20"/>
        </w:rPr>
        <w:t xml:space="preserve">for the binding death nomination process, the </w:t>
      </w:r>
      <w:r w:rsidR="002C65F7" w:rsidRPr="00C27804">
        <w:rPr>
          <w:rFonts w:ascii="DM Sans" w:hAnsi="DM Sans"/>
          <w:b/>
          <w:bCs/>
          <w:sz w:val="20"/>
        </w:rPr>
        <w:t>quantum of complaints</w:t>
      </w:r>
      <w:r w:rsidR="005B6F18">
        <w:rPr>
          <w:rFonts w:ascii="DM Sans" w:hAnsi="DM Sans"/>
          <w:b/>
          <w:bCs/>
          <w:sz w:val="20"/>
        </w:rPr>
        <w:t>,</w:t>
      </w:r>
      <w:r w:rsidR="002C65F7" w:rsidRPr="00C27804">
        <w:rPr>
          <w:rFonts w:ascii="DM Sans" w:hAnsi="DM Sans"/>
          <w:b/>
          <w:bCs/>
          <w:sz w:val="20"/>
        </w:rPr>
        <w:t xml:space="preserve"> and costs for super funds and trustees</w:t>
      </w:r>
      <w:r w:rsidR="00BC3662" w:rsidRPr="00C27804">
        <w:rPr>
          <w:rFonts w:ascii="DM Sans" w:hAnsi="DM Sans"/>
          <w:b/>
          <w:bCs/>
          <w:sz w:val="20"/>
        </w:rPr>
        <w:t>.</w:t>
      </w:r>
    </w:p>
    <w:p w14:paraId="4B609224" w14:textId="309773A7" w:rsidR="00CF661A" w:rsidRPr="00C27804" w:rsidRDefault="00292043"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PA believes</w:t>
      </w:r>
      <w:r w:rsidR="00C778DA" w:rsidRPr="00C27804">
        <w:rPr>
          <w:rFonts w:ascii="DM Sans" w:hAnsi="DM Sans"/>
        </w:rPr>
        <w:t xml:space="preserve"> the PC makes important points here: </w:t>
      </w:r>
    </w:p>
    <w:p w14:paraId="75B066B9" w14:textId="6C5D245C" w:rsidR="00CF0763" w:rsidRPr="00C27804" w:rsidRDefault="00AE7D4D" w:rsidP="003B0BB7">
      <w:pPr>
        <w:pStyle w:val="ListParagraph"/>
        <w:numPr>
          <w:ilvl w:val="0"/>
          <w:numId w:val="57"/>
        </w:numPr>
        <w:pBdr>
          <w:top w:val="single" w:sz="4" w:space="1" w:color="auto"/>
          <w:left w:val="single" w:sz="4" w:space="4" w:color="auto"/>
          <w:bottom w:val="single" w:sz="4" w:space="1" w:color="auto"/>
          <w:right w:val="single" w:sz="4" w:space="4" w:color="auto"/>
        </w:pBdr>
        <w:shd w:val="clear" w:color="auto" w:fill="E5F6F3" w:themeFill="accent3" w:themeFillTint="33"/>
        <w:spacing w:after="120"/>
        <w:rPr>
          <w:rFonts w:ascii="DM Sans" w:hAnsi="DM Sans"/>
          <w:sz w:val="20"/>
        </w:rPr>
      </w:pPr>
      <w:r w:rsidRPr="00C27804">
        <w:rPr>
          <w:rFonts w:ascii="DM Sans" w:hAnsi="DM Sans"/>
          <w:sz w:val="20"/>
        </w:rPr>
        <w:t xml:space="preserve">The current system for handling </w:t>
      </w:r>
      <w:r w:rsidR="00934196" w:rsidRPr="00C27804">
        <w:rPr>
          <w:rFonts w:ascii="DM Sans" w:hAnsi="DM Sans"/>
          <w:sz w:val="20"/>
        </w:rPr>
        <w:t xml:space="preserve">remaining </w:t>
      </w:r>
      <w:r w:rsidR="00C8273C">
        <w:rPr>
          <w:rFonts w:ascii="DM Sans" w:hAnsi="DM Sans"/>
          <w:sz w:val="20"/>
        </w:rPr>
        <w:t xml:space="preserve">super </w:t>
      </w:r>
      <w:r w:rsidR="00934196" w:rsidRPr="00C27804">
        <w:rPr>
          <w:rFonts w:ascii="DM Sans" w:hAnsi="DM Sans"/>
          <w:sz w:val="20"/>
        </w:rPr>
        <w:t>funds is complex</w:t>
      </w:r>
      <w:r w:rsidR="00C01CFD" w:rsidRPr="00C27804">
        <w:rPr>
          <w:rFonts w:ascii="DM Sans" w:hAnsi="DM Sans"/>
          <w:sz w:val="20"/>
        </w:rPr>
        <w:t>, for instance, including binding death nominations lasting three years</w:t>
      </w:r>
      <w:r w:rsidR="0027017D" w:rsidRPr="00C27804">
        <w:rPr>
          <w:rFonts w:ascii="DM Sans" w:hAnsi="DM Sans"/>
          <w:sz w:val="20"/>
        </w:rPr>
        <w:t xml:space="preserve">, non-lapsing death benefit nominations, </w:t>
      </w:r>
      <w:r w:rsidR="005161C1" w:rsidRPr="00C27804">
        <w:rPr>
          <w:rFonts w:ascii="DM Sans" w:hAnsi="DM Sans"/>
          <w:sz w:val="20"/>
        </w:rPr>
        <w:t>and even non-binding death benefit nominations.</w:t>
      </w:r>
    </w:p>
    <w:p w14:paraId="1C5836A2" w14:textId="4B88A1F3" w:rsidR="006F3F43" w:rsidRPr="00C27804" w:rsidRDefault="006F3F43" w:rsidP="003B0BB7">
      <w:pPr>
        <w:pStyle w:val="ListParagraph"/>
        <w:numPr>
          <w:ilvl w:val="0"/>
          <w:numId w:val="57"/>
        </w:numPr>
        <w:pBdr>
          <w:top w:val="single" w:sz="4" w:space="1" w:color="auto"/>
          <w:left w:val="single" w:sz="4" w:space="4" w:color="auto"/>
          <w:bottom w:val="single" w:sz="4" w:space="1" w:color="auto"/>
          <w:right w:val="single" w:sz="4" w:space="4" w:color="auto"/>
        </w:pBdr>
        <w:shd w:val="clear" w:color="auto" w:fill="E5F6F3" w:themeFill="accent3" w:themeFillTint="33"/>
        <w:spacing w:after="120"/>
        <w:rPr>
          <w:rFonts w:ascii="DM Sans" w:hAnsi="DM Sans"/>
          <w:sz w:val="20"/>
        </w:rPr>
      </w:pPr>
      <w:r w:rsidRPr="00C27804">
        <w:rPr>
          <w:rFonts w:ascii="DM Sans" w:hAnsi="DM Sans"/>
          <w:sz w:val="20"/>
        </w:rPr>
        <w:t>In 2022-23, there were 599 complaints related to death benefits from all sources.</w:t>
      </w:r>
    </w:p>
    <w:p w14:paraId="15F6674F" w14:textId="1BF17D9D" w:rsidR="006F3F43" w:rsidRPr="00C27804" w:rsidRDefault="00AE25F9"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 xml:space="preserve">The risk is that </w:t>
      </w:r>
      <w:r w:rsidR="004C22CE" w:rsidRPr="00C27804">
        <w:rPr>
          <w:rFonts w:ascii="DM Sans" w:hAnsi="DM Sans"/>
        </w:rPr>
        <w:t xml:space="preserve">allowing charitable bequests </w:t>
      </w:r>
      <w:r w:rsidR="007F0EA1" w:rsidRPr="00C27804">
        <w:rPr>
          <w:rFonts w:ascii="DM Sans" w:hAnsi="DM Sans"/>
        </w:rPr>
        <w:t xml:space="preserve">in this system would lead to an increase in complaints and additional costs for </w:t>
      </w:r>
      <w:r w:rsidR="002F30CF" w:rsidRPr="00C27804">
        <w:rPr>
          <w:rFonts w:ascii="DM Sans" w:hAnsi="DM Sans"/>
        </w:rPr>
        <w:t>super funds and trustees</w:t>
      </w:r>
      <w:r w:rsidR="007F0EA1" w:rsidRPr="00C27804">
        <w:rPr>
          <w:rFonts w:ascii="DM Sans" w:hAnsi="DM Sans"/>
        </w:rPr>
        <w:t>.</w:t>
      </w:r>
    </w:p>
    <w:p w14:paraId="1CB18220" w14:textId="44FC8515" w:rsidR="00653187" w:rsidRPr="00C27804" w:rsidRDefault="00925C3E"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 xml:space="preserve">PA believes consultation with the super industry </w:t>
      </w:r>
      <w:r w:rsidR="00A93761">
        <w:rPr>
          <w:rFonts w:ascii="DM Sans" w:hAnsi="DM Sans"/>
        </w:rPr>
        <w:t xml:space="preserve">is an excellent way to </w:t>
      </w:r>
      <w:r w:rsidR="00B9707C">
        <w:rPr>
          <w:rFonts w:ascii="DM Sans" w:hAnsi="DM Sans"/>
        </w:rPr>
        <w:t>develop options to crea</w:t>
      </w:r>
      <w:r w:rsidR="00A93761">
        <w:rPr>
          <w:rFonts w:ascii="DM Sans" w:hAnsi="DM Sans"/>
        </w:rPr>
        <w:t>te more certainty through the binding death nomination process, including for bequests to charities.  In advance of that consultation</w:t>
      </w:r>
      <w:r w:rsidR="00926F12" w:rsidRPr="00C27804">
        <w:rPr>
          <w:rFonts w:ascii="DM Sans" w:hAnsi="DM Sans"/>
        </w:rPr>
        <w:t>, we make the following observations:</w:t>
      </w:r>
    </w:p>
    <w:p w14:paraId="758DD4A3" w14:textId="472FB688" w:rsidR="00451E7D" w:rsidRPr="00C27804" w:rsidRDefault="00451E7D" w:rsidP="003B0BB7">
      <w:pPr>
        <w:numPr>
          <w:ilvl w:val="1"/>
          <w:numId w:val="26"/>
        </w:numPr>
        <w:pBdr>
          <w:top w:val="single" w:sz="4" w:space="1" w:color="auto"/>
          <w:left w:val="single" w:sz="4" w:space="4" w:color="auto"/>
          <w:bottom w:val="single" w:sz="4" w:space="1" w:color="auto"/>
          <w:right w:val="single" w:sz="4" w:space="4" w:color="auto"/>
        </w:pBdr>
        <w:shd w:val="clear" w:color="auto" w:fill="E5F6F3" w:themeFill="accent3" w:themeFillTint="33"/>
        <w:ind w:left="340"/>
        <w:rPr>
          <w:rFonts w:ascii="DM Sans" w:hAnsi="DM Sans"/>
        </w:rPr>
      </w:pPr>
      <w:r w:rsidRPr="00C27804">
        <w:rPr>
          <w:rFonts w:ascii="DM Sans" w:hAnsi="DM Sans"/>
        </w:rPr>
        <w:t xml:space="preserve">Super funds could create certainty for trustees </w:t>
      </w:r>
      <w:r w:rsidR="0008354A" w:rsidRPr="00C27804">
        <w:rPr>
          <w:rFonts w:ascii="DM Sans" w:hAnsi="DM Sans"/>
        </w:rPr>
        <w:t xml:space="preserve">and significantly limit complaints and costs </w:t>
      </w:r>
      <w:r w:rsidRPr="00C27804">
        <w:rPr>
          <w:rFonts w:ascii="DM Sans" w:hAnsi="DM Sans"/>
        </w:rPr>
        <w:t>by allowing members to choose non-lapsing</w:t>
      </w:r>
      <w:r w:rsidR="00D57A14" w:rsidRPr="00C27804">
        <w:rPr>
          <w:rFonts w:ascii="DM Sans" w:hAnsi="DM Sans"/>
        </w:rPr>
        <w:t xml:space="preserve"> death benefit</w:t>
      </w:r>
      <w:r w:rsidRPr="00C27804">
        <w:rPr>
          <w:rFonts w:ascii="DM Sans" w:hAnsi="DM Sans"/>
        </w:rPr>
        <w:t xml:space="preserve"> charity nominations.</w:t>
      </w:r>
    </w:p>
    <w:p w14:paraId="3B35C621" w14:textId="0A6A16DE" w:rsidR="00D40700" w:rsidRPr="00C27804" w:rsidRDefault="00D40700" w:rsidP="003B0BB7">
      <w:pPr>
        <w:numPr>
          <w:ilvl w:val="1"/>
          <w:numId w:val="26"/>
        </w:numPr>
        <w:pBdr>
          <w:top w:val="single" w:sz="4" w:space="1" w:color="auto"/>
          <w:left w:val="single" w:sz="4" w:space="4" w:color="auto"/>
          <w:bottom w:val="single" w:sz="4" w:space="1" w:color="auto"/>
          <w:right w:val="single" w:sz="4" w:space="4" w:color="auto"/>
        </w:pBdr>
        <w:shd w:val="clear" w:color="auto" w:fill="E5F6F3" w:themeFill="accent3" w:themeFillTint="33"/>
        <w:ind w:left="340"/>
        <w:rPr>
          <w:rFonts w:ascii="DM Sans" w:hAnsi="DM Sans"/>
        </w:rPr>
      </w:pPr>
      <w:r w:rsidRPr="00C27804">
        <w:rPr>
          <w:rFonts w:ascii="DM Sans" w:hAnsi="DM Sans"/>
        </w:rPr>
        <w:t>There is an argument for the whole system to shift to non-lapsing death benefit nominations</w:t>
      </w:r>
      <w:r w:rsidR="00F73BC9" w:rsidRPr="00C27804">
        <w:rPr>
          <w:rFonts w:ascii="DM Sans" w:hAnsi="DM Sans"/>
        </w:rPr>
        <w:t xml:space="preserve"> to handle all funds remaining in super at death</w:t>
      </w:r>
      <w:r w:rsidR="003C4C80" w:rsidRPr="00C27804">
        <w:rPr>
          <w:rFonts w:ascii="DM Sans" w:hAnsi="DM Sans"/>
        </w:rPr>
        <w:t>.  This would give trustees certainty</w:t>
      </w:r>
      <w:r w:rsidR="00962A16" w:rsidRPr="00C27804">
        <w:rPr>
          <w:rFonts w:ascii="DM Sans" w:hAnsi="DM Sans"/>
        </w:rPr>
        <w:t xml:space="preserve">, radically reduce complaints, and place responsibility for bequesting where it belongs – with the super member.  </w:t>
      </w:r>
      <w:r w:rsidR="005C63BC" w:rsidRPr="00C27804">
        <w:rPr>
          <w:rFonts w:ascii="DM Sans" w:hAnsi="DM Sans"/>
        </w:rPr>
        <w:t>This is largely the framework operating for wills, where people decide what to do with their own money.</w:t>
      </w:r>
      <w:r w:rsidR="00A17157" w:rsidRPr="00C27804">
        <w:rPr>
          <w:rFonts w:ascii="DM Sans" w:hAnsi="DM Sans"/>
        </w:rPr>
        <w:t xml:space="preserve">  </w:t>
      </w:r>
      <w:r w:rsidR="00DE691B">
        <w:rPr>
          <w:rFonts w:ascii="DM Sans" w:hAnsi="DM Sans"/>
        </w:rPr>
        <w:t xml:space="preserve">Super funds </w:t>
      </w:r>
      <w:r w:rsidR="00AC6D79">
        <w:rPr>
          <w:rFonts w:ascii="DM Sans" w:hAnsi="DM Sans"/>
        </w:rPr>
        <w:t>c</w:t>
      </w:r>
      <w:r w:rsidR="00DE691B">
        <w:rPr>
          <w:rFonts w:ascii="DM Sans" w:hAnsi="DM Sans"/>
        </w:rPr>
        <w:t xml:space="preserve">ould play a role in </w:t>
      </w:r>
      <w:r w:rsidR="00A17157" w:rsidRPr="00C27804">
        <w:rPr>
          <w:rFonts w:ascii="DM Sans" w:hAnsi="DM Sans"/>
        </w:rPr>
        <w:t>reminding members to update their nominations when their life circumstances change</w:t>
      </w:r>
      <w:r w:rsidR="00BA4E30" w:rsidRPr="00C27804">
        <w:rPr>
          <w:rFonts w:ascii="DM Sans" w:hAnsi="DM Sans"/>
        </w:rPr>
        <w:t>.</w:t>
      </w:r>
    </w:p>
    <w:p w14:paraId="5D236B1F" w14:textId="77777777" w:rsidR="00451E7D" w:rsidRPr="00C27804" w:rsidRDefault="00451E7D" w:rsidP="003B0BB7">
      <w:pPr>
        <w:numPr>
          <w:ilvl w:val="1"/>
          <w:numId w:val="15"/>
        </w:numPr>
        <w:pBdr>
          <w:top w:val="single" w:sz="4" w:space="1" w:color="auto"/>
          <w:left w:val="single" w:sz="4" w:space="4" w:color="auto"/>
          <w:bottom w:val="single" w:sz="4" w:space="1" w:color="auto"/>
          <w:right w:val="single" w:sz="4" w:space="4" w:color="auto"/>
        </w:pBdr>
        <w:shd w:val="clear" w:color="auto" w:fill="E5F6F3" w:themeFill="accent3" w:themeFillTint="33"/>
        <w:ind w:left="340"/>
        <w:rPr>
          <w:rFonts w:ascii="DM Sans" w:hAnsi="DM Sans"/>
        </w:rPr>
      </w:pPr>
      <w:r w:rsidRPr="00C27804">
        <w:rPr>
          <w:rFonts w:ascii="DM Sans" w:hAnsi="DM Sans"/>
        </w:rPr>
        <w:t>Legislation could also make charity bequesting an option for super funds, so only those who consider it a net benefit would pursue the option.</w:t>
      </w:r>
    </w:p>
    <w:p w14:paraId="370E5458" w14:textId="4C8EF72A" w:rsidR="00451E7D" w:rsidRPr="00C27804" w:rsidRDefault="00BA4E30" w:rsidP="003B0BB7">
      <w:pPr>
        <w:numPr>
          <w:ilvl w:val="1"/>
          <w:numId w:val="15"/>
        </w:numPr>
        <w:pBdr>
          <w:top w:val="single" w:sz="4" w:space="1" w:color="auto"/>
          <w:left w:val="single" w:sz="4" w:space="4" w:color="auto"/>
          <w:bottom w:val="single" w:sz="4" w:space="1" w:color="auto"/>
          <w:right w:val="single" w:sz="4" w:space="4" w:color="auto"/>
        </w:pBdr>
        <w:shd w:val="clear" w:color="auto" w:fill="E5F6F3" w:themeFill="accent3" w:themeFillTint="33"/>
        <w:ind w:left="340"/>
        <w:rPr>
          <w:rFonts w:ascii="DM Sans" w:hAnsi="DM Sans"/>
        </w:rPr>
      </w:pPr>
      <w:r w:rsidRPr="00C27804">
        <w:rPr>
          <w:rFonts w:ascii="DM Sans" w:hAnsi="DM Sans"/>
        </w:rPr>
        <w:t xml:space="preserve">Even if the existing system were retained, </w:t>
      </w:r>
      <w:r w:rsidR="00356D17">
        <w:rPr>
          <w:rFonts w:ascii="DM Sans" w:hAnsi="DM Sans"/>
        </w:rPr>
        <w:t>the likely magnitude of any</w:t>
      </w:r>
      <w:r w:rsidR="005B4F90" w:rsidRPr="00C27804">
        <w:rPr>
          <w:rFonts w:ascii="DM Sans" w:hAnsi="DM Sans"/>
        </w:rPr>
        <w:t xml:space="preserve"> rise in complaints due to charity nominations would impose costs radically lower than the massive net benefits of the reform, in particular the large increase </w:t>
      </w:r>
      <w:r w:rsidR="00F36C5A" w:rsidRPr="00C27804">
        <w:rPr>
          <w:rFonts w:ascii="DM Sans" w:hAnsi="DM Sans"/>
        </w:rPr>
        <w:t xml:space="preserve">in </w:t>
      </w:r>
      <w:r w:rsidR="005B4F90" w:rsidRPr="00C27804">
        <w:rPr>
          <w:rFonts w:ascii="DM Sans" w:hAnsi="DM Sans"/>
        </w:rPr>
        <w:t xml:space="preserve">giving to </w:t>
      </w:r>
      <w:r w:rsidR="00204C2B">
        <w:rPr>
          <w:rFonts w:ascii="DM Sans" w:hAnsi="DM Sans"/>
        </w:rPr>
        <w:t xml:space="preserve">support </w:t>
      </w:r>
      <w:r w:rsidR="005B4F90" w:rsidRPr="00C27804">
        <w:rPr>
          <w:rFonts w:ascii="DM Sans" w:hAnsi="DM Sans"/>
        </w:rPr>
        <w:t>Australians in greatest need.</w:t>
      </w:r>
    </w:p>
    <w:p w14:paraId="18939E00" w14:textId="0D1B91AE" w:rsidR="00ED5724" w:rsidRPr="00C27804" w:rsidRDefault="009A483B" w:rsidP="003B0BB7">
      <w:pPr>
        <w:pStyle w:val="ListParagraph"/>
        <w:numPr>
          <w:ilvl w:val="6"/>
          <w:numId w:val="53"/>
        </w:numPr>
        <w:pBdr>
          <w:top w:val="single" w:sz="4" w:space="1" w:color="auto"/>
          <w:left w:val="single" w:sz="4" w:space="4" w:color="auto"/>
          <w:bottom w:val="single" w:sz="4" w:space="1" w:color="auto"/>
          <w:right w:val="single" w:sz="4" w:space="4" w:color="auto"/>
        </w:pBdr>
        <w:shd w:val="clear" w:color="auto" w:fill="E5F6F3" w:themeFill="accent3" w:themeFillTint="33"/>
        <w:ind w:left="340"/>
        <w:rPr>
          <w:rFonts w:ascii="DM Sans" w:hAnsi="DM Sans"/>
          <w:b/>
          <w:bCs/>
          <w:sz w:val="20"/>
        </w:rPr>
      </w:pPr>
      <w:r w:rsidRPr="00C27804">
        <w:rPr>
          <w:rFonts w:ascii="DM Sans" w:hAnsi="DM Sans"/>
          <w:b/>
          <w:bCs/>
          <w:sz w:val="20"/>
        </w:rPr>
        <w:t>What if the nominated charity no longer exists?</w:t>
      </w:r>
    </w:p>
    <w:p w14:paraId="3737EEBA" w14:textId="05610DEA" w:rsidR="00BA0F53" w:rsidRPr="00C27804" w:rsidRDefault="00BA0F53"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 xml:space="preserve">Again, the Government </w:t>
      </w:r>
      <w:r w:rsidR="00FD02E0">
        <w:rPr>
          <w:rFonts w:ascii="DM Sans" w:hAnsi="DM Sans"/>
        </w:rPr>
        <w:t>sh</w:t>
      </w:r>
      <w:r w:rsidRPr="00C27804">
        <w:rPr>
          <w:rFonts w:ascii="DM Sans" w:hAnsi="DM Sans"/>
        </w:rPr>
        <w:t xml:space="preserve">ould consult the super industry and specialist lawyers on options here but PA notes:   </w:t>
      </w:r>
    </w:p>
    <w:p w14:paraId="78C5D196" w14:textId="104B21DC" w:rsidR="000B0CB0" w:rsidRPr="00C27804" w:rsidRDefault="007B690E" w:rsidP="003B0BB7">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sz w:val="20"/>
        </w:rPr>
      </w:pPr>
      <w:r w:rsidRPr="00C27804">
        <w:rPr>
          <w:rFonts w:ascii="DM Sans" w:hAnsi="DM Sans"/>
          <w:sz w:val="20"/>
        </w:rPr>
        <w:t xml:space="preserve">Super members could </w:t>
      </w:r>
      <w:r w:rsidR="00204C2B">
        <w:rPr>
          <w:rFonts w:ascii="DM Sans" w:hAnsi="DM Sans"/>
          <w:sz w:val="20"/>
        </w:rPr>
        <w:t xml:space="preserve">be asked to </w:t>
      </w:r>
      <w:r w:rsidRPr="00C27804">
        <w:rPr>
          <w:rFonts w:ascii="DM Sans" w:hAnsi="DM Sans"/>
          <w:sz w:val="20"/>
        </w:rPr>
        <w:t xml:space="preserve">nominate </w:t>
      </w:r>
      <w:r w:rsidR="00D64948" w:rsidRPr="00C27804">
        <w:rPr>
          <w:rFonts w:ascii="DM Sans" w:hAnsi="DM Sans"/>
          <w:sz w:val="20"/>
        </w:rPr>
        <w:t xml:space="preserve">a list of back up options in their order of preference – charities that would </w:t>
      </w:r>
      <w:r w:rsidR="00B82921" w:rsidRPr="00C27804">
        <w:rPr>
          <w:rFonts w:ascii="DM Sans" w:hAnsi="DM Sans"/>
          <w:sz w:val="20"/>
        </w:rPr>
        <w:t>receive the funds should the nominated charity no longer exist.</w:t>
      </w:r>
    </w:p>
    <w:p w14:paraId="08A6A75F" w14:textId="2A87F66A" w:rsidR="00B504E1" w:rsidRPr="00C27804" w:rsidRDefault="00B504E1" w:rsidP="003B0BB7">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57" w:hanging="357"/>
        <w:rPr>
          <w:rFonts w:ascii="DM Sans" w:hAnsi="DM Sans"/>
          <w:sz w:val="20"/>
        </w:rPr>
      </w:pPr>
      <w:r w:rsidRPr="00C27804">
        <w:rPr>
          <w:rFonts w:ascii="DM Sans" w:hAnsi="DM Sans"/>
          <w:sz w:val="20"/>
        </w:rPr>
        <w:t>If all the charities ceased to exist, remaining funds could flow to nominated beneficiaries.</w:t>
      </w:r>
    </w:p>
    <w:p w14:paraId="57C7D2C5" w14:textId="77777777" w:rsidR="001815D8" w:rsidRPr="00C27804" w:rsidRDefault="001815D8" w:rsidP="003B0BB7">
      <w:pPr>
        <w:pStyle w:val="ListParagraph"/>
        <w:numPr>
          <w:ilvl w:val="6"/>
          <w:numId w:val="53"/>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40"/>
        <w:rPr>
          <w:rFonts w:ascii="DM Sans" w:hAnsi="DM Sans"/>
          <w:b/>
          <w:bCs/>
          <w:sz w:val="20"/>
        </w:rPr>
      </w:pPr>
      <w:r w:rsidRPr="00C27804">
        <w:rPr>
          <w:rFonts w:ascii="DM Sans" w:hAnsi="DM Sans"/>
          <w:b/>
          <w:bCs/>
          <w:sz w:val="20"/>
        </w:rPr>
        <w:t>Other implications for super funds and trustees</w:t>
      </w:r>
    </w:p>
    <w:p w14:paraId="62E7D3B2" w14:textId="6C8285D0" w:rsidR="001815D8" w:rsidRPr="00C27804" w:rsidRDefault="00031DC5"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Along with challenges for super funds and trustees, super bequests would provide benefits:</w:t>
      </w:r>
    </w:p>
    <w:p w14:paraId="7F24BA70" w14:textId="674DACA1" w:rsidR="004C615C" w:rsidRPr="00C27804" w:rsidRDefault="004C615C" w:rsidP="003B0BB7">
      <w:pPr>
        <w:numPr>
          <w:ilvl w:val="0"/>
          <w:numId w:val="56"/>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b/>
          <w:bCs/>
        </w:rPr>
        <w:t xml:space="preserve">Competitive advantage for super funds through ESG and market positioning: </w:t>
      </w:r>
      <w:r w:rsidR="00323503" w:rsidRPr="00C27804">
        <w:rPr>
          <w:rFonts w:ascii="DM Sans" w:hAnsi="DM Sans"/>
        </w:rPr>
        <w:t xml:space="preserve">Some super funds are attracting market share with a business model that emphasises having positive impact in the community, </w:t>
      </w:r>
      <w:r w:rsidR="00306209" w:rsidRPr="00C27804">
        <w:rPr>
          <w:rFonts w:ascii="DM Sans" w:hAnsi="DM Sans"/>
        </w:rPr>
        <w:t xml:space="preserve">such as through ethical investment strategies.  </w:t>
      </w:r>
      <w:r w:rsidRPr="00C27804">
        <w:rPr>
          <w:rFonts w:ascii="DM Sans" w:hAnsi="DM Sans"/>
        </w:rPr>
        <w:t xml:space="preserve">First movers in the sector would attract additional business from customers and attract talented staff who feel pride in supporting super funds committed to building a stronger society.  </w:t>
      </w:r>
    </w:p>
    <w:p w14:paraId="3F116528" w14:textId="7750BEAC" w:rsidR="004C615C" w:rsidRPr="00C27804" w:rsidRDefault="004C615C" w:rsidP="003B0BB7">
      <w:pPr>
        <w:numPr>
          <w:ilvl w:val="0"/>
          <w:numId w:val="56"/>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b/>
          <w:bCs/>
        </w:rPr>
        <w:t>Increased community support for the sector as a whole:</w:t>
      </w:r>
      <w:r w:rsidRPr="00C27804">
        <w:rPr>
          <w:rFonts w:ascii="DM Sans" w:hAnsi="DM Sans"/>
        </w:rPr>
        <w:t xml:space="preserve"> </w:t>
      </w:r>
      <w:r w:rsidR="0065552F">
        <w:rPr>
          <w:rFonts w:ascii="DM Sans" w:hAnsi="DM Sans"/>
        </w:rPr>
        <w:t>Many in the</w:t>
      </w:r>
      <w:r w:rsidRPr="00C27804">
        <w:rPr>
          <w:rFonts w:ascii="DM Sans" w:hAnsi="DM Sans"/>
        </w:rPr>
        <w:t xml:space="preserve"> Australian community would warmly welcome the generous work of super funds, helping to strengthen their social licence.  </w:t>
      </w:r>
    </w:p>
    <w:p w14:paraId="563FAE28" w14:textId="3FC14587" w:rsidR="00750773" w:rsidRPr="00C27804" w:rsidRDefault="004C615C" w:rsidP="003B0BB7">
      <w:pPr>
        <w:numPr>
          <w:ilvl w:val="0"/>
          <w:numId w:val="56"/>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b/>
          <w:bCs/>
        </w:rPr>
        <w:t xml:space="preserve">Facilitating </w:t>
      </w:r>
      <w:r w:rsidR="00750773" w:rsidRPr="00C27804">
        <w:rPr>
          <w:rFonts w:ascii="DM Sans" w:hAnsi="DM Sans"/>
          <w:b/>
          <w:bCs/>
        </w:rPr>
        <w:t>transformational change</w:t>
      </w:r>
      <w:r w:rsidR="00750773" w:rsidRPr="00C27804">
        <w:rPr>
          <w:rFonts w:ascii="DM Sans" w:hAnsi="DM Sans"/>
        </w:rPr>
        <w:t xml:space="preserve"> for Australians in greatest need, through the tens of billions raised.</w:t>
      </w:r>
    </w:p>
    <w:p w14:paraId="64091736" w14:textId="6674AE52" w:rsidR="00750773" w:rsidRPr="00C27804" w:rsidRDefault="00750773" w:rsidP="003B0BB7">
      <w:pPr>
        <w:numPr>
          <w:ilvl w:val="0"/>
          <w:numId w:val="56"/>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b/>
          <w:bCs/>
        </w:rPr>
        <w:lastRenderedPageBreak/>
        <w:t>Democratising giving:</w:t>
      </w:r>
      <w:r w:rsidRPr="00C27804">
        <w:rPr>
          <w:rFonts w:ascii="DM Sans" w:hAnsi="DM Sans"/>
        </w:rPr>
        <w:t xml:space="preserve"> Super bequest reform would position </w:t>
      </w:r>
      <w:r w:rsidR="00381263">
        <w:rPr>
          <w:rFonts w:ascii="DM Sans" w:hAnsi="DM Sans"/>
        </w:rPr>
        <w:t>more</w:t>
      </w:r>
      <w:r w:rsidRPr="00C27804">
        <w:rPr>
          <w:rFonts w:ascii="DM Sans" w:hAnsi="DM Sans"/>
        </w:rPr>
        <w:t xml:space="preserve"> Australians to participate in the joy and pride of giving. </w:t>
      </w:r>
    </w:p>
    <w:p w14:paraId="3F290DB0" w14:textId="27EDA536" w:rsidR="001E6D8A" w:rsidRPr="00C27804" w:rsidRDefault="001E6D8A" w:rsidP="003B0BB7">
      <w:pPr>
        <w:pStyle w:val="ListParagraph"/>
        <w:numPr>
          <w:ilvl w:val="6"/>
          <w:numId w:val="53"/>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40"/>
        <w:rPr>
          <w:rFonts w:ascii="DM Sans" w:hAnsi="DM Sans"/>
          <w:b/>
          <w:bCs/>
          <w:sz w:val="20"/>
        </w:rPr>
      </w:pPr>
      <w:r w:rsidRPr="00C27804">
        <w:rPr>
          <w:rFonts w:ascii="DM Sans" w:hAnsi="DM Sans"/>
          <w:b/>
          <w:bCs/>
          <w:sz w:val="20"/>
        </w:rPr>
        <w:t>Safeguards for members and dependents</w:t>
      </w:r>
    </w:p>
    <w:p w14:paraId="427D962C" w14:textId="2AC6EE72" w:rsidR="00BC2BF6" w:rsidRPr="00C27804" w:rsidRDefault="00BC2BF6"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Super bequests do not impact a member’s accumulation of funds or funds drawn down in retirement, as they involve bequesting funds after a person is dead.</w:t>
      </w:r>
    </w:p>
    <w:p w14:paraId="0B03880E" w14:textId="091E775F" w:rsidR="00186D45" w:rsidRPr="00C27804" w:rsidRDefault="00105ACD"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 xml:space="preserve">Protecting dependents is </w:t>
      </w:r>
      <w:r w:rsidR="00750773" w:rsidRPr="00C27804">
        <w:rPr>
          <w:rFonts w:ascii="DM Sans" w:hAnsi="DM Sans"/>
        </w:rPr>
        <w:t xml:space="preserve">clearly very </w:t>
      </w:r>
      <w:r w:rsidRPr="00C27804">
        <w:rPr>
          <w:rFonts w:ascii="DM Sans" w:hAnsi="DM Sans"/>
        </w:rPr>
        <w:t>important</w:t>
      </w:r>
      <w:r w:rsidR="00BA41ED" w:rsidRPr="00C27804">
        <w:rPr>
          <w:rFonts w:ascii="DM Sans" w:hAnsi="DM Sans"/>
        </w:rPr>
        <w:t>.</w:t>
      </w:r>
    </w:p>
    <w:p w14:paraId="66F6F13F" w14:textId="0AD7B997" w:rsidR="00BC2BF6" w:rsidRPr="00C27804" w:rsidRDefault="00BC2BF6" w:rsidP="003B0BB7">
      <w:pPr>
        <w:pStyle w:val="ListParagraph"/>
        <w:numPr>
          <w:ilvl w:val="0"/>
          <w:numId w:val="75"/>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sz w:val="20"/>
        </w:rPr>
      </w:pPr>
      <w:r w:rsidRPr="00C27804">
        <w:rPr>
          <w:rFonts w:ascii="DM Sans" w:hAnsi="DM Sans"/>
          <w:sz w:val="20"/>
        </w:rPr>
        <w:t>We can expect bequests to largely occur in families with the means to support charity, as well as provide generous support to dependents</w:t>
      </w:r>
      <w:r w:rsidR="00CF3B13">
        <w:rPr>
          <w:rFonts w:ascii="DM Sans" w:hAnsi="DM Sans"/>
          <w:sz w:val="20"/>
        </w:rPr>
        <w:t>, from remaining super and/or other assets</w:t>
      </w:r>
      <w:r w:rsidRPr="00C27804">
        <w:rPr>
          <w:rFonts w:ascii="DM Sans" w:hAnsi="DM Sans"/>
          <w:sz w:val="20"/>
        </w:rPr>
        <w:t>.</w:t>
      </w:r>
    </w:p>
    <w:p w14:paraId="2A91E0DE" w14:textId="66029510" w:rsidR="00BC2BF6" w:rsidRPr="00C27804" w:rsidRDefault="00BC2BF6" w:rsidP="003B0BB7">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sz w:val="20"/>
        </w:rPr>
      </w:pPr>
      <w:r w:rsidRPr="00C27804">
        <w:rPr>
          <w:rFonts w:ascii="DM Sans" w:hAnsi="DM Sans"/>
          <w:sz w:val="20"/>
        </w:rPr>
        <w:t xml:space="preserve">It is also important to address another critical equity risk – that the explosion of wealth at the top end of Australian society will simply be passed on to </w:t>
      </w:r>
      <w:r w:rsidR="00E96EAA">
        <w:rPr>
          <w:rFonts w:ascii="DM Sans" w:hAnsi="DM Sans"/>
          <w:sz w:val="20"/>
        </w:rPr>
        <w:t xml:space="preserve">their advantaged </w:t>
      </w:r>
      <w:r w:rsidRPr="00C27804">
        <w:rPr>
          <w:rFonts w:ascii="DM Sans" w:hAnsi="DM Sans"/>
          <w:sz w:val="20"/>
        </w:rPr>
        <w:t xml:space="preserve">dependents, rather than </w:t>
      </w:r>
      <w:r w:rsidR="002543FA">
        <w:rPr>
          <w:rFonts w:ascii="DM Sans" w:hAnsi="DM Sans"/>
          <w:sz w:val="20"/>
        </w:rPr>
        <w:t xml:space="preserve">at least partially </w:t>
      </w:r>
      <w:r w:rsidRPr="00C27804">
        <w:rPr>
          <w:rFonts w:ascii="DM Sans" w:hAnsi="DM Sans"/>
          <w:sz w:val="20"/>
        </w:rPr>
        <w:t xml:space="preserve">shared to help create opportunity for </w:t>
      </w:r>
      <w:r w:rsidR="00780469">
        <w:rPr>
          <w:rFonts w:ascii="DM Sans" w:hAnsi="DM Sans"/>
          <w:sz w:val="20"/>
        </w:rPr>
        <w:t>people in greatest need</w:t>
      </w:r>
      <w:r w:rsidRPr="00C27804">
        <w:rPr>
          <w:rFonts w:ascii="DM Sans" w:hAnsi="DM Sans"/>
          <w:sz w:val="20"/>
        </w:rPr>
        <w:t xml:space="preserve">.  The ban on charity </w:t>
      </w:r>
      <w:proofErr w:type="gramStart"/>
      <w:r w:rsidRPr="00C27804">
        <w:rPr>
          <w:rFonts w:ascii="DM Sans" w:hAnsi="DM Sans"/>
          <w:sz w:val="20"/>
        </w:rPr>
        <w:t>bequests</w:t>
      </w:r>
      <w:proofErr w:type="gramEnd"/>
      <w:r w:rsidRPr="00C27804">
        <w:rPr>
          <w:rFonts w:ascii="DM Sans" w:hAnsi="DM Sans"/>
          <w:sz w:val="20"/>
        </w:rPr>
        <w:t xml:space="preserve"> </w:t>
      </w:r>
      <w:r w:rsidR="00F62CA5">
        <w:rPr>
          <w:rFonts w:ascii="DM Sans" w:hAnsi="DM Sans"/>
          <w:sz w:val="20"/>
        </w:rPr>
        <w:t xml:space="preserve">makes </w:t>
      </w:r>
      <w:r w:rsidR="004C2DC0">
        <w:rPr>
          <w:rFonts w:ascii="DM Sans" w:hAnsi="DM Sans"/>
          <w:sz w:val="20"/>
        </w:rPr>
        <w:t xml:space="preserve">this very difficult to achieve </w:t>
      </w:r>
      <w:r w:rsidRPr="00C27804">
        <w:rPr>
          <w:rFonts w:ascii="DM Sans" w:hAnsi="DM Sans"/>
          <w:sz w:val="20"/>
        </w:rPr>
        <w:t>through super under current rules.</w:t>
      </w:r>
    </w:p>
    <w:p w14:paraId="6D6FC503" w14:textId="104C286D" w:rsidR="006D5D44" w:rsidRPr="00C27804" w:rsidRDefault="00070CF5" w:rsidP="003B0BB7">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57" w:hanging="357"/>
        <w:rPr>
          <w:rFonts w:ascii="DM Sans" w:hAnsi="DM Sans"/>
          <w:sz w:val="20"/>
        </w:rPr>
      </w:pPr>
      <w:r w:rsidRPr="00C27804">
        <w:rPr>
          <w:rFonts w:ascii="DM Sans" w:hAnsi="DM Sans"/>
          <w:sz w:val="20"/>
        </w:rPr>
        <w:t>There may be a need for considering extra safeguards</w:t>
      </w:r>
      <w:r w:rsidR="007D365E" w:rsidRPr="00C27804">
        <w:rPr>
          <w:rFonts w:ascii="DM Sans" w:hAnsi="DM Sans"/>
          <w:sz w:val="20"/>
        </w:rPr>
        <w:t xml:space="preserve">, having regard to: </w:t>
      </w:r>
      <w:r w:rsidR="00153EAC" w:rsidRPr="00C27804">
        <w:rPr>
          <w:rFonts w:ascii="DM Sans" w:hAnsi="DM Sans"/>
          <w:sz w:val="20"/>
        </w:rPr>
        <w:t xml:space="preserve">on the one hand, </w:t>
      </w:r>
      <w:r w:rsidR="007D365E" w:rsidRPr="00C27804">
        <w:rPr>
          <w:rFonts w:ascii="DM Sans" w:hAnsi="DM Sans"/>
          <w:sz w:val="20"/>
        </w:rPr>
        <w:t xml:space="preserve">the need to ensure </w:t>
      </w:r>
      <w:r w:rsidR="00153EAC" w:rsidRPr="00C27804">
        <w:rPr>
          <w:rFonts w:ascii="DM Sans" w:hAnsi="DM Sans"/>
          <w:sz w:val="20"/>
        </w:rPr>
        <w:t xml:space="preserve">minimum </w:t>
      </w:r>
      <w:r w:rsidR="007D365E" w:rsidRPr="00C27804">
        <w:rPr>
          <w:rFonts w:ascii="DM Sans" w:hAnsi="DM Sans"/>
          <w:sz w:val="20"/>
        </w:rPr>
        <w:t xml:space="preserve">provision for dependents, </w:t>
      </w:r>
      <w:r w:rsidR="00CD6758">
        <w:rPr>
          <w:rFonts w:ascii="DM Sans" w:hAnsi="DM Sans"/>
          <w:sz w:val="20"/>
        </w:rPr>
        <w:t>and in particular</w:t>
      </w:r>
      <w:r w:rsidR="007D365E" w:rsidRPr="00C27804">
        <w:rPr>
          <w:rFonts w:ascii="DM Sans" w:hAnsi="DM Sans"/>
          <w:sz w:val="20"/>
        </w:rPr>
        <w:t xml:space="preserve"> children</w:t>
      </w:r>
      <w:r w:rsidR="002D6EEA" w:rsidRPr="00C27804">
        <w:rPr>
          <w:rFonts w:ascii="DM Sans" w:hAnsi="DM Sans"/>
          <w:sz w:val="20"/>
        </w:rPr>
        <w:t>, from super and the broader estate</w:t>
      </w:r>
      <w:r w:rsidR="00153EAC" w:rsidRPr="00C27804">
        <w:rPr>
          <w:rFonts w:ascii="DM Sans" w:hAnsi="DM Sans"/>
          <w:sz w:val="20"/>
        </w:rPr>
        <w:t xml:space="preserve">; and on the other, </w:t>
      </w:r>
      <w:r w:rsidR="002D6EEA" w:rsidRPr="00C27804">
        <w:rPr>
          <w:rFonts w:ascii="DM Sans" w:hAnsi="DM Sans"/>
          <w:sz w:val="20"/>
        </w:rPr>
        <w:t>the desirability to provide maximum freedom</w:t>
      </w:r>
      <w:r w:rsidR="009232A1" w:rsidRPr="00C27804">
        <w:rPr>
          <w:rFonts w:ascii="DM Sans" w:hAnsi="DM Sans"/>
          <w:sz w:val="20"/>
        </w:rPr>
        <w:t xml:space="preserve"> to give to charity, especially among those most fortunately placed.</w:t>
      </w:r>
    </w:p>
    <w:p w14:paraId="706FE9C9" w14:textId="77777777" w:rsidR="00977F6F" w:rsidRPr="00C27804" w:rsidRDefault="00977F6F" w:rsidP="003B0BB7">
      <w:pPr>
        <w:pStyle w:val="ListParagraph"/>
        <w:numPr>
          <w:ilvl w:val="6"/>
          <w:numId w:val="53"/>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40"/>
        <w:rPr>
          <w:rFonts w:ascii="DM Sans" w:hAnsi="DM Sans"/>
          <w:b/>
          <w:bCs/>
          <w:sz w:val="20"/>
        </w:rPr>
      </w:pPr>
      <w:r w:rsidRPr="00C27804">
        <w:rPr>
          <w:rFonts w:ascii="DM Sans" w:hAnsi="DM Sans"/>
          <w:b/>
          <w:bCs/>
          <w:sz w:val="20"/>
        </w:rPr>
        <w:t>Reception by superannuation fund members</w:t>
      </w:r>
    </w:p>
    <w:p w14:paraId="647A50FA" w14:textId="5B345420" w:rsidR="005042D0" w:rsidRPr="00C27804" w:rsidRDefault="00F6575F"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 xml:space="preserve">The PC notes </w:t>
      </w:r>
      <w:r w:rsidR="002E660A" w:rsidRPr="00C27804">
        <w:rPr>
          <w:rFonts w:ascii="DM Sans" w:hAnsi="DM Sans"/>
        </w:rPr>
        <w:t>‘</w:t>
      </w:r>
      <w:r w:rsidRPr="00C27804">
        <w:rPr>
          <w:rFonts w:ascii="DM Sans" w:hAnsi="DM Sans"/>
        </w:rPr>
        <w:t>It would particularly welcome perspectives from superannuation fund members</w:t>
      </w:r>
      <w:r w:rsidR="002E660A" w:rsidRPr="00C27804">
        <w:rPr>
          <w:rFonts w:ascii="DM Sans" w:hAnsi="DM Sans"/>
        </w:rPr>
        <w:t xml:space="preserve">.’  </w:t>
      </w:r>
      <w:r w:rsidR="00977F6F" w:rsidRPr="00C27804">
        <w:rPr>
          <w:rFonts w:ascii="DM Sans" w:hAnsi="DM Sans"/>
        </w:rPr>
        <w:t>In a poll of more than 2,500 Australians conducted in November 2022, Redbridge found 75 per cent support for the reform, with just 5.8 per cent opposed and 19.2 per cent neutral or not sure.  This was the highest support for any of the reforms tested in the polling.</w:t>
      </w:r>
      <w:r w:rsidR="00347261" w:rsidRPr="00C27804">
        <w:rPr>
          <w:rFonts w:ascii="DM Sans" w:hAnsi="DM Sans"/>
        </w:rPr>
        <w:t xml:space="preserve">  </w:t>
      </w:r>
      <w:r w:rsidR="003A5F8D" w:rsidRPr="00C27804">
        <w:rPr>
          <w:rFonts w:ascii="DM Sans" w:hAnsi="DM Sans"/>
        </w:rPr>
        <w:t>As evidenced by responses in six focus groups run by Redbridge, m</w:t>
      </w:r>
      <w:r w:rsidR="0095505F" w:rsidRPr="00C27804">
        <w:rPr>
          <w:rFonts w:ascii="DM Sans" w:hAnsi="DM Sans"/>
        </w:rPr>
        <w:t xml:space="preserve">ost people told of super bequests </w:t>
      </w:r>
      <w:r w:rsidR="00755452" w:rsidRPr="00C27804">
        <w:rPr>
          <w:rFonts w:ascii="DM Sans" w:hAnsi="DM Sans"/>
        </w:rPr>
        <w:t>rapidly agree with the idea, seeing it as self-evidently sensible</w:t>
      </w:r>
      <w:r w:rsidR="003A5F8D" w:rsidRPr="00C27804">
        <w:rPr>
          <w:rFonts w:ascii="DM Sans" w:hAnsi="DM Sans"/>
        </w:rPr>
        <w:t xml:space="preserve">, </w:t>
      </w:r>
      <w:r w:rsidR="003548B0" w:rsidRPr="00C27804">
        <w:rPr>
          <w:rFonts w:ascii="DM Sans" w:hAnsi="DM Sans"/>
        </w:rPr>
        <w:t>as typified by these statements:</w:t>
      </w:r>
    </w:p>
    <w:p w14:paraId="650579F8" w14:textId="77777777" w:rsidR="005042D0" w:rsidRPr="00C27804" w:rsidRDefault="005042D0"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 xml:space="preserve">“Well, I </w:t>
      </w:r>
      <w:proofErr w:type="gramStart"/>
      <w:r w:rsidRPr="00C27804">
        <w:rPr>
          <w:rFonts w:ascii="DM Sans" w:hAnsi="DM Sans"/>
        </w:rPr>
        <w:t>actually thought</w:t>
      </w:r>
      <w:proofErr w:type="gramEnd"/>
      <w:r w:rsidRPr="00C27804">
        <w:rPr>
          <w:rFonts w:ascii="DM Sans" w:hAnsi="DM Sans"/>
        </w:rPr>
        <w:t xml:space="preserve"> [a super bequest] was something that you could easily do. I didn't realise it was so difficult. I think that making it more accessible is a great idea.” </w:t>
      </w:r>
    </w:p>
    <w:p w14:paraId="1E25036D" w14:textId="29AC838F" w:rsidR="005042D0" w:rsidRPr="00C27804" w:rsidRDefault="005042D0"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 xml:space="preserve">“I think it sounds great. More people would </w:t>
      </w:r>
      <w:proofErr w:type="gramStart"/>
      <w:r w:rsidRPr="00C27804">
        <w:rPr>
          <w:rFonts w:ascii="DM Sans" w:hAnsi="DM Sans"/>
        </w:rPr>
        <w:t>definitely do</w:t>
      </w:r>
      <w:proofErr w:type="gramEnd"/>
      <w:r w:rsidRPr="00C27804">
        <w:rPr>
          <w:rFonts w:ascii="DM Sans" w:hAnsi="DM Sans"/>
        </w:rPr>
        <w:t xml:space="preserve"> it if it was easier.</w:t>
      </w:r>
      <w:r w:rsidR="005A78CE" w:rsidRPr="00C27804">
        <w:rPr>
          <w:rFonts w:ascii="DM Sans" w:hAnsi="DM Sans"/>
        </w:rPr>
        <w:t>”</w:t>
      </w:r>
      <w:r w:rsidRPr="00C27804">
        <w:rPr>
          <w:rFonts w:ascii="DM Sans" w:hAnsi="DM Sans"/>
        </w:rPr>
        <w:t xml:space="preserve"> </w:t>
      </w:r>
    </w:p>
    <w:p w14:paraId="20ED73C8" w14:textId="6B8FDD44" w:rsidR="00B731A1" w:rsidRPr="00C27804" w:rsidRDefault="00B731A1" w:rsidP="003B0BB7">
      <w:pPr>
        <w:pStyle w:val="ListParagraph"/>
        <w:numPr>
          <w:ilvl w:val="6"/>
          <w:numId w:val="53"/>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40"/>
        <w:rPr>
          <w:rFonts w:ascii="DM Sans" w:hAnsi="DM Sans"/>
          <w:b/>
          <w:bCs/>
          <w:sz w:val="20"/>
        </w:rPr>
      </w:pPr>
      <w:r w:rsidRPr="00C27804">
        <w:rPr>
          <w:rFonts w:ascii="DM Sans" w:hAnsi="DM Sans"/>
          <w:b/>
          <w:bCs/>
          <w:sz w:val="20"/>
        </w:rPr>
        <w:t>Alignment with the purpose of super.</w:t>
      </w:r>
    </w:p>
    <w:p w14:paraId="507F82B7" w14:textId="39B5D804" w:rsidR="00B731A1" w:rsidRPr="00C27804" w:rsidRDefault="00B731A1"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 xml:space="preserve">The Government’s proposed objective for super is ‘to preserve savings to deliver income for a dignified retirement, alongside government support, in an equitable and sustainable way.’  PA strongly agrees superannuation is a crucial system, enabling </w:t>
      </w:r>
      <w:r w:rsidR="00105F22">
        <w:rPr>
          <w:rFonts w:ascii="DM Sans" w:hAnsi="DM Sans"/>
        </w:rPr>
        <w:t xml:space="preserve">millions more </w:t>
      </w:r>
      <w:r w:rsidRPr="00C27804">
        <w:rPr>
          <w:rFonts w:ascii="DM Sans" w:hAnsi="DM Sans"/>
        </w:rPr>
        <w:t xml:space="preserve">people to live out their retirement with reasonable incomes.  The super bequest proposal is not inconsistent with the core purpose of super:  It has no impact on retirement incomes as funding would only pass to charity after the person has passed away.  The reality is that people die with superannuation savings intact, so policy cannot simply consider the retirement phase.  </w:t>
      </w:r>
      <w:r w:rsidR="00EF71EE">
        <w:rPr>
          <w:rFonts w:ascii="DM Sans" w:hAnsi="DM Sans"/>
        </w:rPr>
        <w:t xml:space="preserve">Trillions </w:t>
      </w:r>
      <w:r w:rsidR="001E0DC2">
        <w:rPr>
          <w:rFonts w:ascii="DM Sans" w:hAnsi="DM Sans"/>
        </w:rPr>
        <w:t>of funds passed on at death will flow in the 21</w:t>
      </w:r>
      <w:r w:rsidR="001E0DC2" w:rsidRPr="001E0DC2">
        <w:rPr>
          <w:rFonts w:ascii="DM Sans" w:hAnsi="DM Sans"/>
          <w:vertAlign w:val="superscript"/>
        </w:rPr>
        <w:t>st</w:t>
      </w:r>
      <w:r w:rsidR="001E0DC2">
        <w:rPr>
          <w:rFonts w:ascii="DM Sans" w:hAnsi="DM Sans"/>
        </w:rPr>
        <w:t xml:space="preserve"> century.  </w:t>
      </w:r>
      <w:r w:rsidRPr="00C27804">
        <w:rPr>
          <w:rFonts w:ascii="DM Sans" w:hAnsi="DM Sans"/>
        </w:rPr>
        <w:t>Enabling people to give some of their remaining funds to charity as simply as possible is a fair and socially positive thing to do.</w:t>
      </w:r>
    </w:p>
    <w:p w14:paraId="3397F128" w14:textId="3846DDD0" w:rsidR="00F2501C" w:rsidRPr="00C27804" w:rsidRDefault="00F2501C" w:rsidP="003B0BB7">
      <w:pPr>
        <w:pStyle w:val="ListParagraph"/>
        <w:numPr>
          <w:ilvl w:val="6"/>
          <w:numId w:val="53"/>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40"/>
        <w:rPr>
          <w:rFonts w:ascii="DM Sans" w:hAnsi="DM Sans"/>
          <w:b/>
          <w:bCs/>
          <w:sz w:val="20"/>
        </w:rPr>
      </w:pPr>
      <w:r w:rsidRPr="00C27804">
        <w:rPr>
          <w:rFonts w:ascii="DM Sans" w:hAnsi="DM Sans"/>
          <w:b/>
          <w:bCs/>
          <w:sz w:val="20"/>
        </w:rPr>
        <w:t>Alignment with the Retirement Income Covenant</w:t>
      </w:r>
    </w:p>
    <w:p w14:paraId="7D908078" w14:textId="3590D43C" w:rsidR="00B731A1" w:rsidRPr="00C27804" w:rsidRDefault="002803BA"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Th</w:t>
      </w:r>
      <w:r w:rsidR="005E2967" w:rsidRPr="00C27804">
        <w:rPr>
          <w:rFonts w:ascii="DM Sans" w:hAnsi="DM Sans"/>
        </w:rPr>
        <w:t>e Retirement Income Covenant places a positive obligation on superannuation fund trustees to assist members in or approaching retirement to improve their retirement outcomes</w:t>
      </w:r>
      <w:r w:rsidRPr="00C27804">
        <w:rPr>
          <w:rFonts w:ascii="DM Sans" w:hAnsi="DM Sans"/>
        </w:rPr>
        <w:t xml:space="preserve">, including by spending down their </w:t>
      </w:r>
      <w:r w:rsidR="00D74842" w:rsidRPr="00C27804">
        <w:rPr>
          <w:rFonts w:ascii="DM Sans" w:hAnsi="DM Sans"/>
        </w:rPr>
        <w:t>super</w:t>
      </w:r>
      <w:r w:rsidR="005E2967" w:rsidRPr="00C27804">
        <w:rPr>
          <w:rFonts w:ascii="DM Sans" w:hAnsi="DM Sans"/>
        </w:rPr>
        <w:t xml:space="preserve">. </w:t>
      </w:r>
      <w:r w:rsidR="00B44C9B" w:rsidRPr="00C27804">
        <w:rPr>
          <w:rFonts w:ascii="DM Sans" w:hAnsi="DM Sans"/>
        </w:rPr>
        <w:t xml:space="preserve">This is not inconsistent with the proposed super bequest reform.  </w:t>
      </w:r>
      <w:r w:rsidR="0071046D" w:rsidRPr="00C27804">
        <w:rPr>
          <w:rFonts w:ascii="DM Sans" w:hAnsi="DM Sans"/>
        </w:rPr>
        <w:t xml:space="preserve">While </w:t>
      </w:r>
      <w:r w:rsidR="00B44C9B" w:rsidRPr="00C27804">
        <w:rPr>
          <w:rFonts w:ascii="DM Sans" w:hAnsi="DM Sans"/>
        </w:rPr>
        <w:t>it</w:t>
      </w:r>
      <w:r w:rsidR="0071046D" w:rsidRPr="00C27804">
        <w:rPr>
          <w:rFonts w:ascii="DM Sans" w:hAnsi="DM Sans"/>
        </w:rPr>
        <w:t xml:space="preserve"> could lead to a larger percentage of funds being spent down, aggregate sums remaining at death will still be very large</w:t>
      </w:r>
      <w:r w:rsidR="00EE22DE" w:rsidRPr="00C27804">
        <w:rPr>
          <w:rFonts w:ascii="DM Sans" w:hAnsi="DM Sans"/>
        </w:rPr>
        <w:t xml:space="preserve">, and super members should still have a simple process available to them to </w:t>
      </w:r>
      <w:r w:rsidR="008D24BC" w:rsidRPr="00C27804">
        <w:rPr>
          <w:rFonts w:ascii="DM Sans" w:hAnsi="DM Sans"/>
        </w:rPr>
        <w:t>donate remaining funds to charity</w:t>
      </w:r>
      <w:r w:rsidR="008474D0">
        <w:rPr>
          <w:rFonts w:ascii="DM Sans" w:hAnsi="DM Sans"/>
        </w:rPr>
        <w:t>, should they choose to do so</w:t>
      </w:r>
      <w:r w:rsidR="00B44C9B" w:rsidRPr="00C27804">
        <w:rPr>
          <w:rFonts w:ascii="DM Sans" w:hAnsi="DM Sans"/>
        </w:rPr>
        <w:t xml:space="preserve">.  </w:t>
      </w:r>
    </w:p>
    <w:p w14:paraId="73A2B9AD" w14:textId="77777777" w:rsidR="00491E8C" w:rsidRPr="00C27804" w:rsidRDefault="00491E8C">
      <w:pPr>
        <w:rPr>
          <w:rFonts w:ascii="DM Sans" w:hAnsi="DM Sans"/>
          <w:b/>
          <w:bCs/>
        </w:rPr>
      </w:pPr>
    </w:p>
    <w:p w14:paraId="490159D9" w14:textId="09173C2E" w:rsidR="00795A77" w:rsidRPr="00C27804" w:rsidRDefault="00E953E8" w:rsidP="00A547B7">
      <w:pPr>
        <w:pStyle w:val="Heading2"/>
        <w:numPr>
          <w:ilvl w:val="1"/>
          <w:numId w:val="95"/>
        </w:numPr>
        <w:rPr>
          <w:rFonts w:ascii="DM Sans" w:hAnsi="DM Sans"/>
        </w:rPr>
      </w:pPr>
      <w:bookmarkStart w:id="10" w:name="_Toc158381887"/>
      <w:r w:rsidRPr="00C27804">
        <w:rPr>
          <w:rFonts w:ascii="DM Sans" w:hAnsi="DM Sans"/>
        </w:rPr>
        <w:lastRenderedPageBreak/>
        <w:t>A voluntary choice to donate as part of the tax return process</w:t>
      </w:r>
      <w:bookmarkEnd w:id="10"/>
    </w:p>
    <w:tbl>
      <w:tblPr>
        <w:tblStyle w:val="PullOutTable"/>
        <w:tblW w:w="0" w:type="auto"/>
        <w:shd w:val="clear" w:color="auto" w:fill="DBE3F7" w:themeFill="text2" w:themeFillTint="1A"/>
        <w:tblLook w:val="04A0" w:firstRow="1" w:lastRow="0" w:firstColumn="1" w:lastColumn="0" w:noHBand="0" w:noVBand="1"/>
      </w:tblPr>
      <w:tblGrid>
        <w:gridCol w:w="9628"/>
      </w:tblGrid>
      <w:tr w:rsidR="006269DD" w:rsidRPr="00C27804" w14:paraId="580F4EC2" w14:textId="77777777" w:rsidTr="008F52F3">
        <w:trPr>
          <w:trHeight w:val="3855"/>
        </w:trPr>
        <w:tc>
          <w:tcPr>
            <w:tcW w:w="9639" w:type="dxa"/>
            <w:shd w:val="clear" w:color="auto" w:fill="DBE3F7" w:themeFill="text2" w:themeFillTint="1A"/>
          </w:tcPr>
          <w:p w14:paraId="2F7420FF" w14:textId="77777777" w:rsidR="00CB651F" w:rsidRPr="00C27804" w:rsidRDefault="00CB651F" w:rsidP="00CB651F">
            <w:pPr>
              <w:pStyle w:val="BodyText"/>
              <w:shd w:val="clear" w:color="auto" w:fill="D8E5F7" w:themeFill="accent1" w:themeFillTint="33"/>
              <w:rPr>
                <w:rFonts w:ascii="DM Sans" w:hAnsi="DM Sans"/>
                <w:b/>
                <w:bCs/>
                <w:color w:val="3D7EDB" w:themeColor="accent1"/>
                <w:sz w:val="24"/>
                <w:szCs w:val="24"/>
              </w:rPr>
            </w:pPr>
            <w:r w:rsidRPr="00C27804">
              <w:rPr>
                <w:rFonts w:ascii="DM Sans" w:hAnsi="DM Sans"/>
                <w:b/>
                <w:bCs/>
                <w:color w:val="3D7EDB" w:themeColor="accent1"/>
                <w:sz w:val="24"/>
                <w:szCs w:val="24"/>
              </w:rPr>
              <w:t>Recommendation</w:t>
            </w:r>
          </w:p>
          <w:p w14:paraId="705B24C0" w14:textId="5C9F8873" w:rsidR="006269DD" w:rsidRPr="00030126" w:rsidRDefault="006269DD" w:rsidP="00030126">
            <w:pPr>
              <w:pStyle w:val="ListParagraph"/>
              <w:numPr>
                <w:ilvl w:val="6"/>
                <w:numId w:val="15"/>
              </w:numPr>
              <w:spacing w:before="120" w:after="60" w:line="260" w:lineRule="atLeast"/>
              <w:ind w:left="340"/>
              <w:rPr>
                <w:rFonts w:ascii="DM Sans" w:hAnsi="DM Sans"/>
                <w:b/>
                <w:sz w:val="20"/>
              </w:rPr>
            </w:pPr>
            <w:r w:rsidRPr="00030126">
              <w:rPr>
                <w:rFonts w:ascii="DM Sans" w:hAnsi="DM Sans"/>
                <w:b/>
                <w:sz w:val="20"/>
              </w:rPr>
              <w:t xml:space="preserve">The </w:t>
            </w:r>
            <w:r w:rsidR="007D1B73" w:rsidRPr="00030126">
              <w:rPr>
                <w:rFonts w:ascii="DM Sans" w:hAnsi="DM Sans"/>
                <w:b/>
                <w:sz w:val="20"/>
              </w:rPr>
              <w:t xml:space="preserve">PC recommend the </w:t>
            </w:r>
            <w:r w:rsidRPr="00030126">
              <w:rPr>
                <w:rFonts w:ascii="DM Sans" w:hAnsi="DM Sans"/>
                <w:b/>
                <w:sz w:val="20"/>
              </w:rPr>
              <w:t xml:space="preserve">Government provide Australians a voluntary choice to return some or </w:t>
            </w:r>
            <w:proofErr w:type="gramStart"/>
            <w:r w:rsidRPr="00030126">
              <w:rPr>
                <w:rFonts w:ascii="DM Sans" w:hAnsi="DM Sans"/>
                <w:b/>
                <w:sz w:val="20"/>
              </w:rPr>
              <w:t>all of</w:t>
            </w:r>
            <w:proofErr w:type="gramEnd"/>
            <w:r w:rsidRPr="00030126">
              <w:rPr>
                <w:rFonts w:ascii="DM Sans" w:hAnsi="DM Sans"/>
                <w:b/>
                <w:sz w:val="20"/>
              </w:rPr>
              <w:t xml:space="preserve"> their tax return to a nominated charity, where they can afford to do so.</w:t>
            </w:r>
          </w:p>
          <w:p w14:paraId="739DC51F" w14:textId="77777777" w:rsidR="006269DD" w:rsidRPr="00C27804" w:rsidRDefault="006269DD" w:rsidP="00B255C9">
            <w:pPr>
              <w:pStyle w:val="ListParagraph"/>
              <w:numPr>
                <w:ilvl w:val="0"/>
                <w:numId w:val="28"/>
              </w:numPr>
              <w:spacing w:before="60" w:after="60"/>
              <w:rPr>
                <w:rFonts w:ascii="DM Sans" w:hAnsi="DM Sans"/>
                <w:sz w:val="20"/>
              </w:rPr>
            </w:pPr>
            <w:r w:rsidRPr="00C27804">
              <w:rPr>
                <w:rFonts w:ascii="DM Sans" w:hAnsi="DM Sans"/>
                <w:b/>
                <w:bCs/>
                <w:sz w:val="20"/>
              </w:rPr>
              <w:t>Simple and timely:</w:t>
            </w:r>
            <w:r w:rsidRPr="00C27804">
              <w:rPr>
                <w:rFonts w:ascii="DM Sans" w:hAnsi="DM Sans"/>
                <w:sz w:val="20"/>
              </w:rPr>
              <w:t xml:space="preserve"> As people neared completion of their tax return,</w:t>
            </w:r>
            <w:r w:rsidRPr="00C27804">
              <w:rPr>
                <w:rFonts w:ascii="DM Sans" w:hAnsi="DM Sans"/>
                <w:b/>
                <w:sz w:val="20"/>
              </w:rPr>
              <w:t xml:space="preserve"> </w:t>
            </w:r>
            <w:r w:rsidRPr="00C27804">
              <w:rPr>
                <w:rFonts w:ascii="DM Sans" w:hAnsi="DM Sans"/>
                <w:sz w:val="20"/>
              </w:rPr>
              <w:t xml:space="preserve">a prompt would appear informing them of their estimated tax return and inviting them to provide some or </w:t>
            </w:r>
            <w:proofErr w:type="gramStart"/>
            <w:r w:rsidRPr="00C27804">
              <w:rPr>
                <w:rFonts w:ascii="DM Sans" w:hAnsi="DM Sans"/>
                <w:sz w:val="20"/>
              </w:rPr>
              <w:t>all of</w:t>
            </w:r>
            <w:proofErr w:type="gramEnd"/>
            <w:r w:rsidRPr="00C27804">
              <w:rPr>
                <w:rFonts w:ascii="DM Sans" w:hAnsi="DM Sans"/>
                <w:sz w:val="20"/>
              </w:rPr>
              <w:t xml:space="preserve"> their return to a nominated charity from a drop-down menu in their tax return lodgement.  It is critical that this can be accommodated with just a few clicks - behavioural economics has demonstrated that the take up of ‘nudges’, including to give, is crucially dependent on the process being simple and offered at the key decision point.</w:t>
            </w:r>
            <w:r w:rsidRPr="00C27804">
              <w:rPr>
                <w:rFonts w:ascii="DM Sans" w:hAnsi="DM Sans"/>
                <w:sz w:val="20"/>
                <w:vertAlign w:val="superscript"/>
              </w:rPr>
              <w:footnoteReference w:id="6"/>
            </w:r>
          </w:p>
          <w:p w14:paraId="1A07E6D0" w14:textId="77777777" w:rsidR="006269DD" w:rsidRPr="00DE6F48" w:rsidRDefault="006269DD" w:rsidP="00B255C9">
            <w:pPr>
              <w:pStyle w:val="ListParagraph"/>
              <w:numPr>
                <w:ilvl w:val="0"/>
                <w:numId w:val="28"/>
              </w:numPr>
              <w:spacing w:before="60" w:after="60"/>
              <w:rPr>
                <w:rFonts w:ascii="DM Sans" w:hAnsi="DM Sans"/>
                <w:b/>
              </w:rPr>
            </w:pPr>
            <w:r w:rsidRPr="00C27804">
              <w:rPr>
                <w:rFonts w:ascii="DM Sans" w:hAnsi="DM Sans"/>
                <w:b/>
                <w:bCs/>
                <w:sz w:val="20"/>
              </w:rPr>
              <w:t>Communications to support implementation:</w:t>
            </w:r>
            <w:r w:rsidRPr="00C27804">
              <w:rPr>
                <w:rFonts w:ascii="DM Sans" w:hAnsi="DM Sans"/>
                <w:sz w:val="20"/>
              </w:rPr>
              <w:t xml:space="preserve">  In time, this ‘nudge’ will become an accepted part of Australia’s national culture – a valued annual national ritual where we consider extra giving at tax time.  In the implementation phase, the reform would be a change to a long-accepted practice, so a communication strategy will need to ensure all Australians understand the process – notably that it is entirely a voluntary choice – and the goal – to help fellow Australians in greatest need.</w:t>
            </w:r>
            <w:r w:rsidRPr="00C27804">
              <w:rPr>
                <w:rFonts w:ascii="DM Sans" w:hAnsi="DM Sans"/>
              </w:rPr>
              <w:t xml:space="preserve">  </w:t>
            </w:r>
          </w:p>
          <w:p w14:paraId="4745B3CB" w14:textId="40C5AE05" w:rsidR="00DE6F48" w:rsidRPr="00C27804" w:rsidRDefault="00DE6F48" w:rsidP="00B255C9">
            <w:pPr>
              <w:pStyle w:val="ListParagraph"/>
              <w:numPr>
                <w:ilvl w:val="0"/>
                <w:numId w:val="28"/>
              </w:numPr>
              <w:spacing w:before="60" w:after="60"/>
              <w:rPr>
                <w:rFonts w:ascii="DM Sans" w:hAnsi="DM Sans"/>
                <w:b/>
              </w:rPr>
            </w:pPr>
            <w:r>
              <w:rPr>
                <w:rFonts w:ascii="DM Sans" w:hAnsi="DM Sans"/>
                <w:b/>
                <w:bCs/>
                <w:sz w:val="20"/>
              </w:rPr>
              <w:t>Risk mitigation:</w:t>
            </w:r>
            <w:r>
              <w:rPr>
                <w:rFonts w:ascii="DM Sans" w:hAnsi="DM Sans"/>
                <w:b/>
              </w:rPr>
              <w:t xml:space="preserve"> </w:t>
            </w:r>
            <w:r w:rsidR="00B1529B" w:rsidRPr="00B1529B">
              <w:rPr>
                <w:rFonts w:ascii="DM Sans" w:hAnsi="DM Sans"/>
                <w:bCs/>
                <w:sz w:val="20"/>
              </w:rPr>
              <w:t>To avoid the risk that the final return is less than estimated,</w:t>
            </w:r>
            <w:r w:rsidR="00B1529B">
              <w:rPr>
                <w:rFonts w:ascii="DM Sans" w:hAnsi="DM Sans"/>
                <w:bCs/>
              </w:rPr>
              <w:t xml:space="preserve"> </w:t>
            </w:r>
            <w:r w:rsidR="00D973D2" w:rsidRPr="00D973D2">
              <w:rPr>
                <w:rFonts w:ascii="DM Sans" w:hAnsi="DM Sans"/>
                <w:bCs/>
                <w:sz w:val="20"/>
              </w:rPr>
              <w:t xml:space="preserve">people </w:t>
            </w:r>
            <w:r w:rsidR="008A25E0">
              <w:rPr>
                <w:rFonts w:ascii="DM Sans" w:hAnsi="DM Sans"/>
                <w:bCs/>
                <w:sz w:val="20"/>
              </w:rPr>
              <w:t>c</w:t>
            </w:r>
            <w:r w:rsidR="00D973D2" w:rsidRPr="00D973D2">
              <w:rPr>
                <w:rFonts w:ascii="DM Sans" w:hAnsi="DM Sans"/>
                <w:bCs/>
                <w:sz w:val="20"/>
              </w:rPr>
              <w:t xml:space="preserve">ould be given the option to </w:t>
            </w:r>
            <w:r w:rsidR="00035C37">
              <w:rPr>
                <w:rFonts w:ascii="DM Sans" w:hAnsi="DM Sans"/>
                <w:bCs/>
                <w:sz w:val="20"/>
              </w:rPr>
              <w:t>confirm</w:t>
            </w:r>
            <w:r w:rsidR="00D973D2" w:rsidRPr="00D973D2">
              <w:rPr>
                <w:rFonts w:ascii="DM Sans" w:hAnsi="DM Sans"/>
                <w:bCs/>
                <w:sz w:val="20"/>
              </w:rPr>
              <w:t xml:space="preserve"> their donation when their return is final.</w:t>
            </w:r>
          </w:p>
        </w:tc>
      </w:tr>
    </w:tbl>
    <w:p w14:paraId="5E4D4469" w14:textId="1439D5C3" w:rsidR="006269DD" w:rsidRPr="00C27804" w:rsidRDefault="006269DD" w:rsidP="006269DD">
      <w:pPr>
        <w:keepNext/>
        <w:keepLines/>
        <w:spacing w:before="240" w:after="180" w:line="290" w:lineRule="atLeast"/>
        <w:outlineLvl w:val="2"/>
        <w:rPr>
          <w:rFonts w:ascii="DM Sans" w:eastAsiaTheme="majorEastAsia" w:hAnsi="DM Sans" w:cstheme="majorBidi"/>
          <w:b/>
          <w:bCs/>
          <w:color w:val="3D7EDB" w:themeColor="accent1"/>
          <w:sz w:val="21"/>
          <w:szCs w:val="21"/>
        </w:rPr>
      </w:pPr>
      <w:r w:rsidRPr="00C27804">
        <w:rPr>
          <w:rFonts w:ascii="DM Sans" w:eastAsiaTheme="majorEastAsia" w:hAnsi="DM Sans" w:cstheme="majorBidi"/>
          <w:b/>
          <w:bCs/>
          <w:color w:val="3D7EDB" w:themeColor="accent1"/>
          <w:sz w:val="21"/>
          <w:szCs w:val="21"/>
        </w:rPr>
        <w:t xml:space="preserve">The Case for </w:t>
      </w:r>
      <w:r w:rsidR="00A834E9" w:rsidRPr="00C27804">
        <w:rPr>
          <w:rFonts w:ascii="DM Sans" w:eastAsiaTheme="majorEastAsia" w:hAnsi="DM Sans" w:cstheme="majorBidi"/>
          <w:b/>
          <w:bCs/>
          <w:color w:val="3D7EDB" w:themeColor="accent1"/>
          <w:sz w:val="21"/>
          <w:szCs w:val="21"/>
        </w:rPr>
        <w:t>Reform</w:t>
      </w:r>
    </w:p>
    <w:p w14:paraId="74B6A57B" w14:textId="712D84D5" w:rsidR="00516C57" w:rsidRPr="00C27804" w:rsidRDefault="00672DBA" w:rsidP="00B255C9">
      <w:pPr>
        <w:pStyle w:val="ListNumber"/>
        <w:numPr>
          <w:ilvl w:val="0"/>
          <w:numId w:val="27"/>
        </w:numPr>
        <w:rPr>
          <w:rFonts w:ascii="DM Sans" w:hAnsi="DM Sans"/>
        </w:rPr>
      </w:pPr>
      <w:r w:rsidRPr="00C27804">
        <w:rPr>
          <w:rFonts w:ascii="DM Sans" w:hAnsi="DM Sans"/>
        </w:rPr>
        <w:t>The reform addresses clear policy problems</w:t>
      </w:r>
      <w:r w:rsidR="00D86202">
        <w:rPr>
          <w:rFonts w:ascii="DM Sans" w:hAnsi="DM Sans"/>
        </w:rPr>
        <w:t>.</w:t>
      </w:r>
      <w:r w:rsidRPr="00C27804">
        <w:rPr>
          <w:rFonts w:ascii="DM Sans" w:hAnsi="DM Sans"/>
        </w:rPr>
        <w:t xml:space="preserve"> </w:t>
      </w:r>
    </w:p>
    <w:p w14:paraId="6291EB1E" w14:textId="47B8E2E7" w:rsidR="00600B65" w:rsidRPr="00C27804" w:rsidRDefault="00600B65" w:rsidP="00600B65">
      <w:pPr>
        <w:pStyle w:val="ListNumber"/>
        <w:numPr>
          <w:ilvl w:val="0"/>
          <w:numId w:val="0"/>
        </w:numPr>
        <w:rPr>
          <w:rFonts w:ascii="DM Sans" w:hAnsi="DM Sans"/>
          <w:u w:val="single"/>
        </w:rPr>
      </w:pPr>
      <w:r w:rsidRPr="00C27804">
        <w:rPr>
          <w:rFonts w:ascii="DM Sans" w:hAnsi="DM Sans"/>
          <w:u w:val="single"/>
        </w:rPr>
        <w:t>Culture:</w:t>
      </w:r>
    </w:p>
    <w:p w14:paraId="4ABA4437" w14:textId="5E3A936C" w:rsidR="00CE723E" w:rsidRPr="00C27804" w:rsidRDefault="002B495F" w:rsidP="00B255C9">
      <w:pPr>
        <w:pStyle w:val="ListNumber"/>
        <w:numPr>
          <w:ilvl w:val="0"/>
          <w:numId w:val="30"/>
        </w:numPr>
        <w:spacing w:line="260" w:lineRule="atLeast"/>
        <w:rPr>
          <w:rFonts w:ascii="DM Sans" w:hAnsi="DM Sans"/>
          <w:b w:val="0"/>
          <w:bCs/>
        </w:rPr>
      </w:pPr>
      <w:r w:rsidRPr="00C27804">
        <w:rPr>
          <w:rFonts w:ascii="DM Sans" w:hAnsi="DM Sans"/>
          <w:b w:val="0"/>
          <w:bCs/>
        </w:rPr>
        <w:t>The PC has identified</w:t>
      </w:r>
      <w:r w:rsidR="00FC702F" w:rsidRPr="00C27804">
        <w:rPr>
          <w:rFonts w:ascii="DM Sans" w:hAnsi="DM Sans"/>
          <w:b w:val="0"/>
          <w:bCs/>
        </w:rPr>
        <w:t xml:space="preserve"> that social and cultural norms play an important role in attitudes towards expected giving and actual giving outcomes</w:t>
      </w:r>
      <w:r w:rsidR="005F62A6">
        <w:rPr>
          <w:rFonts w:ascii="DM Sans" w:hAnsi="DM Sans"/>
          <w:b w:val="0"/>
          <w:bCs/>
        </w:rPr>
        <w:t>.</w:t>
      </w:r>
      <w:r w:rsidR="00FC702F" w:rsidRPr="00C27804">
        <w:rPr>
          <w:rFonts w:ascii="DM Sans" w:hAnsi="DM Sans"/>
        </w:rPr>
        <w:t xml:space="preserve">  </w:t>
      </w:r>
    </w:p>
    <w:p w14:paraId="216CC8CD" w14:textId="111786F1" w:rsidR="0090606F" w:rsidRDefault="002B495F" w:rsidP="00B255C9">
      <w:pPr>
        <w:pStyle w:val="ListNumber"/>
        <w:numPr>
          <w:ilvl w:val="0"/>
          <w:numId w:val="30"/>
        </w:numPr>
        <w:spacing w:line="260" w:lineRule="atLeast"/>
        <w:rPr>
          <w:rFonts w:ascii="DM Sans" w:hAnsi="DM Sans"/>
          <w:b w:val="0"/>
          <w:bCs/>
        </w:rPr>
      </w:pPr>
      <w:r w:rsidRPr="00C27804">
        <w:rPr>
          <w:rFonts w:ascii="DM Sans" w:hAnsi="DM Sans"/>
          <w:b w:val="0"/>
          <w:bCs/>
        </w:rPr>
        <w:t xml:space="preserve">Australia lacks a culture of giving present in leading </w:t>
      </w:r>
      <w:r w:rsidR="00E17CD8">
        <w:rPr>
          <w:rFonts w:ascii="DM Sans" w:hAnsi="DM Sans"/>
          <w:b w:val="0"/>
          <w:bCs/>
        </w:rPr>
        <w:t>giving</w:t>
      </w:r>
      <w:r w:rsidRPr="00C27804">
        <w:rPr>
          <w:rFonts w:ascii="DM Sans" w:hAnsi="DM Sans"/>
          <w:b w:val="0"/>
          <w:bCs/>
        </w:rPr>
        <w:t xml:space="preserve"> nations – the percentage of Australians giving is falling rapidly and the percentage of wealthy Australians who give is </w:t>
      </w:r>
      <w:r w:rsidR="007E42E2" w:rsidRPr="00C27804">
        <w:rPr>
          <w:rFonts w:ascii="DM Sans" w:hAnsi="DM Sans"/>
          <w:b w:val="0"/>
          <w:bCs/>
        </w:rPr>
        <w:t xml:space="preserve">a little more than </w:t>
      </w:r>
      <w:r w:rsidRPr="00C27804">
        <w:rPr>
          <w:rFonts w:ascii="DM Sans" w:hAnsi="DM Sans"/>
          <w:b w:val="0"/>
          <w:bCs/>
        </w:rPr>
        <w:t xml:space="preserve">half that in the United States. </w:t>
      </w:r>
      <w:r w:rsidR="00415693">
        <w:rPr>
          <w:rFonts w:ascii="DM Sans" w:hAnsi="DM Sans"/>
          <w:b w:val="0"/>
          <w:bCs/>
        </w:rPr>
        <w:t xml:space="preserve"> </w:t>
      </w:r>
      <w:r w:rsidR="00415693" w:rsidRPr="00C27804">
        <w:rPr>
          <w:rFonts w:ascii="DM Sans" w:hAnsi="DM Sans"/>
          <w:b w:val="0"/>
          <w:bCs/>
        </w:rPr>
        <w:t xml:space="preserve">Reforms to create </w:t>
      </w:r>
      <w:r w:rsidR="00415693" w:rsidRPr="00C27804">
        <w:rPr>
          <w:rFonts w:ascii="DM Sans" w:hAnsi="DM Sans"/>
          <w:b w:val="0"/>
          <w:bCs/>
          <w:u w:val="single"/>
        </w:rPr>
        <w:t>a culture and regular practice of giving</w:t>
      </w:r>
      <w:r w:rsidR="00415693" w:rsidRPr="00C27804">
        <w:rPr>
          <w:rFonts w:ascii="DM Sans" w:hAnsi="DM Sans"/>
          <w:b w:val="0"/>
          <w:bCs/>
        </w:rPr>
        <w:t xml:space="preserve"> are critical, as government incentives alone won’t </w:t>
      </w:r>
      <w:r w:rsidR="00ED067F">
        <w:rPr>
          <w:rFonts w:ascii="DM Sans" w:hAnsi="DM Sans"/>
          <w:b w:val="0"/>
          <w:bCs/>
        </w:rPr>
        <w:t>optimise Australia’s giving effort.</w:t>
      </w:r>
      <w:r w:rsidR="00415693" w:rsidRPr="00C27804">
        <w:rPr>
          <w:rFonts w:ascii="DM Sans" w:hAnsi="DM Sans"/>
          <w:b w:val="0"/>
          <w:bCs/>
        </w:rPr>
        <w:t xml:space="preserve">  </w:t>
      </w:r>
    </w:p>
    <w:p w14:paraId="75CD5D5C" w14:textId="6967CF86" w:rsidR="00600B65" w:rsidRPr="00C27804" w:rsidRDefault="00600B65" w:rsidP="00600B65">
      <w:pPr>
        <w:pStyle w:val="ListNumber"/>
        <w:numPr>
          <w:ilvl w:val="0"/>
          <w:numId w:val="0"/>
        </w:numPr>
        <w:spacing w:line="260" w:lineRule="atLeast"/>
        <w:rPr>
          <w:rFonts w:ascii="DM Sans" w:hAnsi="DM Sans"/>
          <w:u w:val="single"/>
        </w:rPr>
      </w:pPr>
      <w:r w:rsidRPr="00C27804">
        <w:rPr>
          <w:rFonts w:ascii="DM Sans" w:hAnsi="DM Sans"/>
          <w:u w:val="single"/>
        </w:rPr>
        <w:t>Simplicity</w:t>
      </w:r>
    </w:p>
    <w:p w14:paraId="6CE13FE3" w14:textId="6FD384FE" w:rsidR="00FD64C4" w:rsidRPr="00C27804" w:rsidRDefault="00FD64C4" w:rsidP="00B255C9">
      <w:pPr>
        <w:pStyle w:val="ListNumber"/>
        <w:numPr>
          <w:ilvl w:val="0"/>
          <w:numId w:val="30"/>
        </w:numPr>
        <w:spacing w:line="260" w:lineRule="atLeast"/>
        <w:rPr>
          <w:rFonts w:ascii="DM Sans" w:hAnsi="DM Sans"/>
          <w:b w:val="0"/>
          <w:bCs/>
        </w:rPr>
      </w:pPr>
      <w:r w:rsidRPr="00C27804">
        <w:rPr>
          <w:rFonts w:ascii="DM Sans" w:hAnsi="DM Sans"/>
          <w:b w:val="0"/>
          <w:bCs/>
        </w:rPr>
        <w:t>Research shows a key impediment to giving is where the process is not simple</w:t>
      </w:r>
      <w:r w:rsidR="00245568" w:rsidRPr="00C27804">
        <w:rPr>
          <w:rFonts w:ascii="DM Sans" w:hAnsi="DM Sans"/>
          <w:b w:val="0"/>
          <w:bCs/>
        </w:rPr>
        <w:t>, but instead involves red tape or effort beyond what people would like to provide.</w:t>
      </w:r>
      <w:r w:rsidR="008446F4" w:rsidRPr="00C27804">
        <w:rPr>
          <w:rFonts w:ascii="DM Sans" w:hAnsi="DM Sans"/>
          <w:b w:val="0"/>
          <w:bCs/>
        </w:rPr>
        <w:t xml:space="preserve">  </w:t>
      </w:r>
      <w:r w:rsidR="00063000" w:rsidRPr="00C27804">
        <w:rPr>
          <w:rFonts w:ascii="DM Sans" w:hAnsi="DM Sans"/>
          <w:b w:val="0"/>
          <w:bCs/>
        </w:rPr>
        <w:t>As one study found:</w:t>
      </w:r>
      <w:r w:rsidR="00CE755F" w:rsidRPr="00C27804">
        <w:rPr>
          <w:rFonts w:ascii="DM Sans" w:hAnsi="DM Sans"/>
          <w:b w:val="0"/>
          <w:bCs/>
        </w:rPr>
        <w:t xml:space="preserve">  </w:t>
      </w:r>
      <w:r w:rsidR="008446F4" w:rsidRPr="00C27804">
        <w:rPr>
          <w:rFonts w:ascii="DM Sans" w:hAnsi="DM Sans"/>
          <w:b w:val="0"/>
          <w:bCs/>
        </w:rPr>
        <w:t xml:space="preserve"> </w:t>
      </w:r>
    </w:p>
    <w:p w14:paraId="385F69CF" w14:textId="15CA0A21" w:rsidR="00600B65" w:rsidRPr="00C27804" w:rsidRDefault="00933BBE" w:rsidP="00933BBE">
      <w:pPr>
        <w:spacing w:after="0"/>
        <w:ind w:left="340"/>
        <w:rPr>
          <w:rFonts w:ascii="DM Sans" w:hAnsi="DM Sans"/>
          <w:sz w:val="18"/>
          <w:szCs w:val="18"/>
        </w:rPr>
      </w:pPr>
      <w:r w:rsidRPr="00C27804">
        <w:rPr>
          <w:rFonts w:ascii="DM Sans" w:hAnsi="DM Sans"/>
          <w:sz w:val="18"/>
          <w:szCs w:val="18"/>
        </w:rPr>
        <w:t>‘</w:t>
      </w:r>
      <w:r w:rsidR="00600B65" w:rsidRPr="00C27804">
        <w:rPr>
          <w:rFonts w:ascii="DM Sans" w:hAnsi="DM Sans"/>
          <w:sz w:val="18"/>
          <w:szCs w:val="18"/>
        </w:rPr>
        <w:t>Even minor inconveniences can depress giving</w:t>
      </w:r>
      <w:r w:rsidR="00600B65" w:rsidRPr="00C27804">
        <w:rPr>
          <w:rFonts w:ascii="DM Sans" w:hAnsi="DM Sans"/>
          <w:b/>
          <w:bCs/>
          <w:sz w:val="18"/>
          <w:szCs w:val="18"/>
        </w:rPr>
        <w:t xml:space="preserve">. </w:t>
      </w:r>
      <w:r w:rsidR="00600B65" w:rsidRPr="00C27804">
        <w:rPr>
          <w:rFonts w:ascii="DM Sans" w:hAnsi="DM Sans"/>
          <w:sz w:val="18"/>
          <w:szCs w:val="18"/>
        </w:rPr>
        <w:t>In a door-to-door fundraising campaign (n = 1,536), volunteers asked households to support a local charity that provides blankets to families in need. Solicitors explained that holiday cards would accompany the blankets funded by donors. They told</w:t>
      </w:r>
      <w:r w:rsidR="005C4996" w:rsidRPr="00C27804">
        <w:rPr>
          <w:rFonts w:ascii="DM Sans" w:hAnsi="DM Sans"/>
          <w:sz w:val="18"/>
          <w:szCs w:val="18"/>
        </w:rPr>
        <w:t xml:space="preserve"> </w:t>
      </w:r>
      <w:r w:rsidR="00600B65" w:rsidRPr="00C27804">
        <w:rPr>
          <w:rFonts w:ascii="DM Sans" w:hAnsi="DM Sans"/>
          <w:sz w:val="18"/>
          <w:szCs w:val="18"/>
        </w:rPr>
        <w:t>the control group that cards had been pre-written, but gave the treatment group the option of writing messages. Contrary to the researchers’ hypothesis, households in the treatment group were 20% less likely to donate. They conclude that the opportunity to write a card may drive up the cost of giving in multiple ways: 1) more social pressure to accompany the personal gesture with a larger gift amount, 2) increased time to complete a transaction, and/or 3) additional need to make two decisions—whether to give, and whether to write a card—rather than one (Chuan and Samak 2014).’</w:t>
      </w:r>
      <w:r w:rsidR="004B6F9A" w:rsidRPr="00C27804">
        <w:rPr>
          <w:rStyle w:val="FootnoteReference"/>
          <w:rFonts w:ascii="DM Sans" w:hAnsi="DM Sans"/>
          <w:sz w:val="18"/>
          <w:szCs w:val="18"/>
        </w:rPr>
        <w:footnoteReference w:id="7"/>
      </w:r>
      <w:r w:rsidR="00600B65" w:rsidRPr="00C27804">
        <w:rPr>
          <w:rFonts w:ascii="DM Sans" w:hAnsi="DM Sans"/>
          <w:sz w:val="18"/>
          <w:szCs w:val="18"/>
        </w:rPr>
        <w:t xml:space="preserve"> </w:t>
      </w:r>
    </w:p>
    <w:p w14:paraId="6E62BEB4" w14:textId="3EFC4094" w:rsidR="00626D57" w:rsidRPr="0034378D" w:rsidRDefault="00933BBE" w:rsidP="00B255C9">
      <w:pPr>
        <w:pStyle w:val="ListNumber"/>
        <w:numPr>
          <w:ilvl w:val="0"/>
          <w:numId w:val="30"/>
        </w:numPr>
        <w:spacing w:line="260" w:lineRule="atLeast"/>
        <w:rPr>
          <w:rFonts w:ascii="DM Sans" w:hAnsi="DM Sans" w:cs="ProximaNova-Light"/>
        </w:rPr>
      </w:pPr>
      <w:r w:rsidRPr="0034378D">
        <w:rPr>
          <w:rFonts w:ascii="DM Sans" w:hAnsi="DM Sans"/>
          <w:b w:val="0"/>
          <w:bCs/>
        </w:rPr>
        <w:t xml:space="preserve">By providing simplicity, </w:t>
      </w:r>
      <w:r w:rsidR="004E7F28" w:rsidRPr="0034378D">
        <w:rPr>
          <w:rFonts w:ascii="DM Sans" w:hAnsi="DM Sans"/>
          <w:b w:val="0"/>
          <w:bCs/>
        </w:rPr>
        <w:t>the reform</w:t>
      </w:r>
      <w:r w:rsidR="00672DBA" w:rsidRPr="0034378D">
        <w:rPr>
          <w:rFonts w:ascii="DM Sans" w:hAnsi="DM Sans"/>
          <w:b w:val="0"/>
          <w:bCs/>
        </w:rPr>
        <w:t xml:space="preserve"> also overcomes the red tape involved with giving, and facilitates choice for people to give to charities they value.</w:t>
      </w:r>
      <w:r w:rsidR="00B21BF7" w:rsidRPr="0034378D">
        <w:rPr>
          <w:rFonts w:ascii="DM Sans" w:hAnsi="DM Sans"/>
          <w:b w:val="0"/>
          <w:bCs/>
        </w:rPr>
        <w:t xml:space="preserve">  Studies show</w:t>
      </w:r>
      <w:r w:rsidR="00963CC7" w:rsidRPr="0034378D">
        <w:rPr>
          <w:rFonts w:ascii="DM Sans" w:hAnsi="DM Sans"/>
          <w:b w:val="0"/>
          <w:bCs/>
        </w:rPr>
        <w:t xml:space="preserve"> that m</w:t>
      </w:r>
      <w:r w:rsidR="00626D57" w:rsidRPr="0034378D">
        <w:rPr>
          <w:rFonts w:ascii="DM Sans" w:hAnsi="DM Sans" w:cs="ProximaNova-Bold"/>
          <w:b w:val="0"/>
          <w:bCs/>
        </w:rPr>
        <w:t xml:space="preserve">aking it easier to donate encourages participation. </w:t>
      </w:r>
      <w:r w:rsidR="00BF4925" w:rsidRPr="0034378D">
        <w:rPr>
          <w:rFonts w:ascii="DM Sans" w:hAnsi="DM Sans" w:cs="ProximaNova-Light"/>
          <w:b w:val="0"/>
          <w:bCs/>
        </w:rPr>
        <w:t>For instance, in one study</w:t>
      </w:r>
      <w:r w:rsidR="00626D57" w:rsidRPr="0034378D">
        <w:rPr>
          <w:rFonts w:ascii="DM Sans" w:hAnsi="DM Sans" w:cs="ProximaNova-Light"/>
          <w:b w:val="0"/>
          <w:bCs/>
        </w:rPr>
        <w:t xml:space="preserve"> (n = 25,000), researchers added pre-filled bank transfer forms</w:t>
      </w:r>
      <w:r w:rsidR="00580DE4" w:rsidRPr="0034378D">
        <w:rPr>
          <w:rFonts w:ascii="DM Sans" w:hAnsi="DM Sans" w:cs="ProximaNova-Light"/>
          <w:b w:val="0"/>
          <w:bCs/>
        </w:rPr>
        <w:t xml:space="preserve"> </w:t>
      </w:r>
      <w:r w:rsidR="00626D57" w:rsidRPr="0034378D">
        <w:rPr>
          <w:rFonts w:ascii="DM Sans" w:hAnsi="DM Sans" w:cs="ProximaNova-Light"/>
          <w:b w:val="0"/>
          <w:bCs/>
        </w:rPr>
        <w:t xml:space="preserve">to some solicitation letters and gave people the option to donate with a credit card </w:t>
      </w:r>
      <w:r w:rsidR="00626D57" w:rsidRPr="0034378D">
        <w:rPr>
          <w:rFonts w:ascii="DM Sans" w:hAnsi="DM Sans" w:cs="ProximaNova-Light"/>
          <w:b w:val="0"/>
          <w:bCs/>
        </w:rPr>
        <w:lastRenderedPageBreak/>
        <w:t>over the phone.</w:t>
      </w:r>
      <w:r w:rsidR="00580DE4" w:rsidRPr="0034378D">
        <w:rPr>
          <w:rFonts w:ascii="DM Sans" w:hAnsi="DM Sans" w:cs="ProximaNova-Light"/>
          <w:b w:val="0"/>
          <w:bCs/>
        </w:rPr>
        <w:t xml:space="preserve"> </w:t>
      </w:r>
      <w:r w:rsidR="00626D57" w:rsidRPr="0034378D">
        <w:rPr>
          <w:rFonts w:ascii="DM Sans" w:hAnsi="DM Sans" w:cs="ProximaNova-Light"/>
          <w:b w:val="0"/>
          <w:bCs/>
        </w:rPr>
        <w:t>People who received these additional tools were 26% more likely to respond, compared to those who</w:t>
      </w:r>
      <w:r w:rsidR="00580DE4" w:rsidRPr="0034378D">
        <w:rPr>
          <w:rFonts w:ascii="DM Sans" w:hAnsi="DM Sans" w:cs="ProximaNova-Light"/>
          <w:b w:val="0"/>
          <w:bCs/>
        </w:rPr>
        <w:t xml:space="preserve"> </w:t>
      </w:r>
      <w:r w:rsidR="00626D57" w:rsidRPr="0034378D">
        <w:rPr>
          <w:rFonts w:ascii="DM Sans" w:hAnsi="DM Sans" w:cs="ProximaNova-Light"/>
          <w:b w:val="0"/>
          <w:bCs/>
        </w:rPr>
        <w:t>received only a solicitation letter (Rasul and Huck 2010).</w:t>
      </w:r>
      <w:r w:rsidR="00187B98" w:rsidRPr="0034378D">
        <w:rPr>
          <w:rStyle w:val="FootnoteReference"/>
          <w:rFonts w:ascii="DM Sans" w:hAnsi="DM Sans" w:cs="ProximaNova-Light"/>
          <w:b w:val="0"/>
          <w:bCs/>
        </w:rPr>
        <w:footnoteReference w:id="8"/>
      </w:r>
    </w:p>
    <w:p w14:paraId="1CF9067D" w14:textId="7BB76885" w:rsidR="00B10726" w:rsidRPr="00C27804" w:rsidRDefault="00B10726" w:rsidP="00B255C9">
      <w:pPr>
        <w:pStyle w:val="ListNumber"/>
        <w:numPr>
          <w:ilvl w:val="0"/>
          <w:numId w:val="27"/>
        </w:numPr>
        <w:spacing w:line="260" w:lineRule="atLeast"/>
        <w:rPr>
          <w:rFonts w:ascii="DM Sans" w:hAnsi="DM Sans"/>
        </w:rPr>
      </w:pPr>
      <w:r w:rsidRPr="00C27804">
        <w:rPr>
          <w:rFonts w:ascii="DM Sans" w:hAnsi="DM Sans"/>
        </w:rPr>
        <w:t>A prompt to consider donating at tax time would - over time - embed a valued national custom, where we consider providing extra support for people in need, where we can afford to do so.</w:t>
      </w:r>
    </w:p>
    <w:p w14:paraId="187AAC2D" w14:textId="77777777" w:rsidR="00B10726" w:rsidRPr="00C27804" w:rsidRDefault="00B10726" w:rsidP="00B255C9">
      <w:pPr>
        <w:pStyle w:val="ListNumber"/>
        <w:numPr>
          <w:ilvl w:val="0"/>
          <w:numId w:val="31"/>
        </w:numPr>
        <w:spacing w:line="260" w:lineRule="atLeast"/>
        <w:rPr>
          <w:rFonts w:ascii="DM Sans" w:hAnsi="DM Sans"/>
          <w:b w:val="0"/>
          <w:bCs/>
        </w:rPr>
      </w:pPr>
      <w:r w:rsidRPr="00C27804">
        <w:rPr>
          <w:rFonts w:ascii="DM Sans" w:hAnsi="DM Sans"/>
          <w:b w:val="0"/>
          <w:bCs/>
        </w:rPr>
        <w:t xml:space="preserve">Many Australians could afford to give some or </w:t>
      </w:r>
      <w:proofErr w:type="gramStart"/>
      <w:r w:rsidRPr="00C27804">
        <w:rPr>
          <w:rFonts w:ascii="DM Sans" w:hAnsi="DM Sans"/>
          <w:b w:val="0"/>
          <w:bCs/>
        </w:rPr>
        <w:t>all of</w:t>
      </w:r>
      <w:proofErr w:type="gramEnd"/>
      <w:r w:rsidRPr="00C27804">
        <w:rPr>
          <w:rFonts w:ascii="DM Sans" w:hAnsi="DM Sans"/>
          <w:b w:val="0"/>
          <w:bCs/>
        </w:rPr>
        <w:t xml:space="preserve"> their tax return back to charity.  This reform would prompt more people to give, particularly if it could be achieved simply and quickly.</w:t>
      </w:r>
    </w:p>
    <w:p w14:paraId="352BE7C1" w14:textId="0E5665BD" w:rsidR="00B10726" w:rsidRPr="00C27804" w:rsidRDefault="00B10726" w:rsidP="00B255C9">
      <w:pPr>
        <w:pStyle w:val="ListNumber"/>
        <w:numPr>
          <w:ilvl w:val="0"/>
          <w:numId w:val="31"/>
        </w:numPr>
        <w:spacing w:line="260" w:lineRule="atLeast"/>
        <w:rPr>
          <w:rFonts w:ascii="DM Sans" w:hAnsi="DM Sans"/>
          <w:b w:val="0"/>
          <w:bCs/>
        </w:rPr>
      </w:pPr>
      <w:r w:rsidRPr="00C27804">
        <w:rPr>
          <w:rFonts w:ascii="DM Sans" w:hAnsi="DM Sans"/>
          <w:b w:val="0"/>
          <w:bCs/>
        </w:rPr>
        <w:t xml:space="preserve">Behavioural insights literature shows people are more inclined to give away something they haven’t yet pocketed – ‘a windfall’ – than if they have to give anew, where giving is more likely to perceived as ‘a </w:t>
      </w:r>
      <w:proofErr w:type="gramStart"/>
      <w:r w:rsidRPr="00C27804">
        <w:rPr>
          <w:rFonts w:ascii="DM Sans" w:hAnsi="DM Sans"/>
          <w:b w:val="0"/>
          <w:bCs/>
        </w:rPr>
        <w:t>loss’</w:t>
      </w:r>
      <w:proofErr w:type="gramEnd"/>
      <w:r w:rsidRPr="00C27804">
        <w:rPr>
          <w:rFonts w:ascii="DM Sans" w:hAnsi="DM Sans"/>
          <w:b w:val="0"/>
          <w:bCs/>
        </w:rPr>
        <w:t xml:space="preserve">.  Particularly for </w:t>
      </w:r>
      <w:r w:rsidR="005F53A3">
        <w:rPr>
          <w:rFonts w:ascii="DM Sans" w:hAnsi="DM Sans"/>
          <w:b w:val="0"/>
          <w:bCs/>
        </w:rPr>
        <w:t>wealthy Australians</w:t>
      </w:r>
      <w:r w:rsidRPr="00C27804">
        <w:rPr>
          <w:rFonts w:ascii="DM Sans" w:hAnsi="DM Sans"/>
          <w:b w:val="0"/>
          <w:bCs/>
        </w:rPr>
        <w:t>, a healthy tax return could be perceived in this light.</w:t>
      </w:r>
    </w:p>
    <w:p w14:paraId="7066B3CC" w14:textId="1EF0ADA4" w:rsidR="00B10726" w:rsidRPr="00C27804" w:rsidRDefault="00B10726" w:rsidP="00B255C9">
      <w:pPr>
        <w:pStyle w:val="ListNumber"/>
        <w:numPr>
          <w:ilvl w:val="0"/>
          <w:numId w:val="31"/>
        </w:numPr>
        <w:spacing w:line="260" w:lineRule="atLeast"/>
        <w:rPr>
          <w:rFonts w:ascii="DM Sans" w:hAnsi="DM Sans"/>
          <w:b w:val="0"/>
          <w:bCs/>
        </w:rPr>
      </w:pPr>
      <w:r w:rsidRPr="00C27804">
        <w:rPr>
          <w:rFonts w:ascii="DM Sans" w:hAnsi="DM Sans"/>
          <w:b w:val="0"/>
          <w:bCs/>
        </w:rPr>
        <w:t>Of course, for many Australian</w:t>
      </w:r>
      <w:r w:rsidR="00937E5E">
        <w:rPr>
          <w:rFonts w:ascii="DM Sans" w:hAnsi="DM Sans"/>
          <w:b w:val="0"/>
          <w:bCs/>
        </w:rPr>
        <w:t>s</w:t>
      </w:r>
      <w:r w:rsidRPr="00C27804">
        <w:rPr>
          <w:rFonts w:ascii="DM Sans" w:hAnsi="DM Sans"/>
          <w:b w:val="0"/>
          <w:bCs/>
        </w:rPr>
        <w:t xml:space="preserve">, the tax return is needed for essential living costs, so the return will be seen as a critical legal entitlement, not a windfall, and they will not be </w:t>
      </w:r>
      <w:proofErr w:type="gramStart"/>
      <w:r w:rsidRPr="00C27804">
        <w:rPr>
          <w:rFonts w:ascii="DM Sans" w:hAnsi="DM Sans"/>
          <w:b w:val="0"/>
          <w:bCs/>
        </w:rPr>
        <w:t>in a position</w:t>
      </w:r>
      <w:proofErr w:type="gramEnd"/>
      <w:r w:rsidRPr="00C27804">
        <w:rPr>
          <w:rFonts w:ascii="DM Sans" w:hAnsi="DM Sans"/>
          <w:b w:val="0"/>
          <w:bCs/>
        </w:rPr>
        <w:t xml:space="preserve"> to give.</w:t>
      </w:r>
    </w:p>
    <w:p w14:paraId="2338CB67" w14:textId="1954FB72" w:rsidR="00134434" w:rsidRPr="00C27804" w:rsidRDefault="00D01C5E" w:rsidP="00B255C9">
      <w:pPr>
        <w:pStyle w:val="ListNumber"/>
        <w:numPr>
          <w:ilvl w:val="0"/>
          <w:numId w:val="27"/>
        </w:numPr>
        <w:rPr>
          <w:rFonts w:ascii="DM Sans" w:hAnsi="DM Sans"/>
        </w:rPr>
      </w:pPr>
      <w:r w:rsidRPr="00C27804">
        <w:rPr>
          <w:rFonts w:ascii="DM Sans" w:hAnsi="DM Sans"/>
        </w:rPr>
        <w:t>The reform is likely to</w:t>
      </w:r>
      <w:r w:rsidR="00672DBA" w:rsidRPr="00C27804">
        <w:rPr>
          <w:rFonts w:ascii="DM Sans" w:hAnsi="DM Sans"/>
        </w:rPr>
        <w:t xml:space="preserve"> substantially lift giving.  </w:t>
      </w:r>
    </w:p>
    <w:p w14:paraId="3A0F2AB2" w14:textId="2121338B" w:rsidR="00672DBA" w:rsidRPr="00C27804" w:rsidRDefault="009107D9" w:rsidP="00B255C9">
      <w:pPr>
        <w:pStyle w:val="ListNumber"/>
        <w:numPr>
          <w:ilvl w:val="0"/>
          <w:numId w:val="32"/>
        </w:numPr>
        <w:spacing w:line="260" w:lineRule="atLeast"/>
        <w:rPr>
          <w:rFonts w:ascii="DM Sans" w:hAnsi="DM Sans"/>
          <w:b w:val="0"/>
          <w:bCs/>
        </w:rPr>
      </w:pPr>
      <w:r w:rsidRPr="00C27804">
        <w:rPr>
          <w:rFonts w:ascii="DM Sans" w:hAnsi="DM Sans"/>
          <w:b w:val="0"/>
          <w:bCs/>
        </w:rPr>
        <w:t>Over 14 million people lodge a tax return each year in Australia. The average refund is just over $2,800 each (among the two-thirds who get a return), resulting in a collective refund of more than $30 billion.</w:t>
      </w:r>
      <w:r w:rsidRPr="00C27804">
        <w:rPr>
          <w:rFonts w:ascii="DM Sans" w:hAnsi="DM Sans"/>
          <w:b w:val="0"/>
          <w:bCs/>
          <w:vertAlign w:val="superscript"/>
        </w:rPr>
        <w:footnoteReference w:id="9"/>
      </w:r>
      <w:r w:rsidRPr="00C27804">
        <w:rPr>
          <w:rFonts w:ascii="DM Sans" w:hAnsi="DM Sans"/>
          <w:b w:val="0"/>
          <w:bCs/>
        </w:rPr>
        <w:t> </w:t>
      </w:r>
      <w:r w:rsidR="00672DBA" w:rsidRPr="00C27804">
        <w:rPr>
          <w:rFonts w:ascii="DM Sans" w:hAnsi="DM Sans"/>
          <w:b w:val="0"/>
          <w:bCs/>
        </w:rPr>
        <w:t xml:space="preserve">In a wealthy country, we might expect several billion in additional </w:t>
      </w:r>
      <w:r w:rsidR="00F01FC2" w:rsidRPr="00C27804">
        <w:rPr>
          <w:rFonts w:ascii="DM Sans" w:hAnsi="DM Sans"/>
          <w:b w:val="0"/>
          <w:bCs/>
        </w:rPr>
        <w:t xml:space="preserve">net </w:t>
      </w:r>
      <w:r w:rsidR="00672DBA" w:rsidRPr="00C27804">
        <w:rPr>
          <w:rFonts w:ascii="DM Sans" w:hAnsi="DM Sans"/>
          <w:b w:val="0"/>
          <w:bCs/>
        </w:rPr>
        <w:t>giving to occur each year, even after substitution effects, or tens of billions per decade.</w:t>
      </w:r>
    </w:p>
    <w:p w14:paraId="35634FD2" w14:textId="77777777" w:rsidR="004210A7" w:rsidRPr="00C27804" w:rsidRDefault="00672DBA" w:rsidP="00B255C9">
      <w:pPr>
        <w:pStyle w:val="ListNumber"/>
        <w:numPr>
          <w:ilvl w:val="0"/>
          <w:numId w:val="27"/>
        </w:numPr>
        <w:rPr>
          <w:rFonts w:ascii="DM Sans" w:hAnsi="DM Sans"/>
        </w:rPr>
      </w:pPr>
      <w:r w:rsidRPr="00C27804">
        <w:rPr>
          <w:rFonts w:ascii="DM Sans" w:hAnsi="DM Sans"/>
        </w:rPr>
        <w:t xml:space="preserve">The </w:t>
      </w:r>
      <w:r w:rsidR="004210A7" w:rsidRPr="00C27804">
        <w:rPr>
          <w:rFonts w:ascii="DM Sans" w:hAnsi="DM Sans"/>
        </w:rPr>
        <w:t xml:space="preserve">reform is likely to be welfare-enhancing for the </w:t>
      </w:r>
      <w:proofErr w:type="gramStart"/>
      <w:r w:rsidR="004210A7" w:rsidRPr="00C27804">
        <w:rPr>
          <w:rFonts w:ascii="DM Sans" w:hAnsi="DM Sans"/>
        </w:rPr>
        <w:t>community as a whole</w:t>
      </w:r>
      <w:proofErr w:type="gramEnd"/>
      <w:r w:rsidR="004210A7" w:rsidRPr="00C27804">
        <w:rPr>
          <w:rFonts w:ascii="DM Sans" w:hAnsi="DM Sans"/>
        </w:rPr>
        <w:t>.</w:t>
      </w:r>
    </w:p>
    <w:p w14:paraId="27C91659" w14:textId="4423435E" w:rsidR="00F5656E" w:rsidRPr="00CC116F" w:rsidRDefault="00CF0E28" w:rsidP="00B255C9">
      <w:pPr>
        <w:pStyle w:val="ListNumber"/>
        <w:numPr>
          <w:ilvl w:val="0"/>
          <w:numId w:val="35"/>
        </w:numPr>
        <w:rPr>
          <w:rFonts w:ascii="DM Sans" w:hAnsi="DM Sans"/>
          <w:b w:val="0"/>
          <w:bCs/>
        </w:rPr>
      </w:pPr>
      <w:r w:rsidRPr="00C27804">
        <w:rPr>
          <w:rFonts w:ascii="DM Sans" w:hAnsi="DM Sans"/>
          <w:b w:val="0"/>
          <w:bCs/>
        </w:rPr>
        <w:t xml:space="preserve">The </w:t>
      </w:r>
      <w:r w:rsidR="00672DBA" w:rsidRPr="00C27804">
        <w:rPr>
          <w:rFonts w:ascii="DM Sans" w:hAnsi="DM Sans"/>
          <w:b w:val="0"/>
          <w:bCs/>
        </w:rPr>
        <w:t xml:space="preserve">PC has indicated it views the tax concession for giving as being welfare enhancing.  It follows that if this </w:t>
      </w:r>
      <w:r w:rsidR="003B1994">
        <w:rPr>
          <w:rFonts w:ascii="DM Sans" w:hAnsi="DM Sans"/>
          <w:b w:val="0"/>
          <w:bCs/>
        </w:rPr>
        <w:t xml:space="preserve">proposed </w:t>
      </w:r>
      <w:r w:rsidR="00672DBA" w:rsidRPr="00C27804">
        <w:rPr>
          <w:rFonts w:ascii="DM Sans" w:hAnsi="DM Sans"/>
          <w:b w:val="0"/>
          <w:bCs/>
        </w:rPr>
        <w:t>reform is effective in increasing such giving – and does not have major downsides – it too is welfare enhancing.</w:t>
      </w:r>
      <w:r w:rsidR="00CC116F">
        <w:rPr>
          <w:rFonts w:ascii="DM Sans" w:hAnsi="DM Sans"/>
          <w:b w:val="0"/>
          <w:bCs/>
        </w:rPr>
        <w:t xml:space="preserve">  </w:t>
      </w:r>
    </w:p>
    <w:p w14:paraId="0E9196D5" w14:textId="77777777" w:rsidR="007527F0" w:rsidRPr="00C27804" w:rsidRDefault="00480CF6" w:rsidP="00B255C9">
      <w:pPr>
        <w:pStyle w:val="ListNumber"/>
        <w:numPr>
          <w:ilvl w:val="0"/>
          <w:numId w:val="27"/>
        </w:numPr>
        <w:rPr>
          <w:rFonts w:ascii="DM Sans" w:hAnsi="DM Sans"/>
          <w:bCs/>
        </w:rPr>
      </w:pPr>
      <w:r w:rsidRPr="00C27804">
        <w:rPr>
          <w:rFonts w:ascii="DM Sans" w:hAnsi="DM Sans"/>
        </w:rPr>
        <w:t>A major body of evidence</w:t>
      </w:r>
      <w:r w:rsidR="00672DBA" w:rsidRPr="00C27804">
        <w:rPr>
          <w:rFonts w:ascii="DM Sans" w:hAnsi="DM Sans"/>
        </w:rPr>
        <w:t xml:space="preserve"> confirms behavioural nudges have been highly effective in increasing philanthropic giving.  </w:t>
      </w:r>
      <w:r w:rsidR="004D0A9B" w:rsidRPr="00C27804">
        <w:rPr>
          <w:rFonts w:ascii="DM Sans" w:hAnsi="DM Sans"/>
          <w:b w:val="0"/>
          <w:bCs/>
        </w:rPr>
        <w:t xml:space="preserve">More specifically, prompts </w:t>
      </w:r>
      <w:r w:rsidR="008A697F" w:rsidRPr="00C27804">
        <w:rPr>
          <w:rFonts w:ascii="DM Sans" w:hAnsi="DM Sans"/>
          <w:b w:val="0"/>
          <w:bCs/>
        </w:rPr>
        <w:t xml:space="preserve">to give at a favourable point in time </w:t>
      </w:r>
      <w:r w:rsidR="004D0A9B" w:rsidRPr="00C27804">
        <w:rPr>
          <w:rFonts w:ascii="DM Sans" w:hAnsi="DM Sans"/>
          <w:b w:val="0"/>
          <w:bCs/>
        </w:rPr>
        <w:t>have been shown to lift giving.</w:t>
      </w:r>
      <w:r w:rsidR="00172BA7" w:rsidRPr="00C27804">
        <w:rPr>
          <w:rFonts w:ascii="DM Sans" w:hAnsi="DM Sans"/>
        </w:rPr>
        <w:t xml:space="preserve">  </w:t>
      </w:r>
    </w:p>
    <w:p w14:paraId="1DE4C936" w14:textId="136ADE00" w:rsidR="0019734C" w:rsidRDefault="00671562" w:rsidP="00B255C9">
      <w:pPr>
        <w:pStyle w:val="ListNumber"/>
        <w:numPr>
          <w:ilvl w:val="0"/>
          <w:numId w:val="36"/>
        </w:numPr>
        <w:rPr>
          <w:rFonts w:ascii="DM Sans" w:hAnsi="DM Sans"/>
          <w:b w:val="0"/>
          <w:bCs/>
        </w:rPr>
      </w:pPr>
      <w:r>
        <w:rPr>
          <w:rFonts w:ascii="DM Sans" w:hAnsi="DM Sans"/>
          <w:b w:val="0"/>
          <w:bCs/>
        </w:rPr>
        <w:t xml:space="preserve">As part of </w:t>
      </w:r>
      <w:r w:rsidR="0058200D" w:rsidRPr="0058200D">
        <w:rPr>
          <w:rFonts w:ascii="DM Sans" w:hAnsi="DM Sans"/>
          <w:b w:val="0"/>
          <w:bCs/>
        </w:rPr>
        <w:t>The Alaskan ‘Pick.Click.Give’ campaign</w:t>
      </w:r>
      <w:r w:rsidR="0058200D">
        <w:rPr>
          <w:rFonts w:ascii="DM Sans" w:hAnsi="DM Sans"/>
          <w:b w:val="0"/>
          <w:bCs/>
        </w:rPr>
        <w:t xml:space="preserve">, tailored messaging on a postcard led to </w:t>
      </w:r>
      <w:r w:rsidR="005A39BD">
        <w:rPr>
          <w:rFonts w:ascii="DM Sans" w:hAnsi="DM Sans"/>
          <w:b w:val="0"/>
          <w:bCs/>
        </w:rPr>
        <w:t xml:space="preserve">a treatment group being 4.5 per cent more likely to donate </w:t>
      </w:r>
      <w:r w:rsidR="004A719F">
        <w:rPr>
          <w:rFonts w:ascii="DM Sans" w:hAnsi="DM Sans"/>
          <w:b w:val="0"/>
          <w:bCs/>
        </w:rPr>
        <w:t xml:space="preserve">some of their annual </w:t>
      </w:r>
      <w:r w:rsidR="004A719F" w:rsidRPr="004A719F">
        <w:rPr>
          <w:rFonts w:ascii="DM Sans" w:hAnsi="DM Sans"/>
          <w:b w:val="0"/>
          <w:bCs/>
        </w:rPr>
        <w:t>dividend from the state’s oil production each year</w:t>
      </w:r>
      <w:r w:rsidR="00504638">
        <w:rPr>
          <w:rFonts w:ascii="DM Sans" w:hAnsi="DM Sans"/>
          <w:b w:val="0"/>
          <w:bCs/>
        </w:rPr>
        <w:t xml:space="preserve"> and give a 20 per cent larger donation than the control group</w:t>
      </w:r>
      <w:r w:rsidR="00B10D56">
        <w:rPr>
          <w:rFonts w:ascii="DM Sans" w:hAnsi="DM Sans"/>
          <w:b w:val="0"/>
          <w:bCs/>
        </w:rPr>
        <w:t>.</w:t>
      </w:r>
      <w:r w:rsidR="003B1F39">
        <w:rPr>
          <w:rStyle w:val="FootnoteReference"/>
          <w:rFonts w:ascii="DM Sans" w:hAnsi="DM Sans"/>
          <w:b w:val="0"/>
          <w:bCs/>
        </w:rPr>
        <w:footnoteReference w:id="10"/>
      </w:r>
      <w:r w:rsidR="00504638">
        <w:rPr>
          <w:rFonts w:ascii="DM Sans" w:hAnsi="DM Sans"/>
          <w:b w:val="0"/>
          <w:bCs/>
        </w:rPr>
        <w:t xml:space="preserve"> </w:t>
      </w:r>
    </w:p>
    <w:p w14:paraId="6B8B7D8B" w14:textId="574EF648" w:rsidR="00E43ADB" w:rsidRPr="00C27804" w:rsidRDefault="00671562" w:rsidP="00B255C9">
      <w:pPr>
        <w:pStyle w:val="ListNumber"/>
        <w:numPr>
          <w:ilvl w:val="0"/>
          <w:numId w:val="36"/>
        </w:numPr>
        <w:rPr>
          <w:rFonts w:ascii="DM Sans" w:hAnsi="DM Sans"/>
          <w:b w:val="0"/>
          <w:bCs/>
        </w:rPr>
      </w:pPr>
      <w:r>
        <w:rPr>
          <w:rFonts w:ascii="DM Sans" w:hAnsi="DM Sans"/>
          <w:b w:val="0"/>
          <w:bCs/>
        </w:rPr>
        <w:t>T</w:t>
      </w:r>
      <w:r w:rsidR="00EB20B4" w:rsidRPr="00C27804">
        <w:rPr>
          <w:rFonts w:ascii="DM Sans" w:hAnsi="DM Sans"/>
          <w:b w:val="0"/>
          <w:bCs/>
        </w:rPr>
        <w:t xml:space="preserve">he UK Behavioural </w:t>
      </w:r>
      <w:r w:rsidR="00374A8B" w:rsidRPr="00C27804">
        <w:rPr>
          <w:rFonts w:ascii="DM Sans" w:hAnsi="DM Sans"/>
          <w:b w:val="0"/>
          <w:bCs/>
        </w:rPr>
        <w:t xml:space="preserve">Insights Team </w:t>
      </w:r>
      <w:r w:rsidR="00340E7C" w:rsidRPr="00C27804">
        <w:rPr>
          <w:rFonts w:ascii="DM Sans" w:hAnsi="DM Sans"/>
          <w:b w:val="0"/>
          <w:bCs/>
        </w:rPr>
        <w:t>tested options to lift bequests in wills</w:t>
      </w:r>
      <w:r w:rsidR="006C09AB" w:rsidRPr="00C27804">
        <w:rPr>
          <w:rFonts w:ascii="DM Sans" w:hAnsi="DM Sans"/>
          <w:b w:val="0"/>
          <w:bCs/>
        </w:rPr>
        <w:t xml:space="preserve">.  In the baseline group, will writers did not discuss </w:t>
      </w:r>
      <w:r w:rsidR="00681328" w:rsidRPr="00C27804">
        <w:rPr>
          <w:rFonts w:ascii="DM Sans" w:hAnsi="DM Sans"/>
          <w:b w:val="0"/>
          <w:bCs/>
        </w:rPr>
        <w:t xml:space="preserve">philanthropic bequests.  In </w:t>
      </w:r>
      <w:r w:rsidR="00625512" w:rsidRPr="00C27804">
        <w:rPr>
          <w:rFonts w:ascii="DM Sans" w:hAnsi="DM Sans"/>
          <w:b w:val="0"/>
          <w:bCs/>
        </w:rPr>
        <w:t>the first treatment group, individuals were asked: “would you like to leave any money to charity in your will?” (</w:t>
      </w:r>
      <w:r w:rsidR="007527F0" w:rsidRPr="00C27804">
        <w:rPr>
          <w:rFonts w:ascii="DM Sans" w:hAnsi="DM Sans"/>
          <w:b w:val="0"/>
          <w:bCs/>
        </w:rPr>
        <w:t xml:space="preserve">the </w:t>
      </w:r>
      <w:r w:rsidR="00625512" w:rsidRPr="00C27804">
        <w:rPr>
          <w:rFonts w:ascii="DM Sans" w:hAnsi="DM Sans"/>
          <w:b w:val="0"/>
          <w:bCs/>
        </w:rPr>
        <w:t>‘Plain Ask’</w:t>
      </w:r>
      <w:r w:rsidR="007527F0" w:rsidRPr="00C27804">
        <w:rPr>
          <w:rFonts w:ascii="DM Sans" w:hAnsi="DM Sans"/>
          <w:b w:val="0"/>
          <w:bCs/>
        </w:rPr>
        <w:t xml:space="preserve"> intervention</w:t>
      </w:r>
      <w:r w:rsidR="00625512" w:rsidRPr="00C27804">
        <w:rPr>
          <w:rFonts w:ascii="DM Sans" w:hAnsi="DM Sans"/>
          <w:b w:val="0"/>
          <w:bCs/>
        </w:rPr>
        <w:t xml:space="preserve">). </w:t>
      </w:r>
      <w:r w:rsidR="007527F0" w:rsidRPr="00C27804">
        <w:rPr>
          <w:rFonts w:ascii="DM Sans" w:hAnsi="DM Sans"/>
          <w:b w:val="0"/>
          <w:bCs/>
        </w:rPr>
        <w:t xml:space="preserve">  </w:t>
      </w:r>
      <w:r w:rsidR="00625512" w:rsidRPr="00C27804">
        <w:rPr>
          <w:rFonts w:ascii="DM Sans" w:hAnsi="DM Sans"/>
          <w:b w:val="0"/>
          <w:bCs/>
        </w:rPr>
        <w:t xml:space="preserve">In the second treatment group, they were asked: “many of our customers like to leave money to charity in their will. Are there any causes you’re passionate about?” </w:t>
      </w:r>
      <w:r w:rsidR="007527F0" w:rsidRPr="00C27804">
        <w:rPr>
          <w:rFonts w:ascii="DM Sans" w:hAnsi="DM Sans"/>
          <w:b w:val="0"/>
          <w:bCs/>
        </w:rPr>
        <w:t xml:space="preserve">(the </w:t>
      </w:r>
      <w:r w:rsidR="00625512" w:rsidRPr="00C27804">
        <w:rPr>
          <w:rFonts w:ascii="DM Sans" w:hAnsi="DM Sans"/>
          <w:b w:val="0"/>
          <w:bCs/>
        </w:rPr>
        <w:t>‘Social Norm’</w:t>
      </w:r>
      <w:r w:rsidR="007527F0" w:rsidRPr="00C27804">
        <w:rPr>
          <w:rFonts w:ascii="DM Sans" w:hAnsi="DM Sans"/>
          <w:b w:val="0"/>
          <w:bCs/>
        </w:rPr>
        <w:t xml:space="preserve"> intervention</w:t>
      </w:r>
      <w:r w:rsidR="00625512" w:rsidRPr="00C27804">
        <w:rPr>
          <w:rFonts w:ascii="DM Sans" w:hAnsi="DM Sans"/>
          <w:b w:val="0"/>
          <w:bCs/>
        </w:rPr>
        <w:t>)</w:t>
      </w:r>
      <w:r w:rsidR="00765A41" w:rsidRPr="00C27804">
        <w:rPr>
          <w:rFonts w:ascii="DM Sans" w:hAnsi="DM Sans"/>
          <w:b w:val="0"/>
          <w:bCs/>
        </w:rPr>
        <w:t>.</w:t>
      </w:r>
      <w:r w:rsidR="00163EC7" w:rsidRPr="00C27804">
        <w:rPr>
          <w:rFonts w:ascii="DM Sans" w:hAnsi="DM Sans"/>
          <w:b w:val="0"/>
          <w:bCs/>
        </w:rPr>
        <w:t xml:space="preserve">  The ‘Plain Ask’ more than doubled the percentage donating </w:t>
      </w:r>
      <w:r w:rsidR="006B609A" w:rsidRPr="00C27804">
        <w:rPr>
          <w:rFonts w:ascii="DM Sans" w:hAnsi="DM Sans"/>
          <w:b w:val="0"/>
          <w:bCs/>
        </w:rPr>
        <w:t xml:space="preserve">and the ‘Social Norm intervention more than tripled the percentage donating and </w:t>
      </w:r>
      <w:r w:rsidR="00D6499B" w:rsidRPr="00C27804">
        <w:rPr>
          <w:rFonts w:ascii="DM Sans" w:hAnsi="DM Sans"/>
          <w:b w:val="0"/>
          <w:bCs/>
        </w:rPr>
        <w:t>doubled the average donation.</w:t>
      </w:r>
      <w:r w:rsidR="000D3D87" w:rsidRPr="00C27804">
        <w:rPr>
          <w:rStyle w:val="FootnoteReference"/>
          <w:rFonts w:ascii="DM Sans" w:hAnsi="DM Sans"/>
          <w:b w:val="0"/>
          <w:bCs/>
        </w:rPr>
        <w:footnoteReference w:id="11"/>
      </w:r>
    </w:p>
    <w:p w14:paraId="43130F74" w14:textId="1C021E11" w:rsidR="00E43ADB" w:rsidRPr="00C27804" w:rsidRDefault="00625512" w:rsidP="00D6499B">
      <w:pPr>
        <w:pStyle w:val="ListNumber"/>
        <w:numPr>
          <w:ilvl w:val="0"/>
          <w:numId w:val="0"/>
        </w:numPr>
        <w:ind w:left="340"/>
        <w:rPr>
          <w:rFonts w:ascii="DM Sans" w:hAnsi="DM Sans"/>
          <w:bCs/>
          <w:i/>
          <w:iCs/>
          <w:lang w:val="en-US"/>
        </w:rPr>
      </w:pPr>
      <w:r w:rsidRPr="00C27804">
        <w:rPr>
          <w:rFonts w:ascii="DM Sans" w:hAnsi="DM Sans"/>
          <w:b w:val="0"/>
          <w:bCs/>
        </w:rPr>
        <w:lastRenderedPageBreak/>
        <w:t xml:space="preserve"> </w:t>
      </w:r>
      <w:r w:rsidR="00E43ADB" w:rsidRPr="00C27804">
        <w:rPr>
          <w:rFonts w:ascii="DM Sans" w:hAnsi="DM Sans"/>
          <w:bCs/>
          <w:i/>
          <w:iCs/>
          <w:noProof/>
          <w:lang w:val="en-US"/>
        </w:rPr>
        <w:drawing>
          <wp:inline distT="0" distB="0" distL="0" distR="0" wp14:anchorId="40D83FC4" wp14:editId="63F53155">
            <wp:extent cx="5334000" cy="3765550"/>
            <wp:effectExtent l="19050" t="19050" r="19050" b="25400"/>
            <wp:docPr id="208874094" name="Picture 3" descr="A graph of a number of green and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4094" name="Picture 3" descr="A graph of a number of green and blue squares&#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334000" cy="3765550"/>
                    </a:xfrm>
                    <a:prstGeom prst="rect">
                      <a:avLst/>
                    </a:prstGeom>
                    <a:noFill/>
                    <a:ln>
                      <a:solidFill>
                        <a:schemeClr val="tx1"/>
                      </a:solidFill>
                    </a:ln>
                  </pic:spPr>
                </pic:pic>
              </a:graphicData>
            </a:graphic>
          </wp:inline>
        </w:drawing>
      </w:r>
    </w:p>
    <w:p w14:paraId="393AF19B" w14:textId="50B5789F" w:rsidR="006269DD" w:rsidRPr="00C27804" w:rsidRDefault="006269DD" w:rsidP="00B255C9">
      <w:pPr>
        <w:pStyle w:val="ListNumber"/>
        <w:numPr>
          <w:ilvl w:val="0"/>
          <w:numId w:val="27"/>
        </w:numPr>
        <w:spacing w:line="260" w:lineRule="atLeast"/>
        <w:rPr>
          <w:rFonts w:ascii="DM Sans" w:hAnsi="DM Sans"/>
        </w:rPr>
      </w:pPr>
      <w:r w:rsidRPr="00C27804">
        <w:rPr>
          <w:rFonts w:ascii="DM Sans" w:hAnsi="DM Sans"/>
        </w:rPr>
        <w:t>Provided it is well communicated, the reform would be popular with the Australian people.</w:t>
      </w:r>
    </w:p>
    <w:p w14:paraId="2553A5B8" w14:textId="77777777" w:rsidR="006269DD" w:rsidRPr="00C27804" w:rsidRDefault="006269DD" w:rsidP="00B255C9">
      <w:pPr>
        <w:pStyle w:val="ListNumber"/>
        <w:numPr>
          <w:ilvl w:val="0"/>
          <w:numId w:val="36"/>
        </w:numPr>
        <w:rPr>
          <w:rFonts w:ascii="DM Sans" w:hAnsi="DM Sans"/>
          <w:b w:val="0"/>
          <w:bCs/>
        </w:rPr>
      </w:pPr>
      <w:r w:rsidRPr="00C27804">
        <w:rPr>
          <w:rFonts w:ascii="DM Sans" w:hAnsi="DM Sans"/>
          <w:b w:val="0"/>
          <w:bCs/>
        </w:rPr>
        <w:t>Polling of more than 2,500 Australians by Redbridge in November 2022 found 70 per cent supported the reform, 9 per cent were opposed, and 20.9 per cent were neutral or not sure.</w:t>
      </w:r>
    </w:p>
    <w:p w14:paraId="22985D0B" w14:textId="77777777" w:rsidR="006269DD" w:rsidRPr="00C27804" w:rsidRDefault="006269DD" w:rsidP="00B255C9">
      <w:pPr>
        <w:pStyle w:val="ListNumber"/>
        <w:numPr>
          <w:ilvl w:val="0"/>
          <w:numId w:val="36"/>
        </w:numPr>
        <w:rPr>
          <w:rFonts w:ascii="DM Sans" w:hAnsi="DM Sans"/>
          <w:b w:val="0"/>
          <w:bCs/>
        </w:rPr>
      </w:pPr>
      <w:r w:rsidRPr="00C27804">
        <w:rPr>
          <w:rFonts w:ascii="DM Sans" w:hAnsi="DM Sans"/>
          <w:b w:val="0"/>
          <w:bCs/>
        </w:rPr>
        <w:t xml:space="preserve">While this level of support is strong, focus groups by Redbridge identified the need to frame and communicate the reform effectively to the Australian people.  </w:t>
      </w:r>
    </w:p>
    <w:p w14:paraId="4A362DB6" w14:textId="77777777" w:rsidR="006269DD" w:rsidRPr="00C00CCF" w:rsidRDefault="006269DD" w:rsidP="00B255C9">
      <w:pPr>
        <w:pStyle w:val="ListParagraph"/>
        <w:numPr>
          <w:ilvl w:val="2"/>
          <w:numId w:val="33"/>
        </w:numPr>
        <w:spacing w:before="60" w:after="60" w:line="260" w:lineRule="atLeast"/>
        <w:ind w:left="709"/>
        <w:rPr>
          <w:rFonts w:ascii="DM Sans" w:hAnsi="DM Sans"/>
          <w:sz w:val="20"/>
        </w:rPr>
      </w:pPr>
      <w:r w:rsidRPr="00C00CCF">
        <w:rPr>
          <w:rFonts w:ascii="DM Sans" w:hAnsi="DM Sans"/>
          <w:sz w:val="20"/>
        </w:rPr>
        <w:t xml:space="preserve">It is important people understand the option to donate at tax time is completely voluntary and the choice of every Australian. </w:t>
      </w:r>
    </w:p>
    <w:p w14:paraId="1B847A3C" w14:textId="77777777" w:rsidR="006269DD" w:rsidRPr="00C00CCF" w:rsidRDefault="006269DD" w:rsidP="00C77306">
      <w:pPr>
        <w:spacing w:before="60" w:after="60" w:line="260" w:lineRule="atLeast"/>
        <w:ind w:left="709"/>
        <w:rPr>
          <w:rFonts w:ascii="DM Sans" w:eastAsia="MS ??" w:hAnsi="DM Sans"/>
        </w:rPr>
      </w:pPr>
      <w:r w:rsidRPr="00C00CCF">
        <w:rPr>
          <w:rFonts w:ascii="DM Sans" w:eastAsia="MS ??" w:hAnsi="DM Sans"/>
        </w:rPr>
        <w:t>“I think it's a great idea. It's not making anyone give anything they don't want to give. It's just a reminder, and it's an easy option.”</w:t>
      </w:r>
    </w:p>
    <w:p w14:paraId="4451FE7A" w14:textId="77777777" w:rsidR="006269DD" w:rsidRPr="00C00CCF" w:rsidRDefault="006269DD" w:rsidP="00B255C9">
      <w:pPr>
        <w:pStyle w:val="ListParagraph"/>
        <w:numPr>
          <w:ilvl w:val="0"/>
          <w:numId w:val="34"/>
        </w:numPr>
        <w:spacing w:before="60" w:after="60" w:line="260" w:lineRule="atLeast"/>
        <w:ind w:left="709"/>
        <w:rPr>
          <w:rFonts w:ascii="DM Sans" w:hAnsi="DM Sans"/>
          <w:sz w:val="20"/>
        </w:rPr>
      </w:pPr>
      <w:r w:rsidRPr="00C00CCF">
        <w:rPr>
          <w:rFonts w:ascii="DM Sans" w:hAnsi="DM Sans"/>
          <w:sz w:val="20"/>
        </w:rPr>
        <w:t xml:space="preserve">People did not respond favourably to the behavioural economics terminology – ‘a tax return nudge’ – or where they perceived the reform as the government taking away their agency to decide for themselves what to do.  </w:t>
      </w:r>
    </w:p>
    <w:p w14:paraId="189C6E62" w14:textId="77777777" w:rsidR="006269DD" w:rsidRPr="00C00CCF" w:rsidRDefault="006269DD" w:rsidP="00C77306">
      <w:pPr>
        <w:spacing w:before="60" w:after="60" w:line="260" w:lineRule="atLeast"/>
        <w:ind w:left="709"/>
        <w:rPr>
          <w:rFonts w:ascii="DM Sans" w:eastAsia="MS ??" w:hAnsi="DM Sans"/>
        </w:rPr>
      </w:pPr>
      <w:r w:rsidRPr="00C00CCF">
        <w:rPr>
          <w:rFonts w:ascii="DM Sans" w:eastAsia="MS ??" w:hAnsi="DM Sans"/>
        </w:rPr>
        <w:t>“That's the government getting involved in charity. That's the government advising me what to do. That's the government wanting to take personal choice away from me.”</w:t>
      </w:r>
    </w:p>
    <w:p w14:paraId="5B38452D" w14:textId="482E0746" w:rsidR="004C1090" w:rsidRDefault="003B440C" w:rsidP="00C76552">
      <w:pPr>
        <w:pStyle w:val="ListNumber"/>
        <w:numPr>
          <w:ilvl w:val="0"/>
          <w:numId w:val="27"/>
        </w:numPr>
        <w:spacing w:line="260" w:lineRule="atLeast"/>
        <w:rPr>
          <w:rFonts w:ascii="DM Sans" w:hAnsi="DM Sans"/>
        </w:rPr>
      </w:pPr>
      <w:r>
        <w:rPr>
          <w:rFonts w:ascii="DM Sans" w:hAnsi="DM Sans"/>
        </w:rPr>
        <w:t xml:space="preserve">We’d welcome the PC taking another look at this reform option.  </w:t>
      </w:r>
    </w:p>
    <w:p w14:paraId="3483A1D9" w14:textId="26072608" w:rsidR="00030126" w:rsidRPr="00952E13" w:rsidRDefault="00030126" w:rsidP="00952E13">
      <w:pPr>
        <w:pStyle w:val="ListNumber"/>
        <w:numPr>
          <w:ilvl w:val="0"/>
          <w:numId w:val="36"/>
        </w:numPr>
        <w:spacing w:line="260" w:lineRule="atLeast"/>
        <w:rPr>
          <w:rFonts w:ascii="DM Sans" w:hAnsi="DM Sans"/>
        </w:rPr>
      </w:pPr>
      <w:r w:rsidRPr="00C27804">
        <w:rPr>
          <w:rFonts w:ascii="DM Sans" w:hAnsi="DM Sans"/>
          <w:b w:val="0"/>
        </w:rPr>
        <w:t xml:space="preserve">As detailed in </w:t>
      </w:r>
      <w:r w:rsidR="00952E13">
        <w:rPr>
          <w:rFonts w:ascii="DM Sans" w:hAnsi="DM Sans"/>
          <w:b w:val="0"/>
        </w:rPr>
        <w:t xml:space="preserve">Example One in </w:t>
      </w:r>
      <w:r>
        <w:rPr>
          <w:rFonts w:ascii="DM Sans" w:hAnsi="DM Sans"/>
          <w:b w:val="0"/>
        </w:rPr>
        <w:t xml:space="preserve">Attachment One, </w:t>
      </w:r>
      <w:r w:rsidRPr="00C27804">
        <w:rPr>
          <w:rFonts w:ascii="DM Sans" w:hAnsi="DM Sans"/>
          <w:b w:val="0"/>
        </w:rPr>
        <w:t xml:space="preserve">the draft report did not appear to </w:t>
      </w:r>
      <w:r>
        <w:rPr>
          <w:rFonts w:ascii="DM Sans" w:hAnsi="DM Sans"/>
          <w:b w:val="0"/>
        </w:rPr>
        <w:t xml:space="preserve">fully </w:t>
      </w:r>
      <w:r w:rsidRPr="00C27804">
        <w:rPr>
          <w:rFonts w:ascii="DM Sans" w:hAnsi="DM Sans"/>
          <w:b w:val="0"/>
        </w:rPr>
        <w:t xml:space="preserve">consider the strong case for this reform or how it could be designed to overcome risks and deliver a net benefit.  We think it deserves </w:t>
      </w:r>
      <w:r>
        <w:rPr>
          <w:rFonts w:ascii="DM Sans" w:hAnsi="DM Sans"/>
          <w:b w:val="0"/>
        </w:rPr>
        <w:t>another look.</w:t>
      </w:r>
    </w:p>
    <w:p w14:paraId="6C33E009" w14:textId="77777777" w:rsidR="00C76552" w:rsidRPr="004C1090" w:rsidRDefault="00C76552" w:rsidP="00C76552">
      <w:pPr>
        <w:pStyle w:val="ListNumber"/>
        <w:numPr>
          <w:ilvl w:val="0"/>
          <w:numId w:val="0"/>
        </w:numPr>
        <w:spacing w:line="260" w:lineRule="atLeast"/>
        <w:ind w:left="340" w:hanging="340"/>
        <w:rPr>
          <w:rFonts w:ascii="DM Sans" w:eastAsiaTheme="majorEastAsia" w:hAnsi="DM Sans" w:cstheme="majorBidi"/>
          <w:bCs/>
          <w:color w:val="3D7EDB" w:themeColor="accent1"/>
          <w:sz w:val="28"/>
          <w:szCs w:val="24"/>
        </w:rPr>
      </w:pPr>
    </w:p>
    <w:p w14:paraId="5A9E7B85" w14:textId="17A62077" w:rsidR="00D735F1" w:rsidRPr="005126E8" w:rsidRDefault="00D735F1" w:rsidP="004C1090">
      <w:pPr>
        <w:pStyle w:val="ListNumber"/>
        <w:numPr>
          <w:ilvl w:val="0"/>
          <w:numId w:val="0"/>
        </w:numPr>
        <w:spacing w:line="260" w:lineRule="atLeast"/>
        <w:ind w:left="340" w:hanging="340"/>
        <w:rPr>
          <w:rFonts w:ascii="DM Sans" w:eastAsiaTheme="majorEastAsia" w:hAnsi="DM Sans" w:cstheme="majorBidi"/>
          <w:bCs/>
          <w:color w:val="3D7EDB" w:themeColor="accent1"/>
          <w:sz w:val="28"/>
          <w:szCs w:val="24"/>
        </w:rPr>
      </w:pPr>
      <w:r w:rsidRPr="005126E8">
        <w:rPr>
          <w:rFonts w:ascii="DM Sans" w:hAnsi="DM Sans"/>
        </w:rPr>
        <w:br w:type="page"/>
      </w:r>
    </w:p>
    <w:p w14:paraId="44417927" w14:textId="76E56F44" w:rsidR="003A718D" w:rsidRPr="00C27804" w:rsidRDefault="003A718D" w:rsidP="00A547B7">
      <w:pPr>
        <w:pStyle w:val="Heading2"/>
        <w:numPr>
          <w:ilvl w:val="1"/>
          <w:numId w:val="95"/>
        </w:numPr>
        <w:rPr>
          <w:rFonts w:ascii="DM Sans" w:hAnsi="DM Sans"/>
        </w:rPr>
      </w:pPr>
      <w:bookmarkStart w:id="11" w:name="_Toc158381888"/>
      <w:r w:rsidRPr="00C27804">
        <w:rPr>
          <w:rFonts w:ascii="DM Sans" w:hAnsi="DM Sans"/>
        </w:rPr>
        <w:lastRenderedPageBreak/>
        <w:t>A strategy to grow Australia’s Community Foundation network</w:t>
      </w:r>
      <w:bookmarkEnd w:id="11"/>
    </w:p>
    <w:tbl>
      <w:tblPr>
        <w:tblStyle w:val="PullOutTable"/>
        <w:tblW w:w="0" w:type="auto"/>
        <w:tblInd w:w="-289" w:type="dxa"/>
        <w:tblBorders>
          <w:insideH w:val="single" w:sz="4" w:space="0" w:color="F5F9FD" w:themeColor="background2"/>
          <w:insideV w:val="single" w:sz="4" w:space="0" w:color="F5F9FD" w:themeColor="background2"/>
        </w:tblBorders>
        <w:shd w:val="clear" w:color="auto" w:fill="DBE3F7" w:themeFill="text2" w:themeFillTint="1A"/>
        <w:tblLook w:val="04A0" w:firstRow="1" w:lastRow="0" w:firstColumn="1" w:lastColumn="0" w:noHBand="0" w:noVBand="1"/>
      </w:tblPr>
      <w:tblGrid>
        <w:gridCol w:w="9628"/>
      </w:tblGrid>
      <w:tr w:rsidR="0035040B" w:rsidRPr="00C27804" w14:paraId="7A4EF720" w14:textId="77777777" w:rsidTr="00A834E9">
        <w:tc>
          <w:tcPr>
            <w:tcW w:w="9628" w:type="dxa"/>
            <w:shd w:val="clear" w:color="auto" w:fill="DBE3F7" w:themeFill="text2" w:themeFillTint="1A"/>
          </w:tcPr>
          <w:p w14:paraId="5501CD31" w14:textId="77777777" w:rsidR="00A834E9" w:rsidRPr="00C27804" w:rsidRDefault="00A834E9" w:rsidP="00A834E9">
            <w:pPr>
              <w:pStyle w:val="BodyText"/>
              <w:shd w:val="clear" w:color="auto" w:fill="D8E5F7" w:themeFill="accent1" w:themeFillTint="33"/>
              <w:rPr>
                <w:rFonts w:ascii="DM Sans" w:hAnsi="DM Sans"/>
                <w:b/>
                <w:bCs/>
                <w:color w:val="3D7EDB" w:themeColor="accent1"/>
                <w:sz w:val="24"/>
                <w:szCs w:val="24"/>
              </w:rPr>
            </w:pPr>
            <w:r w:rsidRPr="00C27804">
              <w:rPr>
                <w:rFonts w:ascii="DM Sans" w:hAnsi="DM Sans"/>
                <w:b/>
                <w:bCs/>
                <w:color w:val="3D7EDB" w:themeColor="accent1"/>
                <w:sz w:val="24"/>
                <w:szCs w:val="24"/>
              </w:rPr>
              <w:t>Recommendation</w:t>
            </w:r>
          </w:p>
          <w:p w14:paraId="73D4E5FE" w14:textId="49A6BB06" w:rsidR="004D54FF" w:rsidRPr="00C00CCF" w:rsidRDefault="004D54FF" w:rsidP="00B255C9">
            <w:pPr>
              <w:pStyle w:val="ListParagraph"/>
              <w:numPr>
                <w:ilvl w:val="0"/>
                <w:numId w:val="68"/>
              </w:numPr>
              <w:spacing w:before="60" w:after="60"/>
              <w:rPr>
                <w:rFonts w:ascii="DM Sans" w:hAnsi="DM Sans"/>
                <w:b/>
                <w:bCs/>
                <w:color w:val="auto"/>
                <w:sz w:val="20"/>
                <w:u w:val="single"/>
              </w:rPr>
            </w:pPr>
            <w:r w:rsidRPr="00C00CCF">
              <w:rPr>
                <w:rFonts w:ascii="DM Sans" w:hAnsi="DM Sans"/>
                <w:b/>
                <w:bCs/>
                <w:sz w:val="20"/>
              </w:rPr>
              <w:t xml:space="preserve">The PC recommend that the Federal Government work with the </w:t>
            </w:r>
            <w:r w:rsidR="009F2557">
              <w:rPr>
                <w:rFonts w:ascii="DM Sans" w:hAnsi="DM Sans"/>
                <w:b/>
                <w:bCs/>
                <w:sz w:val="20"/>
              </w:rPr>
              <w:t>C</w:t>
            </w:r>
            <w:r w:rsidR="008F5572" w:rsidRPr="00C00CCF">
              <w:rPr>
                <w:rFonts w:ascii="DM Sans" w:hAnsi="DM Sans"/>
                <w:b/>
                <w:bCs/>
                <w:sz w:val="20"/>
              </w:rPr>
              <w:t xml:space="preserve">ommunity </w:t>
            </w:r>
            <w:r w:rsidR="009F2557">
              <w:rPr>
                <w:rFonts w:ascii="DM Sans" w:hAnsi="DM Sans"/>
                <w:b/>
                <w:bCs/>
                <w:sz w:val="20"/>
              </w:rPr>
              <w:t>F</w:t>
            </w:r>
            <w:r w:rsidR="008F5572" w:rsidRPr="00C00CCF">
              <w:rPr>
                <w:rFonts w:ascii="DM Sans" w:hAnsi="DM Sans"/>
                <w:b/>
                <w:bCs/>
                <w:sz w:val="20"/>
              </w:rPr>
              <w:t>oundation and broader philanthropic sector</w:t>
            </w:r>
            <w:r w:rsidR="00D43732" w:rsidRPr="00C00CCF">
              <w:rPr>
                <w:rFonts w:ascii="DM Sans" w:hAnsi="DM Sans"/>
                <w:b/>
                <w:bCs/>
                <w:sz w:val="20"/>
              </w:rPr>
              <w:t>s</w:t>
            </w:r>
            <w:r w:rsidR="008F5572" w:rsidRPr="00C00CCF">
              <w:rPr>
                <w:rFonts w:ascii="DM Sans" w:hAnsi="DM Sans"/>
                <w:b/>
                <w:bCs/>
                <w:sz w:val="20"/>
              </w:rPr>
              <w:t xml:space="preserve"> </w:t>
            </w:r>
            <w:r w:rsidR="00F020B8">
              <w:rPr>
                <w:rFonts w:ascii="DM Sans" w:hAnsi="DM Sans"/>
                <w:b/>
                <w:bCs/>
                <w:sz w:val="20"/>
              </w:rPr>
              <w:t xml:space="preserve">in a dedicated policy process </w:t>
            </w:r>
            <w:r w:rsidR="008F5572" w:rsidRPr="00C00CCF">
              <w:rPr>
                <w:rFonts w:ascii="DM Sans" w:hAnsi="DM Sans"/>
                <w:b/>
                <w:bCs/>
                <w:sz w:val="20"/>
              </w:rPr>
              <w:t xml:space="preserve">to </w:t>
            </w:r>
            <w:r w:rsidR="003560FA" w:rsidRPr="00C00CCF">
              <w:rPr>
                <w:rFonts w:ascii="DM Sans" w:hAnsi="DM Sans"/>
                <w:b/>
                <w:bCs/>
                <w:sz w:val="20"/>
              </w:rPr>
              <w:t>D</w:t>
            </w:r>
            <w:r w:rsidR="008F5572" w:rsidRPr="00C00CCF">
              <w:rPr>
                <w:rFonts w:ascii="DM Sans" w:hAnsi="DM Sans"/>
                <w:b/>
                <w:bCs/>
                <w:sz w:val="20"/>
              </w:rPr>
              <w:t xml:space="preserve">evelop a Strategy to </w:t>
            </w:r>
            <w:r w:rsidR="003560FA" w:rsidRPr="00C00CCF">
              <w:rPr>
                <w:rFonts w:ascii="DM Sans" w:hAnsi="DM Sans"/>
                <w:b/>
                <w:bCs/>
                <w:sz w:val="20"/>
              </w:rPr>
              <w:t>Strengthen and Grow Australia’s Community Foundation Network</w:t>
            </w:r>
            <w:r w:rsidR="0032565E" w:rsidRPr="00C00CCF">
              <w:rPr>
                <w:rFonts w:ascii="DM Sans" w:hAnsi="DM Sans"/>
                <w:sz w:val="20"/>
              </w:rPr>
              <w:t xml:space="preserve">, </w:t>
            </w:r>
            <w:r w:rsidR="00AC44CE" w:rsidRPr="00C00CCF">
              <w:rPr>
                <w:rFonts w:ascii="DM Sans" w:hAnsi="DM Sans"/>
                <w:sz w:val="20"/>
              </w:rPr>
              <w:t xml:space="preserve">which </w:t>
            </w:r>
            <w:r w:rsidR="00CB2C16" w:rsidRPr="00C00CCF">
              <w:rPr>
                <w:rFonts w:ascii="DM Sans" w:hAnsi="DM Sans"/>
                <w:sz w:val="20"/>
              </w:rPr>
              <w:t>c</w:t>
            </w:r>
            <w:r w:rsidR="00AC44CE" w:rsidRPr="00C00CCF">
              <w:rPr>
                <w:rFonts w:ascii="DM Sans" w:hAnsi="DM Sans"/>
                <w:sz w:val="20"/>
              </w:rPr>
              <w:t>ould</w:t>
            </w:r>
            <w:r w:rsidR="00431EDA" w:rsidRPr="00C00CCF">
              <w:rPr>
                <w:rFonts w:ascii="DM Sans" w:hAnsi="DM Sans"/>
                <w:sz w:val="20"/>
              </w:rPr>
              <w:t xml:space="preserve"> include</w:t>
            </w:r>
            <w:r w:rsidR="00AC44CE" w:rsidRPr="00C00CCF">
              <w:rPr>
                <w:rFonts w:ascii="DM Sans" w:hAnsi="DM Sans"/>
                <w:sz w:val="20"/>
              </w:rPr>
              <w:t>:</w:t>
            </w:r>
          </w:p>
          <w:p w14:paraId="5AF43771" w14:textId="77777777" w:rsidR="0082453F" w:rsidRPr="00C00CCF" w:rsidRDefault="0082453F" w:rsidP="00A547B7">
            <w:pPr>
              <w:pStyle w:val="ListParagraph"/>
              <w:numPr>
                <w:ilvl w:val="0"/>
                <w:numId w:val="77"/>
              </w:numPr>
              <w:spacing w:before="60" w:after="60"/>
              <w:rPr>
                <w:rFonts w:ascii="DM Sans" w:hAnsi="DM Sans"/>
                <w:color w:val="auto"/>
                <w:sz w:val="20"/>
              </w:rPr>
            </w:pPr>
            <w:r w:rsidRPr="00C00CCF">
              <w:rPr>
                <w:rFonts w:ascii="DM Sans" w:hAnsi="DM Sans"/>
                <w:color w:val="auto"/>
                <w:sz w:val="20"/>
              </w:rPr>
              <w:t>Articulating the roles for government and philanthropy in growing the sector.</w:t>
            </w:r>
          </w:p>
          <w:p w14:paraId="42B3307E" w14:textId="02973F13" w:rsidR="00D441D5" w:rsidRPr="00C00CCF" w:rsidRDefault="002E22C4" w:rsidP="00A547B7">
            <w:pPr>
              <w:pStyle w:val="ListParagraph"/>
              <w:numPr>
                <w:ilvl w:val="0"/>
                <w:numId w:val="77"/>
              </w:numPr>
              <w:spacing w:before="60" w:after="60"/>
              <w:rPr>
                <w:rFonts w:ascii="DM Sans" w:hAnsi="DM Sans"/>
                <w:color w:val="auto"/>
                <w:sz w:val="20"/>
              </w:rPr>
            </w:pPr>
            <w:r w:rsidRPr="00C00CCF">
              <w:rPr>
                <w:rFonts w:ascii="DM Sans" w:hAnsi="DM Sans"/>
                <w:color w:val="auto"/>
                <w:sz w:val="20"/>
              </w:rPr>
              <w:t xml:space="preserve">Considering the potential </w:t>
            </w:r>
            <w:r w:rsidR="00F851D0" w:rsidRPr="00C00CCF">
              <w:rPr>
                <w:rFonts w:ascii="DM Sans" w:hAnsi="DM Sans"/>
                <w:color w:val="auto"/>
                <w:sz w:val="20"/>
              </w:rPr>
              <w:t xml:space="preserve">role </w:t>
            </w:r>
            <w:r w:rsidRPr="00C00CCF">
              <w:rPr>
                <w:rFonts w:ascii="DM Sans" w:hAnsi="DM Sans"/>
                <w:color w:val="auto"/>
                <w:sz w:val="20"/>
              </w:rPr>
              <w:t xml:space="preserve">of the Community Foundation network </w:t>
            </w:r>
            <w:r w:rsidR="00F851D0" w:rsidRPr="00C00CCF">
              <w:rPr>
                <w:rFonts w:ascii="DM Sans" w:hAnsi="DM Sans"/>
                <w:color w:val="auto"/>
                <w:sz w:val="20"/>
              </w:rPr>
              <w:t>in contributing</w:t>
            </w:r>
            <w:r w:rsidR="00371054" w:rsidRPr="00C00CCF">
              <w:rPr>
                <w:rFonts w:ascii="DM Sans" w:hAnsi="DM Sans"/>
                <w:color w:val="auto"/>
                <w:sz w:val="20"/>
              </w:rPr>
              <w:t xml:space="preserve"> to a more giving Australia</w:t>
            </w:r>
            <w:r w:rsidR="00F359F3" w:rsidRPr="00C00CCF">
              <w:rPr>
                <w:rFonts w:ascii="DM Sans" w:hAnsi="DM Sans"/>
                <w:color w:val="auto"/>
                <w:sz w:val="20"/>
              </w:rPr>
              <w:t xml:space="preserve"> (such as by facilitating community</w:t>
            </w:r>
            <w:r w:rsidR="008D16A8" w:rsidRPr="00C00CCF">
              <w:rPr>
                <w:rFonts w:ascii="DM Sans" w:hAnsi="DM Sans"/>
                <w:color w:val="auto"/>
                <w:sz w:val="20"/>
              </w:rPr>
              <w:t>-led</w:t>
            </w:r>
            <w:r w:rsidR="00EB45CE" w:rsidRPr="00C00CCF">
              <w:rPr>
                <w:rFonts w:ascii="DM Sans" w:hAnsi="DM Sans"/>
                <w:color w:val="auto"/>
                <w:sz w:val="20"/>
              </w:rPr>
              <w:t xml:space="preserve"> giving and </w:t>
            </w:r>
            <w:r w:rsidR="006C79EF">
              <w:rPr>
                <w:rFonts w:ascii="DM Sans" w:hAnsi="DM Sans"/>
                <w:color w:val="auto"/>
                <w:sz w:val="20"/>
              </w:rPr>
              <w:t>volunteering</w:t>
            </w:r>
            <w:r w:rsidR="00EB45CE" w:rsidRPr="00C00CCF">
              <w:rPr>
                <w:rFonts w:ascii="DM Sans" w:hAnsi="DM Sans"/>
                <w:color w:val="auto"/>
                <w:sz w:val="20"/>
              </w:rPr>
              <w:t>, restoring social capital</w:t>
            </w:r>
            <w:r w:rsidR="00643D27" w:rsidRPr="00C00CCF">
              <w:rPr>
                <w:rFonts w:ascii="DM Sans" w:hAnsi="DM Sans"/>
                <w:color w:val="auto"/>
                <w:sz w:val="20"/>
              </w:rPr>
              <w:t xml:space="preserve">, </w:t>
            </w:r>
            <w:r w:rsidR="006C79EF">
              <w:rPr>
                <w:rFonts w:ascii="DM Sans" w:hAnsi="DM Sans"/>
                <w:color w:val="auto"/>
                <w:sz w:val="20"/>
              </w:rPr>
              <w:t xml:space="preserve">developing innovative solutions to local problems, and </w:t>
            </w:r>
            <w:r w:rsidR="00643D27" w:rsidRPr="00C00CCF">
              <w:rPr>
                <w:rFonts w:ascii="DM Sans" w:hAnsi="DM Sans"/>
                <w:color w:val="auto"/>
                <w:sz w:val="20"/>
              </w:rPr>
              <w:t>delivering greater equity across Australia in philanthropic giving</w:t>
            </w:r>
            <w:r w:rsidR="001F4AC2" w:rsidRPr="00C00CCF">
              <w:rPr>
                <w:rFonts w:ascii="DM Sans" w:hAnsi="DM Sans"/>
                <w:color w:val="auto"/>
                <w:sz w:val="20"/>
              </w:rPr>
              <w:t>).</w:t>
            </w:r>
            <w:r w:rsidR="00643D27" w:rsidRPr="00C00CCF">
              <w:rPr>
                <w:rFonts w:ascii="DM Sans" w:hAnsi="DM Sans"/>
                <w:color w:val="auto"/>
                <w:sz w:val="20"/>
              </w:rPr>
              <w:t xml:space="preserve"> </w:t>
            </w:r>
            <w:r w:rsidR="008D16A8" w:rsidRPr="00C00CCF">
              <w:rPr>
                <w:rFonts w:ascii="DM Sans" w:hAnsi="DM Sans"/>
                <w:color w:val="auto"/>
                <w:sz w:val="20"/>
              </w:rPr>
              <w:t xml:space="preserve"> </w:t>
            </w:r>
            <w:r w:rsidR="00D43732" w:rsidRPr="00C00CCF">
              <w:rPr>
                <w:rFonts w:ascii="DM Sans" w:hAnsi="DM Sans"/>
                <w:color w:val="auto"/>
                <w:sz w:val="20"/>
              </w:rPr>
              <w:t xml:space="preserve"> </w:t>
            </w:r>
          </w:p>
          <w:p w14:paraId="0B6D5149" w14:textId="77777777" w:rsidR="00285E1F" w:rsidRPr="00C00CCF" w:rsidRDefault="00285E1F" w:rsidP="00A547B7">
            <w:pPr>
              <w:pStyle w:val="ListParagraph"/>
              <w:numPr>
                <w:ilvl w:val="0"/>
                <w:numId w:val="77"/>
              </w:numPr>
              <w:spacing w:before="60" w:after="60"/>
              <w:rPr>
                <w:rFonts w:ascii="DM Sans" w:hAnsi="DM Sans"/>
                <w:color w:val="auto"/>
                <w:sz w:val="20"/>
              </w:rPr>
            </w:pPr>
            <w:r w:rsidRPr="00C00CCF">
              <w:rPr>
                <w:rFonts w:ascii="DM Sans" w:hAnsi="DM Sans"/>
                <w:color w:val="auto"/>
                <w:sz w:val="20"/>
              </w:rPr>
              <w:t>Better understanding the evidence on the impact of community foundations.</w:t>
            </w:r>
          </w:p>
          <w:p w14:paraId="41A3A9AA" w14:textId="03ECC91F" w:rsidR="00F67A0C" w:rsidRPr="00C00CCF" w:rsidRDefault="002F4CA4" w:rsidP="00A547B7">
            <w:pPr>
              <w:pStyle w:val="ListParagraph"/>
              <w:numPr>
                <w:ilvl w:val="0"/>
                <w:numId w:val="77"/>
              </w:numPr>
              <w:spacing w:before="60" w:after="60"/>
              <w:rPr>
                <w:rFonts w:ascii="DM Sans" w:hAnsi="DM Sans"/>
                <w:color w:val="auto"/>
                <w:sz w:val="20"/>
              </w:rPr>
            </w:pPr>
            <w:r w:rsidRPr="00C00CCF">
              <w:rPr>
                <w:rFonts w:ascii="DM Sans" w:hAnsi="DM Sans"/>
                <w:color w:val="auto"/>
                <w:sz w:val="20"/>
              </w:rPr>
              <w:t xml:space="preserve">Better understanding the </w:t>
            </w:r>
            <w:r w:rsidR="00A17E07" w:rsidRPr="00C00CCF">
              <w:rPr>
                <w:rFonts w:ascii="DM Sans" w:hAnsi="DM Sans"/>
                <w:color w:val="auto"/>
                <w:sz w:val="20"/>
              </w:rPr>
              <w:t xml:space="preserve">international </w:t>
            </w:r>
            <w:r w:rsidRPr="00C00CCF">
              <w:rPr>
                <w:rFonts w:ascii="DM Sans" w:hAnsi="DM Sans"/>
                <w:color w:val="auto"/>
                <w:sz w:val="20"/>
              </w:rPr>
              <w:t xml:space="preserve">evidence </w:t>
            </w:r>
            <w:r w:rsidR="00A17E07" w:rsidRPr="00C00CCF">
              <w:rPr>
                <w:rFonts w:ascii="DM Sans" w:hAnsi="DM Sans"/>
                <w:color w:val="auto"/>
                <w:sz w:val="20"/>
              </w:rPr>
              <w:t xml:space="preserve">and practice </w:t>
            </w:r>
            <w:r w:rsidR="00704829" w:rsidRPr="00C00CCF">
              <w:rPr>
                <w:rFonts w:ascii="DM Sans" w:hAnsi="DM Sans"/>
                <w:color w:val="auto"/>
                <w:sz w:val="20"/>
              </w:rPr>
              <w:t>from nations where Community Foundations play a more substantial role</w:t>
            </w:r>
            <w:r w:rsidR="0001269D" w:rsidRPr="00C00CCF">
              <w:rPr>
                <w:rFonts w:ascii="DM Sans" w:hAnsi="DM Sans"/>
                <w:color w:val="auto"/>
                <w:sz w:val="20"/>
              </w:rPr>
              <w:t>.</w:t>
            </w:r>
            <w:r w:rsidR="00A17E07" w:rsidRPr="00C00CCF">
              <w:rPr>
                <w:rFonts w:ascii="DM Sans" w:hAnsi="DM Sans"/>
                <w:color w:val="auto"/>
                <w:sz w:val="20"/>
              </w:rPr>
              <w:t xml:space="preserve"> </w:t>
            </w:r>
          </w:p>
          <w:p w14:paraId="64A07254" w14:textId="7B8453FC" w:rsidR="0035040B" w:rsidRPr="00C27804" w:rsidRDefault="00D441D5" w:rsidP="00B255C9">
            <w:pPr>
              <w:numPr>
                <w:ilvl w:val="0"/>
                <w:numId w:val="70"/>
              </w:numPr>
              <w:spacing w:before="60" w:after="60"/>
              <w:rPr>
                <w:rFonts w:ascii="DM Sans" w:eastAsia="MS ??" w:hAnsi="DM Sans"/>
              </w:rPr>
            </w:pPr>
            <w:r w:rsidRPr="00C00CCF">
              <w:rPr>
                <w:rFonts w:ascii="DM Sans" w:eastAsia="MS ??" w:hAnsi="DM Sans"/>
              </w:rPr>
              <w:t xml:space="preserve">Considering potential co-investment opportunities </w:t>
            </w:r>
            <w:r w:rsidR="00EC4B19" w:rsidRPr="00C00CCF">
              <w:rPr>
                <w:rFonts w:ascii="DM Sans" w:eastAsia="MS ??" w:hAnsi="DM Sans"/>
              </w:rPr>
              <w:t xml:space="preserve">and priority reforms </w:t>
            </w:r>
            <w:r w:rsidRPr="00C00CCF">
              <w:rPr>
                <w:rFonts w:ascii="DM Sans" w:eastAsia="MS ??" w:hAnsi="DM Sans"/>
              </w:rPr>
              <w:t>to grow the sector</w:t>
            </w:r>
            <w:r w:rsidR="00173EA5" w:rsidRPr="00C00CCF">
              <w:rPr>
                <w:rFonts w:ascii="DM Sans" w:eastAsia="MS ??" w:hAnsi="DM Sans"/>
              </w:rPr>
              <w:t xml:space="preserve">, </w:t>
            </w:r>
            <w:r w:rsidR="00676F0E">
              <w:rPr>
                <w:rFonts w:ascii="DM Sans" w:eastAsia="MS ??" w:hAnsi="DM Sans"/>
              </w:rPr>
              <w:t>such as</w:t>
            </w:r>
            <w:r w:rsidR="00173EA5" w:rsidRPr="00C00CCF">
              <w:rPr>
                <w:rFonts w:ascii="DM Sans" w:eastAsia="MS ??" w:hAnsi="DM Sans"/>
              </w:rPr>
              <w:t xml:space="preserve"> those </w:t>
            </w:r>
            <w:r w:rsidR="00784EDF">
              <w:rPr>
                <w:rFonts w:ascii="DM Sans" w:eastAsia="MS ??" w:hAnsi="DM Sans"/>
              </w:rPr>
              <w:t xml:space="preserve">specifically </w:t>
            </w:r>
            <w:r w:rsidR="00173EA5" w:rsidRPr="00C00CCF">
              <w:rPr>
                <w:rFonts w:ascii="DM Sans" w:eastAsia="MS ??" w:hAnsi="DM Sans"/>
              </w:rPr>
              <w:t xml:space="preserve">developed </w:t>
            </w:r>
            <w:r w:rsidR="00784EDF">
              <w:rPr>
                <w:rFonts w:ascii="DM Sans" w:eastAsia="MS ??" w:hAnsi="DM Sans"/>
              </w:rPr>
              <w:t xml:space="preserve">for the PC </w:t>
            </w:r>
            <w:r w:rsidR="00173EA5" w:rsidRPr="00C00CCF">
              <w:rPr>
                <w:rFonts w:ascii="DM Sans" w:eastAsia="MS ??" w:hAnsi="DM Sans"/>
              </w:rPr>
              <w:t xml:space="preserve">by PA and Community Foundations Australia </w:t>
            </w:r>
            <w:r w:rsidR="004A6D7C" w:rsidRPr="00C00CCF">
              <w:rPr>
                <w:rFonts w:ascii="DM Sans" w:eastAsia="MS ??" w:hAnsi="DM Sans"/>
              </w:rPr>
              <w:t xml:space="preserve">(CFA) </w:t>
            </w:r>
            <w:r w:rsidR="00173EA5" w:rsidRPr="00C00CCF">
              <w:rPr>
                <w:rFonts w:ascii="DM Sans" w:eastAsia="MS ??" w:hAnsi="DM Sans"/>
              </w:rPr>
              <w:t xml:space="preserve">with support from Social Ventures Australia in </w:t>
            </w:r>
            <w:hyperlink r:id="rId29" w:history="1">
              <w:r w:rsidR="00FF6CF9" w:rsidRPr="00C00CCF">
                <w:rPr>
                  <w:rStyle w:val="Hyperlink"/>
                  <w:rFonts w:ascii="DM Sans" w:eastAsia="MS ??" w:hAnsi="DM Sans"/>
                  <w:b/>
                  <w:bCs/>
                  <w:i/>
                  <w:iCs/>
                </w:rPr>
                <w:t>The opportunity to grow Australia’s community foundation network: A strategic roadmap</w:t>
              </w:r>
            </w:hyperlink>
            <w:r w:rsidR="00FF6CF9" w:rsidRPr="00C27804">
              <w:rPr>
                <w:rFonts w:ascii="DM Sans" w:eastAsia="MS ??" w:hAnsi="DM Sans"/>
                <w:b/>
                <w:bCs/>
                <w:i/>
                <w:iCs/>
              </w:rPr>
              <w:t>.</w:t>
            </w:r>
          </w:p>
        </w:tc>
      </w:tr>
    </w:tbl>
    <w:p w14:paraId="426B7512" w14:textId="77777777" w:rsidR="0035040B" w:rsidRPr="00C27804" w:rsidRDefault="0035040B" w:rsidP="0035040B">
      <w:pPr>
        <w:keepNext/>
        <w:keepLines/>
        <w:spacing w:before="120"/>
        <w:outlineLvl w:val="3"/>
        <w:rPr>
          <w:rFonts w:ascii="DM Sans" w:eastAsiaTheme="majorEastAsia" w:hAnsi="DM Sans" w:cstheme="majorBidi"/>
          <w:b/>
          <w:bCs/>
          <w:iCs/>
          <w:color w:val="3D7EDB" w:themeColor="accent1"/>
          <w:sz w:val="21"/>
        </w:rPr>
      </w:pPr>
      <w:r w:rsidRPr="00C27804">
        <w:rPr>
          <w:rFonts w:ascii="DM Sans" w:eastAsiaTheme="majorEastAsia" w:hAnsi="DM Sans" w:cstheme="majorBidi"/>
          <w:b/>
          <w:bCs/>
          <w:iCs/>
          <w:color w:val="3D7EDB" w:themeColor="accent1"/>
          <w:sz w:val="21"/>
        </w:rPr>
        <w:t>The Case for Reform</w:t>
      </w:r>
    </w:p>
    <w:p w14:paraId="0FA95021" w14:textId="6B448EFC" w:rsidR="00995E1C" w:rsidRPr="00C27804" w:rsidRDefault="0055784D" w:rsidP="00B255C9">
      <w:pPr>
        <w:pStyle w:val="ListNumber"/>
        <w:numPr>
          <w:ilvl w:val="0"/>
          <w:numId w:val="67"/>
        </w:numPr>
        <w:rPr>
          <w:rFonts w:ascii="DM Sans" w:hAnsi="DM Sans"/>
        </w:rPr>
      </w:pPr>
      <w:r w:rsidRPr="00C27804">
        <w:rPr>
          <w:rFonts w:ascii="DM Sans" w:hAnsi="DM Sans"/>
        </w:rPr>
        <w:t xml:space="preserve">The PC has </w:t>
      </w:r>
      <w:r w:rsidR="005C2664" w:rsidRPr="00C27804">
        <w:rPr>
          <w:rFonts w:ascii="DM Sans" w:hAnsi="DM Sans"/>
        </w:rPr>
        <w:t xml:space="preserve">not </w:t>
      </w:r>
      <w:r w:rsidR="00CE6749" w:rsidRPr="00C27804">
        <w:rPr>
          <w:rFonts w:ascii="DM Sans" w:hAnsi="DM Sans"/>
        </w:rPr>
        <w:t xml:space="preserve">given attention to new reforms to grow the Community Foundation network </w:t>
      </w:r>
      <w:r w:rsidR="003C4012" w:rsidRPr="00C27804">
        <w:rPr>
          <w:rFonts w:ascii="DM Sans" w:hAnsi="DM Sans"/>
        </w:rPr>
        <w:t>in its draft report.</w:t>
      </w:r>
    </w:p>
    <w:p w14:paraId="4AF42691" w14:textId="7484C683" w:rsidR="003C4012" w:rsidRPr="00C27804" w:rsidRDefault="003C4012" w:rsidP="00B255C9">
      <w:pPr>
        <w:pStyle w:val="ListNumber"/>
        <w:numPr>
          <w:ilvl w:val="0"/>
          <w:numId w:val="70"/>
        </w:numPr>
        <w:rPr>
          <w:rFonts w:ascii="DM Sans" w:hAnsi="DM Sans"/>
          <w:b w:val="0"/>
          <w:bCs/>
        </w:rPr>
      </w:pPr>
      <w:r w:rsidRPr="00C27804">
        <w:rPr>
          <w:rFonts w:ascii="DM Sans" w:hAnsi="DM Sans"/>
          <w:b w:val="0"/>
          <w:bCs/>
        </w:rPr>
        <w:t xml:space="preserve">The new policy initiatives recommended by PA and CFA </w:t>
      </w:r>
      <w:r w:rsidR="008626FB">
        <w:rPr>
          <w:rFonts w:ascii="DM Sans" w:hAnsi="DM Sans"/>
          <w:b w:val="0"/>
          <w:bCs/>
        </w:rPr>
        <w:t>in its specific submission on Community Foundations</w:t>
      </w:r>
      <w:r w:rsidR="00C72815">
        <w:rPr>
          <w:rFonts w:ascii="DM Sans" w:hAnsi="DM Sans"/>
          <w:b w:val="0"/>
          <w:bCs/>
        </w:rPr>
        <w:t>, did not feature in the PC draft report</w:t>
      </w:r>
      <w:r w:rsidR="001F746E">
        <w:rPr>
          <w:rFonts w:ascii="DM Sans" w:hAnsi="DM Sans"/>
          <w:b w:val="0"/>
          <w:bCs/>
        </w:rPr>
        <w:t>, so perhaps are not favoured</w:t>
      </w:r>
      <w:r w:rsidR="00C72815">
        <w:rPr>
          <w:rFonts w:ascii="DM Sans" w:hAnsi="DM Sans"/>
          <w:b w:val="0"/>
          <w:bCs/>
        </w:rPr>
        <w:t xml:space="preserve">.  </w:t>
      </w:r>
    </w:p>
    <w:p w14:paraId="7343C50C" w14:textId="4E332188" w:rsidR="00FC01B2" w:rsidRDefault="008173AB" w:rsidP="00B255C9">
      <w:pPr>
        <w:pStyle w:val="ListNumber"/>
        <w:numPr>
          <w:ilvl w:val="0"/>
          <w:numId w:val="67"/>
        </w:numPr>
        <w:rPr>
          <w:rFonts w:ascii="DM Sans" w:hAnsi="DM Sans"/>
        </w:rPr>
      </w:pPr>
      <w:r w:rsidRPr="00C27804">
        <w:rPr>
          <w:rFonts w:ascii="DM Sans" w:hAnsi="DM Sans"/>
        </w:rPr>
        <w:t xml:space="preserve">An alternative approach would be to </w:t>
      </w:r>
      <w:r w:rsidR="00B3309A">
        <w:rPr>
          <w:rFonts w:ascii="DM Sans" w:hAnsi="DM Sans"/>
        </w:rPr>
        <w:t>‘take a step back’</w:t>
      </w:r>
      <w:r w:rsidR="00ED67F4" w:rsidRPr="00C27804">
        <w:rPr>
          <w:rFonts w:ascii="DM Sans" w:hAnsi="DM Sans"/>
        </w:rPr>
        <w:t xml:space="preserve"> - taking time to develop a strategic policy framework</w:t>
      </w:r>
      <w:r w:rsidR="00B3309A">
        <w:rPr>
          <w:rFonts w:ascii="DM Sans" w:hAnsi="DM Sans"/>
        </w:rPr>
        <w:t xml:space="preserve"> for Community Foundations</w:t>
      </w:r>
      <w:r w:rsidR="00FC01B2">
        <w:rPr>
          <w:rFonts w:ascii="DM Sans" w:hAnsi="DM Sans"/>
        </w:rPr>
        <w:t>, working from first principles.</w:t>
      </w:r>
    </w:p>
    <w:p w14:paraId="24CD5682" w14:textId="482B42EE" w:rsidR="00FC01B2" w:rsidRDefault="008F4072" w:rsidP="00A547B7">
      <w:pPr>
        <w:pStyle w:val="ListNumber"/>
        <w:numPr>
          <w:ilvl w:val="0"/>
          <w:numId w:val="78"/>
        </w:numPr>
        <w:rPr>
          <w:rFonts w:ascii="DM Sans" w:hAnsi="DM Sans"/>
          <w:b w:val="0"/>
          <w:bCs/>
        </w:rPr>
      </w:pPr>
      <w:r>
        <w:rPr>
          <w:rFonts w:ascii="DM Sans" w:hAnsi="DM Sans"/>
          <w:b w:val="0"/>
          <w:bCs/>
        </w:rPr>
        <w:t xml:space="preserve">Australia’s Community Foundation network </w:t>
      </w:r>
      <w:r w:rsidR="00C90B1C">
        <w:rPr>
          <w:rFonts w:ascii="DM Sans" w:hAnsi="DM Sans"/>
          <w:b w:val="0"/>
          <w:bCs/>
        </w:rPr>
        <w:t xml:space="preserve">has made an important contribution over many decades.  However, </w:t>
      </w:r>
      <w:r w:rsidR="00101B0F">
        <w:rPr>
          <w:rFonts w:ascii="DM Sans" w:hAnsi="DM Sans"/>
          <w:b w:val="0"/>
          <w:bCs/>
        </w:rPr>
        <w:t xml:space="preserve">its contribution is still well below </w:t>
      </w:r>
      <w:r w:rsidR="00B23E59">
        <w:rPr>
          <w:rFonts w:ascii="DM Sans" w:hAnsi="DM Sans"/>
          <w:b w:val="0"/>
          <w:bCs/>
        </w:rPr>
        <w:t xml:space="preserve">its vast potential and what has been achieved in leading nations such as Canada.  </w:t>
      </w:r>
    </w:p>
    <w:p w14:paraId="7E3824AE" w14:textId="3D3B34C9" w:rsidR="00AF7A19" w:rsidRDefault="00CA6786" w:rsidP="00A547B7">
      <w:pPr>
        <w:pStyle w:val="ListNumber"/>
        <w:numPr>
          <w:ilvl w:val="0"/>
          <w:numId w:val="78"/>
        </w:numPr>
        <w:rPr>
          <w:rFonts w:ascii="DM Sans" w:hAnsi="DM Sans"/>
          <w:b w:val="0"/>
          <w:bCs/>
        </w:rPr>
      </w:pPr>
      <w:r>
        <w:rPr>
          <w:rFonts w:ascii="DM Sans" w:hAnsi="DM Sans"/>
          <w:b w:val="0"/>
          <w:bCs/>
        </w:rPr>
        <w:t>At the same time, the</w:t>
      </w:r>
      <w:r w:rsidR="00BF5829">
        <w:rPr>
          <w:rFonts w:ascii="DM Sans" w:hAnsi="DM Sans"/>
          <w:b w:val="0"/>
          <w:bCs/>
        </w:rPr>
        <w:t xml:space="preserve"> sector has considerable momentum </w:t>
      </w:r>
      <w:r>
        <w:rPr>
          <w:rFonts w:ascii="DM Sans" w:hAnsi="DM Sans"/>
          <w:b w:val="0"/>
          <w:bCs/>
        </w:rPr>
        <w:t xml:space="preserve">and a </w:t>
      </w:r>
      <w:r w:rsidR="00BF5829">
        <w:rPr>
          <w:rFonts w:ascii="DM Sans" w:hAnsi="DM Sans"/>
          <w:b w:val="0"/>
          <w:bCs/>
        </w:rPr>
        <w:t>palpable</w:t>
      </w:r>
      <w:r>
        <w:rPr>
          <w:rFonts w:ascii="DM Sans" w:hAnsi="DM Sans"/>
          <w:b w:val="0"/>
          <w:bCs/>
        </w:rPr>
        <w:t xml:space="preserve"> sense of possibility.</w:t>
      </w:r>
      <w:r w:rsidR="007416AC">
        <w:rPr>
          <w:rFonts w:ascii="DM Sans" w:hAnsi="DM Sans"/>
          <w:b w:val="0"/>
          <w:bCs/>
        </w:rPr>
        <w:t xml:space="preserve">  The Government is in the process of granting DGR 1 status to </w:t>
      </w:r>
      <w:r w:rsidR="00884F8F">
        <w:rPr>
          <w:rFonts w:ascii="DM Sans" w:hAnsi="DM Sans"/>
          <w:b w:val="0"/>
          <w:bCs/>
        </w:rPr>
        <w:t xml:space="preserve">all the foundations in the network.  The peak body – Community Foundations Australia – has been strengthened, including through the appointment of new CEO, Ian Bird, who led the growth </w:t>
      </w:r>
      <w:r w:rsidR="00EF208C">
        <w:rPr>
          <w:rFonts w:ascii="DM Sans" w:hAnsi="DM Sans"/>
          <w:b w:val="0"/>
          <w:bCs/>
        </w:rPr>
        <w:t>of Community Foundations in Canada.  Giving is growing rapidly, at around 14 per cent per annum.</w:t>
      </w:r>
      <w:r w:rsidR="000718D7">
        <w:rPr>
          <w:rFonts w:ascii="DM Sans" w:hAnsi="DM Sans"/>
          <w:b w:val="0"/>
          <w:bCs/>
        </w:rPr>
        <w:t xml:space="preserve">  There is too much momentum to simply let the opportunity slip </w:t>
      </w:r>
      <w:r w:rsidR="003B2908">
        <w:rPr>
          <w:rFonts w:ascii="DM Sans" w:hAnsi="DM Sans"/>
          <w:b w:val="0"/>
          <w:bCs/>
        </w:rPr>
        <w:t xml:space="preserve">to further investigate how Community Foundations can play a stronger role as critical, local social infrastructure in communities across Australia. </w:t>
      </w:r>
    </w:p>
    <w:p w14:paraId="45867488" w14:textId="009AF6B1" w:rsidR="00D866A5" w:rsidRPr="00FC01B2" w:rsidRDefault="00D866A5" w:rsidP="00A547B7">
      <w:pPr>
        <w:pStyle w:val="ListNumber"/>
        <w:numPr>
          <w:ilvl w:val="0"/>
          <w:numId w:val="78"/>
        </w:numPr>
        <w:rPr>
          <w:rFonts w:ascii="DM Sans" w:hAnsi="DM Sans"/>
          <w:b w:val="0"/>
          <w:bCs/>
        </w:rPr>
      </w:pPr>
      <w:r>
        <w:rPr>
          <w:rFonts w:ascii="DM Sans" w:hAnsi="DM Sans"/>
          <w:b w:val="0"/>
          <w:bCs/>
        </w:rPr>
        <w:t xml:space="preserve">Rather than immediately recommending </w:t>
      </w:r>
      <w:r w:rsidR="00CA6AFF">
        <w:rPr>
          <w:rFonts w:ascii="DM Sans" w:hAnsi="DM Sans"/>
          <w:b w:val="0"/>
          <w:bCs/>
        </w:rPr>
        <w:t xml:space="preserve">initiatives to grow the sector, now might be the right time to develop a strategic policy framework for </w:t>
      </w:r>
      <w:r w:rsidR="00E24501">
        <w:rPr>
          <w:rFonts w:ascii="DM Sans" w:hAnsi="DM Sans"/>
          <w:b w:val="0"/>
          <w:bCs/>
        </w:rPr>
        <w:t xml:space="preserve">growing the sector, identifying the roles for government, </w:t>
      </w:r>
      <w:proofErr w:type="gramStart"/>
      <w:r w:rsidR="00E24501">
        <w:rPr>
          <w:rFonts w:ascii="DM Sans" w:hAnsi="DM Sans"/>
          <w:b w:val="0"/>
          <w:bCs/>
        </w:rPr>
        <w:t>philanthropy</w:t>
      </w:r>
      <w:proofErr w:type="gramEnd"/>
      <w:r w:rsidR="00E24501">
        <w:rPr>
          <w:rFonts w:ascii="DM Sans" w:hAnsi="DM Sans"/>
          <w:b w:val="0"/>
          <w:bCs/>
        </w:rPr>
        <w:t xml:space="preserve"> and the sector, </w:t>
      </w:r>
      <w:r w:rsidR="001C4E4A">
        <w:rPr>
          <w:rFonts w:ascii="DM Sans" w:hAnsi="DM Sans"/>
          <w:b w:val="0"/>
          <w:bCs/>
        </w:rPr>
        <w:t>examining the evidence on impact and how to grow the sector, and learning from international evidence and practice.</w:t>
      </w:r>
    </w:p>
    <w:p w14:paraId="4C97FB1E" w14:textId="79ED795F" w:rsidR="009F2557" w:rsidRDefault="006B5CC5" w:rsidP="00B255C9">
      <w:pPr>
        <w:pStyle w:val="ListNumber"/>
        <w:numPr>
          <w:ilvl w:val="0"/>
          <w:numId w:val="67"/>
        </w:numPr>
        <w:rPr>
          <w:rFonts w:ascii="DM Sans" w:hAnsi="DM Sans"/>
        </w:rPr>
      </w:pPr>
      <w:r>
        <w:rPr>
          <w:rFonts w:ascii="DM Sans" w:hAnsi="DM Sans"/>
        </w:rPr>
        <w:t xml:space="preserve">A recommendation for a discrete and dedicated policy process on Community Foundations is </w:t>
      </w:r>
      <w:r w:rsidR="001C2B0E">
        <w:rPr>
          <w:rFonts w:ascii="DM Sans" w:hAnsi="DM Sans"/>
        </w:rPr>
        <w:t>justified</w:t>
      </w:r>
      <w:r>
        <w:rPr>
          <w:rFonts w:ascii="DM Sans" w:hAnsi="DM Sans"/>
        </w:rPr>
        <w:t xml:space="preserve"> because they address key policy issues.  </w:t>
      </w:r>
    </w:p>
    <w:p w14:paraId="1DAE2212" w14:textId="77777777" w:rsidR="00812738" w:rsidRPr="001D38DC" w:rsidRDefault="007B4BB0" w:rsidP="001D38DC">
      <w:pPr>
        <w:pStyle w:val="ListNumber"/>
        <w:numPr>
          <w:ilvl w:val="0"/>
          <w:numId w:val="0"/>
        </w:numPr>
        <w:ind w:left="340" w:hanging="340"/>
        <w:rPr>
          <w:rFonts w:ascii="DM Sans" w:hAnsi="DM Sans"/>
          <w:u w:val="single"/>
        </w:rPr>
      </w:pPr>
      <w:r w:rsidRPr="001D38DC">
        <w:rPr>
          <w:rFonts w:ascii="DM Sans" w:hAnsi="DM Sans"/>
          <w:u w:val="single"/>
        </w:rPr>
        <w:t>The decline in community participation and social capital</w:t>
      </w:r>
      <w:r w:rsidR="005C35DF" w:rsidRPr="001D38DC">
        <w:rPr>
          <w:rFonts w:ascii="DM Sans" w:hAnsi="DM Sans"/>
          <w:u w:val="single"/>
        </w:rPr>
        <w:t>.</w:t>
      </w:r>
      <w:r w:rsidR="00812738" w:rsidRPr="001D38DC">
        <w:rPr>
          <w:rFonts w:ascii="DM Sans" w:hAnsi="DM Sans"/>
          <w:u w:val="single"/>
        </w:rPr>
        <w:t xml:space="preserve">  </w:t>
      </w:r>
    </w:p>
    <w:p w14:paraId="210C253B" w14:textId="1B9DEB4D" w:rsidR="002D5C4E" w:rsidRPr="00217ADF" w:rsidRDefault="00812738" w:rsidP="00A547B7">
      <w:pPr>
        <w:pStyle w:val="ListNumber"/>
        <w:numPr>
          <w:ilvl w:val="0"/>
          <w:numId w:val="79"/>
        </w:numPr>
        <w:rPr>
          <w:rFonts w:ascii="DM Sans" w:hAnsi="DM Sans"/>
          <w:b w:val="0"/>
          <w:bCs/>
        </w:rPr>
      </w:pPr>
      <w:r w:rsidRPr="00817252">
        <w:rPr>
          <w:rFonts w:ascii="DM Sans" w:hAnsi="DM Sans"/>
          <w:b w:val="0"/>
          <w:bCs/>
        </w:rPr>
        <w:t xml:space="preserve">Andrew Leigh and Nick Terrell in </w:t>
      </w:r>
      <w:r w:rsidRPr="00817252">
        <w:rPr>
          <w:rFonts w:ascii="DM Sans" w:hAnsi="DM Sans"/>
          <w:b w:val="0"/>
          <w:bCs/>
          <w:i/>
          <w:iCs/>
        </w:rPr>
        <w:t>Reconnected</w:t>
      </w:r>
      <w:r w:rsidR="00817252">
        <w:rPr>
          <w:rFonts w:ascii="DM Sans" w:hAnsi="DM Sans"/>
          <w:b w:val="0"/>
          <w:bCs/>
        </w:rPr>
        <w:t xml:space="preserve"> (2020) </w:t>
      </w:r>
      <w:r w:rsidR="00841B2A">
        <w:rPr>
          <w:rFonts w:ascii="DM Sans" w:hAnsi="DM Sans"/>
          <w:b w:val="0"/>
          <w:bCs/>
        </w:rPr>
        <w:t xml:space="preserve">chart the decline in social capital and community participation in Australia in recent decades.  </w:t>
      </w:r>
      <w:r w:rsidR="00DA06FE" w:rsidRPr="001D38DC">
        <w:rPr>
          <w:rFonts w:eastAsia="Calibri"/>
          <w:b w:val="0"/>
          <w:bCs/>
        </w:rPr>
        <w:t xml:space="preserve">We are much less likely to participate in community groups, we have less friends (down from an average of 9 trusted friends to 5 between 1984 and 2018), we are less likely to volunteer and less likely to know our neighbours.  Participation in religion is falling, which impacts the social fabric as people with religiously based social connections are two to three times more civically engaged and generous.  Less people are engaged </w:t>
      </w:r>
      <w:r w:rsidR="00DA06FE" w:rsidRPr="001D38DC">
        <w:rPr>
          <w:rFonts w:eastAsia="Calibri"/>
          <w:b w:val="0"/>
          <w:bCs/>
        </w:rPr>
        <w:lastRenderedPageBreak/>
        <w:t>with politics, which has led to a sharp decline in trust in government and satisfaction with politics.  Participation rates in sport are falling, including among children, and 67 per cent of Australians are now overweight or obese.  There has been a steep rise in loneliness – almost 30 per cent of the population report they hardly ever or never catch up with friends, while half report feeling lonely at least one day a week.  In sum, the connections and social capital that give us meaning, bind us to each other and ensure people are not left behind, are in decline.</w:t>
      </w:r>
    </w:p>
    <w:p w14:paraId="440C5E28" w14:textId="6E1C744F" w:rsidR="0064315E" w:rsidRPr="00C27804" w:rsidRDefault="00217ADF" w:rsidP="0064315E">
      <w:pPr>
        <w:widowControl w:val="0"/>
        <w:numPr>
          <w:ilvl w:val="0"/>
          <w:numId w:val="66"/>
        </w:numPr>
        <w:autoSpaceDE w:val="0"/>
        <w:autoSpaceDN w:val="0"/>
        <w:adjustRightInd w:val="0"/>
        <w:spacing w:before="60" w:after="60"/>
        <w:rPr>
          <w:rFonts w:ascii="DM Sans" w:eastAsia="MS ??" w:hAnsi="DM Sans" w:cs="Arial"/>
          <w:lang w:val="en-US" w:eastAsia="en-US"/>
        </w:rPr>
      </w:pPr>
      <w:r>
        <w:rPr>
          <w:rFonts w:eastAsia="Calibri"/>
          <w:bCs/>
        </w:rPr>
        <w:t xml:space="preserve">Creating a national network of Community Foundations can </w:t>
      </w:r>
      <w:r w:rsidR="00CF16A8">
        <w:rPr>
          <w:rFonts w:eastAsia="Calibri"/>
          <w:bCs/>
        </w:rPr>
        <w:t>help restore this critical national social infrastructure, helping to spur community giving</w:t>
      </w:r>
      <w:r w:rsidR="00512848">
        <w:rPr>
          <w:rFonts w:eastAsia="Calibri"/>
          <w:bCs/>
        </w:rPr>
        <w:t xml:space="preserve"> and local volunteering, </w:t>
      </w:r>
      <w:r w:rsidR="0068029D" w:rsidRPr="0064315E">
        <w:rPr>
          <w:rFonts w:eastAsia="Calibri"/>
        </w:rPr>
        <w:t xml:space="preserve">with more community-led action </w:t>
      </w:r>
      <w:r w:rsidR="0072606B" w:rsidRPr="0064315E">
        <w:rPr>
          <w:rFonts w:eastAsia="Calibri"/>
        </w:rPr>
        <w:t xml:space="preserve">aimed to ensure </w:t>
      </w:r>
      <w:r w:rsidR="00512848" w:rsidRPr="0064315E">
        <w:rPr>
          <w:rFonts w:eastAsia="Calibri"/>
        </w:rPr>
        <w:t>people are not left behind.</w:t>
      </w:r>
      <w:r w:rsidR="0064315E" w:rsidRPr="0064315E">
        <w:rPr>
          <w:rFonts w:ascii="DM Sans" w:eastAsia="MS ??" w:hAnsi="DM Sans" w:cs="Arial"/>
          <w:lang w:val="en-US" w:eastAsia="en-US"/>
        </w:rPr>
        <w:t xml:space="preserve"> This work can help shift</w:t>
      </w:r>
      <w:r w:rsidR="0064315E" w:rsidRPr="00C27804">
        <w:rPr>
          <w:rFonts w:ascii="DM Sans" w:eastAsia="MS ??" w:hAnsi="DM Sans" w:cs="Arial"/>
          <w:lang w:val="en-US" w:eastAsia="en-US"/>
        </w:rPr>
        <w:t xml:space="preserve"> the culture in communities and across Australia, creating a more generous and giving community, with more social connection and social capital.</w:t>
      </w:r>
    </w:p>
    <w:p w14:paraId="1C957370" w14:textId="77777777" w:rsidR="00CA0381" w:rsidRDefault="00CA0381" w:rsidP="00C156F4">
      <w:pPr>
        <w:pStyle w:val="ListNumber"/>
        <w:numPr>
          <w:ilvl w:val="0"/>
          <w:numId w:val="0"/>
        </w:numPr>
        <w:ind w:left="340" w:hanging="340"/>
        <w:rPr>
          <w:rFonts w:ascii="DM Sans" w:hAnsi="DM Sans"/>
          <w:u w:val="single"/>
        </w:rPr>
      </w:pPr>
      <w:r>
        <w:rPr>
          <w:rFonts w:ascii="DM Sans" w:hAnsi="DM Sans"/>
          <w:u w:val="single"/>
        </w:rPr>
        <w:t>Innovative solutions to local problems</w:t>
      </w:r>
    </w:p>
    <w:p w14:paraId="4890DC41" w14:textId="77777777" w:rsidR="00C50409" w:rsidRDefault="00C50409" w:rsidP="00C50409">
      <w:pPr>
        <w:widowControl w:val="0"/>
        <w:numPr>
          <w:ilvl w:val="0"/>
          <w:numId w:val="66"/>
        </w:numPr>
        <w:autoSpaceDE w:val="0"/>
        <w:autoSpaceDN w:val="0"/>
        <w:adjustRightInd w:val="0"/>
        <w:spacing w:before="60" w:after="60"/>
        <w:rPr>
          <w:rFonts w:ascii="DM Sans" w:eastAsia="MS ??" w:hAnsi="DM Sans" w:cs="Arial"/>
          <w:lang w:val="en-US" w:eastAsia="en-US"/>
        </w:rPr>
      </w:pPr>
      <w:r w:rsidRPr="00C27804">
        <w:rPr>
          <w:rFonts w:ascii="DM Sans" w:eastAsia="MS ??" w:hAnsi="DM Sans" w:cs="Arial"/>
          <w:lang w:val="en-US" w:eastAsia="en-US"/>
        </w:rPr>
        <w:t xml:space="preserve">Community Foundations are run by people with detailed knowledge of their local community, so they are well placed to know where to invest – and how to galvanise local leadership – to drive maximum impact. </w:t>
      </w:r>
    </w:p>
    <w:p w14:paraId="3C5FAF66" w14:textId="1C82F9DA" w:rsidR="00DD136B" w:rsidRDefault="00DD136B" w:rsidP="00C50409">
      <w:pPr>
        <w:widowControl w:val="0"/>
        <w:numPr>
          <w:ilvl w:val="0"/>
          <w:numId w:val="66"/>
        </w:numPr>
        <w:autoSpaceDE w:val="0"/>
        <w:autoSpaceDN w:val="0"/>
        <w:adjustRightInd w:val="0"/>
        <w:spacing w:before="60" w:after="60"/>
        <w:rPr>
          <w:rFonts w:ascii="DM Sans" w:eastAsia="MS ??" w:hAnsi="DM Sans" w:cs="Arial"/>
          <w:lang w:val="en-US" w:eastAsia="en-US"/>
        </w:rPr>
      </w:pPr>
      <w:r>
        <w:rPr>
          <w:rFonts w:ascii="DM Sans" w:eastAsia="MS ??" w:hAnsi="DM Sans" w:cs="Arial"/>
          <w:lang w:val="en-US" w:eastAsia="en-US"/>
        </w:rPr>
        <w:t xml:space="preserve">With this local knowledge, Community Foundations are particularly </w:t>
      </w:r>
      <w:r w:rsidR="00490851">
        <w:rPr>
          <w:rFonts w:ascii="DM Sans" w:eastAsia="MS ??" w:hAnsi="DM Sans" w:cs="Arial"/>
          <w:lang w:val="en-US" w:eastAsia="en-US"/>
        </w:rPr>
        <w:t xml:space="preserve">effective in providing innovative solutions to local problems.  With </w:t>
      </w:r>
      <w:r w:rsidR="008A64E0">
        <w:rPr>
          <w:rFonts w:ascii="DM Sans" w:eastAsia="MS ??" w:hAnsi="DM Sans" w:cs="Arial"/>
          <w:lang w:val="en-US" w:eastAsia="en-US"/>
        </w:rPr>
        <w:t xml:space="preserve">flexibility, they can deploy a greater risk appetite, </w:t>
      </w:r>
      <w:r w:rsidR="00B11156">
        <w:rPr>
          <w:rFonts w:ascii="DM Sans" w:eastAsia="MS ??" w:hAnsi="DM Sans" w:cs="Arial"/>
          <w:lang w:val="en-US" w:eastAsia="en-US"/>
        </w:rPr>
        <w:t>trialing</w:t>
      </w:r>
      <w:r w:rsidR="008A64E0">
        <w:rPr>
          <w:rFonts w:ascii="DM Sans" w:eastAsia="MS ??" w:hAnsi="DM Sans" w:cs="Arial"/>
          <w:lang w:val="en-US" w:eastAsia="en-US"/>
        </w:rPr>
        <w:t xml:space="preserve"> and testing approaches </w:t>
      </w:r>
      <w:r w:rsidR="00B11156">
        <w:rPr>
          <w:rFonts w:ascii="DM Sans" w:eastAsia="MS ??" w:hAnsi="DM Sans" w:cs="Arial"/>
          <w:lang w:val="en-US" w:eastAsia="en-US"/>
        </w:rPr>
        <w:t>government may be unable or unwilling to pursue.</w:t>
      </w:r>
    </w:p>
    <w:p w14:paraId="2696A516" w14:textId="7C4C40BD" w:rsidR="002E53B4" w:rsidRDefault="00A1443E" w:rsidP="00C50409">
      <w:pPr>
        <w:widowControl w:val="0"/>
        <w:numPr>
          <w:ilvl w:val="0"/>
          <w:numId w:val="66"/>
        </w:numPr>
        <w:autoSpaceDE w:val="0"/>
        <w:autoSpaceDN w:val="0"/>
        <w:adjustRightInd w:val="0"/>
        <w:spacing w:before="60" w:after="60"/>
        <w:rPr>
          <w:rFonts w:ascii="DM Sans" w:eastAsia="MS ??" w:hAnsi="DM Sans" w:cs="Arial"/>
          <w:lang w:val="en-US" w:eastAsia="en-US"/>
        </w:rPr>
      </w:pPr>
      <w:r>
        <w:rPr>
          <w:rFonts w:ascii="DM Sans" w:eastAsia="MS ??" w:hAnsi="DM Sans" w:cs="Arial"/>
          <w:lang w:val="en-US" w:eastAsia="en-US"/>
        </w:rPr>
        <w:t>Cumulatively, the national network can incubate a suite of more innovative approaches to local problems</w:t>
      </w:r>
      <w:r w:rsidR="00D52050">
        <w:rPr>
          <w:rFonts w:ascii="DM Sans" w:eastAsia="MS ??" w:hAnsi="DM Sans" w:cs="Arial"/>
          <w:lang w:val="en-US" w:eastAsia="en-US"/>
        </w:rPr>
        <w:t>, with the potential for government to learn from, and adopt, some of the key lessons in a more systemic manner.</w:t>
      </w:r>
    </w:p>
    <w:p w14:paraId="5E3A2D71" w14:textId="2C7A578C" w:rsidR="007B4BB0" w:rsidRPr="00C156F4" w:rsidRDefault="00CE0D4D" w:rsidP="00C156F4">
      <w:pPr>
        <w:pStyle w:val="ListNumber"/>
        <w:numPr>
          <w:ilvl w:val="0"/>
          <w:numId w:val="0"/>
        </w:numPr>
        <w:ind w:left="340" w:hanging="340"/>
        <w:rPr>
          <w:rFonts w:ascii="DM Sans" w:hAnsi="DM Sans"/>
          <w:u w:val="single"/>
        </w:rPr>
      </w:pPr>
      <w:r>
        <w:rPr>
          <w:rFonts w:ascii="DM Sans" w:hAnsi="DM Sans"/>
          <w:u w:val="single"/>
        </w:rPr>
        <w:t>Better targeting</w:t>
      </w:r>
      <w:r w:rsidR="00516153" w:rsidRPr="00C156F4">
        <w:rPr>
          <w:rFonts w:ascii="DM Sans" w:hAnsi="DM Sans"/>
          <w:u w:val="single"/>
        </w:rPr>
        <w:t xml:space="preserve"> </w:t>
      </w:r>
      <w:r w:rsidR="00406CF0" w:rsidRPr="00C156F4">
        <w:rPr>
          <w:rFonts w:ascii="DM Sans" w:hAnsi="DM Sans"/>
          <w:u w:val="single"/>
        </w:rPr>
        <w:t>philanthropic giving across Australia.</w:t>
      </w:r>
    </w:p>
    <w:p w14:paraId="3276C313" w14:textId="3608D509" w:rsidR="00BE0737" w:rsidRDefault="0072606B" w:rsidP="00A547B7">
      <w:pPr>
        <w:pStyle w:val="ListNumber"/>
        <w:numPr>
          <w:ilvl w:val="0"/>
          <w:numId w:val="79"/>
        </w:numPr>
        <w:rPr>
          <w:rFonts w:ascii="DM Sans" w:hAnsi="DM Sans"/>
          <w:b w:val="0"/>
          <w:bCs/>
        </w:rPr>
      </w:pPr>
      <w:r>
        <w:rPr>
          <w:rFonts w:ascii="DM Sans" w:hAnsi="DM Sans"/>
          <w:b w:val="0"/>
          <w:bCs/>
        </w:rPr>
        <w:t>The PC highlights</w:t>
      </w:r>
      <w:r w:rsidR="00303905">
        <w:rPr>
          <w:rFonts w:ascii="DM Sans" w:hAnsi="DM Sans"/>
          <w:b w:val="0"/>
          <w:bCs/>
        </w:rPr>
        <w:t xml:space="preserve"> </w:t>
      </w:r>
      <w:r w:rsidR="007A461C">
        <w:rPr>
          <w:rFonts w:ascii="DM Sans" w:hAnsi="DM Sans"/>
          <w:b w:val="0"/>
          <w:bCs/>
        </w:rPr>
        <w:t xml:space="preserve">a challenge with philanthropic giving is that it flows </w:t>
      </w:r>
      <w:r w:rsidR="009C24D6">
        <w:rPr>
          <w:rFonts w:ascii="DM Sans" w:hAnsi="DM Sans"/>
          <w:b w:val="0"/>
          <w:bCs/>
        </w:rPr>
        <w:t xml:space="preserve">mainly to well-known charities, so </w:t>
      </w:r>
      <w:r w:rsidR="00C9689B">
        <w:rPr>
          <w:rFonts w:ascii="DM Sans" w:hAnsi="DM Sans"/>
          <w:b w:val="0"/>
          <w:bCs/>
        </w:rPr>
        <w:t>other</w:t>
      </w:r>
      <w:r w:rsidR="009C24D6">
        <w:rPr>
          <w:rFonts w:ascii="DM Sans" w:hAnsi="DM Sans"/>
          <w:b w:val="0"/>
          <w:bCs/>
        </w:rPr>
        <w:t xml:space="preserve"> charities </w:t>
      </w:r>
      <w:r w:rsidR="0093042D">
        <w:rPr>
          <w:rFonts w:ascii="DM Sans" w:hAnsi="DM Sans"/>
          <w:b w:val="0"/>
          <w:bCs/>
        </w:rPr>
        <w:t xml:space="preserve">that achieve great impact can miss out, particularly if located outside of </w:t>
      </w:r>
      <w:r w:rsidR="00B27C5E">
        <w:rPr>
          <w:rFonts w:ascii="DM Sans" w:hAnsi="DM Sans"/>
          <w:b w:val="0"/>
          <w:bCs/>
        </w:rPr>
        <w:t>our major cities.</w:t>
      </w:r>
      <w:r w:rsidR="00BE0737" w:rsidRPr="00BE0737">
        <w:rPr>
          <w:rFonts w:ascii="DM Sans" w:hAnsi="DM Sans"/>
          <w:b w:val="0"/>
          <w:bCs/>
        </w:rPr>
        <w:t xml:space="preserve"> </w:t>
      </w:r>
      <w:r w:rsidR="00BE0737">
        <w:rPr>
          <w:rFonts w:ascii="DM Sans" w:hAnsi="DM Sans"/>
          <w:b w:val="0"/>
          <w:bCs/>
        </w:rPr>
        <w:t xml:space="preserve">In </w:t>
      </w:r>
      <w:r w:rsidR="00BE0737" w:rsidRPr="0071443C">
        <w:rPr>
          <w:b w:val="0"/>
          <w:bCs/>
        </w:rPr>
        <w:t>2016, the largest 10% of charities (by annual revenue) received 94% of all donations.</w:t>
      </w:r>
    </w:p>
    <w:p w14:paraId="7037878B" w14:textId="0EF5BD18" w:rsidR="00635C35" w:rsidRDefault="00B27C5E" w:rsidP="00A547B7">
      <w:pPr>
        <w:pStyle w:val="ListNumber"/>
        <w:numPr>
          <w:ilvl w:val="0"/>
          <w:numId w:val="79"/>
        </w:numPr>
        <w:rPr>
          <w:rFonts w:ascii="DM Sans" w:hAnsi="DM Sans"/>
          <w:b w:val="0"/>
          <w:bCs/>
        </w:rPr>
      </w:pPr>
      <w:r>
        <w:rPr>
          <w:rFonts w:ascii="DM Sans" w:hAnsi="DM Sans"/>
          <w:b w:val="0"/>
          <w:bCs/>
        </w:rPr>
        <w:t>Ideally, philanthropic funding would be targeted in a more disperse way</w:t>
      </w:r>
      <w:r w:rsidR="00635C35">
        <w:rPr>
          <w:rFonts w:ascii="DM Sans" w:hAnsi="DM Sans"/>
          <w:b w:val="0"/>
          <w:bCs/>
        </w:rPr>
        <w:t xml:space="preserve">, better targeting need.  For instance, </w:t>
      </w:r>
      <w:r w:rsidR="001B3470">
        <w:rPr>
          <w:rFonts w:ascii="DM Sans" w:hAnsi="DM Sans"/>
          <w:b w:val="0"/>
          <w:bCs/>
        </w:rPr>
        <w:t>s</w:t>
      </w:r>
      <w:r w:rsidR="00635C35">
        <w:rPr>
          <w:rFonts w:ascii="DM Sans" w:hAnsi="DM Sans"/>
          <w:b w:val="0"/>
          <w:bCs/>
        </w:rPr>
        <w:t xml:space="preserve">tudies confirm disadvantage in Australia is highly concentrated </w:t>
      </w:r>
      <w:proofErr w:type="gramStart"/>
      <w:r w:rsidR="00635C35">
        <w:rPr>
          <w:rFonts w:ascii="DM Sans" w:hAnsi="DM Sans"/>
          <w:b w:val="0"/>
          <w:bCs/>
        </w:rPr>
        <w:t>in particular locations</w:t>
      </w:r>
      <w:proofErr w:type="gramEnd"/>
      <w:r w:rsidR="00635C35">
        <w:rPr>
          <w:rFonts w:ascii="DM Sans" w:hAnsi="DM Sans"/>
          <w:b w:val="0"/>
          <w:bCs/>
        </w:rPr>
        <w:t>, notably outer metropolitan, rural and remote areas.</w:t>
      </w:r>
      <w:r w:rsidR="00635C35">
        <w:rPr>
          <w:rStyle w:val="FootnoteReference"/>
          <w:rFonts w:ascii="DM Sans" w:hAnsi="DM Sans"/>
          <w:b w:val="0"/>
          <w:bCs/>
        </w:rPr>
        <w:footnoteReference w:id="12"/>
      </w:r>
    </w:p>
    <w:p w14:paraId="4AA669C5" w14:textId="3AD165EC" w:rsidR="0071443C" w:rsidRPr="0071443C" w:rsidRDefault="003F5894" w:rsidP="00A547B7">
      <w:pPr>
        <w:pStyle w:val="ListNumber"/>
        <w:numPr>
          <w:ilvl w:val="0"/>
          <w:numId w:val="79"/>
        </w:numPr>
        <w:rPr>
          <w:rFonts w:ascii="DM Sans" w:hAnsi="DM Sans"/>
          <w:b w:val="0"/>
          <w:bCs/>
        </w:rPr>
      </w:pPr>
      <w:r>
        <w:rPr>
          <w:b w:val="0"/>
          <w:bCs/>
        </w:rPr>
        <w:t xml:space="preserve">Having Community Foundations operating in communities across Australia could </w:t>
      </w:r>
      <w:r w:rsidR="00020318">
        <w:rPr>
          <w:b w:val="0"/>
          <w:bCs/>
        </w:rPr>
        <w:t xml:space="preserve">give </w:t>
      </w:r>
      <w:r w:rsidR="00523B05">
        <w:rPr>
          <w:b w:val="0"/>
          <w:bCs/>
        </w:rPr>
        <w:t xml:space="preserve">modest </w:t>
      </w:r>
      <w:r w:rsidR="00020318">
        <w:rPr>
          <w:b w:val="0"/>
          <w:bCs/>
        </w:rPr>
        <w:t>impetus to a fairer sharing of charitable giving across the nation.</w:t>
      </w:r>
    </w:p>
    <w:p w14:paraId="2F77037D" w14:textId="2159DE13" w:rsidR="0035040B" w:rsidRPr="00C27804" w:rsidRDefault="0035040B" w:rsidP="00B255C9">
      <w:pPr>
        <w:pStyle w:val="ListNumber"/>
        <w:numPr>
          <w:ilvl w:val="0"/>
          <w:numId w:val="67"/>
        </w:numPr>
        <w:rPr>
          <w:rFonts w:ascii="DM Sans" w:hAnsi="DM Sans"/>
        </w:rPr>
      </w:pPr>
      <w:r w:rsidRPr="00C27804">
        <w:rPr>
          <w:rFonts w:ascii="DM Sans" w:hAnsi="DM Sans"/>
        </w:rPr>
        <w:t>Community Foundations allow local people to donate to a permanent endowment – and lead and participate in activities - focused on improving the lives of people in their region.</w:t>
      </w:r>
    </w:p>
    <w:p w14:paraId="03CDA4FC" w14:textId="77777777" w:rsidR="0035040B" w:rsidRPr="00C27804" w:rsidRDefault="0035040B" w:rsidP="00B255C9">
      <w:pPr>
        <w:widowControl w:val="0"/>
        <w:numPr>
          <w:ilvl w:val="0"/>
          <w:numId w:val="65"/>
        </w:numPr>
        <w:autoSpaceDE w:val="0"/>
        <w:autoSpaceDN w:val="0"/>
        <w:adjustRightInd w:val="0"/>
        <w:spacing w:before="60" w:after="60"/>
        <w:rPr>
          <w:rFonts w:ascii="DM Sans" w:eastAsia="MS ??" w:hAnsi="DM Sans" w:cs="Arial"/>
          <w:lang w:val="en-US" w:eastAsia="en-US"/>
        </w:rPr>
      </w:pPr>
      <w:r w:rsidRPr="00C27804">
        <w:rPr>
          <w:rFonts w:ascii="DM Sans" w:eastAsia="MS ??" w:hAnsi="DM Sans" w:cs="Arial"/>
          <w:lang w:val="en-US" w:eastAsia="en-US"/>
        </w:rPr>
        <w:t xml:space="preserve">Many Australians develop strong ties with their local community or region, understand what makes it tick, care about its people, and want to see it thrive.  </w:t>
      </w:r>
    </w:p>
    <w:p w14:paraId="033F1178" w14:textId="77777777" w:rsidR="0035040B" w:rsidRPr="00C27804" w:rsidRDefault="0035040B" w:rsidP="00B255C9">
      <w:pPr>
        <w:widowControl w:val="0"/>
        <w:numPr>
          <w:ilvl w:val="0"/>
          <w:numId w:val="65"/>
        </w:numPr>
        <w:autoSpaceDE w:val="0"/>
        <w:autoSpaceDN w:val="0"/>
        <w:adjustRightInd w:val="0"/>
        <w:spacing w:before="60" w:after="60"/>
        <w:rPr>
          <w:rFonts w:ascii="DM Sans" w:eastAsia="MS ??" w:hAnsi="DM Sans" w:cs="Arial"/>
          <w:lang w:val="en-US" w:eastAsia="en-US"/>
        </w:rPr>
      </w:pPr>
      <w:r w:rsidRPr="00C27804">
        <w:rPr>
          <w:rFonts w:ascii="DM Sans" w:eastAsia="MS ??" w:hAnsi="DM Sans" w:cs="Arial"/>
          <w:lang w:val="en-US" w:eastAsia="en-US"/>
        </w:rPr>
        <w:t>Community Foundations are a great way for people from all walks of life to get involved in donating, volunteering, and participating in projects to help their region thrive.  They galvanise the community to drive place-based change in a myriad of ways.</w:t>
      </w:r>
    </w:p>
    <w:p w14:paraId="258DEBBB" w14:textId="77777777" w:rsidR="0035040B" w:rsidRPr="00C27804" w:rsidRDefault="0035040B" w:rsidP="00B255C9">
      <w:pPr>
        <w:numPr>
          <w:ilvl w:val="3"/>
          <w:numId w:val="64"/>
        </w:numPr>
        <w:spacing w:before="60" w:after="60"/>
        <w:ind w:left="709"/>
        <w:rPr>
          <w:rFonts w:ascii="DM Sans" w:eastAsia="MS ??" w:hAnsi="DM Sans"/>
        </w:rPr>
      </w:pPr>
      <w:r w:rsidRPr="00C27804">
        <w:rPr>
          <w:rFonts w:ascii="DM Sans" w:eastAsia="MS ??" w:hAnsi="DM Sans"/>
        </w:rPr>
        <w:t xml:space="preserve">Local people establish, </w:t>
      </w:r>
      <w:proofErr w:type="gramStart"/>
      <w:r w:rsidRPr="00C27804">
        <w:rPr>
          <w:rFonts w:ascii="DM Sans" w:eastAsia="MS ??" w:hAnsi="DM Sans"/>
        </w:rPr>
        <w:t>manage</w:t>
      </w:r>
      <w:proofErr w:type="gramEnd"/>
      <w:r w:rsidRPr="00C27804">
        <w:rPr>
          <w:rFonts w:ascii="DM Sans" w:eastAsia="MS ??" w:hAnsi="DM Sans"/>
        </w:rPr>
        <w:t xml:space="preserve"> and govern the CFs to meet local needs.</w:t>
      </w:r>
    </w:p>
    <w:p w14:paraId="5099352F" w14:textId="77777777" w:rsidR="0035040B" w:rsidRPr="00C27804" w:rsidRDefault="0035040B" w:rsidP="00B255C9">
      <w:pPr>
        <w:numPr>
          <w:ilvl w:val="3"/>
          <w:numId w:val="64"/>
        </w:numPr>
        <w:spacing w:before="60" w:after="60"/>
        <w:ind w:left="709"/>
        <w:rPr>
          <w:rFonts w:ascii="DM Sans" w:eastAsia="MS ??" w:hAnsi="DM Sans"/>
        </w:rPr>
      </w:pPr>
      <w:r w:rsidRPr="00C27804">
        <w:rPr>
          <w:rFonts w:ascii="DM Sans" w:eastAsia="MS ??" w:hAnsi="DM Sans"/>
        </w:rPr>
        <w:t>They identify local challenges and engage the community in finding solutions.</w:t>
      </w:r>
    </w:p>
    <w:p w14:paraId="209A2B29" w14:textId="77777777" w:rsidR="0035040B" w:rsidRPr="00C27804" w:rsidRDefault="0035040B" w:rsidP="00B255C9">
      <w:pPr>
        <w:numPr>
          <w:ilvl w:val="3"/>
          <w:numId w:val="64"/>
        </w:numPr>
        <w:spacing w:before="60" w:after="60"/>
        <w:ind w:left="709"/>
        <w:rPr>
          <w:rFonts w:ascii="DM Sans" w:eastAsia="MS ??" w:hAnsi="DM Sans"/>
        </w:rPr>
      </w:pPr>
      <w:r w:rsidRPr="00C27804">
        <w:rPr>
          <w:rFonts w:ascii="DM Sans" w:eastAsia="MS ??" w:hAnsi="DM Sans"/>
        </w:rPr>
        <w:t>They raise and attract funds from many donors with diverse interests.</w:t>
      </w:r>
    </w:p>
    <w:p w14:paraId="55768AA0" w14:textId="77777777" w:rsidR="0035040B" w:rsidRPr="00C27804" w:rsidRDefault="0035040B" w:rsidP="00B255C9">
      <w:pPr>
        <w:numPr>
          <w:ilvl w:val="3"/>
          <w:numId w:val="64"/>
        </w:numPr>
        <w:spacing w:before="60" w:after="60"/>
        <w:ind w:left="709"/>
        <w:rPr>
          <w:rFonts w:ascii="DM Sans" w:eastAsia="MS ??" w:hAnsi="DM Sans"/>
        </w:rPr>
      </w:pPr>
      <w:r w:rsidRPr="00C27804">
        <w:rPr>
          <w:rFonts w:ascii="DM Sans" w:eastAsia="MS ??" w:hAnsi="DM Sans"/>
        </w:rPr>
        <w:t>They provide grants to community-based organisations to do critical work.</w:t>
      </w:r>
    </w:p>
    <w:p w14:paraId="3FB107F2" w14:textId="77777777" w:rsidR="0035040B" w:rsidRPr="00C27804" w:rsidRDefault="0035040B" w:rsidP="00B255C9">
      <w:pPr>
        <w:numPr>
          <w:ilvl w:val="3"/>
          <w:numId w:val="64"/>
        </w:numPr>
        <w:spacing w:before="60" w:after="60"/>
        <w:ind w:left="709"/>
        <w:rPr>
          <w:rFonts w:ascii="DM Sans" w:eastAsia="MS ??" w:hAnsi="DM Sans"/>
        </w:rPr>
      </w:pPr>
      <w:r w:rsidRPr="00C27804">
        <w:rPr>
          <w:rFonts w:ascii="DM Sans" w:eastAsia="MS ??" w:hAnsi="DM Sans"/>
        </w:rPr>
        <w:t>They harness untapped local capacity and leadership by giving local people voice and agency in decisions that matter to them.</w:t>
      </w:r>
    </w:p>
    <w:p w14:paraId="058AB75E" w14:textId="77777777" w:rsidR="0035040B" w:rsidRPr="00C27804" w:rsidRDefault="0035040B" w:rsidP="00B255C9">
      <w:pPr>
        <w:numPr>
          <w:ilvl w:val="3"/>
          <w:numId w:val="64"/>
        </w:numPr>
        <w:spacing w:before="60" w:after="60"/>
        <w:ind w:left="709"/>
        <w:rPr>
          <w:rFonts w:ascii="DM Sans" w:eastAsia="MS ??" w:hAnsi="DM Sans"/>
        </w:rPr>
      </w:pPr>
      <w:r w:rsidRPr="00C27804">
        <w:rPr>
          <w:rFonts w:ascii="DM Sans" w:eastAsia="MS ??" w:hAnsi="DM Sans"/>
        </w:rPr>
        <w:t xml:space="preserve">They create a virtuous cycle, with local participation driving successful projects, showing what can be achieved.  This builds social capital and confidence, galvanizing communities to continue positive place-based change. </w:t>
      </w:r>
    </w:p>
    <w:p w14:paraId="0D91C839" w14:textId="77777777" w:rsidR="0035040B" w:rsidRPr="0041321E" w:rsidRDefault="0035040B" w:rsidP="00B255C9">
      <w:pPr>
        <w:pStyle w:val="ListNumber"/>
        <w:numPr>
          <w:ilvl w:val="0"/>
          <w:numId w:val="67"/>
        </w:numPr>
        <w:rPr>
          <w:rFonts w:ascii="DM Sans" w:hAnsi="DM Sans"/>
        </w:rPr>
      </w:pPr>
      <w:r w:rsidRPr="0041321E">
        <w:rPr>
          <w:rFonts w:ascii="DM Sans" w:hAnsi="DM Sans"/>
        </w:rPr>
        <w:lastRenderedPageBreak/>
        <w:t xml:space="preserve">Emerging from the pandemic and a series of natural disasters, Australians are living and working more locally and increasingly keen to engage to strengthen local communities.  </w:t>
      </w:r>
    </w:p>
    <w:p w14:paraId="2CBAE296" w14:textId="05F1CFEE" w:rsidR="0035040B" w:rsidRPr="00C27804" w:rsidRDefault="0035040B" w:rsidP="00B255C9">
      <w:pPr>
        <w:widowControl w:val="0"/>
        <w:numPr>
          <w:ilvl w:val="0"/>
          <w:numId w:val="66"/>
        </w:numPr>
        <w:autoSpaceDE w:val="0"/>
        <w:autoSpaceDN w:val="0"/>
        <w:adjustRightInd w:val="0"/>
        <w:spacing w:before="60" w:after="60"/>
        <w:rPr>
          <w:rFonts w:ascii="DM Sans" w:eastAsia="MS ??" w:hAnsi="DM Sans" w:cs="Arial"/>
          <w:lang w:val="en-US" w:eastAsia="en-US"/>
        </w:rPr>
      </w:pPr>
      <w:r w:rsidRPr="00C27804">
        <w:rPr>
          <w:rFonts w:ascii="DM Sans" w:eastAsia="MS ??" w:hAnsi="DM Sans" w:cs="Arial"/>
          <w:lang w:val="en-US" w:eastAsia="en-US"/>
        </w:rPr>
        <w:t xml:space="preserve">Polling and focus groups commissioned by PA and undertaken by Redbridge </w:t>
      </w:r>
      <w:r w:rsidR="0051292F">
        <w:rPr>
          <w:rFonts w:ascii="DM Sans" w:eastAsia="MS ??" w:hAnsi="DM Sans" w:cs="Arial"/>
          <w:lang w:val="en-US" w:eastAsia="en-US"/>
        </w:rPr>
        <w:t xml:space="preserve">of more than 2,500 Australians </w:t>
      </w:r>
      <w:r w:rsidRPr="00C27804">
        <w:rPr>
          <w:rFonts w:ascii="DM Sans" w:eastAsia="MS ??" w:hAnsi="DM Sans" w:cs="Arial"/>
          <w:lang w:val="en-US" w:eastAsia="en-US"/>
        </w:rPr>
        <w:t>found 61 per ce</w:t>
      </w:r>
      <w:r w:rsidR="0051292F">
        <w:rPr>
          <w:rFonts w:ascii="DM Sans" w:eastAsia="MS ??" w:hAnsi="DM Sans" w:cs="Arial"/>
          <w:lang w:val="en-US" w:eastAsia="en-US"/>
        </w:rPr>
        <w:t>nt</w:t>
      </w:r>
      <w:r w:rsidRPr="00C27804">
        <w:rPr>
          <w:rFonts w:ascii="DM Sans" w:eastAsia="MS ??" w:hAnsi="DM Sans" w:cs="Arial"/>
          <w:lang w:val="en-US" w:eastAsia="en-US"/>
        </w:rPr>
        <w:t xml:space="preserve"> agree they’d like the opportunity to donate or get involved with a local Community foundation, while 9 per cent disagree.</w:t>
      </w:r>
    </w:p>
    <w:p w14:paraId="189370F5" w14:textId="77777777" w:rsidR="0035040B" w:rsidRPr="0041321E" w:rsidRDefault="0035040B" w:rsidP="00B255C9">
      <w:pPr>
        <w:pStyle w:val="ListNumber"/>
        <w:numPr>
          <w:ilvl w:val="0"/>
          <w:numId w:val="67"/>
        </w:numPr>
        <w:rPr>
          <w:rFonts w:ascii="DM Sans" w:hAnsi="DM Sans"/>
        </w:rPr>
      </w:pPr>
      <w:r w:rsidRPr="0041321E">
        <w:rPr>
          <w:rFonts w:ascii="DM Sans" w:hAnsi="DM Sans"/>
        </w:rPr>
        <w:t>Ensuring almost all Australians can participate in a local Community Foundation is a great way to grow giving and volunteering.</w:t>
      </w:r>
    </w:p>
    <w:p w14:paraId="6B612006" w14:textId="77777777" w:rsidR="0035040B" w:rsidRPr="009E530D" w:rsidRDefault="0035040B" w:rsidP="00B255C9">
      <w:pPr>
        <w:widowControl w:val="0"/>
        <w:numPr>
          <w:ilvl w:val="0"/>
          <w:numId w:val="66"/>
        </w:numPr>
        <w:autoSpaceDE w:val="0"/>
        <w:autoSpaceDN w:val="0"/>
        <w:adjustRightInd w:val="0"/>
        <w:spacing w:before="60" w:after="60"/>
        <w:rPr>
          <w:rFonts w:ascii="DM Sans" w:eastAsia="MS ??" w:hAnsi="DM Sans" w:cs="Arial"/>
          <w:lang w:val="en-US" w:eastAsia="en-US"/>
        </w:rPr>
      </w:pPr>
      <w:r w:rsidRPr="009E530D">
        <w:rPr>
          <w:rFonts w:ascii="DM Sans" w:eastAsia="MS ??" w:hAnsi="DM Sans" w:cs="Arial"/>
          <w:lang w:val="en-US" w:eastAsia="en-US"/>
        </w:rPr>
        <w:t>Even with limited national coverage, Australians are increasing giving to community foundations at a greater rate than Australians overall tax-deductible giving (growing at an average of 14% vs 8.4% respectively, from 2016 to 2021). They are attractive to donors as they are trusted, community-governed institutions, delivering cost-effective impact.</w:t>
      </w:r>
    </w:p>
    <w:p w14:paraId="081668CA" w14:textId="77777777" w:rsidR="0035040B" w:rsidRDefault="0035040B" w:rsidP="00B255C9">
      <w:pPr>
        <w:widowControl w:val="0"/>
        <w:numPr>
          <w:ilvl w:val="0"/>
          <w:numId w:val="66"/>
        </w:numPr>
        <w:autoSpaceDE w:val="0"/>
        <w:autoSpaceDN w:val="0"/>
        <w:adjustRightInd w:val="0"/>
        <w:spacing w:before="60" w:after="60"/>
        <w:rPr>
          <w:rFonts w:ascii="DM Sans" w:eastAsia="MS ??" w:hAnsi="DM Sans" w:cs="Arial"/>
          <w:lang w:val="en-US" w:eastAsia="en-US"/>
        </w:rPr>
      </w:pPr>
      <w:r w:rsidRPr="009E530D">
        <w:rPr>
          <w:rFonts w:ascii="DM Sans" w:eastAsia="MS ??" w:hAnsi="DM Sans" w:cs="Arial"/>
          <w:lang w:val="en-US" w:eastAsia="en-US"/>
        </w:rPr>
        <w:t xml:space="preserve">Community foundations are well placed to capture a share of Australia’s unprecedented intergenerational wealth transfer. $2.6 trillion of wealth will transfer from 2021 to 2040, a third of which will be outside our cities. </w:t>
      </w:r>
    </w:p>
    <w:p w14:paraId="3166D979" w14:textId="3BAA7B23" w:rsidR="00275003" w:rsidRPr="00956E42" w:rsidRDefault="00956E42" w:rsidP="00605A92">
      <w:pPr>
        <w:pStyle w:val="ListNumber"/>
        <w:widowControl w:val="0"/>
        <w:numPr>
          <w:ilvl w:val="0"/>
          <w:numId w:val="67"/>
        </w:numPr>
        <w:autoSpaceDE w:val="0"/>
        <w:autoSpaceDN w:val="0"/>
        <w:adjustRightInd w:val="0"/>
        <w:spacing w:before="60" w:after="120"/>
        <w:rPr>
          <w:rFonts w:ascii="DM Sans" w:hAnsi="DM Sans" w:cs="Arial"/>
          <w:lang w:val="en-US" w:eastAsia="en-US"/>
        </w:rPr>
      </w:pPr>
      <w:r>
        <w:rPr>
          <w:rFonts w:ascii="DM Sans" w:hAnsi="DM Sans" w:cs="Arial"/>
          <w:lang w:val="en-US" w:eastAsia="en-US"/>
        </w:rPr>
        <w:t xml:space="preserve">The Strategy could consider the reforms developed by CFA and PA, in consultation with </w:t>
      </w:r>
      <w:r w:rsidR="009A00EF">
        <w:rPr>
          <w:rFonts w:ascii="DM Sans" w:hAnsi="DM Sans" w:cs="Arial"/>
          <w:lang w:val="en-US" w:eastAsia="en-US"/>
        </w:rPr>
        <w:t>Australia’s network of community foundations, in its submission to the PC.</w:t>
      </w:r>
    </w:p>
    <w:p w14:paraId="62506BC2" w14:textId="22BB16D4" w:rsidR="0032565E" w:rsidRPr="00C27804" w:rsidRDefault="0032565E" w:rsidP="00836E3F">
      <w:pPr>
        <w:pBdr>
          <w:top w:val="single" w:sz="4" w:space="1" w:color="auto"/>
          <w:left w:val="single" w:sz="4" w:space="4" w:color="auto"/>
          <w:bottom w:val="single" w:sz="4" w:space="1" w:color="auto"/>
          <w:right w:val="single" w:sz="4" w:space="4" w:color="auto"/>
        </w:pBdr>
        <w:shd w:val="clear" w:color="auto" w:fill="D8E5F7" w:themeFill="accent1" w:themeFillTint="33"/>
        <w:rPr>
          <w:rFonts w:ascii="DM Sans" w:hAnsi="DM Sans"/>
          <w:b/>
          <w:bCs/>
        </w:rPr>
      </w:pPr>
      <w:r w:rsidRPr="00C27804">
        <w:rPr>
          <w:rFonts w:ascii="DM Sans" w:hAnsi="DM Sans"/>
          <w:b/>
          <w:bCs/>
        </w:rPr>
        <w:t xml:space="preserve">BOX </w:t>
      </w:r>
      <w:r w:rsidR="003B0BB7">
        <w:rPr>
          <w:rFonts w:ascii="DM Sans" w:hAnsi="DM Sans"/>
          <w:b/>
          <w:bCs/>
        </w:rPr>
        <w:t>1.3</w:t>
      </w:r>
      <w:r w:rsidRPr="00C27804">
        <w:rPr>
          <w:rFonts w:ascii="DM Sans" w:hAnsi="DM Sans"/>
          <w:b/>
          <w:bCs/>
        </w:rPr>
        <w:t xml:space="preserve">: </w:t>
      </w:r>
      <w:r w:rsidR="0034053A" w:rsidRPr="00C27804">
        <w:rPr>
          <w:rFonts w:ascii="DM Sans" w:hAnsi="DM Sans"/>
          <w:b/>
          <w:bCs/>
        </w:rPr>
        <w:t>REFORMS OUTLINED IN THE OPPORTUNITY TO GROW AUSTRALIA’S COMMUNITY FOUNDATION NETWORK: A STRATEGIC ROADMAP</w:t>
      </w:r>
    </w:p>
    <w:p w14:paraId="4242D3A2" w14:textId="1D1E9F20" w:rsidR="0032565E" w:rsidRPr="00755B3F" w:rsidRDefault="0032565E" w:rsidP="00836E3F">
      <w:pPr>
        <w:pBdr>
          <w:top w:val="single" w:sz="4" w:space="1" w:color="auto"/>
          <w:left w:val="single" w:sz="4" w:space="4" w:color="auto"/>
          <w:bottom w:val="single" w:sz="4" w:space="1" w:color="auto"/>
          <w:right w:val="single" w:sz="4" w:space="4" w:color="auto"/>
        </w:pBdr>
        <w:shd w:val="clear" w:color="auto" w:fill="D8E5F7" w:themeFill="accent1" w:themeFillTint="33"/>
        <w:spacing w:before="60" w:after="60"/>
        <w:rPr>
          <w:rFonts w:ascii="DM Sans" w:hAnsi="DM Sans"/>
          <w:b/>
          <w:bCs/>
          <w:color w:val="auto"/>
          <w:u w:val="single"/>
        </w:rPr>
      </w:pPr>
      <w:r w:rsidRPr="00C27804">
        <w:rPr>
          <w:rFonts w:ascii="DM Sans" w:hAnsi="DM Sans"/>
        </w:rPr>
        <w:t xml:space="preserve">PA and </w:t>
      </w:r>
      <w:r w:rsidRPr="00755B3F">
        <w:rPr>
          <w:rFonts w:ascii="DM Sans" w:hAnsi="DM Sans"/>
        </w:rPr>
        <w:t>Community Foundations Australia (CFA) with support from Social Ventures Australia</w:t>
      </w:r>
      <w:r w:rsidR="00FC66E4" w:rsidRPr="00755B3F">
        <w:rPr>
          <w:rFonts w:ascii="DM Sans" w:hAnsi="DM Sans"/>
        </w:rPr>
        <w:t xml:space="preserve">, set out a broad </w:t>
      </w:r>
      <w:r w:rsidR="00B57252" w:rsidRPr="00755B3F">
        <w:rPr>
          <w:rFonts w:ascii="DM Sans" w:hAnsi="DM Sans"/>
        </w:rPr>
        <w:t>strategy and policy agenda to strengthen and grow the Community Foundation network</w:t>
      </w:r>
      <w:r w:rsidRPr="00755B3F">
        <w:rPr>
          <w:rFonts w:ascii="DM Sans" w:hAnsi="DM Sans"/>
        </w:rPr>
        <w:t xml:space="preserve"> in</w:t>
      </w:r>
      <w:r w:rsidRPr="00755B3F">
        <w:rPr>
          <w:rFonts w:ascii="DM Sans" w:hAnsi="DM Sans"/>
          <w:b/>
          <w:bCs/>
        </w:rPr>
        <w:t xml:space="preserve"> </w:t>
      </w:r>
      <w:hyperlink r:id="rId30" w:history="1">
        <w:r w:rsidRPr="00755B3F">
          <w:rPr>
            <w:rStyle w:val="Hyperlink"/>
            <w:rFonts w:ascii="DM Sans" w:hAnsi="DM Sans"/>
            <w:b/>
            <w:bCs/>
            <w:i/>
            <w:iCs/>
          </w:rPr>
          <w:t>The opportunity to grow Australia’s community foundation network: A strategic roadmap</w:t>
        </w:r>
      </w:hyperlink>
      <w:r w:rsidR="00B64EE5" w:rsidRPr="00755B3F">
        <w:rPr>
          <w:rFonts w:ascii="DM Sans" w:hAnsi="DM Sans"/>
          <w:b/>
          <w:bCs/>
          <w:i/>
          <w:iCs/>
        </w:rPr>
        <w:t>.</w:t>
      </w:r>
      <w:r w:rsidR="00850902" w:rsidRPr="00755B3F">
        <w:rPr>
          <w:rFonts w:ascii="DM Sans" w:hAnsi="DM Sans"/>
          <w:b/>
          <w:bCs/>
          <w:i/>
          <w:iCs/>
        </w:rPr>
        <w:t xml:space="preserve">  </w:t>
      </w:r>
      <w:r w:rsidR="00850902" w:rsidRPr="00755B3F">
        <w:rPr>
          <w:rFonts w:ascii="DM Sans" w:hAnsi="DM Sans"/>
        </w:rPr>
        <w:t>Key elements included:</w:t>
      </w:r>
    </w:p>
    <w:p w14:paraId="18BDC5BF" w14:textId="71C7E4BE" w:rsidR="0032565E" w:rsidRPr="00755B3F" w:rsidRDefault="0032565E" w:rsidP="00A547B7">
      <w:pPr>
        <w:pStyle w:val="ListParagraph"/>
        <w:numPr>
          <w:ilvl w:val="0"/>
          <w:numId w:val="76"/>
        </w:numPr>
        <w:pBdr>
          <w:top w:val="single" w:sz="4" w:space="1" w:color="auto"/>
          <w:left w:val="single" w:sz="4" w:space="4" w:color="auto"/>
          <w:bottom w:val="single" w:sz="4" w:space="1" w:color="auto"/>
          <w:right w:val="single" w:sz="4" w:space="4" w:color="auto"/>
        </w:pBdr>
        <w:shd w:val="clear" w:color="auto" w:fill="D8E5F7" w:themeFill="accent1" w:themeFillTint="33"/>
        <w:spacing w:before="60" w:after="60"/>
        <w:rPr>
          <w:rFonts w:ascii="DM Sans" w:hAnsi="DM Sans"/>
          <w:b/>
          <w:bCs/>
          <w:sz w:val="20"/>
        </w:rPr>
      </w:pPr>
      <w:r w:rsidRPr="00755B3F">
        <w:rPr>
          <w:rFonts w:ascii="DM Sans" w:hAnsi="DM Sans"/>
          <w:b/>
          <w:bCs/>
          <w:sz w:val="20"/>
        </w:rPr>
        <w:t xml:space="preserve">An overall aspiration: </w:t>
      </w:r>
      <w:r w:rsidRPr="00755B3F">
        <w:rPr>
          <w:rFonts w:ascii="DM Sans" w:hAnsi="DM Sans"/>
          <w:sz w:val="20"/>
        </w:rPr>
        <w:t>Between 2021 and 2030, increasing: funds under management from $500 million to $1 billion; annual grantmaking from $40 million to $100 million; and the proportion of Australians covered by Community Foundations from 60 to 90%.</w:t>
      </w:r>
    </w:p>
    <w:p w14:paraId="4357E656" w14:textId="77777777" w:rsidR="0032565E" w:rsidRPr="00755B3F" w:rsidRDefault="0032565E" w:rsidP="00A547B7">
      <w:pPr>
        <w:numPr>
          <w:ilvl w:val="0"/>
          <w:numId w:val="76"/>
        </w:numPr>
        <w:pBdr>
          <w:top w:val="single" w:sz="4" w:space="1" w:color="auto"/>
          <w:left w:val="single" w:sz="4" w:space="4" w:color="auto"/>
          <w:bottom w:val="single" w:sz="4" w:space="1" w:color="auto"/>
          <w:right w:val="single" w:sz="4" w:space="4" w:color="auto"/>
        </w:pBdr>
        <w:shd w:val="clear" w:color="auto" w:fill="D8E5F7" w:themeFill="accent1" w:themeFillTint="33"/>
        <w:spacing w:before="60" w:after="60"/>
        <w:rPr>
          <w:rFonts w:ascii="DM Sans" w:eastAsia="MS ??" w:hAnsi="DM Sans"/>
          <w:b/>
          <w:bCs/>
        </w:rPr>
      </w:pPr>
      <w:r w:rsidRPr="00755B3F">
        <w:rPr>
          <w:rFonts w:ascii="DM Sans" w:eastAsia="MS ??" w:hAnsi="DM Sans"/>
          <w:b/>
          <w:bCs/>
        </w:rPr>
        <w:t>Reforms to strengthen the existing network of Community Foundations, including:</w:t>
      </w:r>
    </w:p>
    <w:p w14:paraId="1E2C42B1" w14:textId="77777777" w:rsidR="0032565E" w:rsidRPr="00755B3F" w:rsidRDefault="0032565E" w:rsidP="00836E3F">
      <w:pPr>
        <w:pStyle w:val="ListParagraph"/>
        <w:numPr>
          <w:ilvl w:val="0"/>
          <w:numId w:val="69"/>
        </w:numPr>
        <w:pBdr>
          <w:top w:val="single" w:sz="4" w:space="1" w:color="auto"/>
          <w:left w:val="single" w:sz="4" w:space="4" w:color="auto"/>
          <w:bottom w:val="single" w:sz="4" w:space="1" w:color="auto"/>
          <w:right w:val="single" w:sz="4" w:space="4" w:color="auto"/>
        </w:pBdr>
        <w:shd w:val="clear" w:color="auto" w:fill="D8E5F7" w:themeFill="accent1" w:themeFillTint="33"/>
        <w:spacing w:before="60" w:after="60"/>
        <w:rPr>
          <w:rFonts w:ascii="DM Sans" w:hAnsi="DM Sans"/>
          <w:sz w:val="20"/>
        </w:rPr>
      </w:pPr>
      <w:r w:rsidRPr="00755B3F">
        <w:rPr>
          <w:rFonts w:ascii="DM Sans" w:hAnsi="DM Sans"/>
          <w:b/>
          <w:bCs/>
          <w:sz w:val="20"/>
        </w:rPr>
        <w:t xml:space="preserve">Time-limited operational and matched funding for the existing national network of 40 Community Foundations: </w:t>
      </w:r>
      <w:r w:rsidRPr="00755B3F">
        <w:rPr>
          <w:rFonts w:ascii="DM Sans" w:hAnsi="DM Sans"/>
          <w:sz w:val="20"/>
        </w:rPr>
        <w:t>Support to help all Community Foundations grow to a minimum sustainable size of around $5 million can ensure all foundations have paid staff, provide a suite of high impact initiatives, and are positioned to drive long term, sustainable growth.  Catalytic matched funding can support foundations to reach this benchmark size, while incentivising the network to promote their work, engage the community and fundraise locally.</w:t>
      </w:r>
    </w:p>
    <w:p w14:paraId="230744CA" w14:textId="77777777" w:rsidR="0032565E" w:rsidRPr="00755B3F" w:rsidRDefault="0032565E" w:rsidP="00836E3F">
      <w:pPr>
        <w:pStyle w:val="ListParagraph"/>
        <w:numPr>
          <w:ilvl w:val="0"/>
          <w:numId w:val="69"/>
        </w:numPr>
        <w:pBdr>
          <w:top w:val="single" w:sz="4" w:space="1" w:color="auto"/>
          <w:left w:val="single" w:sz="4" w:space="4" w:color="auto"/>
          <w:bottom w:val="single" w:sz="4" w:space="1" w:color="auto"/>
          <w:right w:val="single" w:sz="4" w:space="4" w:color="auto"/>
        </w:pBdr>
        <w:shd w:val="clear" w:color="auto" w:fill="D8E5F7" w:themeFill="accent1" w:themeFillTint="33"/>
        <w:spacing w:before="60" w:after="60"/>
        <w:rPr>
          <w:rFonts w:ascii="DM Sans" w:hAnsi="DM Sans"/>
          <w:b/>
          <w:bCs/>
          <w:sz w:val="20"/>
        </w:rPr>
      </w:pPr>
      <w:r w:rsidRPr="00755B3F">
        <w:rPr>
          <w:rFonts w:ascii="DM Sans" w:hAnsi="DM Sans"/>
          <w:b/>
          <w:bCs/>
          <w:sz w:val="20"/>
        </w:rPr>
        <w:t xml:space="preserve">Time-limited funding to strengthen the peak body, Community Foundations Australia (CFA).  </w:t>
      </w:r>
      <w:r w:rsidRPr="00755B3F">
        <w:rPr>
          <w:rFonts w:ascii="DM Sans" w:hAnsi="DM Sans"/>
          <w:sz w:val="20"/>
        </w:rPr>
        <w:t>$3 million over six years and DGR 1 status would position CFA to: work with government on the roll out of this package of reforms; and support the network – particularly new foundations – to achieve sustainable growth.</w:t>
      </w:r>
    </w:p>
    <w:p w14:paraId="68E6AD9B" w14:textId="77777777" w:rsidR="0032565E" w:rsidRPr="00755B3F" w:rsidRDefault="0032565E" w:rsidP="00A547B7">
      <w:pPr>
        <w:numPr>
          <w:ilvl w:val="0"/>
          <w:numId w:val="76"/>
        </w:numPr>
        <w:pBdr>
          <w:top w:val="single" w:sz="4" w:space="1" w:color="auto"/>
          <w:left w:val="single" w:sz="4" w:space="4" w:color="auto"/>
          <w:bottom w:val="single" w:sz="4" w:space="1" w:color="auto"/>
          <w:right w:val="single" w:sz="4" w:space="4" w:color="auto"/>
        </w:pBdr>
        <w:shd w:val="clear" w:color="auto" w:fill="D8E5F7" w:themeFill="accent1" w:themeFillTint="33"/>
        <w:spacing w:before="60" w:after="60"/>
        <w:rPr>
          <w:rFonts w:ascii="DM Sans" w:eastAsia="MS ??" w:hAnsi="DM Sans"/>
          <w:b/>
          <w:bCs/>
        </w:rPr>
      </w:pPr>
      <w:r w:rsidRPr="00755B3F">
        <w:rPr>
          <w:rFonts w:ascii="DM Sans" w:eastAsia="MS ??" w:hAnsi="DM Sans"/>
          <w:b/>
          <w:bCs/>
        </w:rPr>
        <w:t>Reforms to catalyse new foundations, including:</w:t>
      </w:r>
    </w:p>
    <w:p w14:paraId="117FB0AB" w14:textId="77777777" w:rsidR="0032565E" w:rsidRPr="00755B3F" w:rsidRDefault="0032565E" w:rsidP="00836E3F">
      <w:pPr>
        <w:numPr>
          <w:ilvl w:val="0"/>
          <w:numId w:val="70"/>
        </w:numPr>
        <w:pBdr>
          <w:top w:val="single" w:sz="4" w:space="1" w:color="auto"/>
          <w:left w:val="single" w:sz="4" w:space="4" w:color="auto"/>
          <w:bottom w:val="single" w:sz="4" w:space="1" w:color="auto"/>
          <w:right w:val="single" w:sz="4" w:space="4" w:color="auto"/>
        </w:pBdr>
        <w:shd w:val="clear" w:color="auto" w:fill="D8E5F7" w:themeFill="accent1" w:themeFillTint="33"/>
        <w:spacing w:before="60" w:after="60"/>
        <w:rPr>
          <w:rFonts w:ascii="DM Sans" w:eastAsia="MS ??" w:hAnsi="DM Sans"/>
          <w:b/>
          <w:bCs/>
        </w:rPr>
      </w:pPr>
      <w:r w:rsidRPr="00755B3F">
        <w:rPr>
          <w:rFonts w:ascii="DM Sans" w:eastAsia="MS ??" w:hAnsi="DM Sans"/>
          <w:b/>
          <w:bCs/>
        </w:rPr>
        <w:t xml:space="preserve">Streamlined access to DGR 1 for any new Community Foundations: </w:t>
      </w:r>
      <w:r w:rsidRPr="00755B3F">
        <w:rPr>
          <w:rFonts w:ascii="DM Sans" w:eastAsia="MS ??" w:hAnsi="DM Sans"/>
        </w:rPr>
        <w:t>The Government’s current work to provide access to DGR 1 for existing Community Foundations should also ensure streamlined access is provided to new foundations in the future.</w:t>
      </w:r>
    </w:p>
    <w:p w14:paraId="63F53641" w14:textId="1BB1DD33" w:rsidR="003A718D" w:rsidRPr="00755B3F" w:rsidRDefault="0032565E" w:rsidP="00836E3F">
      <w:pPr>
        <w:numPr>
          <w:ilvl w:val="0"/>
          <w:numId w:val="70"/>
        </w:numPr>
        <w:pBdr>
          <w:top w:val="single" w:sz="4" w:space="1" w:color="auto"/>
          <w:left w:val="single" w:sz="4" w:space="4" w:color="auto"/>
          <w:bottom w:val="single" w:sz="4" w:space="1" w:color="auto"/>
          <w:right w:val="single" w:sz="4" w:space="4" w:color="auto"/>
        </w:pBdr>
        <w:shd w:val="clear" w:color="auto" w:fill="D8E5F7" w:themeFill="accent1" w:themeFillTint="33"/>
        <w:spacing w:before="60" w:after="60"/>
        <w:rPr>
          <w:rFonts w:ascii="DM Sans" w:eastAsia="MS ??" w:hAnsi="DM Sans"/>
          <w:b/>
          <w:bCs/>
        </w:rPr>
      </w:pPr>
      <w:r w:rsidRPr="00755B3F">
        <w:rPr>
          <w:rFonts w:ascii="DM Sans" w:eastAsia="MS ??" w:hAnsi="DM Sans"/>
          <w:b/>
          <w:bCs/>
        </w:rPr>
        <w:t xml:space="preserve">Seed and matched funding to create 20 new Community Foundations in priority locations.  </w:t>
      </w:r>
      <w:r w:rsidRPr="00755B3F">
        <w:rPr>
          <w:rFonts w:ascii="DM Sans" w:eastAsia="MS ??" w:hAnsi="DM Sans"/>
        </w:rPr>
        <w:t xml:space="preserve">Matched funding ‘challenge grants’ have been instrumental to the growth of community foundations globally and in Australia. Challenge grants incentivise community foundations to match the grant from community giving and galvanise the community and its leadership to drive community-led change. They help foundations to rapidly build sustainable assets, establish committed donor bases, build fundraising capability, and set the foundations for long term sustainability and impact.  They could </w:t>
      </w:r>
      <w:proofErr w:type="gramStart"/>
      <w:r w:rsidRPr="00755B3F">
        <w:rPr>
          <w:rFonts w:ascii="DM Sans" w:eastAsia="MS ??" w:hAnsi="DM Sans"/>
        </w:rPr>
        <w:t>be located in</w:t>
      </w:r>
      <w:proofErr w:type="gramEnd"/>
      <w:r w:rsidRPr="00755B3F">
        <w:rPr>
          <w:rFonts w:ascii="DM Sans" w:eastAsia="MS ??" w:hAnsi="DM Sans"/>
        </w:rPr>
        <w:t xml:space="preserve"> places that complement the Government’s work to address place-based disadvantage.</w:t>
      </w:r>
      <w:r w:rsidR="003A718D" w:rsidRPr="00755B3F">
        <w:rPr>
          <w:rFonts w:ascii="DM Sans" w:hAnsi="DM Sans"/>
        </w:rPr>
        <w:br w:type="page"/>
      </w:r>
    </w:p>
    <w:p w14:paraId="17E040F5" w14:textId="718C31F6" w:rsidR="00D735F1" w:rsidRPr="00C27804" w:rsidRDefault="003A718D" w:rsidP="00A547B7">
      <w:pPr>
        <w:pStyle w:val="Heading2"/>
        <w:numPr>
          <w:ilvl w:val="1"/>
          <w:numId w:val="95"/>
        </w:numPr>
        <w:rPr>
          <w:rFonts w:ascii="DM Sans" w:hAnsi="DM Sans"/>
        </w:rPr>
      </w:pPr>
      <w:bookmarkStart w:id="12" w:name="_Toc158381889"/>
      <w:r w:rsidRPr="00C27804">
        <w:rPr>
          <w:rFonts w:ascii="DM Sans" w:hAnsi="DM Sans"/>
        </w:rPr>
        <w:lastRenderedPageBreak/>
        <w:t>A National Giving Campaign</w:t>
      </w:r>
      <w:bookmarkEnd w:id="12"/>
    </w:p>
    <w:tbl>
      <w:tblPr>
        <w:tblStyle w:val="PullOutTable"/>
        <w:tblW w:w="0" w:type="auto"/>
        <w:tblBorders>
          <w:insideH w:val="single" w:sz="4" w:space="0" w:color="F5F9FD" w:themeColor="background2"/>
          <w:insideV w:val="single" w:sz="4" w:space="0" w:color="F5F9FD" w:themeColor="background2"/>
        </w:tblBorders>
        <w:shd w:val="clear" w:color="auto" w:fill="DBE3F7" w:themeFill="text2" w:themeFillTint="1A"/>
        <w:tblLook w:val="04A0" w:firstRow="1" w:lastRow="0" w:firstColumn="1" w:lastColumn="0" w:noHBand="0" w:noVBand="1"/>
      </w:tblPr>
      <w:tblGrid>
        <w:gridCol w:w="9628"/>
      </w:tblGrid>
      <w:tr w:rsidR="002F1A07" w:rsidRPr="00C27804" w14:paraId="1795BE7C" w14:textId="77777777" w:rsidTr="00B346A6">
        <w:tc>
          <w:tcPr>
            <w:tcW w:w="9628" w:type="dxa"/>
            <w:shd w:val="clear" w:color="auto" w:fill="DBE3F7" w:themeFill="text2" w:themeFillTint="1A"/>
          </w:tcPr>
          <w:p w14:paraId="5C28FE4E" w14:textId="77777777" w:rsidR="00977806" w:rsidRPr="00C27804" w:rsidRDefault="00977806" w:rsidP="00977806">
            <w:pPr>
              <w:pStyle w:val="BodyText"/>
              <w:shd w:val="clear" w:color="auto" w:fill="D8E5F7" w:themeFill="accent1" w:themeFillTint="33"/>
              <w:rPr>
                <w:rFonts w:ascii="DM Sans" w:hAnsi="DM Sans"/>
                <w:b/>
                <w:bCs/>
                <w:color w:val="3D7EDB" w:themeColor="accent1"/>
                <w:sz w:val="24"/>
                <w:szCs w:val="24"/>
              </w:rPr>
            </w:pPr>
            <w:r w:rsidRPr="00C27804">
              <w:rPr>
                <w:rFonts w:ascii="DM Sans" w:hAnsi="DM Sans"/>
                <w:b/>
                <w:bCs/>
                <w:color w:val="3D7EDB" w:themeColor="accent1"/>
                <w:sz w:val="24"/>
                <w:szCs w:val="24"/>
              </w:rPr>
              <w:t>Recommendation</w:t>
            </w:r>
          </w:p>
          <w:p w14:paraId="3E8536D7" w14:textId="4A70E920" w:rsidR="002F1A07" w:rsidRPr="00C27804" w:rsidRDefault="00E26D52" w:rsidP="00B255C9">
            <w:pPr>
              <w:pStyle w:val="BodyText"/>
              <w:numPr>
                <w:ilvl w:val="0"/>
                <w:numId w:val="71"/>
              </w:numPr>
              <w:rPr>
                <w:rFonts w:ascii="DM Sans" w:hAnsi="DM Sans"/>
              </w:rPr>
            </w:pPr>
            <w:r w:rsidRPr="000E73B2">
              <w:rPr>
                <w:rFonts w:ascii="DM Sans" w:hAnsi="DM Sans"/>
                <w:b/>
                <w:bCs/>
              </w:rPr>
              <w:t xml:space="preserve">The PC recommend the Federal Government and the philanthropic sector collaborate to develop, </w:t>
            </w:r>
            <w:r w:rsidR="00F523E9">
              <w:rPr>
                <w:rFonts w:ascii="DM Sans" w:hAnsi="DM Sans"/>
                <w:b/>
                <w:bCs/>
              </w:rPr>
              <w:t>co-</w:t>
            </w:r>
            <w:r w:rsidRPr="000E73B2">
              <w:rPr>
                <w:rFonts w:ascii="DM Sans" w:hAnsi="DM Sans"/>
                <w:b/>
                <w:bCs/>
              </w:rPr>
              <w:t xml:space="preserve">fund, trial and evaluate a </w:t>
            </w:r>
            <w:r w:rsidR="00BF3107">
              <w:rPr>
                <w:rFonts w:ascii="DM Sans" w:hAnsi="DM Sans"/>
                <w:b/>
                <w:bCs/>
              </w:rPr>
              <w:t xml:space="preserve">three-year </w:t>
            </w:r>
            <w:r w:rsidRPr="000E73B2">
              <w:rPr>
                <w:rFonts w:ascii="DM Sans" w:hAnsi="DM Sans"/>
                <w:b/>
                <w:bCs/>
              </w:rPr>
              <w:t>National Giving Campaign</w:t>
            </w:r>
            <w:r w:rsidR="000E73B2">
              <w:rPr>
                <w:rFonts w:ascii="DM Sans" w:hAnsi="DM Sans"/>
              </w:rPr>
              <w:t>.</w:t>
            </w:r>
            <w:r w:rsidR="00E47CE4">
              <w:rPr>
                <w:rFonts w:ascii="DM Sans" w:hAnsi="DM Sans"/>
              </w:rPr>
              <w:t xml:space="preserve">  If successful</w:t>
            </w:r>
            <w:r w:rsidR="002D5671">
              <w:rPr>
                <w:rFonts w:ascii="DM Sans" w:hAnsi="DM Sans"/>
              </w:rPr>
              <w:t xml:space="preserve">, the </w:t>
            </w:r>
            <w:r w:rsidR="00E47CE4">
              <w:rPr>
                <w:rFonts w:ascii="DM Sans" w:hAnsi="DM Sans"/>
              </w:rPr>
              <w:t>government could increase its investment</w:t>
            </w:r>
            <w:r w:rsidR="00100ED3">
              <w:rPr>
                <w:rFonts w:ascii="DM Sans" w:hAnsi="DM Sans"/>
              </w:rPr>
              <w:t xml:space="preserve">, with the campaign </w:t>
            </w:r>
            <w:r w:rsidR="00BC2025">
              <w:rPr>
                <w:rFonts w:ascii="DM Sans" w:hAnsi="DM Sans"/>
              </w:rPr>
              <w:t xml:space="preserve">sustained over 10-15 years, the timeframe </w:t>
            </w:r>
            <w:r w:rsidR="00E90825">
              <w:rPr>
                <w:rFonts w:ascii="DM Sans" w:hAnsi="DM Sans"/>
              </w:rPr>
              <w:t xml:space="preserve">likely to be </w:t>
            </w:r>
            <w:r w:rsidR="00BC2025">
              <w:rPr>
                <w:rFonts w:ascii="DM Sans" w:hAnsi="DM Sans"/>
              </w:rPr>
              <w:t xml:space="preserve">needed to </w:t>
            </w:r>
            <w:r w:rsidR="00ED6A3D">
              <w:rPr>
                <w:rFonts w:ascii="DM Sans" w:hAnsi="DM Sans"/>
              </w:rPr>
              <w:t>achieve</w:t>
            </w:r>
            <w:r w:rsidR="00E7259A">
              <w:rPr>
                <w:rFonts w:ascii="DM Sans" w:hAnsi="DM Sans"/>
              </w:rPr>
              <w:t xml:space="preserve"> </w:t>
            </w:r>
            <w:r w:rsidR="00EC7C51">
              <w:rPr>
                <w:rFonts w:ascii="DM Sans" w:hAnsi="DM Sans"/>
              </w:rPr>
              <w:t>lasting behavioural and cultural change.</w:t>
            </w:r>
          </w:p>
        </w:tc>
      </w:tr>
    </w:tbl>
    <w:p w14:paraId="1B0679FB" w14:textId="77777777" w:rsidR="00B346A6" w:rsidRPr="00C27804" w:rsidRDefault="00B346A6" w:rsidP="00B346A6">
      <w:pPr>
        <w:keepNext/>
        <w:keepLines/>
        <w:spacing w:before="120"/>
        <w:outlineLvl w:val="3"/>
        <w:rPr>
          <w:rFonts w:ascii="DM Sans" w:eastAsiaTheme="majorEastAsia" w:hAnsi="DM Sans" w:cstheme="majorBidi"/>
          <w:b/>
          <w:bCs/>
          <w:iCs/>
          <w:color w:val="3D7EDB" w:themeColor="accent1"/>
          <w:sz w:val="21"/>
        </w:rPr>
      </w:pPr>
      <w:r w:rsidRPr="00C27804">
        <w:rPr>
          <w:rFonts w:ascii="DM Sans" w:eastAsiaTheme="majorEastAsia" w:hAnsi="DM Sans" w:cstheme="majorBidi"/>
          <w:b/>
          <w:bCs/>
          <w:iCs/>
          <w:color w:val="3D7EDB" w:themeColor="accent1"/>
          <w:sz w:val="21"/>
        </w:rPr>
        <w:t>The Case for Reform</w:t>
      </w:r>
    </w:p>
    <w:p w14:paraId="628260B5" w14:textId="2FE2FAF6" w:rsidR="00B346A6" w:rsidRPr="00C27804" w:rsidRDefault="00B346A6" w:rsidP="00B255C9">
      <w:pPr>
        <w:pStyle w:val="ListNumber"/>
        <w:numPr>
          <w:ilvl w:val="0"/>
          <w:numId w:val="63"/>
        </w:numPr>
        <w:spacing w:before="0" w:after="120"/>
        <w:rPr>
          <w:rFonts w:ascii="DM Sans" w:hAnsi="DM Sans"/>
        </w:rPr>
      </w:pPr>
      <w:r w:rsidRPr="00C27804">
        <w:rPr>
          <w:rFonts w:ascii="DM Sans" w:hAnsi="DM Sans"/>
        </w:rPr>
        <w:t xml:space="preserve">Creating a more aware and generous culture is critical to </w:t>
      </w:r>
      <w:r w:rsidR="005C2327">
        <w:rPr>
          <w:rFonts w:ascii="DM Sans" w:hAnsi="DM Sans"/>
        </w:rPr>
        <w:t>increasing national giving.</w:t>
      </w:r>
    </w:p>
    <w:p w14:paraId="3B490182" w14:textId="7F99BE20" w:rsidR="004F1DDE" w:rsidRDefault="003A41CB" w:rsidP="00B255C9">
      <w:pPr>
        <w:pStyle w:val="BodyText"/>
        <w:numPr>
          <w:ilvl w:val="0"/>
          <w:numId w:val="60"/>
        </w:numPr>
        <w:rPr>
          <w:rFonts w:ascii="DM Sans" w:hAnsi="DM Sans"/>
        </w:rPr>
      </w:pPr>
      <w:r>
        <w:rPr>
          <w:rFonts w:ascii="DM Sans" w:hAnsi="DM Sans"/>
        </w:rPr>
        <w:t xml:space="preserve">The PC and PA agree that culture </w:t>
      </w:r>
      <w:r w:rsidR="00F23C86">
        <w:rPr>
          <w:rFonts w:ascii="DM Sans" w:hAnsi="DM Sans"/>
        </w:rPr>
        <w:t xml:space="preserve">– in particular the </w:t>
      </w:r>
      <w:r w:rsidR="00F23C86" w:rsidRPr="00C27804">
        <w:rPr>
          <w:rFonts w:ascii="DM Sans" w:hAnsi="DM Sans"/>
        </w:rPr>
        <w:t>strong cultural expectation that peopl</w:t>
      </w:r>
      <w:r w:rsidR="005C2327">
        <w:rPr>
          <w:rFonts w:ascii="DM Sans" w:hAnsi="DM Sans"/>
        </w:rPr>
        <w:t>e,</w:t>
      </w:r>
      <w:r w:rsidR="00F23C86" w:rsidRPr="00C27804">
        <w:rPr>
          <w:rFonts w:ascii="DM Sans" w:hAnsi="DM Sans"/>
        </w:rPr>
        <w:t xml:space="preserve"> particularly those with wealth</w:t>
      </w:r>
      <w:r w:rsidR="005C2327">
        <w:rPr>
          <w:rFonts w:ascii="DM Sans" w:hAnsi="DM Sans"/>
        </w:rPr>
        <w:t>,</w:t>
      </w:r>
      <w:r w:rsidR="00F23C86" w:rsidRPr="00C27804">
        <w:rPr>
          <w:rFonts w:ascii="DM Sans" w:hAnsi="DM Sans"/>
        </w:rPr>
        <w:t xml:space="preserve"> will give to charity</w:t>
      </w:r>
      <w:r w:rsidR="005C2327">
        <w:rPr>
          <w:rFonts w:ascii="DM Sans" w:hAnsi="DM Sans"/>
        </w:rPr>
        <w:t xml:space="preserve"> – is </w:t>
      </w:r>
      <w:r w:rsidR="004F1DDE">
        <w:rPr>
          <w:rFonts w:ascii="DM Sans" w:hAnsi="DM Sans"/>
        </w:rPr>
        <w:t>an important factor driving national giving.</w:t>
      </w:r>
      <w:r w:rsidR="005551B3">
        <w:rPr>
          <w:rFonts w:ascii="DM Sans" w:hAnsi="DM Sans"/>
        </w:rPr>
        <w:t xml:space="preserve">  Australi</w:t>
      </w:r>
      <w:r w:rsidR="005A4BF6">
        <w:rPr>
          <w:rFonts w:ascii="DM Sans" w:hAnsi="DM Sans"/>
        </w:rPr>
        <w:t xml:space="preserve">a faces challenges </w:t>
      </w:r>
      <w:r w:rsidR="00F52364">
        <w:rPr>
          <w:rFonts w:ascii="DM Sans" w:hAnsi="DM Sans"/>
        </w:rPr>
        <w:t xml:space="preserve">in </w:t>
      </w:r>
      <w:r w:rsidR="005B19BE">
        <w:rPr>
          <w:rFonts w:ascii="DM Sans" w:hAnsi="DM Sans"/>
        </w:rPr>
        <w:t>this area</w:t>
      </w:r>
      <w:r w:rsidR="00F52364">
        <w:rPr>
          <w:rFonts w:ascii="DM Sans" w:hAnsi="DM Sans"/>
        </w:rPr>
        <w:t xml:space="preserve"> </w:t>
      </w:r>
      <w:r w:rsidR="005551B3">
        <w:rPr>
          <w:rFonts w:ascii="DM Sans" w:hAnsi="DM Sans"/>
        </w:rPr>
        <w:t xml:space="preserve">– </w:t>
      </w:r>
      <w:r w:rsidR="00567520">
        <w:rPr>
          <w:rFonts w:ascii="DM Sans" w:hAnsi="DM Sans"/>
        </w:rPr>
        <w:t xml:space="preserve">our national giving level is low, </w:t>
      </w:r>
      <w:r w:rsidR="005551B3">
        <w:rPr>
          <w:rFonts w:ascii="DM Sans" w:hAnsi="DM Sans"/>
        </w:rPr>
        <w:t xml:space="preserve">the proportion of Australians giving and volunteering is declining, and the proportion of wealthy Australians </w:t>
      </w:r>
      <w:r w:rsidR="00C6176C">
        <w:rPr>
          <w:rFonts w:ascii="DM Sans" w:hAnsi="DM Sans"/>
        </w:rPr>
        <w:t>strongly embracing philanthropy substantially lags that of leading nations such as the US.</w:t>
      </w:r>
    </w:p>
    <w:p w14:paraId="060CB91A" w14:textId="01B9AC63" w:rsidR="00B346A6" w:rsidRPr="00C27804" w:rsidRDefault="00B346A6" w:rsidP="00B255C9">
      <w:pPr>
        <w:pStyle w:val="BodyText"/>
        <w:numPr>
          <w:ilvl w:val="0"/>
          <w:numId w:val="26"/>
        </w:numPr>
        <w:rPr>
          <w:rFonts w:ascii="DM Sans" w:hAnsi="DM Sans"/>
          <w:b/>
          <w:bCs/>
          <w:lang w:val="en-US"/>
        </w:rPr>
      </w:pPr>
      <w:r w:rsidRPr="00C27804">
        <w:rPr>
          <w:rFonts w:ascii="DM Sans" w:hAnsi="DM Sans"/>
          <w:b/>
          <w:bCs/>
          <w:lang w:val="en-US"/>
        </w:rPr>
        <w:t xml:space="preserve">National campaigns </w:t>
      </w:r>
      <w:r w:rsidR="00357251">
        <w:rPr>
          <w:rFonts w:ascii="DM Sans" w:hAnsi="DM Sans"/>
          <w:b/>
          <w:bCs/>
          <w:lang w:val="en-US"/>
        </w:rPr>
        <w:t xml:space="preserve">can be </w:t>
      </w:r>
      <w:r w:rsidR="00790C49">
        <w:rPr>
          <w:rFonts w:ascii="DM Sans" w:hAnsi="DM Sans"/>
          <w:b/>
          <w:bCs/>
          <w:lang w:val="en-US"/>
        </w:rPr>
        <w:t xml:space="preserve">an effective </w:t>
      </w:r>
      <w:r w:rsidRPr="00C27804">
        <w:rPr>
          <w:rFonts w:ascii="DM Sans" w:hAnsi="DM Sans"/>
          <w:b/>
          <w:bCs/>
          <w:lang w:val="en-US"/>
        </w:rPr>
        <w:t xml:space="preserve">way to shift national culture and behaviour.  </w:t>
      </w:r>
    </w:p>
    <w:p w14:paraId="58825EEA" w14:textId="77777777" w:rsidR="00157414" w:rsidRPr="00157414" w:rsidRDefault="00790C49" w:rsidP="00B255C9">
      <w:pPr>
        <w:pStyle w:val="BodyText"/>
        <w:numPr>
          <w:ilvl w:val="0"/>
          <w:numId w:val="61"/>
        </w:numPr>
        <w:rPr>
          <w:rFonts w:ascii="DM Sans" w:hAnsi="DM Sans"/>
          <w:b/>
          <w:bCs/>
        </w:rPr>
      </w:pPr>
      <w:r w:rsidRPr="00790C49">
        <w:rPr>
          <w:rFonts w:ascii="DM Sans" w:hAnsi="DM Sans"/>
        </w:rPr>
        <w:t xml:space="preserve">The PC and PA also agree that </w:t>
      </w:r>
      <w:r w:rsidR="00E778CA">
        <w:rPr>
          <w:rFonts w:ascii="DM Sans" w:hAnsi="DM Sans"/>
        </w:rPr>
        <w:t>in principle, a</w:t>
      </w:r>
      <w:r w:rsidR="00E778CA" w:rsidRPr="00E778CA">
        <w:rPr>
          <w:rFonts w:ascii="DM Sans" w:hAnsi="DM Sans"/>
        </w:rPr>
        <w:t xml:space="preserve"> government-funded public campaign could help broaden participation in giving</w:t>
      </w:r>
      <w:r w:rsidR="00545C57">
        <w:rPr>
          <w:rFonts w:ascii="DM Sans" w:hAnsi="DM Sans"/>
        </w:rPr>
        <w:t>, and that such campaigns have been successful in a suite of contexts</w:t>
      </w:r>
      <w:r w:rsidR="00FA4242">
        <w:rPr>
          <w:rFonts w:ascii="DM Sans" w:hAnsi="DM Sans"/>
        </w:rPr>
        <w:t>, such as the reduction of smoking.</w:t>
      </w:r>
      <w:r w:rsidR="00EC234E">
        <w:rPr>
          <w:rFonts w:ascii="DM Sans" w:hAnsi="DM Sans"/>
        </w:rPr>
        <w:t xml:space="preserve">  </w:t>
      </w:r>
    </w:p>
    <w:p w14:paraId="10771220" w14:textId="2BE6A3C2" w:rsidR="00EC234E" w:rsidRPr="00C27804" w:rsidRDefault="00EC234E" w:rsidP="00B255C9">
      <w:pPr>
        <w:pStyle w:val="BodyText"/>
        <w:numPr>
          <w:ilvl w:val="1"/>
          <w:numId w:val="61"/>
        </w:numPr>
        <w:rPr>
          <w:rFonts w:ascii="DM Sans" w:hAnsi="DM Sans"/>
          <w:b/>
          <w:bCs/>
        </w:rPr>
      </w:pPr>
      <w:r>
        <w:rPr>
          <w:rFonts w:ascii="DM Sans" w:hAnsi="DM Sans"/>
        </w:rPr>
        <w:t xml:space="preserve">PA set out its views </w:t>
      </w:r>
      <w:r>
        <w:rPr>
          <w:rFonts w:ascii="DM Sans" w:hAnsi="DM Sans"/>
          <w:lang w:val="en-US"/>
        </w:rPr>
        <w:t>on the</w:t>
      </w:r>
      <w:r w:rsidRPr="00C27804">
        <w:rPr>
          <w:rFonts w:ascii="DM Sans" w:hAnsi="DM Sans"/>
          <w:lang w:val="en-US"/>
        </w:rPr>
        <w:t xml:space="preserve"> economic case for a National Giving Campaign in </w:t>
      </w:r>
      <w:hyperlink r:id="rId31" w:history="1">
        <w:r w:rsidRPr="00940B9C">
          <w:rPr>
            <w:rStyle w:val="Hyperlink"/>
            <w:rFonts w:ascii="DM Sans" w:hAnsi="DM Sans"/>
            <w:b/>
            <w:bCs/>
            <w:i/>
            <w:iCs/>
          </w:rPr>
          <w:t>Philanthropy Australia Supplementary Submission: Is there a role for Government in supporting a National Giving Campaign?</w:t>
        </w:r>
      </w:hyperlink>
    </w:p>
    <w:p w14:paraId="2FD78AE9" w14:textId="4710396B" w:rsidR="006A5667" w:rsidRDefault="00E80F3E" w:rsidP="00A547B7">
      <w:pPr>
        <w:pStyle w:val="BodyText"/>
        <w:numPr>
          <w:ilvl w:val="0"/>
          <w:numId w:val="81"/>
        </w:numPr>
        <w:rPr>
          <w:rFonts w:ascii="DM Sans" w:hAnsi="DM Sans"/>
        </w:rPr>
      </w:pPr>
      <w:r>
        <w:rPr>
          <w:rFonts w:ascii="DM Sans" w:hAnsi="DM Sans"/>
        </w:rPr>
        <w:t xml:space="preserve">The PC </w:t>
      </w:r>
      <w:r w:rsidR="00D66ADF">
        <w:rPr>
          <w:rFonts w:ascii="DM Sans" w:hAnsi="DM Sans"/>
        </w:rPr>
        <w:t>notes</w:t>
      </w:r>
      <w:r w:rsidR="004D3F12">
        <w:rPr>
          <w:rFonts w:ascii="DM Sans" w:hAnsi="DM Sans"/>
        </w:rPr>
        <w:t xml:space="preserve"> not all campaigns have been successful</w:t>
      </w:r>
      <w:r w:rsidR="00D66ADF">
        <w:rPr>
          <w:rFonts w:ascii="DM Sans" w:hAnsi="DM Sans"/>
        </w:rPr>
        <w:t>.</w:t>
      </w:r>
      <w:r w:rsidR="00C6395E">
        <w:rPr>
          <w:rFonts w:ascii="DM Sans" w:hAnsi="DM Sans"/>
        </w:rPr>
        <w:t xml:space="preserve"> C</w:t>
      </w:r>
      <w:r w:rsidR="004D3F12">
        <w:rPr>
          <w:rFonts w:ascii="DM Sans" w:hAnsi="DM Sans"/>
        </w:rPr>
        <w:t xml:space="preserve">areful design is needed </w:t>
      </w:r>
      <w:r w:rsidR="00BE6704">
        <w:rPr>
          <w:rFonts w:ascii="DM Sans" w:hAnsi="DM Sans"/>
        </w:rPr>
        <w:t xml:space="preserve">to ensure benefits outweigh costs.  </w:t>
      </w:r>
      <w:r w:rsidR="00745EC7">
        <w:rPr>
          <w:rFonts w:ascii="DM Sans" w:hAnsi="DM Sans"/>
        </w:rPr>
        <w:t>Few major national campaigns targeting giving have been undertaken</w:t>
      </w:r>
      <w:r w:rsidR="005E028F">
        <w:rPr>
          <w:rFonts w:ascii="DM Sans" w:hAnsi="DM Sans"/>
        </w:rPr>
        <w:t>, particularly on the sustained basis needed for success,</w:t>
      </w:r>
      <w:r w:rsidR="00EF134F">
        <w:rPr>
          <w:rFonts w:ascii="DM Sans" w:hAnsi="DM Sans"/>
        </w:rPr>
        <w:t xml:space="preserve"> and there has been a lack of rigorous evaluation.</w:t>
      </w:r>
    </w:p>
    <w:p w14:paraId="129928AD" w14:textId="5A6590A1" w:rsidR="00AC195D" w:rsidRDefault="00AC195D" w:rsidP="00B255C9">
      <w:pPr>
        <w:pStyle w:val="ListNumber"/>
        <w:numPr>
          <w:ilvl w:val="0"/>
          <w:numId w:val="26"/>
        </w:numPr>
        <w:rPr>
          <w:rFonts w:ascii="DM Sans" w:hAnsi="DM Sans"/>
        </w:rPr>
      </w:pPr>
      <w:r>
        <w:rPr>
          <w:rFonts w:ascii="DM Sans" w:hAnsi="DM Sans"/>
        </w:rPr>
        <w:t xml:space="preserve">The Campaign would </w:t>
      </w:r>
      <w:r w:rsidR="0076310D">
        <w:rPr>
          <w:rFonts w:ascii="DM Sans" w:hAnsi="DM Sans"/>
        </w:rPr>
        <w:t xml:space="preserve">therefore </w:t>
      </w:r>
      <w:r>
        <w:rPr>
          <w:rFonts w:ascii="DM Sans" w:hAnsi="DM Sans"/>
        </w:rPr>
        <w:t xml:space="preserve">be a social innovation, </w:t>
      </w:r>
      <w:r w:rsidR="00DF68C7">
        <w:rPr>
          <w:rFonts w:ascii="DM Sans" w:hAnsi="DM Sans"/>
        </w:rPr>
        <w:t xml:space="preserve">so careful design, trialling and </w:t>
      </w:r>
      <w:r w:rsidR="0076310D">
        <w:rPr>
          <w:rFonts w:ascii="DM Sans" w:hAnsi="DM Sans"/>
        </w:rPr>
        <w:t>evaluation</w:t>
      </w:r>
      <w:r w:rsidR="00DF68C7">
        <w:rPr>
          <w:rFonts w:ascii="DM Sans" w:hAnsi="DM Sans"/>
        </w:rPr>
        <w:t xml:space="preserve"> makes sense.</w:t>
      </w:r>
    </w:p>
    <w:p w14:paraId="012D8A4C" w14:textId="346FF959" w:rsidR="003017C6" w:rsidRDefault="008F3670" w:rsidP="00A547B7">
      <w:pPr>
        <w:pStyle w:val="ListNumber"/>
        <w:numPr>
          <w:ilvl w:val="0"/>
          <w:numId w:val="84"/>
        </w:numPr>
        <w:spacing w:after="120"/>
        <w:rPr>
          <w:rFonts w:ascii="DM Sans" w:hAnsi="DM Sans"/>
          <w:b w:val="0"/>
          <w:bCs/>
        </w:rPr>
      </w:pPr>
      <w:r>
        <w:rPr>
          <w:rFonts w:ascii="DM Sans" w:hAnsi="DM Sans"/>
          <w:b w:val="0"/>
          <w:bCs/>
        </w:rPr>
        <w:t xml:space="preserve">As the PC notes, </w:t>
      </w:r>
      <w:r w:rsidR="00A727FE">
        <w:rPr>
          <w:rFonts w:ascii="DM Sans" w:hAnsi="DM Sans"/>
          <w:b w:val="0"/>
          <w:bCs/>
        </w:rPr>
        <w:t xml:space="preserve">a key role of philanthropy is to drive social innovation, while government is the key entity that can fund effective practices over the longer-term.  </w:t>
      </w:r>
      <w:r w:rsidR="008B6722">
        <w:rPr>
          <w:rFonts w:ascii="DM Sans" w:hAnsi="DM Sans"/>
          <w:b w:val="0"/>
          <w:bCs/>
        </w:rPr>
        <w:t xml:space="preserve">Collaboration to trial </w:t>
      </w:r>
      <w:r w:rsidR="004C0B17">
        <w:rPr>
          <w:rFonts w:ascii="DM Sans" w:hAnsi="DM Sans"/>
          <w:b w:val="0"/>
          <w:bCs/>
        </w:rPr>
        <w:t xml:space="preserve">and evaluate </w:t>
      </w:r>
      <w:r w:rsidR="008B6722">
        <w:rPr>
          <w:rFonts w:ascii="DM Sans" w:hAnsi="DM Sans"/>
          <w:b w:val="0"/>
          <w:bCs/>
        </w:rPr>
        <w:t xml:space="preserve">the effectiveness of a National Giving Campaign </w:t>
      </w:r>
      <w:r w:rsidR="005254D2">
        <w:rPr>
          <w:rFonts w:ascii="DM Sans" w:hAnsi="DM Sans"/>
          <w:b w:val="0"/>
          <w:bCs/>
        </w:rPr>
        <w:t>looks a good option.</w:t>
      </w:r>
    </w:p>
    <w:p w14:paraId="05ED96AB" w14:textId="54B7D8CF" w:rsidR="00AE47AB" w:rsidRPr="003017C6" w:rsidRDefault="00FF3C92" w:rsidP="00A547B7">
      <w:pPr>
        <w:pStyle w:val="ListNumber"/>
        <w:numPr>
          <w:ilvl w:val="0"/>
          <w:numId w:val="84"/>
        </w:numPr>
        <w:spacing w:after="120"/>
        <w:rPr>
          <w:rFonts w:ascii="DM Sans" w:hAnsi="DM Sans"/>
          <w:b w:val="0"/>
          <w:bCs/>
        </w:rPr>
      </w:pPr>
      <w:r w:rsidRPr="003017C6">
        <w:rPr>
          <w:rFonts w:ascii="DM Sans" w:hAnsi="DM Sans"/>
          <w:b w:val="0"/>
          <w:bCs/>
        </w:rPr>
        <w:t xml:space="preserve">Government </w:t>
      </w:r>
      <w:r w:rsidR="00281663" w:rsidRPr="003017C6">
        <w:rPr>
          <w:rFonts w:ascii="DM Sans" w:hAnsi="DM Sans"/>
          <w:b w:val="0"/>
          <w:bCs/>
        </w:rPr>
        <w:t xml:space="preserve">co-funding </w:t>
      </w:r>
      <w:r w:rsidR="00D05FFE">
        <w:rPr>
          <w:rFonts w:ascii="DM Sans" w:hAnsi="DM Sans"/>
          <w:b w:val="0"/>
          <w:bCs/>
        </w:rPr>
        <w:t>is justified as</w:t>
      </w:r>
      <w:r w:rsidR="00281663" w:rsidRPr="003017C6">
        <w:rPr>
          <w:rFonts w:ascii="DM Sans" w:hAnsi="DM Sans"/>
          <w:b w:val="0"/>
          <w:bCs/>
        </w:rPr>
        <w:t xml:space="preserve"> this is an area of market failure - without more information, awareness, prompting and a culture of giving, contributions to charitable organisations </w:t>
      </w:r>
      <w:r w:rsidR="00A04169">
        <w:rPr>
          <w:rFonts w:ascii="DM Sans" w:hAnsi="DM Sans"/>
          <w:b w:val="0"/>
          <w:bCs/>
        </w:rPr>
        <w:t>will</w:t>
      </w:r>
      <w:r w:rsidR="00281663" w:rsidRPr="003017C6">
        <w:rPr>
          <w:rFonts w:ascii="DM Sans" w:hAnsi="DM Sans"/>
          <w:b w:val="0"/>
          <w:bCs/>
        </w:rPr>
        <w:t xml:space="preserve"> be underprovided.</w:t>
      </w:r>
      <w:r w:rsidR="004C15A1" w:rsidRPr="003017C6">
        <w:rPr>
          <w:rFonts w:ascii="DM Sans" w:hAnsi="DM Sans"/>
          <w:b w:val="0"/>
          <w:bCs/>
        </w:rPr>
        <w:t xml:space="preserve">  Government involvement can help ensure a robust trial and evaluation</w:t>
      </w:r>
      <w:r w:rsidR="005C6364" w:rsidRPr="003017C6">
        <w:rPr>
          <w:rFonts w:ascii="DM Sans" w:hAnsi="DM Sans"/>
          <w:b w:val="0"/>
          <w:bCs/>
        </w:rPr>
        <w:t>, and assist it coming to a view about the merits of longer</w:t>
      </w:r>
      <w:r w:rsidR="00AE47AB" w:rsidRPr="003017C6">
        <w:rPr>
          <w:rFonts w:ascii="DM Sans" w:hAnsi="DM Sans"/>
          <w:b w:val="0"/>
          <w:bCs/>
        </w:rPr>
        <w:t>-</w:t>
      </w:r>
      <w:r w:rsidR="005C6364" w:rsidRPr="003017C6">
        <w:rPr>
          <w:rFonts w:ascii="DM Sans" w:hAnsi="DM Sans"/>
          <w:b w:val="0"/>
          <w:bCs/>
        </w:rPr>
        <w:t xml:space="preserve">term funding.  </w:t>
      </w:r>
      <w:r w:rsidR="0086196A" w:rsidRPr="003017C6">
        <w:rPr>
          <w:rFonts w:ascii="DM Sans" w:hAnsi="DM Sans"/>
          <w:b w:val="0"/>
          <w:bCs/>
        </w:rPr>
        <w:t xml:space="preserve">Government’s also have more capacity to contribute </w:t>
      </w:r>
      <w:r w:rsidR="00274E8B" w:rsidRPr="003017C6">
        <w:rPr>
          <w:rFonts w:ascii="DM Sans" w:hAnsi="DM Sans"/>
          <w:b w:val="0"/>
          <w:bCs/>
        </w:rPr>
        <w:t xml:space="preserve">- $685 billion in </w:t>
      </w:r>
      <w:r w:rsidR="005368B2">
        <w:rPr>
          <w:rFonts w:ascii="DM Sans" w:hAnsi="DM Sans"/>
          <w:b w:val="0"/>
          <w:bCs/>
        </w:rPr>
        <w:t xml:space="preserve">annual </w:t>
      </w:r>
      <w:r w:rsidR="00990A50" w:rsidRPr="003017C6">
        <w:rPr>
          <w:rFonts w:ascii="DM Sans" w:hAnsi="DM Sans"/>
          <w:b w:val="0"/>
          <w:bCs/>
        </w:rPr>
        <w:t xml:space="preserve">revenue </w:t>
      </w:r>
      <w:r w:rsidR="00BA6465">
        <w:rPr>
          <w:rFonts w:ascii="DM Sans" w:hAnsi="DM Sans"/>
          <w:b w:val="0"/>
          <w:bCs/>
        </w:rPr>
        <w:t>(2023-</w:t>
      </w:r>
      <w:r w:rsidR="008770E6">
        <w:rPr>
          <w:rFonts w:ascii="DM Sans" w:hAnsi="DM Sans"/>
          <w:b w:val="0"/>
          <w:bCs/>
        </w:rPr>
        <w:t>2</w:t>
      </w:r>
      <w:r w:rsidR="00BA6465">
        <w:rPr>
          <w:rFonts w:ascii="DM Sans" w:hAnsi="DM Sans"/>
          <w:b w:val="0"/>
          <w:bCs/>
        </w:rPr>
        <w:t>4 MYEFO, p.339)</w:t>
      </w:r>
      <w:r w:rsidR="00990A50">
        <w:rPr>
          <w:rFonts w:ascii="DM Sans" w:hAnsi="DM Sans"/>
          <w:b w:val="0"/>
          <w:bCs/>
        </w:rPr>
        <w:t xml:space="preserve"> </w:t>
      </w:r>
      <w:r w:rsidR="00274E8B" w:rsidRPr="003017C6">
        <w:rPr>
          <w:rFonts w:ascii="DM Sans" w:hAnsi="DM Sans"/>
          <w:b w:val="0"/>
          <w:bCs/>
        </w:rPr>
        <w:t xml:space="preserve">compared with </w:t>
      </w:r>
      <w:r w:rsidR="00611218">
        <w:rPr>
          <w:rFonts w:ascii="DM Sans" w:hAnsi="DM Sans"/>
          <w:b w:val="0"/>
          <w:bCs/>
        </w:rPr>
        <w:t>a bit north of $2</w:t>
      </w:r>
      <w:r w:rsidR="00274E8B" w:rsidRPr="003017C6">
        <w:rPr>
          <w:rFonts w:ascii="DM Sans" w:hAnsi="DM Sans"/>
          <w:b w:val="0"/>
          <w:bCs/>
        </w:rPr>
        <w:t xml:space="preserve"> billion being distributed annually in structured giving vehicles.</w:t>
      </w:r>
    </w:p>
    <w:p w14:paraId="286442F6" w14:textId="40E7AB08" w:rsidR="00EF134F" w:rsidRDefault="00C17E53" w:rsidP="00B255C9">
      <w:pPr>
        <w:pStyle w:val="ListNumber"/>
        <w:numPr>
          <w:ilvl w:val="0"/>
          <w:numId w:val="26"/>
        </w:numPr>
        <w:spacing w:before="0" w:after="120"/>
        <w:rPr>
          <w:rFonts w:ascii="DM Sans" w:hAnsi="DM Sans"/>
        </w:rPr>
      </w:pPr>
      <w:r>
        <w:rPr>
          <w:rFonts w:ascii="DM Sans" w:hAnsi="DM Sans"/>
        </w:rPr>
        <w:t xml:space="preserve">A National Giving Campaign can be designed to meet the </w:t>
      </w:r>
      <w:r w:rsidR="007E06BE">
        <w:rPr>
          <w:rFonts w:ascii="DM Sans" w:hAnsi="DM Sans"/>
        </w:rPr>
        <w:t xml:space="preserve">effective program design principles outlined by the </w:t>
      </w:r>
      <w:r w:rsidR="00175007">
        <w:rPr>
          <w:rFonts w:ascii="DM Sans" w:hAnsi="DM Sans"/>
        </w:rPr>
        <w:t>PC.</w:t>
      </w:r>
    </w:p>
    <w:p w14:paraId="1B34EB41" w14:textId="01394262" w:rsidR="004F6C90" w:rsidRPr="00797FE6" w:rsidRDefault="004F6C90" w:rsidP="00A547B7">
      <w:pPr>
        <w:pStyle w:val="ListNumber"/>
        <w:numPr>
          <w:ilvl w:val="0"/>
          <w:numId w:val="82"/>
        </w:numPr>
        <w:spacing w:before="0" w:after="120"/>
        <w:rPr>
          <w:rFonts w:ascii="DM Sans" w:hAnsi="DM Sans"/>
          <w:b w:val="0"/>
          <w:bCs/>
        </w:rPr>
      </w:pPr>
      <w:r>
        <w:rPr>
          <w:rFonts w:ascii="DM Sans" w:hAnsi="DM Sans"/>
          <w:b w:val="0"/>
          <w:bCs/>
        </w:rPr>
        <w:t>A public campaign can</w:t>
      </w:r>
      <w:r w:rsidR="00F36FDF">
        <w:rPr>
          <w:rFonts w:ascii="DM Sans" w:hAnsi="DM Sans"/>
          <w:b w:val="0"/>
          <w:bCs/>
        </w:rPr>
        <w:t>,</w:t>
      </w:r>
      <w:r>
        <w:rPr>
          <w:rFonts w:ascii="DM Sans" w:hAnsi="DM Sans"/>
          <w:b w:val="0"/>
          <w:bCs/>
        </w:rPr>
        <w:t xml:space="preserve"> in-principle</w:t>
      </w:r>
      <w:r w:rsidR="00F36FDF">
        <w:rPr>
          <w:rFonts w:ascii="DM Sans" w:hAnsi="DM Sans"/>
          <w:b w:val="0"/>
          <w:bCs/>
        </w:rPr>
        <w:t>,</w:t>
      </w:r>
      <w:r>
        <w:rPr>
          <w:rFonts w:ascii="DM Sans" w:hAnsi="DM Sans"/>
          <w:b w:val="0"/>
          <w:bCs/>
        </w:rPr>
        <w:t xml:space="preserve"> be highly effective, leading to a significant number of additional Australians, including wealthy Australians, taking up giving, leading to a rise in giving massively exceeding the cost of the campaign.</w:t>
      </w:r>
      <w:r w:rsidR="00797FE6">
        <w:rPr>
          <w:rFonts w:ascii="DM Sans" w:hAnsi="DM Sans"/>
          <w:b w:val="0"/>
          <w:bCs/>
        </w:rPr>
        <w:t xml:space="preserve">  </w:t>
      </w:r>
      <w:r w:rsidR="009C2FE5" w:rsidRPr="00797FE6">
        <w:rPr>
          <w:rFonts w:ascii="DM Sans" w:hAnsi="DM Sans"/>
          <w:b w:val="0"/>
          <w:bCs/>
        </w:rPr>
        <w:t>As the PC notes, the big challenge is to design a campaign in a way that increases giving and achieves net community benefits.</w:t>
      </w:r>
    </w:p>
    <w:p w14:paraId="26D1A64A" w14:textId="4732D3BD" w:rsidR="00224547" w:rsidRPr="0075520D" w:rsidRDefault="00032FF7" w:rsidP="00A547B7">
      <w:pPr>
        <w:pStyle w:val="ListNumber"/>
        <w:numPr>
          <w:ilvl w:val="0"/>
          <w:numId w:val="82"/>
        </w:numPr>
        <w:spacing w:before="0" w:after="120"/>
        <w:rPr>
          <w:rFonts w:ascii="DM Sans" w:hAnsi="DM Sans"/>
          <w:b w:val="0"/>
          <w:bCs/>
        </w:rPr>
      </w:pPr>
      <w:r>
        <w:rPr>
          <w:rFonts w:ascii="DM Sans" w:hAnsi="DM Sans"/>
          <w:b w:val="0"/>
          <w:bCs/>
        </w:rPr>
        <w:t>Philanthropy Australia has done preliminary work with</w:t>
      </w:r>
      <w:r w:rsidR="00ED30A0">
        <w:rPr>
          <w:rFonts w:ascii="DM Sans" w:hAnsi="DM Sans"/>
          <w:b w:val="0"/>
          <w:bCs/>
        </w:rPr>
        <w:t>:</w:t>
      </w:r>
      <w:r>
        <w:rPr>
          <w:rFonts w:ascii="DM Sans" w:hAnsi="DM Sans"/>
          <w:b w:val="0"/>
          <w:bCs/>
        </w:rPr>
        <w:t xml:space="preserve"> </w:t>
      </w:r>
      <w:r w:rsidR="00ED30A0">
        <w:rPr>
          <w:rFonts w:ascii="DM Sans" w:hAnsi="DM Sans"/>
          <w:b w:val="0"/>
          <w:bCs/>
        </w:rPr>
        <w:t>Redbridge</w:t>
      </w:r>
      <w:r w:rsidR="00EB3CF6">
        <w:rPr>
          <w:rFonts w:ascii="DM Sans" w:hAnsi="DM Sans"/>
          <w:b w:val="0"/>
          <w:bCs/>
        </w:rPr>
        <w:t>,</w:t>
      </w:r>
      <w:r w:rsidR="00ED30A0">
        <w:rPr>
          <w:rFonts w:ascii="DM Sans" w:hAnsi="DM Sans"/>
          <w:b w:val="0"/>
          <w:bCs/>
        </w:rPr>
        <w:t xml:space="preserve"> to better understand community attitudes to giving; </w:t>
      </w:r>
      <w:r w:rsidR="00EB3CF6">
        <w:rPr>
          <w:rFonts w:ascii="DM Sans" w:hAnsi="DM Sans"/>
          <w:b w:val="0"/>
          <w:bCs/>
        </w:rPr>
        <w:t xml:space="preserve">Sayers, to inform high level campaign strategy; and The Shannon Group, to test </w:t>
      </w:r>
      <w:r w:rsidR="00584F06">
        <w:rPr>
          <w:rFonts w:ascii="DM Sans" w:hAnsi="DM Sans"/>
          <w:b w:val="0"/>
          <w:bCs/>
        </w:rPr>
        <w:t>creative concepts.</w:t>
      </w:r>
      <w:r w:rsidR="0008617D">
        <w:rPr>
          <w:rFonts w:ascii="DM Sans" w:hAnsi="DM Sans"/>
          <w:b w:val="0"/>
          <w:bCs/>
        </w:rPr>
        <w:t xml:space="preserve">  </w:t>
      </w:r>
      <w:r w:rsidR="00100A32">
        <w:rPr>
          <w:rFonts w:ascii="DM Sans" w:hAnsi="DM Sans"/>
          <w:b w:val="0"/>
          <w:bCs/>
        </w:rPr>
        <w:t>We recognise additional design work is needed to develop a robust campaign, but our work to date suggests a successful campaign can be achieved.</w:t>
      </w:r>
      <w:r w:rsidR="0075520D">
        <w:rPr>
          <w:rFonts w:ascii="DM Sans" w:hAnsi="DM Sans"/>
          <w:b w:val="0"/>
          <w:bCs/>
        </w:rPr>
        <w:t xml:space="preserve">  </w:t>
      </w:r>
      <w:r w:rsidR="00593360" w:rsidRPr="0075520D">
        <w:rPr>
          <w:rFonts w:ascii="DM Sans" w:hAnsi="DM Sans"/>
          <w:b w:val="0"/>
          <w:bCs/>
        </w:rPr>
        <w:t>To date, our approach has centred around</w:t>
      </w:r>
      <w:r w:rsidR="00224547" w:rsidRPr="0075520D">
        <w:rPr>
          <w:rFonts w:ascii="DM Sans" w:hAnsi="DM Sans"/>
          <w:b w:val="0"/>
          <w:bCs/>
        </w:rPr>
        <w:t>:</w:t>
      </w:r>
    </w:p>
    <w:p w14:paraId="740E12D7" w14:textId="38B4919C" w:rsidR="00593360" w:rsidRDefault="00224547" w:rsidP="00A547B7">
      <w:pPr>
        <w:pStyle w:val="ListNumber"/>
        <w:numPr>
          <w:ilvl w:val="1"/>
          <w:numId w:val="82"/>
        </w:numPr>
        <w:spacing w:before="0" w:after="120"/>
        <w:ind w:left="709"/>
        <w:rPr>
          <w:rFonts w:ascii="DM Sans" w:hAnsi="DM Sans"/>
          <w:b w:val="0"/>
          <w:bCs/>
        </w:rPr>
      </w:pPr>
      <w:r>
        <w:rPr>
          <w:rFonts w:ascii="DM Sans" w:hAnsi="DM Sans"/>
          <w:b w:val="0"/>
          <w:bCs/>
        </w:rPr>
        <w:lastRenderedPageBreak/>
        <w:t>A</w:t>
      </w:r>
      <w:r w:rsidR="00593360">
        <w:rPr>
          <w:rFonts w:ascii="DM Sans" w:hAnsi="DM Sans"/>
          <w:b w:val="0"/>
          <w:bCs/>
        </w:rPr>
        <w:t xml:space="preserve"> Masterbrand</w:t>
      </w:r>
      <w:r>
        <w:rPr>
          <w:rFonts w:ascii="DM Sans" w:hAnsi="DM Sans"/>
          <w:b w:val="0"/>
          <w:bCs/>
        </w:rPr>
        <w:t>, ‘Australia Gives’</w:t>
      </w:r>
      <w:r w:rsidR="007D3E52">
        <w:rPr>
          <w:rFonts w:ascii="DM Sans" w:hAnsi="DM Sans"/>
          <w:b w:val="0"/>
          <w:bCs/>
        </w:rPr>
        <w:t xml:space="preserve">, with the Shannon Group testing national marketing and communications </w:t>
      </w:r>
      <w:r w:rsidR="000200C4">
        <w:rPr>
          <w:rFonts w:ascii="DM Sans" w:hAnsi="DM Sans"/>
          <w:b w:val="0"/>
          <w:bCs/>
        </w:rPr>
        <w:t>approaches that would inspire Australians with stories of impact and encourage them to give.</w:t>
      </w:r>
    </w:p>
    <w:p w14:paraId="28958308" w14:textId="3B6A469C" w:rsidR="00DF347C" w:rsidRPr="003B4F75" w:rsidRDefault="00C11805" w:rsidP="00A547B7">
      <w:pPr>
        <w:pStyle w:val="ListNumber"/>
        <w:numPr>
          <w:ilvl w:val="1"/>
          <w:numId w:val="82"/>
        </w:numPr>
        <w:spacing w:before="0" w:after="120"/>
        <w:ind w:left="709"/>
        <w:rPr>
          <w:rFonts w:ascii="DM Sans" w:hAnsi="DM Sans"/>
          <w:bCs/>
        </w:rPr>
      </w:pPr>
      <w:r>
        <w:rPr>
          <w:rFonts w:ascii="DM Sans" w:hAnsi="DM Sans"/>
          <w:b w:val="0"/>
          <w:bCs/>
        </w:rPr>
        <w:t xml:space="preserve">National communications would encourage people to visit the campaign website, where people would be triaged into </w:t>
      </w:r>
      <w:r w:rsidR="000014D4">
        <w:rPr>
          <w:rFonts w:ascii="DM Sans" w:hAnsi="DM Sans"/>
          <w:b w:val="0"/>
          <w:bCs/>
        </w:rPr>
        <w:t>key target markets, each with substantial potential to give more</w:t>
      </w:r>
      <w:r w:rsidR="00B80CAA">
        <w:rPr>
          <w:rFonts w:ascii="DM Sans" w:hAnsi="DM Sans"/>
          <w:b w:val="0"/>
          <w:bCs/>
        </w:rPr>
        <w:t>.  Each market would have</w:t>
      </w:r>
      <w:r w:rsidR="00DF347C" w:rsidRPr="005C5505">
        <w:rPr>
          <w:rFonts w:ascii="DM Sans" w:hAnsi="DM Sans"/>
          <w:b w:val="0"/>
          <w:bCs/>
        </w:rPr>
        <w:t xml:space="preserve"> tailored evidence-based messaging likely to appeal, a specific call to action </w:t>
      </w:r>
      <w:r w:rsidR="00B90DD4">
        <w:rPr>
          <w:rFonts w:ascii="DM Sans" w:hAnsi="DM Sans"/>
          <w:b w:val="0"/>
          <w:bCs/>
        </w:rPr>
        <w:t xml:space="preserve">on giving </w:t>
      </w:r>
      <w:r w:rsidR="00DF347C" w:rsidRPr="005C5505">
        <w:rPr>
          <w:rFonts w:ascii="DM Sans" w:hAnsi="DM Sans"/>
          <w:b w:val="0"/>
          <w:bCs/>
        </w:rPr>
        <w:t xml:space="preserve">and information to support them taking the action.  </w:t>
      </w:r>
    </w:p>
    <w:p w14:paraId="54690592" w14:textId="787F4FBD" w:rsidR="003B4F75" w:rsidRPr="007B3300" w:rsidRDefault="006B6AE6" w:rsidP="00A547B7">
      <w:pPr>
        <w:pStyle w:val="ListNumber"/>
        <w:numPr>
          <w:ilvl w:val="0"/>
          <w:numId w:val="82"/>
        </w:numPr>
        <w:spacing w:before="0" w:after="120"/>
        <w:rPr>
          <w:rFonts w:ascii="DM Sans" w:hAnsi="DM Sans"/>
          <w:b w:val="0"/>
        </w:rPr>
      </w:pPr>
      <w:r>
        <w:rPr>
          <w:rFonts w:ascii="DM Sans" w:hAnsi="DM Sans"/>
          <w:b w:val="0"/>
        </w:rPr>
        <w:t>The campaign would meet the PC’s design principles, as set out in the draft report.</w:t>
      </w:r>
    </w:p>
    <w:tbl>
      <w:tblPr>
        <w:tblStyle w:val="ListTable3-Accent1"/>
        <w:tblW w:w="9633" w:type="dxa"/>
        <w:tblLook w:val="04A0" w:firstRow="1" w:lastRow="0" w:firstColumn="1" w:lastColumn="0" w:noHBand="0" w:noVBand="1"/>
      </w:tblPr>
      <w:tblGrid>
        <w:gridCol w:w="2122"/>
        <w:gridCol w:w="141"/>
        <w:gridCol w:w="1589"/>
        <w:gridCol w:w="1927"/>
        <w:gridCol w:w="1927"/>
        <w:gridCol w:w="1927"/>
      </w:tblGrid>
      <w:tr w:rsidR="00D33C1D" w:rsidRPr="001C1281" w14:paraId="3CF7C921" w14:textId="77777777" w:rsidTr="00D33C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gridSpan w:val="2"/>
          </w:tcPr>
          <w:p w14:paraId="0AE44288" w14:textId="77777777" w:rsidR="00D33C1D" w:rsidRPr="001C1281" w:rsidRDefault="00D33C1D" w:rsidP="001C1281">
            <w:pPr>
              <w:pStyle w:val="ListNumber"/>
              <w:numPr>
                <w:ilvl w:val="0"/>
                <w:numId w:val="0"/>
              </w:numPr>
              <w:spacing w:before="0"/>
              <w:rPr>
                <w:rFonts w:ascii="DM Sans" w:hAnsi="DM Sans"/>
                <w:sz w:val="18"/>
                <w:szCs w:val="18"/>
              </w:rPr>
            </w:pPr>
            <w:r w:rsidRPr="001C1281">
              <w:rPr>
                <w:rFonts w:ascii="DM Sans" w:hAnsi="DM Sans"/>
                <w:b/>
                <w:bCs w:val="0"/>
                <w:sz w:val="18"/>
                <w:szCs w:val="18"/>
              </w:rPr>
              <w:t>PC design principle</w:t>
            </w:r>
          </w:p>
        </w:tc>
        <w:tc>
          <w:tcPr>
            <w:tcW w:w="7370" w:type="dxa"/>
            <w:gridSpan w:val="4"/>
          </w:tcPr>
          <w:p w14:paraId="2276A72A" w14:textId="5C8536C8" w:rsidR="00D33C1D" w:rsidRPr="001C1281" w:rsidRDefault="00D33C1D" w:rsidP="001C1281">
            <w:pPr>
              <w:pStyle w:val="ListNumber"/>
              <w:numPr>
                <w:ilvl w:val="0"/>
                <w:numId w:val="0"/>
              </w:numPr>
              <w:spacing w:before="0"/>
              <w:cnfStyle w:val="100000000000" w:firstRow="1" w:lastRow="0" w:firstColumn="0" w:lastColumn="0" w:oddVBand="0" w:evenVBand="0" w:oddHBand="0" w:evenHBand="0" w:firstRowFirstColumn="0" w:firstRowLastColumn="0" w:lastRowFirstColumn="0" w:lastRowLastColumn="0"/>
              <w:rPr>
                <w:rFonts w:ascii="DM Sans" w:hAnsi="DM Sans"/>
                <w:b/>
                <w:bCs w:val="0"/>
                <w:sz w:val="18"/>
                <w:szCs w:val="18"/>
              </w:rPr>
            </w:pPr>
            <w:r>
              <w:rPr>
                <w:rFonts w:ascii="DM Sans" w:hAnsi="DM Sans"/>
                <w:b/>
                <w:bCs w:val="0"/>
                <w:sz w:val="18"/>
                <w:szCs w:val="18"/>
              </w:rPr>
              <w:t>How the principle is addressed (high level)</w:t>
            </w:r>
          </w:p>
        </w:tc>
      </w:tr>
      <w:tr w:rsidR="00EB6741" w:rsidRPr="001C1281" w14:paraId="4B8DDC52" w14:textId="77777777" w:rsidTr="00D33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8EBCCC9" w14:textId="748685D9" w:rsidR="00EB6741" w:rsidRPr="001C1281" w:rsidRDefault="00EA31B3" w:rsidP="001C1281">
            <w:pPr>
              <w:pStyle w:val="ListNumber"/>
              <w:numPr>
                <w:ilvl w:val="0"/>
                <w:numId w:val="0"/>
              </w:numPr>
              <w:spacing w:before="0"/>
              <w:rPr>
                <w:rFonts w:ascii="DM Sans" w:hAnsi="DM Sans"/>
                <w:b/>
                <w:bCs w:val="0"/>
                <w:sz w:val="18"/>
                <w:szCs w:val="18"/>
              </w:rPr>
            </w:pPr>
            <w:r w:rsidRPr="001C1281">
              <w:rPr>
                <w:rFonts w:ascii="DM Sans" w:hAnsi="DM Sans"/>
                <w:b/>
                <w:bCs w:val="0"/>
                <w:sz w:val="18"/>
                <w:szCs w:val="18"/>
              </w:rPr>
              <w:t>A clear target audience</w:t>
            </w:r>
          </w:p>
        </w:tc>
        <w:tc>
          <w:tcPr>
            <w:tcW w:w="1730" w:type="dxa"/>
            <w:gridSpan w:val="2"/>
          </w:tcPr>
          <w:p w14:paraId="591BEDAB" w14:textId="545BE45A" w:rsidR="00EB6741" w:rsidRPr="001C1281" w:rsidRDefault="00EA31B3" w:rsidP="001C1281">
            <w:pPr>
              <w:pStyle w:val="ListNumber"/>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DM Sans" w:hAnsi="DM Sans"/>
                <w:b w:val="0"/>
                <w:bCs/>
                <w:sz w:val="18"/>
                <w:szCs w:val="18"/>
              </w:rPr>
            </w:pPr>
            <w:r w:rsidRPr="001C1281">
              <w:rPr>
                <w:rFonts w:ascii="DM Sans" w:hAnsi="DM Sans"/>
                <w:b w:val="0"/>
                <w:bCs/>
                <w:sz w:val="18"/>
                <w:szCs w:val="18"/>
              </w:rPr>
              <w:t>Wealthy individuals</w:t>
            </w:r>
          </w:p>
        </w:tc>
        <w:tc>
          <w:tcPr>
            <w:tcW w:w="1927" w:type="dxa"/>
          </w:tcPr>
          <w:p w14:paraId="1F79B13C" w14:textId="6FB8116F" w:rsidR="00EB6741" w:rsidRPr="001C1281" w:rsidRDefault="00EA31B3" w:rsidP="001C1281">
            <w:pPr>
              <w:pStyle w:val="ListNumber"/>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DM Sans" w:hAnsi="DM Sans"/>
                <w:b w:val="0"/>
                <w:bCs/>
                <w:sz w:val="18"/>
                <w:szCs w:val="18"/>
              </w:rPr>
            </w:pPr>
            <w:r w:rsidRPr="001C1281">
              <w:rPr>
                <w:rFonts w:ascii="DM Sans" w:hAnsi="DM Sans"/>
                <w:b w:val="0"/>
                <w:bCs/>
                <w:sz w:val="18"/>
                <w:szCs w:val="18"/>
              </w:rPr>
              <w:t xml:space="preserve">Volunteers </w:t>
            </w:r>
          </w:p>
        </w:tc>
        <w:tc>
          <w:tcPr>
            <w:tcW w:w="1927" w:type="dxa"/>
          </w:tcPr>
          <w:p w14:paraId="1A9104CB" w14:textId="64200DDB" w:rsidR="00EB6741" w:rsidRPr="001C1281" w:rsidRDefault="00EA31B3" w:rsidP="001C1281">
            <w:pPr>
              <w:pStyle w:val="ListNumber"/>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DM Sans" w:hAnsi="DM Sans"/>
                <w:b w:val="0"/>
                <w:bCs/>
                <w:sz w:val="18"/>
                <w:szCs w:val="18"/>
              </w:rPr>
            </w:pPr>
            <w:r w:rsidRPr="001C1281">
              <w:rPr>
                <w:rFonts w:ascii="DM Sans" w:hAnsi="DM Sans"/>
                <w:b w:val="0"/>
                <w:bCs/>
                <w:sz w:val="18"/>
                <w:szCs w:val="18"/>
              </w:rPr>
              <w:t>Business</w:t>
            </w:r>
          </w:p>
        </w:tc>
        <w:tc>
          <w:tcPr>
            <w:tcW w:w="1927" w:type="dxa"/>
          </w:tcPr>
          <w:p w14:paraId="4871A9DA" w14:textId="11706E2E" w:rsidR="00EB6741" w:rsidRPr="001C1281" w:rsidRDefault="00376B20" w:rsidP="001C1281">
            <w:pPr>
              <w:pStyle w:val="ListNumber"/>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DM Sans" w:hAnsi="DM Sans"/>
                <w:b w:val="0"/>
                <w:bCs/>
                <w:sz w:val="18"/>
                <w:szCs w:val="18"/>
              </w:rPr>
            </w:pPr>
            <w:r w:rsidRPr="001C1281">
              <w:rPr>
                <w:rFonts w:ascii="DM Sans" w:hAnsi="DM Sans"/>
                <w:b w:val="0"/>
                <w:bCs/>
                <w:sz w:val="18"/>
                <w:szCs w:val="18"/>
              </w:rPr>
              <w:t>Financial advisers</w:t>
            </w:r>
          </w:p>
        </w:tc>
      </w:tr>
      <w:tr w:rsidR="00EB6741" w:rsidRPr="001C1281" w14:paraId="21ADD6DC" w14:textId="77777777" w:rsidTr="00D33C1D">
        <w:tc>
          <w:tcPr>
            <w:cnfStyle w:val="001000000000" w:firstRow="0" w:lastRow="0" w:firstColumn="1" w:lastColumn="0" w:oddVBand="0" w:evenVBand="0" w:oddHBand="0" w:evenHBand="0" w:firstRowFirstColumn="0" w:firstRowLastColumn="0" w:lastRowFirstColumn="0" w:lastRowLastColumn="0"/>
            <w:tcW w:w="2122" w:type="dxa"/>
          </w:tcPr>
          <w:p w14:paraId="1C4A249C" w14:textId="50D657B2" w:rsidR="00EB6741" w:rsidRPr="001C1281" w:rsidRDefault="00376B20" w:rsidP="001C1281">
            <w:pPr>
              <w:pStyle w:val="ListNumber"/>
              <w:numPr>
                <w:ilvl w:val="0"/>
                <w:numId w:val="0"/>
              </w:numPr>
              <w:spacing w:before="0"/>
              <w:rPr>
                <w:rFonts w:ascii="DM Sans" w:hAnsi="DM Sans"/>
                <w:b/>
                <w:bCs w:val="0"/>
                <w:sz w:val="18"/>
                <w:szCs w:val="18"/>
              </w:rPr>
            </w:pPr>
            <w:r w:rsidRPr="001C1281">
              <w:rPr>
                <w:rFonts w:ascii="DM Sans" w:hAnsi="DM Sans"/>
                <w:b/>
                <w:bCs w:val="0"/>
                <w:sz w:val="18"/>
                <w:szCs w:val="18"/>
              </w:rPr>
              <w:t>A clear message on desired action</w:t>
            </w:r>
          </w:p>
        </w:tc>
        <w:tc>
          <w:tcPr>
            <w:tcW w:w="1730" w:type="dxa"/>
            <w:gridSpan w:val="2"/>
          </w:tcPr>
          <w:p w14:paraId="636B40F2" w14:textId="3CA3014E" w:rsidR="00EB6741" w:rsidRPr="001C1281" w:rsidRDefault="007E1663" w:rsidP="001C1281">
            <w:pPr>
              <w:pStyle w:val="ListNumber"/>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DM Sans" w:hAnsi="DM Sans"/>
                <w:b w:val="0"/>
                <w:bCs/>
                <w:sz w:val="18"/>
                <w:szCs w:val="18"/>
              </w:rPr>
            </w:pPr>
            <w:r w:rsidRPr="001C1281">
              <w:rPr>
                <w:rFonts w:ascii="DM Sans" w:hAnsi="DM Sans"/>
                <w:b w:val="0"/>
                <w:bCs/>
                <w:sz w:val="18"/>
                <w:szCs w:val="18"/>
              </w:rPr>
              <w:t>Set up a PAF or sub-fund</w:t>
            </w:r>
          </w:p>
        </w:tc>
        <w:tc>
          <w:tcPr>
            <w:tcW w:w="1927" w:type="dxa"/>
          </w:tcPr>
          <w:p w14:paraId="24A780AC" w14:textId="3C3FBF8F" w:rsidR="00EB6741" w:rsidRPr="001C1281" w:rsidRDefault="007E1663" w:rsidP="001C1281">
            <w:pPr>
              <w:pStyle w:val="ListNumber"/>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DM Sans" w:hAnsi="DM Sans"/>
                <w:b w:val="0"/>
                <w:bCs/>
                <w:sz w:val="18"/>
                <w:szCs w:val="18"/>
              </w:rPr>
            </w:pPr>
            <w:r w:rsidRPr="001C1281">
              <w:rPr>
                <w:rFonts w:ascii="DM Sans" w:hAnsi="DM Sans"/>
                <w:b w:val="0"/>
                <w:bCs/>
                <w:sz w:val="18"/>
                <w:szCs w:val="18"/>
              </w:rPr>
              <w:t>Volunteer at favourite charity</w:t>
            </w:r>
          </w:p>
        </w:tc>
        <w:tc>
          <w:tcPr>
            <w:tcW w:w="1927" w:type="dxa"/>
          </w:tcPr>
          <w:p w14:paraId="49000A85" w14:textId="56E4D510" w:rsidR="00EB6741" w:rsidRPr="001C1281" w:rsidRDefault="007E1663" w:rsidP="001C1281">
            <w:pPr>
              <w:pStyle w:val="ListNumber"/>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DM Sans" w:hAnsi="DM Sans"/>
                <w:b w:val="0"/>
                <w:bCs/>
                <w:sz w:val="18"/>
                <w:szCs w:val="18"/>
              </w:rPr>
            </w:pPr>
            <w:r w:rsidRPr="001C1281">
              <w:rPr>
                <w:rFonts w:ascii="DM Sans" w:hAnsi="DM Sans"/>
                <w:b w:val="0"/>
                <w:bCs/>
                <w:sz w:val="18"/>
                <w:szCs w:val="18"/>
              </w:rPr>
              <w:t>Pledge 1</w:t>
            </w:r>
            <w:r w:rsidR="00D54391" w:rsidRPr="001C1281">
              <w:rPr>
                <w:rFonts w:ascii="DM Sans" w:hAnsi="DM Sans"/>
                <w:b w:val="0"/>
                <w:bCs/>
                <w:sz w:val="18"/>
                <w:szCs w:val="18"/>
              </w:rPr>
              <w:t>%</w:t>
            </w:r>
          </w:p>
        </w:tc>
        <w:tc>
          <w:tcPr>
            <w:tcW w:w="1927" w:type="dxa"/>
          </w:tcPr>
          <w:p w14:paraId="21A06776" w14:textId="31EDDCA3" w:rsidR="00EB6741" w:rsidRPr="001C1281" w:rsidRDefault="00D54391" w:rsidP="001C1281">
            <w:pPr>
              <w:pStyle w:val="ListNumber"/>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DM Sans" w:hAnsi="DM Sans"/>
                <w:b w:val="0"/>
                <w:bCs/>
                <w:sz w:val="18"/>
                <w:szCs w:val="18"/>
              </w:rPr>
            </w:pPr>
            <w:r w:rsidRPr="001C1281">
              <w:rPr>
                <w:rFonts w:ascii="DM Sans" w:hAnsi="DM Sans"/>
                <w:b w:val="0"/>
                <w:bCs/>
                <w:sz w:val="18"/>
                <w:szCs w:val="18"/>
              </w:rPr>
              <w:t>Engage clients on giving</w:t>
            </w:r>
          </w:p>
        </w:tc>
      </w:tr>
      <w:tr w:rsidR="0075047B" w:rsidRPr="001C1281" w14:paraId="0AA6E989" w14:textId="77777777" w:rsidTr="00D33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5188A38" w14:textId="4A95674E" w:rsidR="0075047B" w:rsidRPr="001C1281" w:rsidRDefault="0075047B" w:rsidP="001C1281">
            <w:pPr>
              <w:pStyle w:val="ListNumber"/>
              <w:numPr>
                <w:ilvl w:val="0"/>
                <w:numId w:val="0"/>
              </w:numPr>
              <w:spacing w:before="0"/>
              <w:rPr>
                <w:rFonts w:ascii="DM Sans" w:hAnsi="DM Sans"/>
                <w:b/>
                <w:bCs w:val="0"/>
                <w:sz w:val="18"/>
                <w:szCs w:val="18"/>
              </w:rPr>
            </w:pPr>
            <w:r>
              <w:rPr>
                <w:rFonts w:ascii="DM Sans" w:hAnsi="DM Sans"/>
                <w:b/>
                <w:bCs w:val="0"/>
                <w:sz w:val="18"/>
                <w:szCs w:val="18"/>
              </w:rPr>
              <w:t>A credible messenger</w:t>
            </w:r>
          </w:p>
        </w:tc>
        <w:tc>
          <w:tcPr>
            <w:tcW w:w="7511" w:type="dxa"/>
            <w:gridSpan w:val="5"/>
          </w:tcPr>
          <w:p w14:paraId="029AE098" w14:textId="57E40AD0" w:rsidR="00570AF1" w:rsidRPr="001C1281" w:rsidRDefault="0075047B" w:rsidP="001C1281">
            <w:pPr>
              <w:pStyle w:val="ListNumber"/>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DM Sans" w:hAnsi="DM Sans"/>
                <w:b w:val="0"/>
                <w:bCs/>
                <w:sz w:val="18"/>
                <w:szCs w:val="18"/>
              </w:rPr>
            </w:pPr>
            <w:r>
              <w:rPr>
                <w:rFonts w:ascii="DM Sans" w:hAnsi="DM Sans"/>
                <w:b w:val="0"/>
                <w:bCs/>
                <w:sz w:val="18"/>
                <w:szCs w:val="18"/>
              </w:rPr>
              <w:t>Peers who have embraced giving are likely to be the most effective communicators.</w:t>
            </w:r>
          </w:p>
        </w:tc>
      </w:tr>
      <w:tr w:rsidR="005667F6" w:rsidRPr="001C1281" w14:paraId="11272F80" w14:textId="77777777" w:rsidTr="00D33C1D">
        <w:tc>
          <w:tcPr>
            <w:cnfStyle w:val="001000000000" w:firstRow="0" w:lastRow="0" w:firstColumn="1" w:lastColumn="0" w:oddVBand="0" w:evenVBand="0" w:oddHBand="0" w:evenHBand="0" w:firstRowFirstColumn="0" w:firstRowLastColumn="0" w:lastRowFirstColumn="0" w:lastRowLastColumn="0"/>
            <w:tcW w:w="2122" w:type="dxa"/>
          </w:tcPr>
          <w:p w14:paraId="4059D6BB" w14:textId="72BE74BA" w:rsidR="005667F6" w:rsidRPr="001C1281" w:rsidRDefault="005667F6" w:rsidP="001C1281">
            <w:pPr>
              <w:pStyle w:val="ListNumber"/>
              <w:numPr>
                <w:ilvl w:val="0"/>
                <w:numId w:val="0"/>
              </w:numPr>
              <w:spacing w:before="0"/>
              <w:rPr>
                <w:rFonts w:ascii="DM Sans" w:hAnsi="DM Sans"/>
                <w:b/>
                <w:bCs w:val="0"/>
                <w:sz w:val="18"/>
                <w:szCs w:val="18"/>
              </w:rPr>
            </w:pPr>
            <w:r>
              <w:rPr>
                <w:rFonts w:ascii="DM Sans" w:hAnsi="DM Sans"/>
                <w:b/>
                <w:bCs w:val="0"/>
                <w:sz w:val="18"/>
                <w:szCs w:val="18"/>
              </w:rPr>
              <w:t>Sustained effort</w:t>
            </w:r>
          </w:p>
        </w:tc>
        <w:tc>
          <w:tcPr>
            <w:tcW w:w="7511" w:type="dxa"/>
            <w:gridSpan w:val="5"/>
          </w:tcPr>
          <w:p w14:paraId="13431FC9" w14:textId="1F6D6A7A" w:rsidR="005667F6" w:rsidRPr="001C1281" w:rsidRDefault="005667F6" w:rsidP="001C1281">
            <w:pPr>
              <w:pStyle w:val="ListNumber"/>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DM Sans" w:hAnsi="DM Sans"/>
                <w:b w:val="0"/>
                <w:bCs/>
                <w:sz w:val="18"/>
                <w:szCs w:val="18"/>
              </w:rPr>
            </w:pPr>
            <w:r>
              <w:rPr>
                <w:rFonts w:ascii="DM Sans" w:hAnsi="DM Sans"/>
                <w:b w:val="0"/>
                <w:bCs/>
                <w:sz w:val="18"/>
                <w:szCs w:val="18"/>
              </w:rPr>
              <w:t>If the pilot is successful, the program can be sustained over time.</w:t>
            </w:r>
          </w:p>
        </w:tc>
      </w:tr>
      <w:tr w:rsidR="00D33C1D" w:rsidRPr="001C1281" w14:paraId="4E36C73E" w14:textId="77777777" w:rsidTr="00D33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755EDEF" w14:textId="654FAF16" w:rsidR="00D33C1D" w:rsidRPr="001C1281" w:rsidRDefault="00D33C1D" w:rsidP="001C1281">
            <w:pPr>
              <w:pStyle w:val="ListNumber"/>
              <w:numPr>
                <w:ilvl w:val="0"/>
                <w:numId w:val="0"/>
              </w:numPr>
              <w:spacing w:before="0"/>
              <w:rPr>
                <w:rFonts w:ascii="DM Sans" w:hAnsi="DM Sans"/>
                <w:b/>
                <w:bCs w:val="0"/>
                <w:sz w:val="18"/>
                <w:szCs w:val="18"/>
              </w:rPr>
            </w:pPr>
            <w:r>
              <w:rPr>
                <w:rFonts w:ascii="DM Sans" w:hAnsi="DM Sans"/>
                <w:b/>
                <w:bCs w:val="0"/>
                <w:sz w:val="18"/>
                <w:szCs w:val="18"/>
              </w:rPr>
              <w:t>Coordination with on the ground policies</w:t>
            </w:r>
          </w:p>
        </w:tc>
        <w:tc>
          <w:tcPr>
            <w:tcW w:w="7511" w:type="dxa"/>
            <w:gridSpan w:val="5"/>
          </w:tcPr>
          <w:p w14:paraId="7042D01C" w14:textId="28939425" w:rsidR="00D33C1D" w:rsidRPr="001C1281" w:rsidRDefault="00D33C1D" w:rsidP="001C1281">
            <w:pPr>
              <w:pStyle w:val="ListNumber"/>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DM Sans" w:hAnsi="DM Sans"/>
                <w:b w:val="0"/>
                <w:bCs/>
                <w:sz w:val="18"/>
                <w:szCs w:val="18"/>
              </w:rPr>
            </w:pPr>
            <w:r>
              <w:rPr>
                <w:rFonts w:ascii="DM Sans" w:hAnsi="DM Sans"/>
                <w:b w:val="0"/>
                <w:bCs/>
                <w:sz w:val="18"/>
                <w:szCs w:val="18"/>
              </w:rPr>
              <w:t>Donors get a tax deduction</w:t>
            </w:r>
            <w:r w:rsidR="009705DF">
              <w:rPr>
                <w:rFonts w:ascii="DM Sans" w:hAnsi="DM Sans"/>
                <w:b w:val="0"/>
                <w:bCs/>
                <w:sz w:val="18"/>
                <w:szCs w:val="18"/>
              </w:rPr>
              <w:t xml:space="preserve">.  Not-for-profit organisations – Volunteering Australia, PA, Workplace Giving Australia </w:t>
            </w:r>
            <w:r w:rsidR="005F3FE3">
              <w:rPr>
                <w:rFonts w:ascii="DM Sans" w:hAnsi="DM Sans"/>
                <w:b w:val="0"/>
                <w:bCs/>
                <w:sz w:val="18"/>
                <w:szCs w:val="18"/>
              </w:rPr>
              <w:t xml:space="preserve">- </w:t>
            </w:r>
            <w:r w:rsidR="009705DF">
              <w:rPr>
                <w:rFonts w:ascii="DM Sans" w:hAnsi="DM Sans"/>
                <w:b w:val="0"/>
                <w:bCs/>
                <w:sz w:val="18"/>
                <w:szCs w:val="18"/>
              </w:rPr>
              <w:t>could provide back-end advice and support.</w:t>
            </w:r>
          </w:p>
        </w:tc>
      </w:tr>
      <w:tr w:rsidR="00692C67" w:rsidRPr="001C1281" w14:paraId="093ECDAA" w14:textId="77777777" w:rsidTr="009B3FE9">
        <w:tc>
          <w:tcPr>
            <w:cnfStyle w:val="001000000000" w:firstRow="0" w:lastRow="0" w:firstColumn="1" w:lastColumn="0" w:oddVBand="0" w:evenVBand="0" w:oddHBand="0" w:evenHBand="0" w:firstRowFirstColumn="0" w:firstRowLastColumn="0" w:lastRowFirstColumn="0" w:lastRowLastColumn="0"/>
            <w:tcW w:w="2122" w:type="dxa"/>
          </w:tcPr>
          <w:p w14:paraId="26868624" w14:textId="45711777" w:rsidR="00692C67" w:rsidRPr="001C1281" w:rsidRDefault="00692C67" w:rsidP="001C1281">
            <w:pPr>
              <w:pStyle w:val="ListNumber"/>
              <w:numPr>
                <w:ilvl w:val="0"/>
                <w:numId w:val="0"/>
              </w:numPr>
              <w:spacing w:before="0"/>
              <w:rPr>
                <w:rFonts w:ascii="DM Sans" w:hAnsi="DM Sans"/>
                <w:b/>
                <w:bCs w:val="0"/>
                <w:sz w:val="18"/>
                <w:szCs w:val="18"/>
              </w:rPr>
            </w:pPr>
            <w:r>
              <w:rPr>
                <w:rFonts w:ascii="DM Sans" w:hAnsi="DM Sans"/>
                <w:b/>
                <w:bCs w:val="0"/>
                <w:sz w:val="18"/>
                <w:szCs w:val="18"/>
              </w:rPr>
              <w:t xml:space="preserve">Tailored communication </w:t>
            </w:r>
          </w:p>
        </w:tc>
        <w:tc>
          <w:tcPr>
            <w:tcW w:w="7511" w:type="dxa"/>
            <w:gridSpan w:val="5"/>
          </w:tcPr>
          <w:p w14:paraId="5C0364CC" w14:textId="71A909AD" w:rsidR="00692C67" w:rsidRPr="001C1281" w:rsidRDefault="00692C67" w:rsidP="001C1281">
            <w:pPr>
              <w:pStyle w:val="ListNumber"/>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DM Sans" w:hAnsi="DM Sans"/>
                <w:b w:val="0"/>
                <w:bCs/>
                <w:sz w:val="18"/>
                <w:szCs w:val="18"/>
              </w:rPr>
            </w:pPr>
            <w:r>
              <w:rPr>
                <w:rFonts w:ascii="DM Sans" w:hAnsi="DM Sans"/>
                <w:b w:val="0"/>
                <w:bCs/>
                <w:sz w:val="18"/>
                <w:szCs w:val="18"/>
              </w:rPr>
              <w:t xml:space="preserve">These </w:t>
            </w:r>
            <w:r w:rsidR="00183E67">
              <w:rPr>
                <w:rFonts w:ascii="DM Sans" w:hAnsi="DM Sans"/>
                <w:b w:val="0"/>
                <w:bCs/>
                <w:sz w:val="18"/>
                <w:szCs w:val="18"/>
              </w:rPr>
              <w:t>not-for-profit</w:t>
            </w:r>
            <w:r>
              <w:rPr>
                <w:rFonts w:ascii="DM Sans" w:hAnsi="DM Sans"/>
                <w:b w:val="0"/>
                <w:bCs/>
                <w:sz w:val="18"/>
                <w:szCs w:val="18"/>
              </w:rPr>
              <w:t xml:space="preserve"> organisations have experience dealing with their target markets</w:t>
            </w:r>
            <w:r w:rsidR="00183E67">
              <w:rPr>
                <w:rFonts w:ascii="DM Sans" w:hAnsi="DM Sans"/>
                <w:b w:val="0"/>
                <w:bCs/>
                <w:sz w:val="18"/>
                <w:szCs w:val="18"/>
              </w:rPr>
              <w:t xml:space="preserve">.  Market testing of messaging would be undertaken to ensure effective tailoring.  </w:t>
            </w:r>
          </w:p>
        </w:tc>
      </w:tr>
      <w:tr w:rsidR="001D7598" w:rsidRPr="001C1281" w14:paraId="39EC6BBE" w14:textId="77777777" w:rsidTr="009B3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01E8D4A" w14:textId="0D309877" w:rsidR="001D7598" w:rsidRDefault="00CE73FF" w:rsidP="001C1281">
            <w:pPr>
              <w:pStyle w:val="ListNumber"/>
              <w:numPr>
                <w:ilvl w:val="0"/>
                <w:numId w:val="0"/>
              </w:numPr>
              <w:spacing w:before="0"/>
              <w:rPr>
                <w:rFonts w:ascii="DM Sans" w:hAnsi="DM Sans"/>
                <w:b/>
                <w:bCs w:val="0"/>
                <w:sz w:val="18"/>
                <w:szCs w:val="18"/>
              </w:rPr>
            </w:pPr>
            <w:r>
              <w:rPr>
                <w:rFonts w:ascii="DM Sans" w:hAnsi="DM Sans"/>
                <w:b/>
                <w:bCs w:val="0"/>
                <w:sz w:val="18"/>
                <w:szCs w:val="18"/>
              </w:rPr>
              <w:t>Effective channels</w:t>
            </w:r>
          </w:p>
        </w:tc>
        <w:tc>
          <w:tcPr>
            <w:tcW w:w="7511" w:type="dxa"/>
            <w:gridSpan w:val="5"/>
          </w:tcPr>
          <w:p w14:paraId="0F1F2C1F" w14:textId="116323CA" w:rsidR="001D7598" w:rsidRDefault="00EB138A" w:rsidP="001C1281">
            <w:pPr>
              <w:pStyle w:val="ListNumber"/>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DM Sans" w:hAnsi="DM Sans"/>
                <w:b w:val="0"/>
                <w:bCs/>
                <w:sz w:val="18"/>
                <w:szCs w:val="18"/>
              </w:rPr>
            </w:pPr>
            <w:r>
              <w:rPr>
                <w:rFonts w:ascii="DM Sans" w:hAnsi="DM Sans"/>
                <w:b w:val="0"/>
                <w:bCs/>
                <w:sz w:val="18"/>
                <w:szCs w:val="18"/>
              </w:rPr>
              <w:t xml:space="preserve">Each NFP has </w:t>
            </w:r>
            <w:r w:rsidR="0036129D">
              <w:rPr>
                <w:rFonts w:ascii="DM Sans" w:hAnsi="DM Sans"/>
                <w:b w:val="0"/>
                <w:bCs/>
                <w:sz w:val="18"/>
                <w:szCs w:val="18"/>
              </w:rPr>
              <w:t xml:space="preserve">considerable insight here too, but further research would be </w:t>
            </w:r>
            <w:r w:rsidR="00713AF0">
              <w:rPr>
                <w:rFonts w:ascii="DM Sans" w:hAnsi="DM Sans"/>
                <w:b w:val="0"/>
                <w:bCs/>
                <w:sz w:val="18"/>
                <w:szCs w:val="18"/>
              </w:rPr>
              <w:t>undertaken</w:t>
            </w:r>
            <w:r w:rsidR="0036129D">
              <w:rPr>
                <w:rFonts w:ascii="DM Sans" w:hAnsi="DM Sans"/>
                <w:b w:val="0"/>
                <w:bCs/>
                <w:sz w:val="18"/>
                <w:szCs w:val="18"/>
              </w:rPr>
              <w:t xml:space="preserve"> to ensure messaging for each target market </w:t>
            </w:r>
            <w:r w:rsidR="008D2989">
              <w:rPr>
                <w:rFonts w:ascii="DM Sans" w:hAnsi="DM Sans"/>
                <w:b w:val="0"/>
                <w:bCs/>
                <w:sz w:val="18"/>
                <w:szCs w:val="18"/>
              </w:rPr>
              <w:t>utilises channels they prefer.</w:t>
            </w:r>
          </w:p>
        </w:tc>
      </w:tr>
    </w:tbl>
    <w:p w14:paraId="699433F5" w14:textId="3B5FD4A3" w:rsidR="00F27A50" w:rsidRPr="00CE52C2" w:rsidRDefault="00EF1B07" w:rsidP="00A547B7">
      <w:pPr>
        <w:pStyle w:val="ListNumber"/>
        <w:numPr>
          <w:ilvl w:val="0"/>
          <w:numId w:val="83"/>
        </w:numPr>
        <w:spacing w:after="120"/>
        <w:rPr>
          <w:rFonts w:ascii="DM Sans" w:hAnsi="DM Sans"/>
          <w:b w:val="0"/>
          <w:bCs/>
        </w:rPr>
      </w:pPr>
      <w:r>
        <w:rPr>
          <w:rFonts w:ascii="DM Sans" w:hAnsi="DM Sans"/>
          <w:b w:val="0"/>
          <w:bCs/>
        </w:rPr>
        <w:t xml:space="preserve">PA’s work with Redbridge also provided an additional insight.  </w:t>
      </w:r>
      <w:r w:rsidR="00C02D5F">
        <w:rPr>
          <w:rFonts w:ascii="DM Sans" w:hAnsi="DM Sans"/>
          <w:b w:val="0"/>
          <w:bCs/>
        </w:rPr>
        <w:t xml:space="preserve">Focus Groups provided a strong message that such a campaign </w:t>
      </w:r>
      <w:r w:rsidR="005B2690">
        <w:rPr>
          <w:rFonts w:ascii="DM Sans" w:hAnsi="DM Sans"/>
          <w:b w:val="0"/>
          <w:bCs/>
        </w:rPr>
        <w:t xml:space="preserve">would be poorly received if presented </w:t>
      </w:r>
      <w:r w:rsidR="005B2690" w:rsidRPr="005B2690">
        <w:rPr>
          <w:rFonts w:ascii="DM Sans" w:hAnsi="DM Sans"/>
          <w:b w:val="0"/>
          <w:bCs/>
        </w:rPr>
        <w:t>as a glossy, government-led campaign, seen as telling citizens what to do.</w:t>
      </w:r>
      <w:r w:rsidR="00A62238">
        <w:rPr>
          <w:rFonts w:ascii="DM Sans" w:hAnsi="DM Sans"/>
          <w:b w:val="0"/>
          <w:bCs/>
        </w:rPr>
        <w:t xml:space="preserve">  By contrast, there was strong support for a campaign led by not-for-profits</w:t>
      </w:r>
      <w:r w:rsidR="0032293A" w:rsidRPr="0032293A">
        <w:rPr>
          <w:rFonts w:ascii="DM Sans" w:hAnsi="DM Sans"/>
        </w:rPr>
        <w:t xml:space="preserve"> </w:t>
      </w:r>
      <w:r w:rsidR="0032293A" w:rsidRPr="0032293A">
        <w:rPr>
          <w:rFonts w:ascii="DM Sans" w:hAnsi="DM Sans"/>
          <w:b w:val="0"/>
          <w:bCs/>
        </w:rPr>
        <w:t>to give people information on why and how to give, empowering them to make their own choices.</w:t>
      </w:r>
      <w:r w:rsidR="0032293A" w:rsidRPr="00C27804">
        <w:rPr>
          <w:rFonts w:ascii="DM Sans" w:hAnsi="DM Sans"/>
        </w:rPr>
        <w:t xml:space="preserve">  </w:t>
      </w:r>
      <w:r w:rsidR="00F27A50" w:rsidRPr="00B83616">
        <w:rPr>
          <w:rFonts w:ascii="DM Sans" w:hAnsi="DM Sans"/>
          <w:b w:val="0"/>
          <w:bCs/>
          <w:lang w:val="en-US"/>
        </w:rPr>
        <w:t>Polling of more than 2,500 Australians by Redbridge in November 2022 indicates a grassroots campaign led by not-for-profits would be popular, with: 65 per cent supporting the proposal; 7.1 per cent opposed; and 27.8 per cent neutral or not sure.</w:t>
      </w:r>
      <w:r w:rsidR="00F27A50" w:rsidRPr="00B83616">
        <w:rPr>
          <w:b w:val="0"/>
          <w:bCs/>
          <w:vertAlign w:val="superscript"/>
          <w:lang w:val="en-US"/>
        </w:rPr>
        <w:footnoteReference w:id="13"/>
      </w:r>
    </w:p>
    <w:p w14:paraId="5C9D9AE7" w14:textId="0C094D5E" w:rsidR="00E26402" w:rsidRDefault="002F1A07" w:rsidP="00B255C9">
      <w:pPr>
        <w:pStyle w:val="BodyText"/>
        <w:numPr>
          <w:ilvl w:val="0"/>
          <w:numId w:val="26"/>
        </w:numPr>
        <w:rPr>
          <w:rFonts w:ascii="DM Sans" w:hAnsi="DM Sans"/>
          <w:b/>
          <w:lang w:val="en-US"/>
        </w:rPr>
      </w:pPr>
      <w:r w:rsidRPr="00C27804">
        <w:rPr>
          <w:rFonts w:ascii="DM Sans" w:hAnsi="DM Sans"/>
          <w:b/>
          <w:lang w:val="en-US"/>
        </w:rPr>
        <w:t xml:space="preserve">The campaign </w:t>
      </w:r>
      <w:r w:rsidR="00C306F6">
        <w:rPr>
          <w:rFonts w:ascii="DM Sans" w:hAnsi="DM Sans"/>
          <w:b/>
          <w:lang w:val="en-US"/>
        </w:rPr>
        <w:t xml:space="preserve">would </w:t>
      </w:r>
      <w:r w:rsidR="00E26402">
        <w:rPr>
          <w:rFonts w:ascii="DM Sans" w:hAnsi="DM Sans"/>
          <w:b/>
          <w:lang w:val="en-US"/>
        </w:rPr>
        <w:t>successfully create a stronger giving culture and lift giving and volunteering</w:t>
      </w:r>
      <w:r w:rsidR="00331A2A">
        <w:rPr>
          <w:rFonts w:ascii="DM Sans" w:hAnsi="DM Sans"/>
          <w:b/>
          <w:lang w:val="en-US"/>
        </w:rPr>
        <w:t xml:space="preserve">, targeting </w:t>
      </w:r>
      <w:r w:rsidR="00EA15C1">
        <w:rPr>
          <w:rFonts w:ascii="DM Sans" w:hAnsi="DM Sans"/>
          <w:b/>
          <w:lang w:val="en-US"/>
        </w:rPr>
        <w:t>markets with extensive capacity to give more</w:t>
      </w:r>
      <w:r w:rsidR="00E26402">
        <w:rPr>
          <w:rFonts w:ascii="DM Sans" w:hAnsi="DM Sans"/>
          <w:b/>
          <w:lang w:val="en-US"/>
        </w:rPr>
        <w:t>.</w:t>
      </w:r>
    </w:p>
    <w:p w14:paraId="4F3355EB" w14:textId="303D4148" w:rsidR="002F1A07" w:rsidRPr="00E26402" w:rsidRDefault="00EA15C1" w:rsidP="00C448B7">
      <w:pPr>
        <w:pStyle w:val="BodyText"/>
        <w:rPr>
          <w:rFonts w:ascii="DM Sans" w:hAnsi="DM Sans"/>
          <w:bCs/>
          <w:lang w:val="en-US"/>
        </w:rPr>
      </w:pPr>
      <w:r>
        <w:rPr>
          <w:rFonts w:ascii="DM Sans" w:hAnsi="DM Sans"/>
          <w:bCs/>
          <w:lang w:val="en-US"/>
        </w:rPr>
        <w:t xml:space="preserve">We believe it highly likely the </w:t>
      </w:r>
      <w:r w:rsidR="00A477D9">
        <w:rPr>
          <w:rFonts w:ascii="DM Sans" w:hAnsi="DM Sans"/>
          <w:bCs/>
          <w:lang w:val="en-US"/>
        </w:rPr>
        <w:t xml:space="preserve">campaign </w:t>
      </w:r>
      <w:r w:rsidR="00C306F6" w:rsidRPr="00E26402">
        <w:rPr>
          <w:rFonts w:ascii="DM Sans" w:hAnsi="DM Sans"/>
          <w:bCs/>
          <w:lang w:val="en-US"/>
        </w:rPr>
        <w:t xml:space="preserve">could yield an increase in giving </w:t>
      </w:r>
      <w:r w:rsidR="00956805" w:rsidRPr="00E26402">
        <w:rPr>
          <w:rFonts w:ascii="DM Sans" w:hAnsi="DM Sans"/>
          <w:bCs/>
          <w:lang w:val="en-US"/>
        </w:rPr>
        <w:t>many-fold the expenditure by government and philanthrop</w:t>
      </w:r>
      <w:r w:rsidR="004D1439" w:rsidRPr="00E26402">
        <w:rPr>
          <w:rFonts w:ascii="DM Sans" w:hAnsi="DM Sans"/>
          <w:bCs/>
          <w:lang w:val="en-US"/>
        </w:rPr>
        <w:t>y</w:t>
      </w:r>
      <w:r w:rsidR="00EB6FF5" w:rsidRPr="00E26402">
        <w:rPr>
          <w:rFonts w:ascii="DM Sans" w:hAnsi="DM Sans"/>
          <w:bCs/>
          <w:lang w:val="en-US"/>
        </w:rPr>
        <w:t xml:space="preserve"> needed to design and run the campaign</w:t>
      </w:r>
      <w:r w:rsidR="004D1439" w:rsidRPr="00E26402">
        <w:rPr>
          <w:rFonts w:ascii="DM Sans" w:hAnsi="DM Sans"/>
          <w:bCs/>
          <w:lang w:val="en-US"/>
        </w:rPr>
        <w:t xml:space="preserve">.  </w:t>
      </w:r>
      <w:r w:rsidR="00E26402" w:rsidRPr="00E26402">
        <w:rPr>
          <w:rFonts w:ascii="DM Sans" w:hAnsi="DM Sans"/>
          <w:bCs/>
          <w:lang w:val="en-US"/>
        </w:rPr>
        <w:t xml:space="preserve">For instance: </w:t>
      </w:r>
    </w:p>
    <w:p w14:paraId="7F740025" w14:textId="7D65CC13" w:rsidR="002F1A07" w:rsidRPr="00C27804" w:rsidRDefault="002F1A07" w:rsidP="00B255C9">
      <w:pPr>
        <w:pStyle w:val="BodyText"/>
        <w:numPr>
          <w:ilvl w:val="0"/>
          <w:numId w:val="62"/>
        </w:numPr>
        <w:rPr>
          <w:rFonts w:ascii="DM Sans" w:hAnsi="DM Sans"/>
        </w:rPr>
      </w:pPr>
      <w:r w:rsidRPr="00C27804">
        <w:rPr>
          <w:rFonts w:ascii="DM Sans" w:hAnsi="DM Sans"/>
          <w:b/>
          <w:bCs/>
        </w:rPr>
        <w:t>Wealthy Australians:</w:t>
      </w:r>
      <w:r w:rsidRPr="00C27804">
        <w:rPr>
          <w:rFonts w:ascii="DM Sans" w:hAnsi="DM Sans"/>
        </w:rPr>
        <w:t xml:space="preserve"> Wealth is rising rapidly at the top end of Australian society – for instance, wealth among ‘The Top 200’ has risen from $209 billion to $563 billion between 2016 and 2023.  There are over 20,800 ultra-high net worth individuals ($30m plus net wealth), and hundreds of thousands more with substantial wealth. Some give substantially, but most do not.  Creating a culture where all high-net-worth individuals are expected to give substantially</w:t>
      </w:r>
      <w:r w:rsidR="00AD14B6">
        <w:rPr>
          <w:rFonts w:ascii="DM Sans" w:hAnsi="DM Sans"/>
        </w:rPr>
        <w:t xml:space="preserve"> could yield billions in additional giving.</w:t>
      </w:r>
      <w:r w:rsidRPr="00C27804">
        <w:rPr>
          <w:rFonts w:ascii="DM Sans" w:hAnsi="DM Sans"/>
        </w:rPr>
        <w:t xml:space="preserve"> </w:t>
      </w:r>
      <w:r w:rsidR="00C22D43">
        <w:rPr>
          <w:rFonts w:ascii="DM Sans" w:hAnsi="DM Sans"/>
        </w:rPr>
        <w:t xml:space="preserve"> Even converting a few high wealth Australians to philanthropy might yield a positive return on the campaign.</w:t>
      </w:r>
    </w:p>
    <w:p w14:paraId="652286EF" w14:textId="163DE960" w:rsidR="002F1A07" w:rsidRPr="00C27804" w:rsidRDefault="002F1A07" w:rsidP="00B255C9">
      <w:pPr>
        <w:pStyle w:val="BodyText"/>
        <w:numPr>
          <w:ilvl w:val="0"/>
          <w:numId w:val="62"/>
        </w:numPr>
        <w:rPr>
          <w:rFonts w:ascii="DM Sans" w:hAnsi="DM Sans"/>
        </w:rPr>
      </w:pPr>
      <w:r w:rsidRPr="00C27804">
        <w:rPr>
          <w:rFonts w:ascii="DM Sans" w:hAnsi="DM Sans"/>
          <w:b/>
          <w:bCs/>
        </w:rPr>
        <w:t>Business and workplace giving:</w:t>
      </w:r>
      <w:r w:rsidRPr="00C27804">
        <w:rPr>
          <w:rFonts w:ascii="DM Sans" w:hAnsi="DM Sans"/>
        </w:rPr>
        <w:t xml:space="preserve"> With business profits running at around $500 billion annually – and corporate giving at 0.78 per cent of profit among our Top 50 corporates running behind some comparable countries – lifting business and workplace giving is another key avenue to </w:t>
      </w:r>
      <w:r w:rsidR="000C0C1B">
        <w:rPr>
          <w:rFonts w:ascii="DM Sans" w:hAnsi="DM Sans"/>
        </w:rPr>
        <w:t>increasing national giving.</w:t>
      </w:r>
      <w:r w:rsidRPr="00C27804">
        <w:rPr>
          <w:rFonts w:ascii="DM Sans" w:hAnsi="DM Sans"/>
        </w:rPr>
        <w:t xml:space="preserve">  </w:t>
      </w:r>
    </w:p>
    <w:p w14:paraId="789F6C5E" w14:textId="0AE90B13" w:rsidR="002F1A07" w:rsidRPr="00C27804" w:rsidRDefault="002F1A07" w:rsidP="00B255C9">
      <w:pPr>
        <w:pStyle w:val="BodyText"/>
        <w:numPr>
          <w:ilvl w:val="0"/>
          <w:numId w:val="62"/>
        </w:numPr>
        <w:rPr>
          <w:rFonts w:ascii="DM Sans" w:hAnsi="DM Sans"/>
        </w:rPr>
      </w:pPr>
      <w:r w:rsidRPr="00C27804">
        <w:rPr>
          <w:rFonts w:ascii="DM Sans" w:hAnsi="DM Sans"/>
          <w:b/>
          <w:bCs/>
        </w:rPr>
        <w:t>Financial and legal advisers:</w:t>
      </w:r>
      <w:r w:rsidRPr="00C27804">
        <w:rPr>
          <w:rFonts w:ascii="DM Sans" w:hAnsi="DM Sans"/>
        </w:rPr>
        <w:t xml:space="preserve"> Financial advisers and accountants advise Australians</w:t>
      </w:r>
      <w:r w:rsidR="003B3190">
        <w:rPr>
          <w:rFonts w:ascii="DM Sans" w:hAnsi="DM Sans"/>
        </w:rPr>
        <w:t xml:space="preserve"> </w:t>
      </w:r>
      <w:r w:rsidRPr="00C27804">
        <w:rPr>
          <w:rFonts w:ascii="DM Sans" w:hAnsi="DM Sans"/>
        </w:rPr>
        <w:t xml:space="preserve">on how best to use trillions in wealth, but relatively few raise the option of philanthropy.  </w:t>
      </w:r>
      <w:r w:rsidR="0017472C">
        <w:rPr>
          <w:rFonts w:ascii="DM Sans" w:hAnsi="DM Sans"/>
        </w:rPr>
        <w:t>A</w:t>
      </w:r>
      <w:r w:rsidR="008C3946">
        <w:rPr>
          <w:rFonts w:ascii="DM Sans" w:hAnsi="DM Sans"/>
        </w:rPr>
        <w:t xml:space="preserve"> campaign can encourage many it is in their interest and the national interest to engage their clients on the potential of giving.  </w:t>
      </w:r>
      <w:r w:rsidRPr="00C27804">
        <w:rPr>
          <w:rFonts w:ascii="DM Sans" w:hAnsi="DM Sans"/>
        </w:rPr>
        <w:t xml:space="preserve">  </w:t>
      </w:r>
    </w:p>
    <w:p w14:paraId="159C3605" w14:textId="77777777" w:rsidR="003A718D" w:rsidRPr="00C27804" w:rsidRDefault="003A718D" w:rsidP="003A718D">
      <w:pPr>
        <w:pStyle w:val="BodyText"/>
        <w:rPr>
          <w:rFonts w:ascii="DM Sans" w:hAnsi="DM Sans"/>
        </w:rPr>
      </w:pPr>
    </w:p>
    <w:p w14:paraId="3DCBB3C3" w14:textId="1E36583D" w:rsidR="00E05FF4" w:rsidRPr="00C27804" w:rsidRDefault="00E05FF4" w:rsidP="00A547B7">
      <w:pPr>
        <w:pStyle w:val="Heading2"/>
        <w:numPr>
          <w:ilvl w:val="1"/>
          <w:numId w:val="95"/>
        </w:numPr>
        <w:rPr>
          <w:rFonts w:ascii="DM Sans" w:hAnsi="DM Sans"/>
        </w:rPr>
      </w:pPr>
      <w:bookmarkStart w:id="13" w:name="_Toc158381890"/>
      <w:r w:rsidRPr="00C27804">
        <w:rPr>
          <w:rFonts w:ascii="DM Sans" w:hAnsi="DM Sans"/>
        </w:rPr>
        <w:lastRenderedPageBreak/>
        <w:t>Strengthening the Charity Sector</w:t>
      </w:r>
      <w:bookmarkEnd w:id="13"/>
    </w:p>
    <w:p w14:paraId="1E4343FE" w14:textId="6BEC947B" w:rsidR="000F13DA" w:rsidRPr="00C27804" w:rsidRDefault="000F13DA" w:rsidP="00162319">
      <w:pPr>
        <w:pStyle w:val="BodyText"/>
        <w:shd w:val="clear" w:color="auto" w:fill="DBE3F7" w:themeFill="text2" w:themeFillTint="1A"/>
        <w:rPr>
          <w:rFonts w:ascii="DM Sans" w:hAnsi="DM Sans"/>
          <w:b/>
          <w:bCs/>
          <w:color w:val="3D7EDB" w:themeColor="accent1"/>
          <w:sz w:val="24"/>
          <w:szCs w:val="24"/>
        </w:rPr>
      </w:pPr>
      <w:r w:rsidRPr="00C27804">
        <w:rPr>
          <w:rFonts w:ascii="DM Sans" w:hAnsi="DM Sans"/>
          <w:b/>
          <w:bCs/>
          <w:color w:val="3D7EDB" w:themeColor="accent1"/>
          <w:sz w:val="24"/>
          <w:szCs w:val="24"/>
        </w:rPr>
        <w:t>Recommendation</w:t>
      </w:r>
    </w:p>
    <w:p w14:paraId="46F06275" w14:textId="46EDEDC9" w:rsidR="001C1B09" w:rsidRPr="003B23F9" w:rsidRDefault="001C1B09" w:rsidP="00B255C9">
      <w:pPr>
        <w:pStyle w:val="ListParagraph"/>
        <w:numPr>
          <w:ilvl w:val="6"/>
          <w:numId w:val="26"/>
        </w:numPr>
        <w:shd w:val="clear" w:color="auto" w:fill="DBE3F7" w:themeFill="text2" w:themeFillTint="1A"/>
        <w:spacing w:before="120" w:after="60"/>
        <w:ind w:left="340"/>
        <w:rPr>
          <w:rFonts w:ascii="DM Sans" w:hAnsi="DM Sans"/>
          <w:b/>
          <w:sz w:val="20"/>
        </w:rPr>
      </w:pPr>
      <w:r w:rsidRPr="003B23F9">
        <w:rPr>
          <w:rFonts w:ascii="DM Sans" w:hAnsi="DM Sans"/>
          <w:b/>
          <w:sz w:val="20"/>
        </w:rPr>
        <w:t xml:space="preserve">The </w:t>
      </w:r>
      <w:r w:rsidR="00CC4BC2" w:rsidRPr="003B23F9">
        <w:rPr>
          <w:rFonts w:ascii="DM Sans" w:hAnsi="DM Sans"/>
          <w:b/>
          <w:sz w:val="20"/>
        </w:rPr>
        <w:t xml:space="preserve">PC recommend the </w:t>
      </w:r>
      <w:r w:rsidRPr="003B23F9">
        <w:rPr>
          <w:rFonts w:ascii="DM Sans" w:hAnsi="DM Sans"/>
          <w:b/>
          <w:sz w:val="20"/>
        </w:rPr>
        <w:t>Federal Government implement a package of reforms to strengthen the charity sector</w:t>
      </w:r>
      <w:r w:rsidR="005C777F">
        <w:rPr>
          <w:rFonts w:ascii="DM Sans" w:hAnsi="DM Sans"/>
          <w:b/>
          <w:sz w:val="20"/>
        </w:rPr>
        <w:t>.</w:t>
      </w:r>
      <w:r w:rsidRPr="003B23F9">
        <w:rPr>
          <w:rFonts w:ascii="DM Sans" w:hAnsi="DM Sans"/>
          <w:b/>
          <w:sz w:val="20"/>
        </w:rPr>
        <w:t xml:space="preserve"> </w:t>
      </w:r>
      <w:r w:rsidRPr="003B23F9">
        <w:rPr>
          <w:rFonts w:ascii="DM Sans" w:hAnsi="DM Sans"/>
          <w:bCs/>
          <w:sz w:val="20"/>
        </w:rPr>
        <w:t xml:space="preserve">This agenda can be informed by previous reports such as the PC’s 2010 report, </w:t>
      </w:r>
      <w:r w:rsidRPr="003B23F9">
        <w:rPr>
          <w:rFonts w:ascii="DM Sans" w:hAnsi="DM Sans"/>
          <w:bCs/>
          <w:i/>
          <w:iCs/>
          <w:sz w:val="20"/>
        </w:rPr>
        <w:t>Contribution of the Not-for-Profit Sector</w:t>
      </w:r>
      <w:r w:rsidRPr="003B23F9">
        <w:rPr>
          <w:rFonts w:ascii="DM Sans" w:hAnsi="DM Sans"/>
          <w:bCs/>
          <w:sz w:val="20"/>
        </w:rPr>
        <w:t xml:space="preserve">, which outlined a powerful agenda for reform, much of which is yet to be implemented.  </w:t>
      </w:r>
    </w:p>
    <w:p w14:paraId="0EFDF53A" w14:textId="799DCABF" w:rsidR="001C1B09" w:rsidRDefault="001C1B09" w:rsidP="00B255C9">
      <w:pPr>
        <w:pStyle w:val="ListParagraph"/>
        <w:numPr>
          <w:ilvl w:val="6"/>
          <w:numId w:val="26"/>
        </w:numPr>
        <w:shd w:val="clear" w:color="auto" w:fill="DBE3F7" w:themeFill="text2" w:themeFillTint="1A"/>
        <w:spacing w:before="120" w:after="60"/>
        <w:ind w:left="340"/>
        <w:rPr>
          <w:rFonts w:ascii="DM Sans" w:hAnsi="DM Sans"/>
          <w:sz w:val="20"/>
        </w:rPr>
      </w:pPr>
      <w:r w:rsidRPr="00700EF1">
        <w:rPr>
          <w:rFonts w:ascii="DM Sans" w:hAnsi="DM Sans"/>
          <w:b/>
          <w:bCs/>
          <w:sz w:val="20"/>
        </w:rPr>
        <w:t xml:space="preserve">An </w:t>
      </w:r>
      <w:r w:rsidRPr="00723A1D">
        <w:rPr>
          <w:rFonts w:ascii="DM Sans" w:hAnsi="DM Sans"/>
          <w:b/>
          <w:sz w:val="20"/>
        </w:rPr>
        <w:t>Office</w:t>
      </w:r>
      <w:r w:rsidRPr="00700EF1">
        <w:rPr>
          <w:rFonts w:ascii="DM Sans" w:hAnsi="DM Sans"/>
          <w:b/>
          <w:bCs/>
          <w:sz w:val="20"/>
        </w:rPr>
        <w:t xml:space="preserve"> of Not-For-Profit Reform</w:t>
      </w:r>
      <w:r w:rsidRPr="00700EF1">
        <w:rPr>
          <w:sz w:val="20"/>
          <w:vertAlign w:val="superscript"/>
        </w:rPr>
        <w:footnoteReference w:id="14"/>
      </w:r>
      <w:r w:rsidRPr="00700EF1">
        <w:rPr>
          <w:rFonts w:ascii="DM Sans" w:hAnsi="DM Sans"/>
          <w:sz w:val="20"/>
        </w:rPr>
        <w:t xml:space="preserve"> could be established within a central agency such as Treasury to partner with the sector on reforms to strengthen </w:t>
      </w:r>
      <w:r w:rsidR="002257BF">
        <w:rPr>
          <w:rFonts w:ascii="DM Sans" w:hAnsi="DM Sans"/>
          <w:sz w:val="20"/>
        </w:rPr>
        <w:t>Australia’s charities</w:t>
      </w:r>
      <w:r w:rsidRPr="00700EF1">
        <w:rPr>
          <w:rFonts w:ascii="DM Sans" w:hAnsi="DM Sans"/>
          <w:sz w:val="20"/>
        </w:rPr>
        <w:t xml:space="preserve">, with a focus </w:t>
      </w:r>
      <w:r w:rsidR="00700EF1">
        <w:rPr>
          <w:rFonts w:ascii="DM Sans" w:hAnsi="DM Sans"/>
          <w:sz w:val="20"/>
        </w:rPr>
        <w:t>on</w:t>
      </w:r>
      <w:r w:rsidR="00723A1D">
        <w:rPr>
          <w:rFonts w:ascii="DM Sans" w:hAnsi="DM Sans"/>
          <w:sz w:val="20"/>
        </w:rPr>
        <w:t>:</w:t>
      </w:r>
    </w:p>
    <w:p w14:paraId="3FB579ED" w14:textId="77777777" w:rsidR="001C1B09" w:rsidRPr="00723A1D" w:rsidRDefault="001C1B09" w:rsidP="00723A1D">
      <w:pPr>
        <w:shd w:val="clear" w:color="auto" w:fill="DBE3F7" w:themeFill="text2" w:themeFillTint="1A"/>
        <w:rPr>
          <w:rFonts w:ascii="DM Sans" w:eastAsia="MS ??" w:hAnsi="DM Sans"/>
          <w:lang w:val="en-US"/>
        </w:rPr>
      </w:pPr>
      <w:r w:rsidRPr="00723A1D">
        <w:rPr>
          <w:rFonts w:ascii="DM Sans" w:eastAsia="MS ??" w:hAnsi="DM Sans"/>
          <w:b/>
          <w:bCs/>
          <w:u w:val="single"/>
        </w:rPr>
        <w:t>Building capabilities</w:t>
      </w:r>
      <w:r w:rsidRPr="00723A1D">
        <w:rPr>
          <w:rFonts w:ascii="DM Sans" w:eastAsia="MS ??" w:hAnsi="DM Sans"/>
        </w:rPr>
        <w:t>, including:</w:t>
      </w:r>
    </w:p>
    <w:p w14:paraId="30135A5B" w14:textId="19FAD013" w:rsidR="001C1B09" w:rsidRPr="00C27804" w:rsidRDefault="001C1B09" w:rsidP="00B255C9">
      <w:pPr>
        <w:widowControl w:val="0"/>
        <w:numPr>
          <w:ilvl w:val="0"/>
          <w:numId w:val="44"/>
        </w:numPr>
        <w:shd w:val="clear" w:color="auto" w:fill="DBE3F7" w:themeFill="text2" w:themeFillTint="1A"/>
        <w:autoSpaceDE w:val="0"/>
        <w:autoSpaceDN w:val="0"/>
        <w:adjustRightInd w:val="0"/>
        <w:rPr>
          <w:rFonts w:ascii="DM Sans" w:eastAsia="MS ??" w:hAnsi="DM Sans" w:cs="Arial"/>
          <w:lang w:val="en-US" w:eastAsia="en-US"/>
        </w:rPr>
      </w:pPr>
      <w:r w:rsidRPr="00C27804">
        <w:rPr>
          <w:rFonts w:ascii="DM Sans" w:eastAsia="MS ??" w:hAnsi="DM Sans" w:cs="Arial"/>
          <w:b/>
          <w:lang w:val="en-US" w:eastAsia="en-US"/>
        </w:rPr>
        <w:t xml:space="preserve">Leadership – </w:t>
      </w:r>
      <w:r w:rsidRPr="00C27804">
        <w:rPr>
          <w:rFonts w:ascii="DM Sans" w:eastAsia="MS ??" w:hAnsi="DM Sans" w:cs="Arial"/>
          <w:bCs/>
          <w:lang w:val="en-US" w:eastAsia="en-US"/>
        </w:rPr>
        <w:t>Working with</w:t>
      </w:r>
      <w:r w:rsidRPr="00C27804">
        <w:rPr>
          <w:rFonts w:ascii="DM Sans" w:eastAsia="MS ??" w:hAnsi="DM Sans" w:cs="Arial"/>
          <w:b/>
          <w:lang w:val="en-US" w:eastAsia="en-US"/>
        </w:rPr>
        <w:t xml:space="preserve"> </w:t>
      </w:r>
      <w:r w:rsidRPr="00C27804">
        <w:rPr>
          <w:rFonts w:ascii="DM Sans" w:eastAsia="MS ??" w:hAnsi="DM Sans" w:cs="Arial"/>
          <w:lang w:val="en-US" w:eastAsia="en-US"/>
        </w:rPr>
        <w:t xml:space="preserve">institutions such as the Centre for Social Impact and ANZSOG to produce larger cohorts of high calibre </w:t>
      </w:r>
      <w:r w:rsidR="00D01661">
        <w:rPr>
          <w:rFonts w:ascii="DM Sans" w:eastAsia="MS ??" w:hAnsi="DM Sans" w:cs="Arial"/>
          <w:lang w:val="en-US" w:eastAsia="en-US"/>
        </w:rPr>
        <w:t>charity leaders</w:t>
      </w:r>
      <w:r w:rsidRPr="00C27804">
        <w:rPr>
          <w:rFonts w:ascii="DM Sans" w:eastAsia="MS ??" w:hAnsi="DM Sans" w:cs="Arial"/>
          <w:lang w:val="en-US" w:eastAsia="en-US"/>
        </w:rPr>
        <w:t>, with skills across governance, business planning, strategy, people management, workforce planning, technology uptake and evaluation.</w:t>
      </w:r>
    </w:p>
    <w:p w14:paraId="0F86CE7E" w14:textId="77777777" w:rsidR="001C1B09" w:rsidRPr="00C27804" w:rsidRDefault="001C1B09" w:rsidP="00B255C9">
      <w:pPr>
        <w:widowControl w:val="0"/>
        <w:numPr>
          <w:ilvl w:val="0"/>
          <w:numId w:val="44"/>
        </w:numPr>
        <w:shd w:val="clear" w:color="auto" w:fill="DBE3F7" w:themeFill="text2" w:themeFillTint="1A"/>
        <w:autoSpaceDE w:val="0"/>
        <w:autoSpaceDN w:val="0"/>
        <w:adjustRightInd w:val="0"/>
        <w:rPr>
          <w:rFonts w:ascii="DM Sans" w:eastAsia="MS ??" w:hAnsi="DM Sans" w:cs="Arial"/>
          <w:lang w:val="en-US" w:eastAsia="en-US"/>
        </w:rPr>
      </w:pPr>
      <w:r w:rsidRPr="00C27804">
        <w:rPr>
          <w:rFonts w:ascii="DM Sans" w:eastAsia="MS ??" w:hAnsi="DM Sans" w:cs="Arial"/>
          <w:b/>
          <w:lang w:val="en-US" w:eastAsia="en-US"/>
        </w:rPr>
        <w:t>Evaluation –</w:t>
      </w:r>
      <w:r w:rsidRPr="00C27804">
        <w:rPr>
          <w:rFonts w:ascii="DM Sans" w:eastAsia="MS ??" w:hAnsi="DM Sans" w:cs="Arial"/>
          <w:lang w:val="en-US" w:eastAsia="en-US"/>
        </w:rPr>
        <w:t xml:space="preserve"> with just 38 per cent of the not-for-profit sector collecting outcomes data, more support to assist with evaluation and continuous improvement would help to lift impact.  The PC in 2010 recommended that the Australian Government should provide funding for the establishment of a Centre for Community Service Effectiveness to promote ‘best practice’ approaches to evaluation. (Rec 5.4).</w:t>
      </w:r>
    </w:p>
    <w:p w14:paraId="41AC5E5D" w14:textId="77777777" w:rsidR="001C1B09" w:rsidRPr="00C27804" w:rsidRDefault="001C1B09" w:rsidP="00B255C9">
      <w:pPr>
        <w:widowControl w:val="0"/>
        <w:numPr>
          <w:ilvl w:val="0"/>
          <w:numId w:val="44"/>
        </w:numPr>
        <w:shd w:val="clear" w:color="auto" w:fill="DBE3F7" w:themeFill="text2" w:themeFillTint="1A"/>
        <w:autoSpaceDE w:val="0"/>
        <w:autoSpaceDN w:val="0"/>
        <w:adjustRightInd w:val="0"/>
        <w:rPr>
          <w:rFonts w:ascii="DM Sans" w:eastAsia="MS ??" w:hAnsi="DM Sans" w:cs="Arial"/>
          <w:lang w:val="en-US" w:eastAsia="en-US"/>
        </w:rPr>
      </w:pPr>
      <w:r w:rsidRPr="00C27804">
        <w:rPr>
          <w:rFonts w:ascii="DM Sans" w:eastAsia="MS ??" w:hAnsi="DM Sans" w:cs="Arial"/>
          <w:b/>
          <w:lang w:val="en-US" w:eastAsia="en-US"/>
        </w:rPr>
        <w:t xml:space="preserve">Social Innovation </w:t>
      </w:r>
      <w:r w:rsidRPr="00C27804">
        <w:rPr>
          <w:rFonts w:ascii="DM Sans" w:eastAsia="MS ??" w:hAnsi="DM Sans" w:cs="Arial"/>
          <w:lang w:val="en-US" w:eastAsia="en-US"/>
        </w:rPr>
        <w:t>– In 2010 the PC recommended that major programs include a Social Innovation Fund to trial, test, evaluate, and if successful, expand new approaches (Rec 9.5).</w:t>
      </w:r>
    </w:p>
    <w:p w14:paraId="3D59E133" w14:textId="5D20E00F" w:rsidR="00D44C9F" w:rsidRDefault="00A756E4" w:rsidP="006E79CC">
      <w:pPr>
        <w:shd w:val="clear" w:color="auto" w:fill="DBE3F7" w:themeFill="text2" w:themeFillTint="1A"/>
        <w:rPr>
          <w:rFonts w:ascii="DM Sans" w:hAnsi="DM Sans"/>
          <w:b/>
          <w:bCs/>
          <w:u w:val="single"/>
        </w:rPr>
      </w:pPr>
      <w:r>
        <w:rPr>
          <w:rFonts w:ascii="DM Sans" w:hAnsi="DM Sans"/>
          <w:b/>
          <w:bCs/>
          <w:u w:val="single"/>
        </w:rPr>
        <w:t xml:space="preserve">A national strategy to </w:t>
      </w:r>
      <w:r w:rsidR="00D44C9F">
        <w:rPr>
          <w:rFonts w:ascii="DM Sans" w:hAnsi="DM Sans"/>
          <w:b/>
          <w:bCs/>
          <w:u w:val="single"/>
        </w:rPr>
        <w:t xml:space="preserve">create </w:t>
      </w:r>
      <w:r w:rsidR="003C7CB2">
        <w:rPr>
          <w:rFonts w:ascii="DM Sans" w:hAnsi="DM Sans"/>
          <w:b/>
          <w:bCs/>
          <w:u w:val="single"/>
        </w:rPr>
        <w:t xml:space="preserve">a </w:t>
      </w:r>
      <w:r w:rsidR="00E23CB1">
        <w:rPr>
          <w:rFonts w:ascii="DM Sans" w:hAnsi="DM Sans"/>
          <w:b/>
          <w:bCs/>
          <w:u w:val="single"/>
        </w:rPr>
        <w:t>top-class</w:t>
      </w:r>
      <w:r w:rsidR="003C7CB2">
        <w:rPr>
          <w:rFonts w:ascii="DM Sans" w:hAnsi="DM Sans"/>
          <w:b/>
          <w:bCs/>
          <w:u w:val="single"/>
        </w:rPr>
        <w:t xml:space="preserve"> cadre of talented, professional fundraisers</w:t>
      </w:r>
    </w:p>
    <w:p w14:paraId="56987291" w14:textId="1DCDA59B" w:rsidR="00282F5E" w:rsidRDefault="00B55C15" w:rsidP="00433102">
      <w:pPr>
        <w:pStyle w:val="ListParagraph"/>
        <w:numPr>
          <w:ilvl w:val="0"/>
          <w:numId w:val="44"/>
        </w:numPr>
        <w:shd w:val="clear" w:color="auto" w:fill="DBE3F7" w:themeFill="text2" w:themeFillTint="1A"/>
        <w:spacing w:after="120"/>
        <w:ind w:left="357" w:hanging="357"/>
        <w:rPr>
          <w:rFonts w:ascii="DM Sans" w:hAnsi="DM Sans"/>
          <w:sz w:val="20"/>
        </w:rPr>
      </w:pPr>
      <w:r>
        <w:rPr>
          <w:rFonts w:ascii="DM Sans" w:hAnsi="DM Sans"/>
          <w:sz w:val="20"/>
        </w:rPr>
        <w:t>Professional fundraising unlocks funding for charities and increases total national giving</w:t>
      </w:r>
      <w:r w:rsidR="00FF2F5E">
        <w:rPr>
          <w:rFonts w:ascii="DM Sans" w:hAnsi="DM Sans"/>
          <w:sz w:val="20"/>
        </w:rPr>
        <w:t xml:space="preserve"> because </w:t>
      </w:r>
      <w:r w:rsidR="00A53A8E">
        <w:rPr>
          <w:rFonts w:ascii="DM Sans" w:hAnsi="DM Sans"/>
          <w:sz w:val="20"/>
        </w:rPr>
        <w:t xml:space="preserve">donors rarely give without being </w:t>
      </w:r>
      <w:proofErr w:type="gramStart"/>
      <w:r w:rsidR="00A53A8E">
        <w:rPr>
          <w:rFonts w:ascii="DM Sans" w:hAnsi="DM Sans"/>
          <w:sz w:val="20"/>
        </w:rPr>
        <w:t>asked</w:t>
      </w:r>
      <w:r w:rsidR="00FF2F5E">
        <w:rPr>
          <w:rFonts w:ascii="DM Sans" w:hAnsi="DM Sans"/>
          <w:sz w:val="20"/>
        </w:rPr>
        <w:t>, and</w:t>
      </w:r>
      <w:proofErr w:type="gramEnd"/>
      <w:r w:rsidR="00FF2F5E">
        <w:rPr>
          <w:rFonts w:ascii="DM Sans" w:hAnsi="DM Sans"/>
          <w:sz w:val="20"/>
        </w:rPr>
        <w:t xml:space="preserve"> give more when it is done effectiv</w:t>
      </w:r>
      <w:r w:rsidR="00433102">
        <w:rPr>
          <w:rFonts w:ascii="DM Sans" w:hAnsi="DM Sans"/>
          <w:sz w:val="20"/>
        </w:rPr>
        <w:t>ely.</w:t>
      </w:r>
      <w:r w:rsidR="0093702E">
        <w:rPr>
          <w:rStyle w:val="FootnoteReference"/>
          <w:rFonts w:ascii="DM Sans" w:hAnsi="DM Sans"/>
          <w:sz w:val="20"/>
        </w:rPr>
        <w:footnoteReference w:id="15"/>
      </w:r>
    </w:p>
    <w:p w14:paraId="64905E32" w14:textId="3CBD5795" w:rsidR="00433102" w:rsidRDefault="00433102" w:rsidP="0013265A">
      <w:pPr>
        <w:pStyle w:val="ListParagraph"/>
        <w:numPr>
          <w:ilvl w:val="0"/>
          <w:numId w:val="44"/>
        </w:numPr>
        <w:shd w:val="clear" w:color="auto" w:fill="DBE3F7" w:themeFill="text2" w:themeFillTint="1A"/>
        <w:rPr>
          <w:rFonts w:ascii="DM Sans" w:hAnsi="DM Sans"/>
          <w:sz w:val="20"/>
        </w:rPr>
      </w:pPr>
      <w:r>
        <w:rPr>
          <w:rFonts w:ascii="DM Sans" w:hAnsi="DM Sans"/>
          <w:sz w:val="20"/>
        </w:rPr>
        <w:t>While there are effective fundraisers operating in Australia</w:t>
      </w:r>
      <w:r w:rsidR="007D33D3">
        <w:rPr>
          <w:rFonts w:ascii="DM Sans" w:hAnsi="DM Sans"/>
          <w:sz w:val="20"/>
        </w:rPr>
        <w:t xml:space="preserve">, </w:t>
      </w:r>
      <w:r w:rsidR="00E45EA0">
        <w:rPr>
          <w:rFonts w:ascii="DM Sans" w:hAnsi="DM Sans"/>
          <w:sz w:val="20"/>
        </w:rPr>
        <w:t xml:space="preserve">many charities </w:t>
      </w:r>
      <w:r w:rsidR="000112C0">
        <w:rPr>
          <w:rFonts w:ascii="DM Sans" w:hAnsi="DM Sans"/>
          <w:sz w:val="20"/>
        </w:rPr>
        <w:t xml:space="preserve">believe Australia </w:t>
      </w:r>
      <w:r w:rsidR="00D2455E">
        <w:rPr>
          <w:rFonts w:ascii="DM Sans" w:hAnsi="DM Sans"/>
          <w:sz w:val="20"/>
        </w:rPr>
        <w:t>lacks the cadre of professional fundraisers needed to capitali</w:t>
      </w:r>
      <w:r w:rsidR="008D6372">
        <w:rPr>
          <w:rFonts w:ascii="DM Sans" w:hAnsi="DM Sans"/>
          <w:sz w:val="20"/>
        </w:rPr>
        <w:t>s</w:t>
      </w:r>
      <w:r w:rsidR="00D2455E">
        <w:rPr>
          <w:rFonts w:ascii="DM Sans" w:hAnsi="DM Sans"/>
          <w:sz w:val="20"/>
        </w:rPr>
        <w:t xml:space="preserve">e </w:t>
      </w:r>
      <w:r w:rsidR="006558F0">
        <w:rPr>
          <w:rFonts w:ascii="DM Sans" w:hAnsi="DM Sans"/>
          <w:sz w:val="20"/>
        </w:rPr>
        <w:t>on the rising philanthropic opportunities available in the nation.</w:t>
      </w:r>
    </w:p>
    <w:p w14:paraId="3E4F3E45" w14:textId="698DF958" w:rsidR="00E92864" w:rsidRDefault="00FA28F7" w:rsidP="0013265A">
      <w:pPr>
        <w:pStyle w:val="ListParagraph"/>
        <w:numPr>
          <w:ilvl w:val="0"/>
          <w:numId w:val="44"/>
        </w:numPr>
        <w:shd w:val="clear" w:color="auto" w:fill="DBE3F7" w:themeFill="text2" w:themeFillTint="1A"/>
        <w:rPr>
          <w:rFonts w:ascii="DM Sans" w:hAnsi="DM Sans"/>
          <w:sz w:val="20"/>
        </w:rPr>
      </w:pPr>
      <w:r>
        <w:rPr>
          <w:rFonts w:ascii="DM Sans" w:hAnsi="DM Sans"/>
          <w:sz w:val="20"/>
        </w:rPr>
        <w:t xml:space="preserve">Government could bring together stakeholders to develop: a vision and strategy; and action plans in areas </w:t>
      </w:r>
      <w:r w:rsidR="00DC15F6">
        <w:rPr>
          <w:rFonts w:ascii="DM Sans" w:hAnsi="DM Sans"/>
          <w:sz w:val="20"/>
        </w:rPr>
        <w:t>that could include:</w:t>
      </w:r>
      <w:r>
        <w:rPr>
          <w:rFonts w:ascii="DM Sans" w:hAnsi="DM Sans"/>
          <w:sz w:val="20"/>
        </w:rPr>
        <w:t xml:space="preserve"> </w:t>
      </w:r>
    </w:p>
    <w:p w14:paraId="7696E5A5" w14:textId="2769F981" w:rsidR="00B24BF8" w:rsidRPr="00764F6B" w:rsidRDefault="00101E06" w:rsidP="00A547B7">
      <w:pPr>
        <w:pStyle w:val="ListParagraph"/>
        <w:numPr>
          <w:ilvl w:val="0"/>
          <w:numId w:val="101"/>
        </w:numPr>
        <w:shd w:val="clear" w:color="auto" w:fill="DBE3F7" w:themeFill="text2" w:themeFillTint="1A"/>
        <w:rPr>
          <w:rFonts w:ascii="DM Sans" w:hAnsi="DM Sans"/>
          <w:sz w:val="20"/>
        </w:rPr>
      </w:pPr>
      <w:r w:rsidRPr="00764F6B">
        <w:rPr>
          <w:rFonts w:ascii="DM Sans" w:hAnsi="DM Sans"/>
          <w:sz w:val="20"/>
        </w:rPr>
        <w:t>establishing an AN</w:t>
      </w:r>
      <w:r w:rsidR="000B240C" w:rsidRPr="00764F6B">
        <w:rPr>
          <w:rFonts w:ascii="DM Sans" w:hAnsi="DM Sans"/>
          <w:sz w:val="20"/>
        </w:rPr>
        <w:t xml:space="preserve">ZCO classification for fundraisers </w:t>
      </w:r>
      <w:r w:rsidR="000454DE" w:rsidRPr="00764F6B">
        <w:rPr>
          <w:rFonts w:ascii="DM Sans" w:hAnsi="DM Sans"/>
          <w:sz w:val="20"/>
        </w:rPr>
        <w:t xml:space="preserve">to build the status of the profession and allow </w:t>
      </w:r>
      <w:r w:rsidR="002322AD">
        <w:rPr>
          <w:rFonts w:ascii="DM Sans" w:hAnsi="DM Sans"/>
          <w:sz w:val="20"/>
        </w:rPr>
        <w:t>policymakers and industry</w:t>
      </w:r>
      <w:r w:rsidR="000454DE" w:rsidRPr="00764F6B">
        <w:rPr>
          <w:rFonts w:ascii="DM Sans" w:hAnsi="DM Sans"/>
          <w:sz w:val="20"/>
        </w:rPr>
        <w:t xml:space="preserve"> to track progress in building a skilled fundraiser workforce</w:t>
      </w:r>
      <w:r w:rsidR="00764F6B">
        <w:rPr>
          <w:rFonts w:ascii="DM Sans" w:hAnsi="DM Sans"/>
          <w:sz w:val="20"/>
        </w:rPr>
        <w:t>.</w:t>
      </w:r>
    </w:p>
    <w:p w14:paraId="1A3A23B8" w14:textId="4C949766" w:rsidR="00764F6B" w:rsidRPr="00764F6B" w:rsidRDefault="00764F6B" w:rsidP="00A547B7">
      <w:pPr>
        <w:pStyle w:val="ListParagraph"/>
        <w:numPr>
          <w:ilvl w:val="0"/>
          <w:numId w:val="101"/>
        </w:numPr>
        <w:shd w:val="clear" w:color="auto" w:fill="DBE3F7" w:themeFill="text2" w:themeFillTint="1A"/>
        <w:rPr>
          <w:rFonts w:ascii="DM Sans" w:hAnsi="DM Sans"/>
          <w:sz w:val="20"/>
          <w:lang w:val="en-AU"/>
        </w:rPr>
      </w:pPr>
      <w:r w:rsidRPr="00764F6B">
        <w:rPr>
          <w:rFonts w:ascii="DM Sans" w:hAnsi="DM Sans"/>
          <w:sz w:val="20"/>
        </w:rPr>
        <w:t xml:space="preserve">a strategy to attract top talent to the sector, including through information and </w:t>
      </w:r>
      <w:r w:rsidRPr="00764F6B">
        <w:rPr>
          <w:rFonts w:ascii="DM Sans" w:hAnsi="DM Sans"/>
          <w:sz w:val="20"/>
          <w:lang w:val="en-AU"/>
        </w:rPr>
        <w:t xml:space="preserve">marketing campaigns highlighting fundraising as a </w:t>
      </w:r>
      <w:r w:rsidR="00A2565C">
        <w:rPr>
          <w:rFonts w:ascii="DM Sans" w:hAnsi="DM Sans"/>
          <w:sz w:val="20"/>
          <w:lang w:val="en-AU"/>
        </w:rPr>
        <w:t xml:space="preserve">highly </w:t>
      </w:r>
      <w:r w:rsidR="00403EE8">
        <w:rPr>
          <w:rFonts w:ascii="DM Sans" w:hAnsi="DM Sans"/>
          <w:sz w:val="20"/>
          <w:lang w:val="en-AU"/>
        </w:rPr>
        <w:t>professional</w:t>
      </w:r>
      <w:r w:rsidRPr="00764F6B">
        <w:rPr>
          <w:rFonts w:ascii="DM Sans" w:hAnsi="DM Sans"/>
          <w:sz w:val="20"/>
          <w:lang w:val="en-AU"/>
        </w:rPr>
        <w:t xml:space="preserve"> and in-demand career.</w:t>
      </w:r>
    </w:p>
    <w:p w14:paraId="5D94085C" w14:textId="03FDBB6F" w:rsidR="006558F0" w:rsidRDefault="00696415" w:rsidP="00A547B7">
      <w:pPr>
        <w:pStyle w:val="ListParagraph"/>
        <w:numPr>
          <w:ilvl w:val="0"/>
          <w:numId w:val="101"/>
        </w:numPr>
        <w:shd w:val="clear" w:color="auto" w:fill="DBE3F7" w:themeFill="text2" w:themeFillTint="1A"/>
        <w:rPr>
          <w:rFonts w:ascii="DM Sans" w:hAnsi="DM Sans"/>
          <w:sz w:val="20"/>
        </w:rPr>
      </w:pPr>
      <w:r w:rsidRPr="00764F6B">
        <w:rPr>
          <w:rFonts w:ascii="DM Sans" w:hAnsi="DM Sans"/>
          <w:sz w:val="20"/>
        </w:rPr>
        <w:t xml:space="preserve">developing enhanced education options, </w:t>
      </w:r>
      <w:r w:rsidR="00902450">
        <w:rPr>
          <w:rFonts w:ascii="DM Sans" w:hAnsi="DM Sans"/>
          <w:sz w:val="20"/>
        </w:rPr>
        <w:t xml:space="preserve">building on courses such as the </w:t>
      </w:r>
      <w:hyperlink r:id="rId32" w:history="1">
        <w:r w:rsidR="00902450">
          <w:rPr>
            <w:rStyle w:val="Hyperlink"/>
            <w:rFonts w:cs="Calibri"/>
          </w:rPr>
          <w:t>Certified Fund Raising Executive (CFRE)</w:t>
        </w:r>
        <w:r w:rsidR="00CC3D6F">
          <w:rPr>
            <w:rStyle w:val="Hyperlink"/>
            <w:rFonts w:cs="Calibri"/>
          </w:rPr>
          <w:t>,</w:t>
        </w:r>
        <w:r w:rsidR="00902450">
          <w:rPr>
            <w:rStyle w:val="Hyperlink"/>
            <w:rFonts w:cs="Calibri"/>
          </w:rPr>
          <w:t xml:space="preserve"> </w:t>
        </w:r>
      </w:hyperlink>
      <w:r w:rsidR="00902450">
        <w:rPr>
          <w:rFonts w:cs="Calibri"/>
        </w:rPr>
        <w:t xml:space="preserve"> with options such as </w:t>
      </w:r>
      <w:r w:rsidRPr="00764F6B">
        <w:rPr>
          <w:rFonts w:ascii="DM Sans" w:hAnsi="DM Sans"/>
          <w:sz w:val="20"/>
        </w:rPr>
        <w:t xml:space="preserve">courses within </w:t>
      </w:r>
      <w:r w:rsidR="00902450">
        <w:rPr>
          <w:rFonts w:ascii="DM Sans" w:hAnsi="DM Sans"/>
          <w:sz w:val="20"/>
        </w:rPr>
        <w:t xml:space="preserve">relevant degrees such as the </w:t>
      </w:r>
      <w:r w:rsidRPr="00764F6B">
        <w:rPr>
          <w:rFonts w:ascii="DM Sans" w:hAnsi="DM Sans"/>
          <w:sz w:val="20"/>
        </w:rPr>
        <w:t>Master or Bachelor of Business</w:t>
      </w:r>
      <w:r w:rsidR="007677D5" w:rsidRPr="00764F6B">
        <w:rPr>
          <w:rFonts w:ascii="DM Sans" w:hAnsi="DM Sans"/>
          <w:sz w:val="20"/>
        </w:rPr>
        <w:t xml:space="preserve">, or discrete </w:t>
      </w:r>
      <w:r w:rsidR="00B24BF8" w:rsidRPr="00764F6B">
        <w:rPr>
          <w:rFonts w:ascii="DM Sans" w:hAnsi="DM Sans"/>
          <w:sz w:val="20"/>
        </w:rPr>
        <w:t xml:space="preserve">undergraduate </w:t>
      </w:r>
      <w:r w:rsidR="007677D5" w:rsidRPr="00764F6B">
        <w:rPr>
          <w:rFonts w:ascii="DM Sans" w:hAnsi="DM Sans"/>
          <w:sz w:val="20"/>
        </w:rPr>
        <w:t xml:space="preserve">degrees, and identifying the most effective training methods, including </w:t>
      </w:r>
      <w:r w:rsidR="00B24BF8" w:rsidRPr="00764F6B">
        <w:rPr>
          <w:rFonts w:ascii="DM Sans" w:hAnsi="DM Sans"/>
          <w:sz w:val="20"/>
        </w:rPr>
        <w:t xml:space="preserve">the potential to combine </w:t>
      </w:r>
      <w:r w:rsidR="006624D3" w:rsidRPr="00764F6B">
        <w:rPr>
          <w:rFonts w:ascii="DM Sans" w:hAnsi="DM Sans"/>
          <w:sz w:val="20"/>
        </w:rPr>
        <w:t xml:space="preserve">theory with </w:t>
      </w:r>
      <w:r w:rsidR="007677D5" w:rsidRPr="00764F6B">
        <w:rPr>
          <w:rFonts w:ascii="DM Sans" w:hAnsi="DM Sans"/>
          <w:sz w:val="20"/>
        </w:rPr>
        <w:t xml:space="preserve">placements within </w:t>
      </w:r>
      <w:r w:rsidR="007C1CB0" w:rsidRPr="00764F6B">
        <w:rPr>
          <w:rFonts w:ascii="DM Sans" w:hAnsi="DM Sans"/>
          <w:sz w:val="20"/>
        </w:rPr>
        <w:t>the charity sector</w:t>
      </w:r>
      <w:r w:rsidR="00764F6B">
        <w:rPr>
          <w:rFonts w:ascii="DM Sans" w:hAnsi="DM Sans"/>
          <w:sz w:val="20"/>
        </w:rPr>
        <w:t>.</w:t>
      </w:r>
    </w:p>
    <w:p w14:paraId="24D2924A" w14:textId="223F4A69" w:rsidR="00773CA8" w:rsidRPr="00764F6B" w:rsidRDefault="00DE2A72" w:rsidP="00A547B7">
      <w:pPr>
        <w:pStyle w:val="ListParagraph"/>
        <w:numPr>
          <w:ilvl w:val="0"/>
          <w:numId w:val="101"/>
        </w:numPr>
        <w:shd w:val="clear" w:color="auto" w:fill="DBE3F7" w:themeFill="text2" w:themeFillTint="1A"/>
        <w:rPr>
          <w:rFonts w:ascii="DM Sans" w:hAnsi="DM Sans"/>
          <w:sz w:val="20"/>
        </w:rPr>
      </w:pPr>
      <w:r>
        <w:rPr>
          <w:rFonts w:ascii="DM Sans" w:hAnsi="DM Sans"/>
          <w:sz w:val="20"/>
        </w:rPr>
        <w:t xml:space="preserve">developing a career structure, with accredited levels linked to </w:t>
      </w:r>
      <w:r w:rsidR="00DC15F6">
        <w:rPr>
          <w:rFonts w:ascii="DM Sans" w:hAnsi="DM Sans"/>
          <w:sz w:val="20"/>
        </w:rPr>
        <w:t>qualifications and experience.</w:t>
      </w:r>
    </w:p>
    <w:p w14:paraId="64EEBA10" w14:textId="00E42B53" w:rsidR="00504E99" w:rsidRPr="00764F6B" w:rsidRDefault="00DC15F6" w:rsidP="00A547B7">
      <w:pPr>
        <w:pStyle w:val="ListParagraph"/>
        <w:numPr>
          <w:ilvl w:val="0"/>
          <w:numId w:val="101"/>
        </w:numPr>
        <w:shd w:val="clear" w:color="auto" w:fill="DBE3F7" w:themeFill="text2" w:themeFillTint="1A"/>
        <w:rPr>
          <w:rFonts w:ascii="DM Sans" w:hAnsi="DM Sans"/>
          <w:sz w:val="20"/>
        </w:rPr>
      </w:pPr>
      <w:r>
        <w:rPr>
          <w:rFonts w:ascii="DM Sans" w:hAnsi="DM Sans"/>
          <w:sz w:val="20"/>
        </w:rPr>
        <w:t>i</w:t>
      </w:r>
      <w:r w:rsidR="00504E99" w:rsidRPr="00764F6B">
        <w:rPr>
          <w:rFonts w:ascii="DM Sans" w:hAnsi="DM Sans"/>
          <w:sz w:val="20"/>
        </w:rPr>
        <w:t xml:space="preserve">ncluding </w:t>
      </w:r>
      <w:r w:rsidR="002F19BF" w:rsidRPr="00764F6B">
        <w:rPr>
          <w:rFonts w:ascii="DM Sans" w:hAnsi="DM Sans"/>
          <w:sz w:val="20"/>
        </w:rPr>
        <w:t>enhanced fundraising modules in governance training, such as the AICD course, so Boards and Executive Teams understand the value of fundraisers and how they can be best deployed.</w:t>
      </w:r>
    </w:p>
    <w:p w14:paraId="64EAF327" w14:textId="77777777" w:rsidR="00A2153F" w:rsidRDefault="00A2153F">
      <w:pPr>
        <w:spacing w:before="200" w:after="200" w:line="260" w:lineRule="atLeast"/>
        <w:rPr>
          <w:rFonts w:ascii="DM Sans" w:hAnsi="DM Sans"/>
          <w:b/>
          <w:bCs/>
          <w:u w:val="single"/>
        </w:rPr>
      </w:pPr>
      <w:r>
        <w:rPr>
          <w:rFonts w:ascii="DM Sans" w:hAnsi="DM Sans"/>
          <w:b/>
          <w:bCs/>
          <w:u w:val="single"/>
        </w:rPr>
        <w:br w:type="page"/>
      </w:r>
    </w:p>
    <w:p w14:paraId="0CACDE2B" w14:textId="43DBDE46" w:rsidR="001C1B09" w:rsidRPr="006E79CC" w:rsidRDefault="001C1B09" w:rsidP="006E79CC">
      <w:pPr>
        <w:shd w:val="clear" w:color="auto" w:fill="DBE3F7" w:themeFill="text2" w:themeFillTint="1A"/>
        <w:rPr>
          <w:rFonts w:ascii="DM Sans" w:hAnsi="DM Sans"/>
          <w:b/>
          <w:bCs/>
        </w:rPr>
      </w:pPr>
      <w:r w:rsidRPr="006E79CC">
        <w:rPr>
          <w:rFonts w:ascii="DM Sans" w:hAnsi="DM Sans"/>
          <w:b/>
          <w:bCs/>
          <w:u w:val="single"/>
        </w:rPr>
        <w:lastRenderedPageBreak/>
        <w:t xml:space="preserve">A </w:t>
      </w:r>
      <w:r w:rsidR="00357540" w:rsidRPr="006E79CC">
        <w:rPr>
          <w:rFonts w:ascii="DM Sans" w:hAnsi="DM Sans"/>
          <w:b/>
          <w:bCs/>
          <w:u w:val="single"/>
        </w:rPr>
        <w:t>better operating environment for charities</w:t>
      </w:r>
      <w:r w:rsidR="00357540" w:rsidRPr="006E79CC">
        <w:rPr>
          <w:rFonts w:ascii="DM Sans" w:hAnsi="DM Sans"/>
          <w:b/>
          <w:bCs/>
        </w:rPr>
        <w:t xml:space="preserve">, including a </w:t>
      </w:r>
      <w:r w:rsidRPr="006E79CC">
        <w:rPr>
          <w:rFonts w:ascii="DM Sans" w:hAnsi="DM Sans"/>
          <w:b/>
          <w:bCs/>
        </w:rPr>
        <w:t>stronger, more equal partnership</w:t>
      </w:r>
      <w:r w:rsidR="00D92103">
        <w:rPr>
          <w:rFonts w:ascii="DM Sans" w:hAnsi="DM Sans"/>
        </w:rPr>
        <w:t>.</w:t>
      </w:r>
    </w:p>
    <w:p w14:paraId="5ED3DCEE" w14:textId="19CCF95E" w:rsidR="001C1B09" w:rsidRPr="00C27804" w:rsidRDefault="001C1B09" w:rsidP="00B255C9">
      <w:pPr>
        <w:numPr>
          <w:ilvl w:val="0"/>
          <w:numId w:val="43"/>
        </w:numPr>
        <w:shd w:val="clear" w:color="auto" w:fill="DBE3F7" w:themeFill="text2" w:themeFillTint="1A"/>
        <w:rPr>
          <w:rFonts w:ascii="DM Sans" w:hAnsi="DM Sans"/>
        </w:rPr>
      </w:pPr>
      <w:r w:rsidRPr="00C27804">
        <w:rPr>
          <w:rFonts w:ascii="DM Sans" w:hAnsi="DM Sans"/>
          <w:b/>
        </w:rPr>
        <w:t xml:space="preserve">Completing the Fix Fundraising agenda.  </w:t>
      </w:r>
      <w:r w:rsidRPr="00C27804">
        <w:rPr>
          <w:rFonts w:ascii="DM Sans" w:hAnsi="DM Sans"/>
        </w:rPr>
        <w:t xml:space="preserve">Creating a single national fundraising regulation regime – to replace the seven different State and Territory sets of rules – would cut costly and time-consuming red tape and enable more funds to go where they are needed most – helping people in need.  </w:t>
      </w:r>
      <w:r w:rsidR="00B461E3">
        <w:rPr>
          <w:rFonts w:ascii="DM Sans" w:hAnsi="DM Sans"/>
        </w:rPr>
        <w:t xml:space="preserve">There is recent momentum for reform, but some states and territories are yet to </w:t>
      </w:r>
      <w:r w:rsidR="003554BF">
        <w:rPr>
          <w:rFonts w:ascii="DM Sans" w:hAnsi="DM Sans"/>
        </w:rPr>
        <w:t xml:space="preserve">deliver on their commitments.  </w:t>
      </w:r>
      <w:r w:rsidR="002E07C4">
        <w:rPr>
          <w:rFonts w:ascii="DM Sans" w:hAnsi="DM Sans"/>
        </w:rPr>
        <w:t xml:space="preserve">A recommendation from the PC could </w:t>
      </w:r>
      <w:r w:rsidR="005A01ED">
        <w:rPr>
          <w:rFonts w:ascii="DM Sans" w:hAnsi="DM Sans"/>
        </w:rPr>
        <w:t xml:space="preserve">help galvanise </w:t>
      </w:r>
      <w:r w:rsidR="004B13A3">
        <w:rPr>
          <w:rFonts w:ascii="DM Sans" w:hAnsi="DM Sans"/>
        </w:rPr>
        <w:t>commitment at a critical time in the reform journey,</w:t>
      </w:r>
      <w:r w:rsidRPr="00C27804">
        <w:rPr>
          <w:rFonts w:ascii="DM Sans" w:hAnsi="DM Sans"/>
        </w:rPr>
        <w:t xml:space="preserve"> ending </w:t>
      </w:r>
      <w:r w:rsidR="004B13A3">
        <w:rPr>
          <w:rFonts w:ascii="DM Sans" w:hAnsi="DM Sans"/>
        </w:rPr>
        <w:t>an episode of</w:t>
      </w:r>
      <w:r w:rsidRPr="00C27804">
        <w:rPr>
          <w:rFonts w:ascii="DM Sans" w:hAnsi="DM Sans"/>
        </w:rPr>
        <w:t xml:space="preserve"> government failure lasting decades that costs charity $15 million a year - money which should be going to support people in need.  </w:t>
      </w:r>
    </w:p>
    <w:p w14:paraId="00CF70FA" w14:textId="77777777" w:rsidR="001C1B09" w:rsidRPr="00C27804" w:rsidRDefault="001C1B09" w:rsidP="00B255C9">
      <w:pPr>
        <w:numPr>
          <w:ilvl w:val="0"/>
          <w:numId w:val="43"/>
        </w:numPr>
        <w:shd w:val="clear" w:color="auto" w:fill="DBE3F7" w:themeFill="text2" w:themeFillTint="1A"/>
        <w:rPr>
          <w:rFonts w:ascii="DM Sans" w:hAnsi="DM Sans"/>
        </w:rPr>
      </w:pPr>
      <w:r w:rsidRPr="00C27804">
        <w:rPr>
          <w:rFonts w:ascii="DM Sans" w:hAnsi="DM Sans"/>
          <w:b/>
        </w:rPr>
        <w:t xml:space="preserve">Reducing red tape:  </w:t>
      </w:r>
      <w:r w:rsidRPr="00C27804">
        <w:rPr>
          <w:rFonts w:ascii="DM Sans" w:hAnsi="DM Sans"/>
        </w:rPr>
        <w:t>The PC found in 2010 there was too much ‘command and control’ by government officials, rather than recognising charities have expertise in how to deliver impact and should be partners in driving change.  This practice remains prevalent today.  The PC recommended: ‘Australian governments should urgently review and streamline their tendering, contracting, reporting and acquittal requirements in the provision of services to reduce compliance costs. This should seek to ensure that the compliance burden associated with these requirements is proportionate to the funding provided and risk involved.’ (Rec 12.7)</w:t>
      </w:r>
    </w:p>
    <w:p w14:paraId="312DEA7B" w14:textId="77777777" w:rsidR="001C1B09" w:rsidRPr="00C27804" w:rsidRDefault="001C1B09" w:rsidP="00B255C9">
      <w:pPr>
        <w:numPr>
          <w:ilvl w:val="0"/>
          <w:numId w:val="43"/>
        </w:numPr>
        <w:shd w:val="clear" w:color="auto" w:fill="DBE3F7" w:themeFill="text2" w:themeFillTint="1A"/>
        <w:rPr>
          <w:rFonts w:ascii="DM Sans" w:hAnsi="DM Sans"/>
        </w:rPr>
      </w:pPr>
      <w:r w:rsidRPr="00C27804">
        <w:rPr>
          <w:rFonts w:ascii="DM Sans" w:hAnsi="DM Sans"/>
          <w:b/>
        </w:rPr>
        <w:t xml:space="preserve">Full funding </w:t>
      </w:r>
      <w:r w:rsidRPr="00C27804">
        <w:rPr>
          <w:rFonts w:ascii="DM Sans" w:hAnsi="DM Sans"/>
        </w:rPr>
        <w:t xml:space="preserve">The PC recommended the government provide full funding to charities for services they would otherwise provide (Rec 11.1) and fully factor in market wage rates, the skills required and appropriate indexation (10.2).  The </w:t>
      </w:r>
      <w:hyperlink r:id="rId33" w:history="1">
        <w:r w:rsidRPr="00C27804">
          <w:rPr>
            <w:rFonts w:ascii="DM Sans" w:hAnsi="DM Sans"/>
            <w:i/>
            <w:iCs/>
            <w:color w:val="3D7EDB" w:themeColor="hyperlink"/>
            <w:u w:val="single"/>
          </w:rPr>
          <w:t>Pay What it Takes</w:t>
        </w:r>
      </w:hyperlink>
      <w:r w:rsidRPr="00C27804">
        <w:rPr>
          <w:rFonts w:ascii="DM Sans" w:hAnsi="DM Sans"/>
        </w:rPr>
        <w:t xml:space="preserve"> campaign has highlighted this issue remains unaddressed.  In 2010, the PC noted: ‘With respect to the NFP workforce, governments should recognise the effect of not paying the full costs of service delivery. Part funding can make it difficult for NFPs to pay competitive wages to attract and retain workers, with the cumulative effects of underinvestment in workers, technology, and planning putting pressure on the quality and sustainability of service delivery. Full funding may be one of the most important steps to address the workforce issues in the relevant human services sectors.’</w:t>
      </w:r>
    </w:p>
    <w:p w14:paraId="49894B59" w14:textId="77777777" w:rsidR="001C1B09" w:rsidRPr="00C27804" w:rsidRDefault="001C1B09" w:rsidP="00B255C9">
      <w:pPr>
        <w:numPr>
          <w:ilvl w:val="0"/>
          <w:numId w:val="43"/>
        </w:numPr>
        <w:shd w:val="clear" w:color="auto" w:fill="DBE3F7" w:themeFill="text2" w:themeFillTint="1A"/>
        <w:rPr>
          <w:rFonts w:ascii="DM Sans" w:hAnsi="DM Sans"/>
        </w:rPr>
      </w:pPr>
      <w:r w:rsidRPr="00C27804">
        <w:rPr>
          <w:rFonts w:ascii="DM Sans" w:hAnsi="DM Sans"/>
          <w:b/>
        </w:rPr>
        <w:t xml:space="preserve">Improving funding certainty:  </w:t>
      </w:r>
      <w:r w:rsidRPr="00C27804">
        <w:rPr>
          <w:rFonts w:ascii="DM Sans" w:hAnsi="DM Sans"/>
        </w:rPr>
        <w:t xml:space="preserve">Too many contracts are for 1-2 years without a clear policy rationale, making it difficult for charities to attract and retain talented staff and plan for the long term.  Resources that could go into service delivery are needlessly wasted on government relations and administration.  As the PC recommended in 2010: </w:t>
      </w:r>
      <w:r w:rsidRPr="00C27804">
        <w:rPr>
          <w:rFonts w:ascii="DM Sans" w:hAnsi="DM Sans"/>
          <w:b/>
        </w:rPr>
        <w:t>‘</w:t>
      </w:r>
      <w:r w:rsidRPr="00C27804">
        <w:rPr>
          <w:rFonts w:ascii="DM Sans" w:hAnsi="DM Sans"/>
        </w:rPr>
        <w:t>The length of service agreements and contracts should reflect the length of the period required to achieve agreed outcomes rather than having arbitrary or standard contract periods.’ (Rec 12.5).</w:t>
      </w:r>
    </w:p>
    <w:p w14:paraId="331C726E" w14:textId="1584C2F8" w:rsidR="001C1B09" w:rsidRPr="00C27804" w:rsidRDefault="001C1B09" w:rsidP="007C427D">
      <w:pPr>
        <w:keepNext/>
        <w:keepLines/>
        <w:spacing w:before="120"/>
        <w:outlineLvl w:val="3"/>
        <w:rPr>
          <w:rFonts w:ascii="DM Sans" w:eastAsiaTheme="majorEastAsia" w:hAnsi="DM Sans" w:cstheme="majorBidi"/>
          <w:b/>
          <w:bCs/>
          <w:iCs/>
          <w:color w:val="3D7EDB" w:themeColor="accent1"/>
          <w:sz w:val="21"/>
        </w:rPr>
      </w:pPr>
      <w:bookmarkStart w:id="14" w:name="_Toc126341225"/>
      <w:r w:rsidRPr="00C27804">
        <w:rPr>
          <w:rFonts w:ascii="DM Sans" w:eastAsiaTheme="majorEastAsia" w:hAnsi="DM Sans" w:cstheme="majorBidi"/>
          <w:b/>
          <w:bCs/>
          <w:iCs/>
          <w:color w:val="3D7EDB" w:themeColor="accent1"/>
          <w:sz w:val="21"/>
        </w:rPr>
        <w:t xml:space="preserve">The Case for </w:t>
      </w:r>
      <w:r w:rsidR="007C427D" w:rsidRPr="00C27804">
        <w:rPr>
          <w:rFonts w:ascii="DM Sans" w:eastAsiaTheme="majorEastAsia" w:hAnsi="DM Sans" w:cstheme="majorBidi"/>
          <w:b/>
          <w:bCs/>
          <w:iCs/>
          <w:color w:val="3D7EDB" w:themeColor="accent1"/>
          <w:sz w:val="21"/>
        </w:rPr>
        <w:t>Reform</w:t>
      </w:r>
    </w:p>
    <w:p w14:paraId="7E926F64" w14:textId="452EA8C0" w:rsidR="00B55357" w:rsidRPr="00016A16" w:rsidRDefault="00C07B43" w:rsidP="00B255C9">
      <w:pPr>
        <w:numPr>
          <w:ilvl w:val="0"/>
          <w:numId w:val="46"/>
        </w:numPr>
        <w:rPr>
          <w:rFonts w:ascii="DM Sans" w:hAnsi="DM Sans"/>
          <w:b/>
        </w:rPr>
      </w:pPr>
      <w:r w:rsidRPr="00016A16">
        <w:rPr>
          <w:rFonts w:ascii="DM Sans" w:hAnsi="DM Sans"/>
          <w:b/>
        </w:rPr>
        <w:t>Measures to strengthen the charity sector are within the Terms of Reference</w:t>
      </w:r>
      <w:r w:rsidR="00547840" w:rsidRPr="00016A16">
        <w:rPr>
          <w:rFonts w:ascii="DM Sans" w:hAnsi="DM Sans"/>
          <w:b/>
        </w:rPr>
        <w:t xml:space="preserve">, and can </w:t>
      </w:r>
      <w:r w:rsidR="00CA71AE" w:rsidRPr="00016A16">
        <w:rPr>
          <w:rFonts w:ascii="DM Sans" w:hAnsi="DM Sans"/>
          <w:b/>
        </w:rPr>
        <w:t xml:space="preserve">improve trust in the sector, encourage more giving and </w:t>
      </w:r>
      <w:r w:rsidR="00547840" w:rsidRPr="00016A16">
        <w:rPr>
          <w:rFonts w:ascii="DM Sans" w:hAnsi="DM Sans"/>
          <w:b/>
        </w:rPr>
        <w:t xml:space="preserve">lift </w:t>
      </w:r>
      <w:r w:rsidR="00D54B92" w:rsidRPr="00016A16">
        <w:rPr>
          <w:rFonts w:ascii="DM Sans" w:hAnsi="DM Sans"/>
          <w:b/>
        </w:rPr>
        <w:t>the effectiveness of giving.</w:t>
      </w:r>
    </w:p>
    <w:p w14:paraId="3CC60F01" w14:textId="26764087" w:rsidR="00413E2F" w:rsidRPr="00016A16" w:rsidRDefault="0096373E" w:rsidP="00B255C9">
      <w:pPr>
        <w:pStyle w:val="ListParagraph"/>
        <w:numPr>
          <w:ilvl w:val="0"/>
          <w:numId w:val="47"/>
        </w:numPr>
        <w:rPr>
          <w:rFonts w:ascii="DM Sans" w:hAnsi="DM Sans"/>
          <w:bCs/>
          <w:sz w:val="20"/>
        </w:rPr>
      </w:pPr>
      <w:r w:rsidRPr="00016A16">
        <w:rPr>
          <w:rFonts w:ascii="DM Sans" w:hAnsi="DM Sans"/>
          <w:bCs/>
          <w:sz w:val="20"/>
        </w:rPr>
        <w:t>Point two of the Terms of Reference</w:t>
      </w:r>
      <w:r w:rsidR="00A75A2F">
        <w:rPr>
          <w:rFonts w:ascii="DM Sans" w:hAnsi="DM Sans"/>
          <w:bCs/>
          <w:sz w:val="20"/>
        </w:rPr>
        <w:t xml:space="preserve"> asks the PC</w:t>
      </w:r>
      <w:r w:rsidRPr="00016A16">
        <w:rPr>
          <w:rFonts w:ascii="DM Sans" w:hAnsi="DM Sans"/>
          <w:bCs/>
          <w:sz w:val="20"/>
        </w:rPr>
        <w:t xml:space="preserve"> to: ‘</w:t>
      </w:r>
      <w:r w:rsidR="00413E2F" w:rsidRPr="00016A16">
        <w:rPr>
          <w:rFonts w:ascii="DM Sans" w:hAnsi="DM Sans"/>
          <w:bCs/>
          <w:sz w:val="20"/>
        </w:rPr>
        <w:t>Identify opportunities to increase philanthropic giving and the extent of their potential impact, including</w:t>
      </w:r>
      <w:r w:rsidRPr="00016A16">
        <w:rPr>
          <w:rFonts w:ascii="DM Sans" w:hAnsi="DM Sans"/>
          <w:bCs/>
          <w:sz w:val="20"/>
        </w:rPr>
        <w:t xml:space="preserve"> … [sub-point (iii)</w:t>
      </w:r>
      <w:r w:rsidR="00EE5C5B" w:rsidRPr="00016A16">
        <w:rPr>
          <w:rFonts w:ascii="DM Sans" w:hAnsi="DM Sans"/>
          <w:bCs/>
          <w:sz w:val="20"/>
        </w:rPr>
        <w:t xml:space="preserve">] </w:t>
      </w:r>
      <w:r w:rsidR="00413E2F" w:rsidRPr="00016A16">
        <w:rPr>
          <w:rFonts w:ascii="DM Sans" w:hAnsi="DM Sans"/>
          <w:bCs/>
          <w:sz w:val="20"/>
        </w:rPr>
        <w:t>The potential to increase philanthropy by enhancing the effectiveness and efficiency of the use of donations.</w:t>
      </w:r>
      <w:r w:rsidR="00EE5C5B" w:rsidRPr="00016A16">
        <w:rPr>
          <w:rFonts w:ascii="DM Sans" w:hAnsi="DM Sans"/>
          <w:bCs/>
          <w:sz w:val="20"/>
        </w:rPr>
        <w:t>’</w:t>
      </w:r>
    </w:p>
    <w:p w14:paraId="5D3FE41D" w14:textId="5C34D9A6" w:rsidR="00413E2F" w:rsidRPr="00016A16" w:rsidRDefault="00934BC0" w:rsidP="00B255C9">
      <w:pPr>
        <w:pStyle w:val="ListParagraph"/>
        <w:numPr>
          <w:ilvl w:val="0"/>
          <w:numId w:val="47"/>
        </w:numPr>
        <w:rPr>
          <w:rFonts w:ascii="DM Sans" w:hAnsi="DM Sans"/>
          <w:bCs/>
          <w:sz w:val="20"/>
        </w:rPr>
      </w:pPr>
      <w:r w:rsidRPr="00016A16">
        <w:rPr>
          <w:rFonts w:ascii="DM Sans" w:hAnsi="DM Sans"/>
          <w:bCs/>
          <w:sz w:val="20"/>
        </w:rPr>
        <w:t>The draft report spends considerable time identifying how to strengthen regulation or its application on the charity sector</w:t>
      </w:r>
      <w:r w:rsidR="00037F38" w:rsidRPr="00016A16">
        <w:rPr>
          <w:rFonts w:ascii="DM Sans" w:hAnsi="DM Sans"/>
          <w:bCs/>
          <w:sz w:val="20"/>
        </w:rPr>
        <w:t>, noting this is important to maintaining trust in the charity sector – an important component of encouraging giving and ensuring it is effective.</w:t>
      </w:r>
    </w:p>
    <w:p w14:paraId="613F4B81" w14:textId="17F63F10" w:rsidR="00F869E8" w:rsidRPr="00016A16" w:rsidRDefault="009F293F" w:rsidP="00A84025">
      <w:pPr>
        <w:pStyle w:val="ListParagraph"/>
        <w:numPr>
          <w:ilvl w:val="0"/>
          <w:numId w:val="47"/>
        </w:numPr>
        <w:rPr>
          <w:rFonts w:ascii="DM Sans" w:hAnsi="DM Sans"/>
          <w:b/>
          <w:sz w:val="20"/>
        </w:rPr>
      </w:pPr>
      <w:r>
        <w:rPr>
          <w:rFonts w:ascii="DM Sans" w:hAnsi="DM Sans"/>
          <w:sz w:val="20"/>
        </w:rPr>
        <w:t xml:space="preserve">The measures </w:t>
      </w:r>
      <w:r w:rsidR="00A84025">
        <w:rPr>
          <w:rFonts w:ascii="DM Sans" w:hAnsi="DM Sans"/>
          <w:sz w:val="20"/>
        </w:rPr>
        <w:t>PA identifies above can complement the role of regulation in building trust</w:t>
      </w:r>
      <w:r w:rsidR="002A4163">
        <w:rPr>
          <w:rFonts w:ascii="DM Sans" w:hAnsi="DM Sans"/>
          <w:sz w:val="20"/>
        </w:rPr>
        <w:t xml:space="preserve"> in the charity sector, and lifting its efficiency and effectiveness.</w:t>
      </w:r>
    </w:p>
    <w:p w14:paraId="00D8BD1E" w14:textId="50EFDDCD" w:rsidR="00C07B43" w:rsidRPr="00016A16" w:rsidRDefault="00DE236C" w:rsidP="008E7E41">
      <w:pPr>
        <w:pStyle w:val="ListParagraph"/>
        <w:numPr>
          <w:ilvl w:val="0"/>
          <w:numId w:val="47"/>
        </w:numPr>
        <w:spacing w:after="120"/>
        <w:ind w:left="357" w:hanging="357"/>
        <w:rPr>
          <w:rFonts w:ascii="DM Sans" w:hAnsi="DM Sans"/>
          <w:b/>
          <w:sz w:val="20"/>
        </w:rPr>
      </w:pPr>
      <w:r w:rsidRPr="00016A16">
        <w:rPr>
          <w:rFonts w:ascii="DM Sans" w:hAnsi="DM Sans"/>
          <w:sz w:val="20"/>
        </w:rPr>
        <w:t>As recogni</w:t>
      </w:r>
      <w:r w:rsidR="00753DAC">
        <w:rPr>
          <w:rFonts w:ascii="DM Sans" w:hAnsi="DM Sans"/>
          <w:sz w:val="20"/>
        </w:rPr>
        <w:t>s</w:t>
      </w:r>
      <w:r w:rsidRPr="00016A16">
        <w:rPr>
          <w:rFonts w:ascii="DM Sans" w:hAnsi="DM Sans"/>
          <w:sz w:val="20"/>
        </w:rPr>
        <w:t>ed by the PC in 2010, t</w:t>
      </w:r>
      <w:r w:rsidR="00C07B43" w:rsidRPr="00016A16">
        <w:rPr>
          <w:rFonts w:ascii="DM Sans" w:hAnsi="DM Sans"/>
          <w:sz w:val="20"/>
        </w:rPr>
        <w:t xml:space="preserve">hese measures </w:t>
      </w:r>
      <w:r w:rsidR="000F1AD7" w:rsidRPr="00016A16">
        <w:rPr>
          <w:rFonts w:ascii="DM Sans" w:hAnsi="DM Sans"/>
          <w:sz w:val="20"/>
        </w:rPr>
        <w:t>are properly the role of government</w:t>
      </w:r>
      <w:r w:rsidR="002D3AA2" w:rsidRPr="00016A16">
        <w:rPr>
          <w:rFonts w:ascii="DM Sans" w:hAnsi="DM Sans"/>
          <w:sz w:val="20"/>
        </w:rPr>
        <w:t xml:space="preserve"> as they address areas subject to market failure – such as education and training to build capability</w:t>
      </w:r>
      <w:r w:rsidR="00246620" w:rsidRPr="00016A16">
        <w:rPr>
          <w:rFonts w:ascii="DM Sans" w:hAnsi="DM Sans"/>
          <w:sz w:val="20"/>
        </w:rPr>
        <w:t xml:space="preserve"> – and government failure – </w:t>
      </w:r>
      <w:r w:rsidR="007E2754">
        <w:rPr>
          <w:rFonts w:ascii="DM Sans" w:hAnsi="DM Sans"/>
          <w:sz w:val="20"/>
        </w:rPr>
        <w:t xml:space="preserve">such as </w:t>
      </w:r>
      <w:r w:rsidR="00246620" w:rsidRPr="00016A16">
        <w:rPr>
          <w:rFonts w:ascii="DM Sans" w:hAnsi="DM Sans"/>
          <w:sz w:val="20"/>
        </w:rPr>
        <w:t xml:space="preserve">excessive red tape </w:t>
      </w:r>
      <w:r w:rsidR="00BA4380" w:rsidRPr="00016A16">
        <w:rPr>
          <w:rFonts w:ascii="DM Sans" w:hAnsi="DM Sans"/>
          <w:sz w:val="20"/>
        </w:rPr>
        <w:t xml:space="preserve">and unproductive approaches to partnering and contracting with </w:t>
      </w:r>
      <w:r w:rsidR="00D54B92" w:rsidRPr="00016A16">
        <w:rPr>
          <w:rFonts w:ascii="DM Sans" w:hAnsi="DM Sans"/>
          <w:sz w:val="20"/>
        </w:rPr>
        <w:t>charities.</w:t>
      </w:r>
    </w:p>
    <w:p w14:paraId="40667A06" w14:textId="77777777" w:rsidR="002F07E4" w:rsidRPr="00016A16" w:rsidRDefault="002F07E4" w:rsidP="00B255C9">
      <w:pPr>
        <w:widowControl w:val="0"/>
        <w:numPr>
          <w:ilvl w:val="0"/>
          <w:numId w:val="46"/>
        </w:numPr>
        <w:autoSpaceDE w:val="0"/>
        <w:autoSpaceDN w:val="0"/>
        <w:adjustRightInd w:val="0"/>
        <w:rPr>
          <w:rFonts w:ascii="DM Sans" w:eastAsia="MS ??" w:hAnsi="DM Sans" w:cs="Arial"/>
          <w:b/>
          <w:lang w:val="en-US" w:eastAsia="en-US"/>
        </w:rPr>
      </w:pPr>
      <w:bookmarkStart w:id="15" w:name="_Toc126341228"/>
      <w:r w:rsidRPr="00016A16">
        <w:rPr>
          <w:rFonts w:ascii="DM Sans" w:eastAsia="MS ??" w:hAnsi="DM Sans" w:cs="Arial"/>
          <w:b/>
          <w:lang w:val="en-US" w:eastAsia="en-US"/>
        </w:rPr>
        <w:t xml:space="preserve">Stronger capability and impact will lift national giving by giving donors confidence their donations will make a difference.  </w:t>
      </w:r>
      <w:bookmarkEnd w:id="15"/>
    </w:p>
    <w:p w14:paraId="366413F8" w14:textId="77777777" w:rsidR="002F07E4" w:rsidRPr="00016A16" w:rsidRDefault="002F07E4" w:rsidP="00B255C9">
      <w:pPr>
        <w:numPr>
          <w:ilvl w:val="0"/>
          <w:numId w:val="45"/>
        </w:numPr>
        <w:rPr>
          <w:rFonts w:ascii="DM Sans" w:hAnsi="DM Sans"/>
        </w:rPr>
      </w:pPr>
      <w:bookmarkStart w:id="16" w:name="_Toc126341229"/>
      <w:r w:rsidRPr="00016A16">
        <w:rPr>
          <w:rFonts w:ascii="DM Sans" w:eastAsia="Calibri" w:hAnsi="DM Sans"/>
        </w:rPr>
        <w:t>Polling</w:t>
      </w:r>
      <w:r w:rsidRPr="00016A16">
        <w:rPr>
          <w:rFonts w:ascii="DM Sans" w:hAnsi="DM Sans"/>
        </w:rPr>
        <w:t xml:space="preserve"> and focus groups conducted by Redbridge in late 2022 showed that while there is substantial support for the work of charities, including a view that they can spend money more flexibly and effectively than government, there remains some caution about the transparency of donations.</w:t>
      </w:r>
      <w:bookmarkEnd w:id="16"/>
    </w:p>
    <w:p w14:paraId="385ED820" w14:textId="77777777" w:rsidR="002F07E4" w:rsidRPr="00016A16" w:rsidRDefault="002F07E4" w:rsidP="003B0BB7">
      <w:pPr>
        <w:shd w:val="clear" w:color="auto" w:fill="E5F6F3" w:themeFill="accent3" w:themeFillTint="33"/>
        <w:ind w:left="340"/>
        <w:rPr>
          <w:rFonts w:ascii="DM Sans" w:hAnsi="DM Sans"/>
          <w:iCs/>
        </w:rPr>
      </w:pPr>
      <w:bookmarkStart w:id="17" w:name="_Toc126341230"/>
      <w:bookmarkStart w:id="18" w:name="_Hlk126135477"/>
      <w:r w:rsidRPr="00016A16">
        <w:rPr>
          <w:rFonts w:ascii="DM Sans" w:hAnsi="DM Sans"/>
          <w:iCs/>
        </w:rPr>
        <w:lastRenderedPageBreak/>
        <w:t>“For financial donations, how do we know where it's going? How do we know how it's helping?”</w:t>
      </w:r>
      <w:bookmarkEnd w:id="17"/>
      <w:r w:rsidRPr="00016A16">
        <w:rPr>
          <w:rFonts w:ascii="DM Sans" w:hAnsi="DM Sans"/>
          <w:iCs/>
        </w:rPr>
        <w:t xml:space="preserve"> </w:t>
      </w:r>
    </w:p>
    <w:p w14:paraId="299624F5" w14:textId="77777777" w:rsidR="002F07E4" w:rsidRPr="00016A16" w:rsidRDefault="002F07E4" w:rsidP="003B0BB7">
      <w:pPr>
        <w:shd w:val="clear" w:color="auto" w:fill="E5F6F3" w:themeFill="accent3" w:themeFillTint="33"/>
        <w:ind w:left="340"/>
        <w:rPr>
          <w:rFonts w:ascii="DM Sans" w:hAnsi="DM Sans"/>
          <w:iCs/>
        </w:rPr>
      </w:pPr>
      <w:bookmarkStart w:id="19" w:name="_Toc126341231"/>
      <w:r w:rsidRPr="00016A16">
        <w:rPr>
          <w:rFonts w:ascii="DM Sans" w:hAnsi="DM Sans"/>
          <w:iCs/>
        </w:rPr>
        <w:t>“I like to donate to an organisation that has a good profile and reputation and to be able to see where the money is going,”</w:t>
      </w:r>
      <w:bookmarkEnd w:id="19"/>
      <w:r w:rsidRPr="00016A16">
        <w:rPr>
          <w:rFonts w:ascii="DM Sans" w:hAnsi="DM Sans"/>
          <w:iCs/>
        </w:rPr>
        <w:t xml:space="preserve"> </w:t>
      </w:r>
    </w:p>
    <w:p w14:paraId="0014A2F9" w14:textId="77777777" w:rsidR="002F07E4" w:rsidRPr="00016A16" w:rsidRDefault="002F07E4" w:rsidP="003B0BB7">
      <w:pPr>
        <w:shd w:val="clear" w:color="auto" w:fill="E5F6F3" w:themeFill="accent3" w:themeFillTint="33"/>
        <w:ind w:left="340"/>
        <w:rPr>
          <w:rFonts w:ascii="DM Sans" w:hAnsi="DM Sans"/>
          <w:iCs/>
        </w:rPr>
      </w:pPr>
      <w:bookmarkStart w:id="20" w:name="_Toc126341232"/>
      <w:r w:rsidRPr="00016A16">
        <w:rPr>
          <w:rFonts w:ascii="DM Sans" w:hAnsi="DM Sans"/>
          <w:iCs/>
        </w:rPr>
        <w:t>“Knowing the organisation or the cause [is important]. I like to have confidence in the organisation, a brand I can trust.”</w:t>
      </w:r>
      <w:bookmarkEnd w:id="20"/>
      <w:r w:rsidRPr="00016A16">
        <w:rPr>
          <w:rFonts w:ascii="DM Sans" w:hAnsi="DM Sans"/>
          <w:iCs/>
        </w:rPr>
        <w:t xml:space="preserve"> </w:t>
      </w:r>
      <w:bookmarkEnd w:id="18"/>
    </w:p>
    <w:p w14:paraId="32BCE760" w14:textId="77777777" w:rsidR="002F07E4" w:rsidRPr="00016A16" w:rsidRDefault="002F07E4" w:rsidP="00B255C9">
      <w:pPr>
        <w:widowControl w:val="0"/>
        <w:numPr>
          <w:ilvl w:val="0"/>
          <w:numId w:val="45"/>
        </w:numPr>
        <w:autoSpaceDE w:val="0"/>
        <w:autoSpaceDN w:val="0"/>
        <w:adjustRightInd w:val="0"/>
        <w:rPr>
          <w:rFonts w:ascii="DM Sans" w:eastAsia="MS ??" w:hAnsi="DM Sans" w:cs="Arial"/>
          <w:lang w:val="en-US" w:eastAsia="en-US"/>
        </w:rPr>
      </w:pPr>
      <w:r w:rsidRPr="00016A16">
        <w:rPr>
          <w:rFonts w:ascii="DM Sans" w:eastAsia="MS ??" w:hAnsi="DM Sans" w:cs="Arial"/>
          <w:lang w:val="en-US" w:eastAsia="en-US"/>
        </w:rPr>
        <w:t xml:space="preserve">A stronger charity sector will give donors increased confidence to give, knowing their donation will deliver impact. </w:t>
      </w:r>
    </w:p>
    <w:p w14:paraId="655EC711" w14:textId="086AA6EC" w:rsidR="001C1B09" w:rsidRPr="00016A16" w:rsidRDefault="001C1B09" w:rsidP="00B255C9">
      <w:pPr>
        <w:numPr>
          <w:ilvl w:val="0"/>
          <w:numId w:val="46"/>
        </w:numPr>
        <w:rPr>
          <w:rFonts w:ascii="DM Sans" w:hAnsi="DM Sans"/>
          <w:b/>
        </w:rPr>
      </w:pPr>
      <w:r w:rsidRPr="00016A16">
        <w:rPr>
          <w:rFonts w:ascii="DM Sans" w:hAnsi="DM Sans"/>
          <w:b/>
        </w:rPr>
        <w:t xml:space="preserve">The charity sector </w:t>
      </w:r>
      <w:bookmarkEnd w:id="14"/>
      <w:r w:rsidRPr="00016A16">
        <w:rPr>
          <w:rFonts w:ascii="DM Sans" w:hAnsi="DM Sans"/>
          <w:b/>
        </w:rPr>
        <w:t>plays a massive role creating a stronger, more equal society and a more sustainable environment.</w:t>
      </w:r>
    </w:p>
    <w:p w14:paraId="0007C09B" w14:textId="77777777" w:rsidR="001C1B09" w:rsidRPr="00016A16" w:rsidRDefault="001C1B09" w:rsidP="00B255C9">
      <w:pPr>
        <w:numPr>
          <w:ilvl w:val="0"/>
          <w:numId w:val="45"/>
        </w:numPr>
        <w:rPr>
          <w:rFonts w:ascii="DM Sans" w:eastAsia="Calibri" w:hAnsi="DM Sans"/>
        </w:rPr>
      </w:pPr>
      <w:r w:rsidRPr="00016A16">
        <w:rPr>
          <w:rFonts w:ascii="DM Sans" w:eastAsia="Calibri" w:hAnsi="DM Sans"/>
        </w:rPr>
        <w:t xml:space="preserve">Our charities big and small – like the Royal Flying Doctor Service, Smith Family, Fred Hollows and Foodbank - help millions of people in need every year and work across every area of social policy.  Charities like the Australian Conservation Foundation and The Wilderness Society help preserve our natural environment.  Where would we be without our great Australian charities?  </w:t>
      </w:r>
    </w:p>
    <w:p w14:paraId="44749D3A" w14:textId="77777777" w:rsidR="001C1B09" w:rsidRPr="00016A16" w:rsidRDefault="001C1B09" w:rsidP="00B255C9">
      <w:pPr>
        <w:numPr>
          <w:ilvl w:val="0"/>
          <w:numId w:val="46"/>
        </w:numPr>
        <w:rPr>
          <w:rFonts w:ascii="DM Sans" w:eastAsia="Calibri" w:hAnsi="DM Sans"/>
          <w:b/>
          <w:bCs/>
        </w:rPr>
      </w:pPr>
      <w:r w:rsidRPr="00016A16">
        <w:rPr>
          <w:rFonts w:ascii="DM Sans" w:eastAsia="Calibri" w:hAnsi="DM Sans"/>
          <w:b/>
          <w:bCs/>
        </w:rPr>
        <w:t>Lifting productivity and impact.</w:t>
      </w:r>
    </w:p>
    <w:p w14:paraId="48C08646" w14:textId="70BEFA68" w:rsidR="001C1B09" w:rsidRPr="00016A16" w:rsidRDefault="001C1B09" w:rsidP="00B255C9">
      <w:pPr>
        <w:numPr>
          <w:ilvl w:val="0"/>
          <w:numId w:val="45"/>
        </w:numPr>
        <w:rPr>
          <w:rFonts w:ascii="DM Sans" w:eastAsia="Calibri" w:hAnsi="DM Sans"/>
        </w:rPr>
      </w:pPr>
      <w:bookmarkStart w:id="21" w:name="_Toc126341226"/>
      <w:r w:rsidRPr="00016A16">
        <w:rPr>
          <w:rFonts w:ascii="DM Sans" w:eastAsia="Calibri" w:hAnsi="DM Sans"/>
        </w:rPr>
        <w:t xml:space="preserve">The charity sector includes around 60,000 organisations and employs </w:t>
      </w:r>
      <w:r w:rsidR="00720DA8">
        <w:rPr>
          <w:rFonts w:ascii="DM Sans" w:eastAsia="Calibri" w:hAnsi="DM Sans"/>
        </w:rPr>
        <w:t>around</w:t>
      </w:r>
      <w:r w:rsidRPr="00016A16">
        <w:rPr>
          <w:rFonts w:ascii="DM Sans" w:eastAsia="Calibri" w:hAnsi="DM Sans"/>
        </w:rPr>
        <w:t xml:space="preserve"> 11 per cent of the Australian workforce, more than either retail or construction.</w:t>
      </w:r>
      <w:bookmarkEnd w:id="21"/>
      <w:r w:rsidRPr="00016A16">
        <w:rPr>
          <w:rFonts w:ascii="DM Sans" w:eastAsia="Calibri" w:hAnsi="DM Sans"/>
        </w:rPr>
        <w:t xml:space="preserve">  Enhancing the capability of the sector can enhance its critical impact and make a meaningful contribution to national productivity, the key driver of our living standards.  </w:t>
      </w:r>
    </w:p>
    <w:p w14:paraId="2882A25E" w14:textId="77777777" w:rsidR="001C1B09" w:rsidRPr="00016A16" w:rsidRDefault="001C1B09" w:rsidP="00B255C9">
      <w:pPr>
        <w:widowControl w:val="0"/>
        <w:numPr>
          <w:ilvl w:val="0"/>
          <w:numId w:val="46"/>
        </w:numPr>
        <w:autoSpaceDE w:val="0"/>
        <w:autoSpaceDN w:val="0"/>
        <w:adjustRightInd w:val="0"/>
        <w:rPr>
          <w:rFonts w:ascii="DM Sans" w:eastAsia="MS ??" w:hAnsi="DM Sans" w:cs="Arial"/>
          <w:b/>
          <w:bCs/>
          <w:lang w:val="en-US" w:eastAsia="en-US"/>
        </w:rPr>
      </w:pPr>
      <w:r w:rsidRPr="00016A16">
        <w:rPr>
          <w:rFonts w:ascii="DM Sans" w:eastAsia="MS ??" w:hAnsi="DM Sans" w:cs="Arial"/>
          <w:b/>
          <w:bCs/>
          <w:lang w:val="en-US" w:eastAsia="en-US"/>
        </w:rPr>
        <w:t>It’s time for government to be a better partner with charities.</w:t>
      </w:r>
    </w:p>
    <w:p w14:paraId="369BC68B" w14:textId="10482EB9" w:rsidR="001C1B09" w:rsidRPr="00016A16" w:rsidRDefault="001C1B09" w:rsidP="00B255C9">
      <w:pPr>
        <w:widowControl w:val="0"/>
        <w:numPr>
          <w:ilvl w:val="0"/>
          <w:numId w:val="45"/>
        </w:numPr>
        <w:autoSpaceDE w:val="0"/>
        <w:autoSpaceDN w:val="0"/>
        <w:adjustRightInd w:val="0"/>
        <w:rPr>
          <w:rFonts w:ascii="DM Sans" w:eastAsia="MS ??" w:hAnsi="DM Sans" w:cs="Arial"/>
          <w:lang w:val="en-US" w:eastAsia="en-US"/>
        </w:rPr>
      </w:pPr>
      <w:r w:rsidRPr="00016A16">
        <w:rPr>
          <w:rFonts w:ascii="DM Sans" w:eastAsia="MS ??" w:hAnsi="DM Sans" w:cs="Arial"/>
          <w:lang w:val="en-US" w:eastAsia="en-US"/>
        </w:rPr>
        <w:t>As numerous reports have shown, for too long governments have not been the best possible partners to Australia’s charities.  There has been too much ‘command and control’, rather than partnering in ways that recogni</w:t>
      </w:r>
      <w:r w:rsidR="0073580F">
        <w:rPr>
          <w:rFonts w:ascii="DM Sans" w:eastAsia="MS ??" w:hAnsi="DM Sans" w:cs="Arial"/>
          <w:lang w:val="en-US" w:eastAsia="en-US"/>
        </w:rPr>
        <w:t>s</w:t>
      </w:r>
      <w:r w:rsidRPr="00016A16">
        <w:rPr>
          <w:rFonts w:ascii="DM Sans" w:eastAsia="MS ??" w:hAnsi="DM Sans" w:cs="Arial"/>
          <w:lang w:val="en-US" w:eastAsia="en-US"/>
        </w:rPr>
        <w:t xml:space="preserve">e charities know a lot about how to have </w:t>
      </w:r>
      <w:proofErr w:type="gramStart"/>
      <w:r w:rsidRPr="00016A16">
        <w:rPr>
          <w:rFonts w:ascii="DM Sans" w:eastAsia="MS ??" w:hAnsi="DM Sans" w:cs="Arial"/>
          <w:lang w:val="en-US" w:eastAsia="en-US"/>
        </w:rPr>
        <w:t>impact</w:t>
      </w:r>
      <w:proofErr w:type="gramEnd"/>
      <w:r w:rsidRPr="00016A16">
        <w:rPr>
          <w:rFonts w:ascii="DM Sans" w:eastAsia="MS ??" w:hAnsi="DM Sans" w:cs="Arial"/>
          <w:lang w:val="en-US" w:eastAsia="en-US"/>
        </w:rPr>
        <w:t xml:space="preserve">.  Inconsistent fundraising regimes across states have persisted for decades, costing charities dearly, without being resolved.  Governments continue to issue contracts without paying full costs for service provision, and regularly provide short-term contract extensions, leaving charities in constant fear of being </w:t>
      </w:r>
      <w:proofErr w:type="gramStart"/>
      <w:r w:rsidRPr="00016A16">
        <w:rPr>
          <w:rFonts w:ascii="DM Sans" w:eastAsia="MS ??" w:hAnsi="DM Sans" w:cs="Arial"/>
          <w:lang w:val="en-US" w:eastAsia="en-US"/>
        </w:rPr>
        <w:t>closed down</w:t>
      </w:r>
      <w:proofErr w:type="gramEnd"/>
      <w:r w:rsidRPr="00016A16">
        <w:rPr>
          <w:rFonts w:ascii="DM Sans" w:eastAsia="MS ??" w:hAnsi="DM Sans" w:cs="Arial"/>
          <w:lang w:val="en-US" w:eastAsia="en-US"/>
        </w:rPr>
        <w:t xml:space="preserve">, unable to retain great staff and plan for the future.   These issues can readily be fixed.  The time for action is long past due.  </w:t>
      </w:r>
    </w:p>
    <w:p w14:paraId="111C8689" w14:textId="77777777" w:rsidR="001C1B09" w:rsidRPr="00C27804" w:rsidRDefault="001C1B09" w:rsidP="001C1B09">
      <w:pPr>
        <w:rPr>
          <w:rFonts w:ascii="DM Sans" w:eastAsiaTheme="majorEastAsia" w:hAnsi="DM Sans" w:cstheme="majorBidi"/>
          <w:b/>
          <w:bCs/>
          <w:color w:val="3D7EDB" w:themeColor="accent1"/>
        </w:rPr>
      </w:pPr>
      <w:r w:rsidRPr="00C27804">
        <w:rPr>
          <w:rFonts w:ascii="DM Sans" w:hAnsi="DM Sans"/>
        </w:rPr>
        <w:br w:type="page"/>
      </w:r>
    </w:p>
    <w:p w14:paraId="0A88A933" w14:textId="3CCD0640" w:rsidR="001C1272" w:rsidRPr="00C27804" w:rsidRDefault="001C1272" w:rsidP="00A547B7">
      <w:pPr>
        <w:pStyle w:val="Heading2"/>
        <w:numPr>
          <w:ilvl w:val="1"/>
          <w:numId w:val="95"/>
        </w:numPr>
        <w:rPr>
          <w:rFonts w:ascii="DM Sans" w:hAnsi="DM Sans"/>
        </w:rPr>
      </w:pPr>
      <w:bookmarkStart w:id="22" w:name="_Toc158381891"/>
      <w:r w:rsidRPr="00C27804">
        <w:rPr>
          <w:rFonts w:ascii="DM Sans" w:hAnsi="DM Sans"/>
        </w:rPr>
        <w:lastRenderedPageBreak/>
        <w:t xml:space="preserve">A national giving </w:t>
      </w:r>
      <w:r w:rsidR="0060315A" w:rsidRPr="00C27804">
        <w:rPr>
          <w:rFonts w:ascii="DM Sans" w:hAnsi="DM Sans"/>
        </w:rPr>
        <w:t xml:space="preserve">and volunteering </w:t>
      </w:r>
      <w:r w:rsidRPr="00C27804">
        <w:rPr>
          <w:rFonts w:ascii="DM Sans" w:hAnsi="DM Sans"/>
        </w:rPr>
        <w:t>data set</w:t>
      </w:r>
      <w:bookmarkEnd w:id="22"/>
    </w:p>
    <w:p w14:paraId="496A72B9" w14:textId="77777777" w:rsidR="004B4EE4" w:rsidRPr="00C27804" w:rsidRDefault="004B4EE4" w:rsidP="00FE6C75">
      <w:pPr>
        <w:shd w:val="clear" w:color="auto" w:fill="D8E5F7" w:themeFill="accent1" w:themeFillTint="33"/>
        <w:rPr>
          <w:rFonts w:ascii="DM Sans" w:hAnsi="DM Sans"/>
          <w:b/>
          <w:bCs/>
          <w:color w:val="3D7EDB" w:themeColor="accent1"/>
          <w:sz w:val="24"/>
          <w:szCs w:val="24"/>
        </w:rPr>
      </w:pPr>
      <w:r w:rsidRPr="00C27804">
        <w:rPr>
          <w:rFonts w:ascii="DM Sans" w:hAnsi="DM Sans"/>
          <w:b/>
          <w:bCs/>
          <w:color w:val="3D7EDB" w:themeColor="accent1"/>
          <w:sz w:val="24"/>
          <w:szCs w:val="24"/>
        </w:rPr>
        <w:t>Recommendation</w:t>
      </w:r>
    </w:p>
    <w:p w14:paraId="5EEE6573" w14:textId="2890F562" w:rsidR="001351EA" w:rsidRPr="000E1198" w:rsidRDefault="00A1649E" w:rsidP="000E1198">
      <w:pPr>
        <w:pStyle w:val="BodyText"/>
        <w:numPr>
          <w:ilvl w:val="0"/>
          <w:numId w:val="72"/>
        </w:numPr>
        <w:shd w:val="clear" w:color="auto" w:fill="D8E5F7" w:themeFill="accent1" w:themeFillTint="33"/>
        <w:rPr>
          <w:rFonts w:ascii="DM Sans" w:hAnsi="DM Sans"/>
        </w:rPr>
      </w:pPr>
      <w:r w:rsidRPr="00C27804">
        <w:rPr>
          <w:rFonts w:ascii="DM Sans" w:hAnsi="DM Sans"/>
          <w:b/>
          <w:bCs/>
        </w:rPr>
        <w:t>The PC</w:t>
      </w:r>
      <w:r w:rsidR="00477829">
        <w:rPr>
          <w:rFonts w:ascii="DM Sans" w:hAnsi="DM Sans"/>
          <w:b/>
          <w:bCs/>
        </w:rPr>
        <w:t xml:space="preserve"> recommend a single agency – such as the ABS </w:t>
      </w:r>
      <w:r w:rsidR="00C80A2A">
        <w:rPr>
          <w:rFonts w:ascii="DM Sans" w:hAnsi="DM Sans"/>
          <w:b/>
          <w:bCs/>
        </w:rPr>
        <w:t>–</w:t>
      </w:r>
      <w:r w:rsidR="00477829">
        <w:rPr>
          <w:rFonts w:ascii="DM Sans" w:hAnsi="DM Sans"/>
          <w:b/>
          <w:bCs/>
        </w:rPr>
        <w:t xml:space="preserve"> </w:t>
      </w:r>
      <w:r w:rsidR="00C80A2A">
        <w:rPr>
          <w:rFonts w:ascii="DM Sans" w:hAnsi="DM Sans"/>
          <w:b/>
          <w:bCs/>
        </w:rPr>
        <w:t>bring together the various data sources on giving into</w:t>
      </w:r>
      <w:r w:rsidR="00E70453" w:rsidRPr="00C27804">
        <w:rPr>
          <w:rFonts w:ascii="DM Sans" w:hAnsi="DM Sans"/>
          <w:b/>
          <w:bCs/>
        </w:rPr>
        <w:t xml:space="preserve"> </w:t>
      </w:r>
      <w:r w:rsidR="005A423B" w:rsidRPr="00C27804">
        <w:rPr>
          <w:rFonts w:ascii="DM Sans" w:hAnsi="DM Sans"/>
          <w:b/>
          <w:bCs/>
        </w:rPr>
        <w:t>a single</w:t>
      </w:r>
      <w:r w:rsidR="007A7318">
        <w:rPr>
          <w:rFonts w:ascii="DM Sans" w:hAnsi="DM Sans"/>
          <w:b/>
          <w:bCs/>
        </w:rPr>
        <w:t>,</w:t>
      </w:r>
      <w:r w:rsidR="005A423B" w:rsidRPr="00C27804">
        <w:rPr>
          <w:rFonts w:ascii="DM Sans" w:hAnsi="DM Sans"/>
          <w:b/>
          <w:bCs/>
        </w:rPr>
        <w:t xml:space="preserve"> comprehensive national data set on total giving and </w:t>
      </w:r>
      <w:r w:rsidR="006A6C71" w:rsidRPr="00C27804">
        <w:rPr>
          <w:rFonts w:ascii="DM Sans" w:hAnsi="DM Sans"/>
          <w:b/>
          <w:bCs/>
        </w:rPr>
        <w:t xml:space="preserve">volunteering and </w:t>
      </w:r>
      <w:r w:rsidR="005A423B" w:rsidRPr="00C27804">
        <w:rPr>
          <w:rFonts w:ascii="DM Sans" w:hAnsi="DM Sans"/>
          <w:b/>
          <w:bCs/>
        </w:rPr>
        <w:t>its key component</w:t>
      </w:r>
      <w:r w:rsidR="006A6C71" w:rsidRPr="00C27804">
        <w:rPr>
          <w:rFonts w:ascii="DM Sans" w:hAnsi="DM Sans"/>
          <w:b/>
          <w:bCs/>
        </w:rPr>
        <w:t>s</w:t>
      </w:r>
      <w:r w:rsidR="005A423B" w:rsidRPr="00C27804">
        <w:rPr>
          <w:rFonts w:ascii="DM Sans" w:hAnsi="DM Sans"/>
          <w:b/>
          <w:bCs/>
        </w:rPr>
        <w:t xml:space="preserve">, </w:t>
      </w:r>
      <w:r w:rsidR="001E4891" w:rsidRPr="00C27804">
        <w:rPr>
          <w:rFonts w:ascii="DM Sans" w:hAnsi="DM Sans"/>
          <w:b/>
          <w:bCs/>
        </w:rPr>
        <w:t>published annually.</w:t>
      </w:r>
      <w:r w:rsidR="005512E7" w:rsidRPr="00C27804">
        <w:rPr>
          <w:rFonts w:ascii="DM Sans" w:hAnsi="DM Sans"/>
        </w:rPr>
        <w:t xml:space="preserve">  </w:t>
      </w:r>
    </w:p>
    <w:p w14:paraId="59987918" w14:textId="4648F48A" w:rsidR="004B4EE4" w:rsidRPr="00C27804" w:rsidRDefault="00BE1F20" w:rsidP="00C67F2E">
      <w:pPr>
        <w:keepNext/>
        <w:keepLines/>
        <w:spacing w:before="120"/>
        <w:outlineLvl w:val="3"/>
        <w:rPr>
          <w:rFonts w:ascii="DM Sans" w:eastAsiaTheme="majorEastAsia" w:hAnsi="DM Sans" w:cstheme="majorBidi"/>
          <w:b/>
          <w:bCs/>
          <w:iCs/>
          <w:color w:val="3D7EDB" w:themeColor="accent1"/>
          <w:sz w:val="21"/>
        </w:rPr>
      </w:pPr>
      <w:r w:rsidRPr="00C27804">
        <w:rPr>
          <w:rFonts w:ascii="DM Sans" w:eastAsiaTheme="majorEastAsia" w:hAnsi="DM Sans" w:cstheme="majorBidi"/>
          <w:b/>
          <w:bCs/>
          <w:iCs/>
          <w:color w:val="3D7EDB" w:themeColor="accent1"/>
          <w:sz w:val="21"/>
        </w:rPr>
        <w:t xml:space="preserve">The Case for </w:t>
      </w:r>
      <w:r w:rsidR="00C67F2E" w:rsidRPr="00C27804">
        <w:rPr>
          <w:rFonts w:ascii="DM Sans" w:eastAsiaTheme="majorEastAsia" w:hAnsi="DM Sans" w:cstheme="majorBidi"/>
          <w:b/>
          <w:bCs/>
          <w:iCs/>
          <w:color w:val="3D7EDB" w:themeColor="accent1"/>
          <w:sz w:val="21"/>
        </w:rPr>
        <w:t>Reform</w:t>
      </w:r>
    </w:p>
    <w:p w14:paraId="51B48B8F" w14:textId="3C6B122D" w:rsidR="00A0122C" w:rsidRPr="00C25209" w:rsidRDefault="00A0122C" w:rsidP="00EE36A3">
      <w:pPr>
        <w:pStyle w:val="ListParagraph"/>
        <w:numPr>
          <w:ilvl w:val="3"/>
          <w:numId w:val="25"/>
        </w:numPr>
        <w:spacing w:after="120"/>
        <w:ind w:left="357" w:hanging="357"/>
        <w:rPr>
          <w:rFonts w:ascii="DM Sans" w:hAnsi="DM Sans"/>
          <w:b/>
          <w:bCs/>
          <w:sz w:val="20"/>
        </w:rPr>
      </w:pPr>
      <w:r w:rsidRPr="00C25209">
        <w:rPr>
          <w:rFonts w:ascii="DM Sans" w:hAnsi="DM Sans"/>
          <w:b/>
          <w:bCs/>
          <w:sz w:val="20"/>
        </w:rPr>
        <w:t xml:space="preserve">The Treasurer in the Terms of Reference asked for recommendations for </w:t>
      </w:r>
      <w:r w:rsidR="004414FA">
        <w:rPr>
          <w:rFonts w:ascii="DM Sans" w:hAnsi="DM Sans"/>
          <w:b/>
          <w:bCs/>
          <w:sz w:val="20"/>
        </w:rPr>
        <w:t>better data</w:t>
      </w:r>
      <w:r w:rsidRPr="00C25209">
        <w:rPr>
          <w:rFonts w:ascii="DM Sans" w:hAnsi="DM Sans"/>
          <w:b/>
          <w:bCs/>
          <w:sz w:val="20"/>
        </w:rPr>
        <w:t xml:space="preserve"> on philanthropic giving.</w:t>
      </w:r>
    </w:p>
    <w:p w14:paraId="165AC48B" w14:textId="257ADC2E" w:rsidR="00A0122C" w:rsidRPr="00C25209" w:rsidRDefault="00A0122C" w:rsidP="00EE36A3">
      <w:pPr>
        <w:pStyle w:val="ListParagraph"/>
        <w:numPr>
          <w:ilvl w:val="0"/>
          <w:numId w:val="22"/>
        </w:numPr>
        <w:spacing w:after="120"/>
        <w:rPr>
          <w:rFonts w:ascii="DM Sans" w:hAnsi="DM Sans"/>
          <w:sz w:val="20"/>
        </w:rPr>
      </w:pPr>
      <w:r w:rsidRPr="00C25209">
        <w:rPr>
          <w:rFonts w:ascii="DM Sans" w:hAnsi="DM Sans"/>
          <w:sz w:val="20"/>
        </w:rPr>
        <w:t>Point 4 of the Terms of Reference is to: ‘Consider the appropriateness of current sources of data related to philanthropic giving, and how databases could be enhanced in a cost-effective manner.’</w:t>
      </w:r>
    </w:p>
    <w:p w14:paraId="2F43F9C0" w14:textId="54677B1A" w:rsidR="00B501EC" w:rsidRPr="001D5F98" w:rsidRDefault="00704BF9" w:rsidP="001D5F98">
      <w:pPr>
        <w:pStyle w:val="ListParagraph"/>
        <w:numPr>
          <w:ilvl w:val="3"/>
          <w:numId w:val="25"/>
        </w:numPr>
        <w:spacing w:after="120"/>
        <w:ind w:left="357" w:hanging="357"/>
        <w:rPr>
          <w:rFonts w:ascii="DM Sans" w:hAnsi="DM Sans"/>
          <w:b/>
          <w:bCs/>
          <w:sz w:val="20"/>
        </w:rPr>
      </w:pPr>
      <w:r>
        <w:rPr>
          <w:rFonts w:ascii="DM Sans" w:hAnsi="DM Sans"/>
          <w:b/>
          <w:bCs/>
          <w:sz w:val="20"/>
        </w:rPr>
        <w:t xml:space="preserve">PA was delighted to see the </w:t>
      </w:r>
      <w:r w:rsidR="00B501EC" w:rsidRPr="00C25209">
        <w:rPr>
          <w:rFonts w:ascii="DM Sans" w:hAnsi="DM Sans"/>
          <w:b/>
          <w:bCs/>
          <w:sz w:val="20"/>
        </w:rPr>
        <w:t xml:space="preserve">PC </w:t>
      </w:r>
      <w:r>
        <w:rPr>
          <w:rFonts w:ascii="DM Sans" w:hAnsi="DM Sans"/>
          <w:b/>
          <w:bCs/>
          <w:sz w:val="20"/>
        </w:rPr>
        <w:t>make</w:t>
      </w:r>
      <w:r w:rsidR="00B501EC" w:rsidRPr="00C25209">
        <w:rPr>
          <w:rFonts w:ascii="DM Sans" w:hAnsi="DM Sans"/>
          <w:b/>
          <w:bCs/>
          <w:sz w:val="20"/>
        </w:rPr>
        <w:t xml:space="preserve"> excellent recommendations to improve data collection.</w:t>
      </w:r>
      <w:r w:rsidR="001D5F98">
        <w:rPr>
          <w:rFonts w:ascii="DM Sans" w:hAnsi="DM Sans"/>
          <w:b/>
          <w:bCs/>
          <w:sz w:val="20"/>
        </w:rPr>
        <w:t xml:space="preserve"> </w:t>
      </w:r>
      <w:r w:rsidR="00B501EC" w:rsidRPr="001D5F98">
        <w:rPr>
          <w:rFonts w:ascii="DM Sans" w:hAnsi="DM Sans"/>
          <w:sz w:val="20"/>
        </w:rPr>
        <w:t>For instance:</w:t>
      </w:r>
      <w:r w:rsidR="00B501EC" w:rsidRPr="001D5F98">
        <w:rPr>
          <w:rFonts w:ascii="DM Sans" w:hAnsi="DM Sans"/>
        </w:rPr>
        <w:t xml:space="preserve"> </w:t>
      </w:r>
    </w:p>
    <w:p w14:paraId="5DD0F425" w14:textId="77777777" w:rsidR="00B501EC" w:rsidRPr="00C25209" w:rsidRDefault="00B501EC" w:rsidP="001D5F98">
      <w:pPr>
        <w:pStyle w:val="ListNumber2"/>
        <w:numPr>
          <w:ilvl w:val="0"/>
          <w:numId w:val="22"/>
        </w:numPr>
        <w:spacing w:before="0" w:after="120" w:line="260" w:lineRule="atLeast"/>
        <w:rPr>
          <w:rFonts w:ascii="DM Sans" w:hAnsi="DM Sans"/>
        </w:rPr>
      </w:pPr>
      <w:r w:rsidRPr="00C25209">
        <w:rPr>
          <w:rFonts w:ascii="DM Sans" w:hAnsi="DM Sans"/>
        </w:rPr>
        <w:t xml:space="preserve">Companies publicly reporting itemised information on their donations of money, </w:t>
      </w:r>
      <w:proofErr w:type="gramStart"/>
      <w:r w:rsidRPr="00C25209">
        <w:rPr>
          <w:rFonts w:ascii="DM Sans" w:hAnsi="DM Sans"/>
        </w:rPr>
        <w:t>goods</w:t>
      </w:r>
      <w:proofErr w:type="gramEnd"/>
      <w:r w:rsidRPr="00C25209">
        <w:rPr>
          <w:rFonts w:ascii="DM Sans" w:hAnsi="DM Sans"/>
        </w:rPr>
        <w:t xml:space="preserve"> and time to entities with deductible gift recipient status (Rec 9.3). </w:t>
      </w:r>
    </w:p>
    <w:p w14:paraId="34330E87" w14:textId="77777777" w:rsidR="00B501EC" w:rsidRPr="00C25209" w:rsidRDefault="00B501EC" w:rsidP="001D5F98">
      <w:pPr>
        <w:pStyle w:val="ListNumber2"/>
        <w:numPr>
          <w:ilvl w:val="0"/>
          <w:numId w:val="22"/>
        </w:numPr>
        <w:spacing w:before="0" w:after="120" w:line="260" w:lineRule="atLeast"/>
        <w:rPr>
          <w:rFonts w:ascii="DM Sans" w:hAnsi="DM Sans"/>
        </w:rPr>
      </w:pPr>
      <w:r w:rsidRPr="00C25209">
        <w:rPr>
          <w:rFonts w:ascii="DM Sans" w:hAnsi="DM Sans"/>
        </w:rPr>
        <w:t>The ATO collecting and publicly reporting public information on corporate giving (Rec 9.3);</w:t>
      </w:r>
    </w:p>
    <w:p w14:paraId="25C117C7" w14:textId="77777777" w:rsidR="00B501EC" w:rsidRPr="00C25209" w:rsidRDefault="00B501EC" w:rsidP="001D5F98">
      <w:pPr>
        <w:pStyle w:val="ListNumber2"/>
        <w:numPr>
          <w:ilvl w:val="0"/>
          <w:numId w:val="22"/>
        </w:numPr>
        <w:spacing w:before="0" w:after="120" w:line="260" w:lineRule="atLeast"/>
        <w:rPr>
          <w:rFonts w:ascii="DM Sans" w:hAnsi="DM Sans"/>
        </w:rPr>
      </w:pPr>
      <w:r w:rsidRPr="00C25209">
        <w:rPr>
          <w:rFonts w:ascii="DM Sans" w:hAnsi="DM Sans"/>
        </w:rPr>
        <w:t>The ACNC collecting and publishing information on bequests (Rec 9.4);</w:t>
      </w:r>
    </w:p>
    <w:p w14:paraId="7BB9F2C0" w14:textId="77777777" w:rsidR="00B501EC" w:rsidRPr="00C25209" w:rsidRDefault="00B501EC" w:rsidP="001D5F98">
      <w:pPr>
        <w:pStyle w:val="ListNumber2"/>
        <w:numPr>
          <w:ilvl w:val="0"/>
          <w:numId w:val="22"/>
        </w:numPr>
        <w:spacing w:before="0" w:after="120" w:line="260" w:lineRule="atLeast"/>
        <w:rPr>
          <w:rFonts w:ascii="DM Sans" w:hAnsi="DM Sans"/>
        </w:rPr>
      </w:pPr>
      <w:r w:rsidRPr="00C25209">
        <w:rPr>
          <w:rFonts w:ascii="DM Sans" w:hAnsi="DM Sans"/>
        </w:rPr>
        <w:t xml:space="preserve">The ABS collecting and publishing more information on volunteering, including to capture informal volunteering and the number of hours spent volunteering (Rec 9.5). </w:t>
      </w:r>
    </w:p>
    <w:p w14:paraId="0620D555" w14:textId="77777777" w:rsidR="00A2669F" w:rsidRDefault="00B124F1" w:rsidP="00EE36A3">
      <w:pPr>
        <w:pStyle w:val="ListParagraph"/>
        <w:numPr>
          <w:ilvl w:val="3"/>
          <w:numId w:val="25"/>
        </w:numPr>
        <w:spacing w:after="120"/>
        <w:ind w:left="357" w:hanging="357"/>
        <w:rPr>
          <w:rFonts w:ascii="DM Sans" w:hAnsi="DM Sans"/>
          <w:b/>
          <w:bCs/>
          <w:sz w:val="20"/>
        </w:rPr>
      </w:pPr>
      <w:r w:rsidRPr="00B124F1">
        <w:rPr>
          <w:rFonts w:ascii="DM Sans" w:hAnsi="DM Sans"/>
          <w:b/>
          <w:bCs/>
          <w:sz w:val="20"/>
        </w:rPr>
        <w:t xml:space="preserve">However, this still leaves multiple agencies reporting on components of data at different times, with no comprehensive ‘single source of truth’ on total national giving and volunteering and its key components.  </w:t>
      </w:r>
    </w:p>
    <w:p w14:paraId="6E217836" w14:textId="4F44CEE1" w:rsidR="00AC5CB1" w:rsidRPr="00457704" w:rsidRDefault="00391B6B" w:rsidP="00A547B7">
      <w:pPr>
        <w:pStyle w:val="ListNumber2"/>
        <w:numPr>
          <w:ilvl w:val="0"/>
          <w:numId w:val="98"/>
        </w:numPr>
        <w:spacing w:before="0" w:after="120" w:line="260" w:lineRule="atLeast"/>
        <w:rPr>
          <w:rFonts w:ascii="DM Sans" w:hAnsi="DM Sans"/>
        </w:rPr>
      </w:pPr>
      <w:r w:rsidRPr="00C25209">
        <w:rPr>
          <w:rFonts w:ascii="DM Sans" w:hAnsi="DM Sans"/>
        </w:rPr>
        <w:t xml:space="preserve">The PC’s recommendations are very welcome, but </w:t>
      </w:r>
      <w:r w:rsidR="00FC7AB8">
        <w:rPr>
          <w:rFonts w:ascii="DM Sans" w:hAnsi="DM Sans"/>
        </w:rPr>
        <w:t xml:space="preserve">would leave our incoherent system for collecting and publishing giving information in place.  In Australia, </w:t>
      </w:r>
      <w:r w:rsidR="00457704">
        <w:rPr>
          <w:rFonts w:ascii="DM Sans" w:hAnsi="DM Sans"/>
        </w:rPr>
        <w:t xml:space="preserve">no </w:t>
      </w:r>
      <w:r w:rsidR="00AC5CB1" w:rsidRPr="00457704">
        <w:rPr>
          <w:rFonts w:ascii="DM Sans" w:hAnsi="DM Sans"/>
          <w:bCs/>
        </w:rPr>
        <w:t xml:space="preserve">single organisation is responsible for bringing together and publishing comprehensive, up-to-date data on philanthropy.  We have numerous reports by numerous public, for-purpose and private organisations on components of philanthropic giving.  As a result, we don’t have a clear, consistent overall picture of philanthropic giving or its components in Australia. </w:t>
      </w:r>
      <w:r w:rsidR="00EC00C8">
        <w:rPr>
          <w:rFonts w:ascii="DM Sans" w:hAnsi="DM Sans"/>
          <w:bCs/>
        </w:rPr>
        <w:t>For instance:</w:t>
      </w:r>
    </w:p>
    <w:p w14:paraId="150DAF00" w14:textId="77777777" w:rsidR="00AC5CB1" w:rsidRDefault="00AC5CB1" w:rsidP="00EE36A3">
      <w:pPr>
        <w:pStyle w:val="ListNumber2"/>
        <w:numPr>
          <w:ilvl w:val="1"/>
          <w:numId w:val="22"/>
        </w:numPr>
        <w:spacing w:before="0" w:after="120" w:line="260" w:lineRule="atLeast"/>
        <w:ind w:left="709"/>
        <w:rPr>
          <w:rFonts w:ascii="DM Sans" w:hAnsi="DM Sans"/>
        </w:rPr>
      </w:pPr>
      <w:r w:rsidRPr="00C25209">
        <w:rPr>
          <w:rFonts w:ascii="DM Sans" w:hAnsi="DM Sans"/>
        </w:rPr>
        <w:t>The ACNC compiles its annual Charities Report from mandatory annual information statements provided by registered charities.</w:t>
      </w:r>
    </w:p>
    <w:p w14:paraId="48FF3E62" w14:textId="77777777" w:rsidR="00AC5CB1" w:rsidRPr="00C25209" w:rsidRDefault="00AC5CB1" w:rsidP="00EE36A3">
      <w:pPr>
        <w:pStyle w:val="ListNumber2"/>
        <w:numPr>
          <w:ilvl w:val="1"/>
          <w:numId w:val="22"/>
        </w:numPr>
        <w:spacing w:before="0" w:after="120" w:line="260" w:lineRule="atLeast"/>
        <w:ind w:left="709"/>
        <w:rPr>
          <w:rFonts w:ascii="DM Sans" w:hAnsi="DM Sans"/>
        </w:rPr>
      </w:pPr>
      <w:r>
        <w:rPr>
          <w:rFonts w:ascii="DM Sans" w:hAnsi="DM Sans"/>
        </w:rPr>
        <w:t>The ABS publishes information on volunteers.</w:t>
      </w:r>
    </w:p>
    <w:p w14:paraId="030915F7" w14:textId="77777777" w:rsidR="00AC5CB1" w:rsidRPr="00C25209" w:rsidRDefault="00AC5CB1" w:rsidP="00EE36A3">
      <w:pPr>
        <w:pStyle w:val="ListNumber2"/>
        <w:numPr>
          <w:ilvl w:val="1"/>
          <w:numId w:val="22"/>
        </w:numPr>
        <w:spacing w:before="0" w:after="120" w:line="260" w:lineRule="atLeast"/>
        <w:ind w:left="709"/>
        <w:rPr>
          <w:rFonts w:ascii="DM Sans" w:hAnsi="DM Sans"/>
        </w:rPr>
      </w:pPr>
      <w:r w:rsidRPr="00C25209">
        <w:rPr>
          <w:rFonts w:ascii="DM Sans" w:hAnsi="DM Sans"/>
        </w:rPr>
        <w:t xml:space="preserve">The </w:t>
      </w:r>
      <w:r>
        <w:rPr>
          <w:rFonts w:ascii="DM Sans" w:hAnsi="DM Sans"/>
        </w:rPr>
        <w:t>ATO</w:t>
      </w:r>
      <w:r w:rsidRPr="00C25209">
        <w:rPr>
          <w:rFonts w:ascii="DM Sans" w:hAnsi="DM Sans"/>
        </w:rPr>
        <w:t xml:space="preserve"> collects data on donations claimed as tax-deductions, such as by individuals, Private Ancillary Funds and Public Ancillary Funds.</w:t>
      </w:r>
    </w:p>
    <w:p w14:paraId="0E9C487A" w14:textId="77777777" w:rsidR="00AC5CB1" w:rsidRPr="00C25209" w:rsidRDefault="00AC5CB1" w:rsidP="00EE36A3">
      <w:pPr>
        <w:pStyle w:val="ListNumber2"/>
        <w:numPr>
          <w:ilvl w:val="1"/>
          <w:numId w:val="22"/>
        </w:numPr>
        <w:spacing w:before="0" w:after="120" w:line="260" w:lineRule="atLeast"/>
        <w:ind w:left="709"/>
        <w:rPr>
          <w:rFonts w:ascii="DM Sans" w:hAnsi="DM Sans"/>
        </w:rPr>
      </w:pPr>
      <w:r w:rsidRPr="00C25209">
        <w:rPr>
          <w:rFonts w:ascii="DM Sans" w:hAnsi="DM Sans"/>
        </w:rPr>
        <w:t xml:space="preserve">Private organisations occasionally step in to provide their own estimates, such as JBWere’s </w:t>
      </w:r>
      <w:r w:rsidRPr="00C25209">
        <w:rPr>
          <w:rFonts w:ascii="DM Sans" w:hAnsi="DM Sans"/>
          <w:i/>
        </w:rPr>
        <w:t xml:space="preserve">Support Report </w:t>
      </w:r>
      <w:r w:rsidRPr="00C25209">
        <w:rPr>
          <w:rFonts w:ascii="DM Sans" w:hAnsi="DM Sans"/>
        </w:rPr>
        <w:t>and</w:t>
      </w:r>
      <w:r w:rsidRPr="00C25209">
        <w:rPr>
          <w:rFonts w:ascii="DM Sans" w:hAnsi="DM Sans"/>
          <w:i/>
        </w:rPr>
        <w:t xml:space="preserve"> Corporate Support Report</w:t>
      </w:r>
      <w:r w:rsidRPr="00C25209">
        <w:rPr>
          <w:rFonts w:ascii="DM Sans" w:hAnsi="DM Sans"/>
        </w:rPr>
        <w:t xml:space="preserve">, or the JBWere-NAB </w:t>
      </w:r>
      <w:r w:rsidRPr="00C25209">
        <w:rPr>
          <w:rFonts w:ascii="DM Sans" w:hAnsi="DM Sans"/>
          <w:i/>
        </w:rPr>
        <w:t>Charitable Giving Index</w:t>
      </w:r>
      <w:r w:rsidRPr="00C25209">
        <w:rPr>
          <w:rFonts w:ascii="DM Sans" w:hAnsi="DM Sans"/>
        </w:rPr>
        <w:t xml:space="preserve">. </w:t>
      </w:r>
    </w:p>
    <w:p w14:paraId="1C951617" w14:textId="77777777" w:rsidR="00AC5CB1" w:rsidRPr="00C25209" w:rsidRDefault="00AC5CB1" w:rsidP="00EE36A3">
      <w:pPr>
        <w:pStyle w:val="ListNumber2"/>
        <w:numPr>
          <w:ilvl w:val="1"/>
          <w:numId w:val="22"/>
        </w:numPr>
        <w:spacing w:before="0" w:after="120" w:line="260" w:lineRule="atLeast"/>
        <w:ind w:left="709"/>
        <w:rPr>
          <w:rFonts w:ascii="DM Sans" w:hAnsi="DM Sans"/>
        </w:rPr>
      </w:pPr>
      <w:r w:rsidRPr="00C25209">
        <w:rPr>
          <w:rFonts w:ascii="DM Sans" w:hAnsi="DM Sans"/>
        </w:rPr>
        <w:t>Sector reports are often commissioned, such as reports by Creative Partnerships Australia on giving trends in the arts.</w:t>
      </w:r>
    </w:p>
    <w:p w14:paraId="1E7D2974" w14:textId="77777777" w:rsidR="00AC5CB1" w:rsidRPr="00C25209" w:rsidRDefault="00AC5CB1" w:rsidP="00EE36A3">
      <w:pPr>
        <w:pStyle w:val="ListNumber2"/>
        <w:numPr>
          <w:ilvl w:val="1"/>
          <w:numId w:val="22"/>
        </w:numPr>
        <w:spacing w:before="0" w:after="120" w:line="260" w:lineRule="atLeast"/>
        <w:ind w:left="709"/>
        <w:rPr>
          <w:rFonts w:ascii="DM Sans" w:hAnsi="DM Sans"/>
        </w:rPr>
      </w:pPr>
      <w:r w:rsidRPr="00C25209">
        <w:rPr>
          <w:rFonts w:ascii="DM Sans" w:hAnsi="DM Sans"/>
        </w:rPr>
        <w:t xml:space="preserve">Significant government publications are periodically commissioned, such as the </w:t>
      </w:r>
      <w:r w:rsidRPr="00C25209">
        <w:rPr>
          <w:rFonts w:ascii="DM Sans" w:hAnsi="DM Sans"/>
          <w:i/>
        </w:rPr>
        <w:t>Giving Australia</w:t>
      </w:r>
      <w:r w:rsidRPr="00C25209">
        <w:rPr>
          <w:rFonts w:ascii="DM Sans" w:hAnsi="DM Sans"/>
        </w:rPr>
        <w:t xml:space="preserve"> reports of 2005 and 2016.</w:t>
      </w:r>
    </w:p>
    <w:p w14:paraId="20DC871A" w14:textId="6A501BDC" w:rsidR="00B124F1" w:rsidRPr="000B13A1" w:rsidRDefault="00B124F1" w:rsidP="000B13A1">
      <w:pPr>
        <w:pStyle w:val="ListParagraph"/>
        <w:numPr>
          <w:ilvl w:val="3"/>
          <w:numId w:val="25"/>
        </w:numPr>
        <w:spacing w:after="120"/>
        <w:ind w:left="357" w:hanging="357"/>
        <w:rPr>
          <w:rFonts w:ascii="DM Sans" w:hAnsi="DM Sans"/>
          <w:b/>
          <w:bCs/>
          <w:sz w:val="20"/>
        </w:rPr>
      </w:pPr>
      <w:r w:rsidRPr="000B13A1">
        <w:rPr>
          <w:rFonts w:ascii="DM Sans" w:hAnsi="DM Sans"/>
          <w:b/>
          <w:bCs/>
          <w:sz w:val="20"/>
        </w:rPr>
        <w:t xml:space="preserve">The next step is to recommend a coherent system for collecting and disseminating consistent comprehensive data and on giving and volunteering, to be published annually.  </w:t>
      </w:r>
    </w:p>
    <w:p w14:paraId="07F297D9" w14:textId="77777777" w:rsidR="002D547A" w:rsidRDefault="002D547A" w:rsidP="00AD3333">
      <w:pPr>
        <w:pStyle w:val="ListNumber2"/>
        <w:numPr>
          <w:ilvl w:val="0"/>
          <w:numId w:val="25"/>
        </w:numPr>
        <w:tabs>
          <w:tab w:val="clear" w:pos="720"/>
        </w:tabs>
        <w:spacing w:before="0" w:after="120" w:line="260" w:lineRule="atLeast"/>
        <w:ind w:left="426"/>
        <w:rPr>
          <w:rFonts w:ascii="DM Sans" w:hAnsi="DM Sans"/>
        </w:rPr>
      </w:pPr>
      <w:r w:rsidRPr="00C25209">
        <w:rPr>
          <w:rFonts w:ascii="DM Sans" w:hAnsi="DM Sans"/>
        </w:rPr>
        <w:t>Philanthropy Australia would like to see the PC recommend one of the key agencies involved be charged with bringing all the data together into a National Giving and Volunteering Data Set, to be published annually.</w:t>
      </w:r>
    </w:p>
    <w:p w14:paraId="4E047B0C" w14:textId="77777777" w:rsidR="006C0AAE" w:rsidRDefault="006C0AAE">
      <w:pPr>
        <w:spacing w:before="200" w:after="200" w:line="260" w:lineRule="atLeast"/>
        <w:rPr>
          <w:rFonts w:ascii="DM Sans" w:eastAsia="MS ??" w:hAnsi="DM Sans" w:cs="Arial"/>
          <w:b/>
          <w:bCs/>
          <w:lang w:val="en-US" w:eastAsia="en-US"/>
        </w:rPr>
      </w:pPr>
      <w:r>
        <w:rPr>
          <w:rFonts w:ascii="DM Sans" w:hAnsi="DM Sans"/>
          <w:b/>
          <w:bCs/>
        </w:rPr>
        <w:br w:type="page"/>
      </w:r>
    </w:p>
    <w:p w14:paraId="60494457" w14:textId="70FA510E" w:rsidR="00AC70EF" w:rsidRDefault="00AC70EF" w:rsidP="00A547B7">
      <w:pPr>
        <w:pStyle w:val="ListParagraph"/>
        <w:numPr>
          <w:ilvl w:val="3"/>
          <w:numId w:val="99"/>
        </w:numPr>
        <w:spacing w:after="120"/>
        <w:ind w:left="357" w:hanging="357"/>
        <w:rPr>
          <w:rFonts w:ascii="DM Sans" w:hAnsi="DM Sans"/>
          <w:b/>
          <w:bCs/>
          <w:sz w:val="20"/>
        </w:rPr>
      </w:pPr>
      <w:r w:rsidRPr="001F0092">
        <w:rPr>
          <w:rFonts w:ascii="DM Sans" w:hAnsi="DM Sans"/>
          <w:b/>
          <w:bCs/>
          <w:sz w:val="20"/>
        </w:rPr>
        <w:lastRenderedPageBreak/>
        <w:t xml:space="preserve">It </w:t>
      </w:r>
      <w:r w:rsidR="0097397C">
        <w:rPr>
          <w:rFonts w:ascii="DM Sans" w:hAnsi="DM Sans"/>
          <w:b/>
          <w:bCs/>
          <w:sz w:val="20"/>
        </w:rPr>
        <w:t>is appropriate for the data to be complied and published by</w:t>
      </w:r>
      <w:r w:rsidRPr="001F0092">
        <w:rPr>
          <w:rFonts w:ascii="DM Sans" w:hAnsi="DM Sans"/>
          <w:b/>
          <w:bCs/>
          <w:sz w:val="20"/>
        </w:rPr>
        <w:t xml:space="preserve"> government</w:t>
      </w:r>
      <w:r w:rsidR="001F0092" w:rsidRPr="0012271F">
        <w:rPr>
          <w:rFonts w:ascii="DM Sans" w:hAnsi="DM Sans"/>
          <w:sz w:val="20"/>
        </w:rPr>
        <w:t>, as:</w:t>
      </w:r>
    </w:p>
    <w:p w14:paraId="519126EB" w14:textId="0EEBF37D" w:rsidR="00093E35" w:rsidRDefault="00093E35" w:rsidP="00A547B7">
      <w:pPr>
        <w:pStyle w:val="ListParagraph"/>
        <w:numPr>
          <w:ilvl w:val="0"/>
          <w:numId w:val="100"/>
        </w:numPr>
        <w:spacing w:after="120"/>
        <w:rPr>
          <w:rFonts w:ascii="DM Sans" w:hAnsi="DM Sans"/>
          <w:sz w:val="20"/>
        </w:rPr>
      </w:pPr>
      <w:r>
        <w:rPr>
          <w:rFonts w:ascii="DM Sans" w:hAnsi="DM Sans"/>
          <w:sz w:val="20"/>
        </w:rPr>
        <w:t xml:space="preserve">The key players collecting the information – ABS, ATO and ACNC – are government agencies and have </w:t>
      </w:r>
      <w:proofErr w:type="gramStart"/>
      <w:r>
        <w:rPr>
          <w:rFonts w:ascii="DM Sans" w:hAnsi="DM Sans"/>
          <w:sz w:val="20"/>
        </w:rPr>
        <w:t>the relevant</w:t>
      </w:r>
      <w:proofErr w:type="gramEnd"/>
      <w:r>
        <w:rPr>
          <w:rFonts w:ascii="DM Sans" w:hAnsi="DM Sans"/>
          <w:sz w:val="20"/>
        </w:rPr>
        <w:t xml:space="preserve"> expertise.</w:t>
      </w:r>
      <w:r w:rsidR="00E53819">
        <w:rPr>
          <w:rFonts w:ascii="DM Sans" w:hAnsi="DM Sans"/>
          <w:sz w:val="20"/>
        </w:rPr>
        <w:t xml:space="preserve">  </w:t>
      </w:r>
      <w:r w:rsidR="001D5F89">
        <w:rPr>
          <w:rFonts w:ascii="DM Sans" w:hAnsi="DM Sans"/>
          <w:sz w:val="20"/>
        </w:rPr>
        <w:t xml:space="preserve">They are trusted by the community.  </w:t>
      </w:r>
      <w:r w:rsidR="00E53819">
        <w:rPr>
          <w:rFonts w:ascii="DM Sans" w:hAnsi="DM Sans"/>
          <w:sz w:val="20"/>
        </w:rPr>
        <w:t>As primarily an aggregation exercise, the work should be able to be accommodated by one of our leading statistical institutions.</w:t>
      </w:r>
    </w:p>
    <w:p w14:paraId="2979BE98" w14:textId="1F394F1E" w:rsidR="000F6DA8" w:rsidRDefault="000F6DA8" w:rsidP="00A547B7">
      <w:pPr>
        <w:pStyle w:val="ListParagraph"/>
        <w:numPr>
          <w:ilvl w:val="0"/>
          <w:numId w:val="100"/>
        </w:numPr>
        <w:spacing w:after="120"/>
        <w:rPr>
          <w:rFonts w:ascii="DM Sans" w:hAnsi="DM Sans"/>
          <w:sz w:val="20"/>
        </w:rPr>
      </w:pPr>
      <w:r>
        <w:rPr>
          <w:rFonts w:ascii="DM Sans" w:hAnsi="DM Sans"/>
          <w:sz w:val="20"/>
        </w:rPr>
        <w:t xml:space="preserve">This information is a public good, of use to policymakers, charities, philanthropists, </w:t>
      </w:r>
      <w:proofErr w:type="gramStart"/>
      <w:r>
        <w:rPr>
          <w:rFonts w:ascii="DM Sans" w:hAnsi="DM Sans"/>
          <w:sz w:val="20"/>
        </w:rPr>
        <w:t>businesses</w:t>
      </w:r>
      <w:proofErr w:type="gramEnd"/>
      <w:r>
        <w:rPr>
          <w:rFonts w:ascii="DM Sans" w:hAnsi="DM Sans"/>
          <w:sz w:val="20"/>
        </w:rPr>
        <w:t xml:space="preserve"> and volunteers right across our society.</w:t>
      </w:r>
      <w:r w:rsidR="00525261">
        <w:rPr>
          <w:rFonts w:ascii="DM Sans" w:hAnsi="DM Sans"/>
          <w:sz w:val="20"/>
        </w:rPr>
        <w:t xml:space="preserve">  Provision of public information in a suite of </w:t>
      </w:r>
      <w:r w:rsidR="00F52705">
        <w:rPr>
          <w:rFonts w:ascii="DM Sans" w:hAnsi="DM Sans"/>
          <w:sz w:val="20"/>
        </w:rPr>
        <w:t xml:space="preserve">economic, </w:t>
      </w:r>
      <w:proofErr w:type="gramStart"/>
      <w:r w:rsidR="00F52705">
        <w:rPr>
          <w:rFonts w:ascii="DM Sans" w:hAnsi="DM Sans"/>
          <w:sz w:val="20"/>
        </w:rPr>
        <w:t>social</w:t>
      </w:r>
      <w:proofErr w:type="gramEnd"/>
      <w:r w:rsidR="00F52705">
        <w:rPr>
          <w:rFonts w:ascii="DM Sans" w:hAnsi="DM Sans"/>
          <w:sz w:val="20"/>
        </w:rPr>
        <w:t xml:space="preserve"> and environmental fields has primarily been the preserve of government.</w:t>
      </w:r>
    </w:p>
    <w:p w14:paraId="7DC5960D" w14:textId="1CFBF365" w:rsidR="000F6DA8" w:rsidRPr="00093E35" w:rsidRDefault="00567F88" w:rsidP="00A547B7">
      <w:pPr>
        <w:pStyle w:val="ListParagraph"/>
        <w:numPr>
          <w:ilvl w:val="0"/>
          <w:numId w:val="100"/>
        </w:numPr>
        <w:spacing w:after="120"/>
        <w:rPr>
          <w:rFonts w:ascii="DM Sans" w:hAnsi="DM Sans"/>
          <w:sz w:val="20"/>
        </w:rPr>
      </w:pPr>
      <w:r>
        <w:rPr>
          <w:rFonts w:ascii="DM Sans" w:hAnsi="DM Sans"/>
          <w:sz w:val="20"/>
        </w:rPr>
        <w:t xml:space="preserve">The Federal Government has greater capacity to fund this work – with annual revenue approaching $700 billion compared to </w:t>
      </w:r>
      <w:r w:rsidR="004E16A3">
        <w:rPr>
          <w:rFonts w:ascii="DM Sans" w:hAnsi="DM Sans"/>
          <w:sz w:val="20"/>
        </w:rPr>
        <w:t>just over $2 billion</w:t>
      </w:r>
      <w:r>
        <w:rPr>
          <w:rFonts w:ascii="DM Sans" w:hAnsi="DM Sans"/>
          <w:sz w:val="20"/>
        </w:rPr>
        <w:t xml:space="preserve"> available </w:t>
      </w:r>
      <w:r w:rsidR="00525261">
        <w:rPr>
          <w:rFonts w:ascii="DM Sans" w:hAnsi="DM Sans"/>
          <w:sz w:val="20"/>
        </w:rPr>
        <w:t xml:space="preserve">for annual distribution from </w:t>
      </w:r>
      <w:r>
        <w:rPr>
          <w:rFonts w:ascii="DM Sans" w:hAnsi="DM Sans"/>
          <w:sz w:val="20"/>
        </w:rPr>
        <w:t>structured philanthropy</w:t>
      </w:r>
      <w:r w:rsidR="00525261">
        <w:rPr>
          <w:rFonts w:ascii="DM Sans" w:hAnsi="DM Sans"/>
          <w:sz w:val="20"/>
        </w:rPr>
        <w:t>.</w:t>
      </w:r>
    </w:p>
    <w:p w14:paraId="70D868B2" w14:textId="338ED9F2" w:rsidR="00E01F75" w:rsidRPr="00445567" w:rsidRDefault="00445567" w:rsidP="00A547B7">
      <w:pPr>
        <w:pStyle w:val="ListParagraph"/>
        <w:numPr>
          <w:ilvl w:val="3"/>
          <w:numId w:val="99"/>
        </w:numPr>
        <w:spacing w:after="120"/>
        <w:ind w:left="357" w:hanging="357"/>
        <w:rPr>
          <w:rFonts w:ascii="DM Sans" w:hAnsi="DM Sans"/>
          <w:b/>
          <w:bCs/>
          <w:sz w:val="20"/>
        </w:rPr>
      </w:pPr>
      <w:r w:rsidRPr="0012271F">
        <w:rPr>
          <w:rFonts w:ascii="DM Sans" w:hAnsi="DM Sans"/>
          <w:b/>
          <w:bCs/>
          <w:sz w:val="20"/>
        </w:rPr>
        <w:t>Better data on giving and volunteering would have considerable benefits, as recognised by the PC</w:t>
      </w:r>
      <w:r w:rsidR="00A17843" w:rsidRPr="00445567">
        <w:rPr>
          <w:rFonts w:ascii="DM Sans" w:hAnsi="DM Sans"/>
          <w:b/>
          <w:bCs/>
          <w:sz w:val="20"/>
        </w:rPr>
        <w:t>.</w:t>
      </w:r>
    </w:p>
    <w:p w14:paraId="5299B441" w14:textId="77777777" w:rsidR="005F1564" w:rsidRPr="00C25209" w:rsidRDefault="005815F2" w:rsidP="00EE36A3">
      <w:pPr>
        <w:pStyle w:val="ListNumber2"/>
        <w:numPr>
          <w:ilvl w:val="0"/>
          <w:numId w:val="22"/>
        </w:numPr>
        <w:spacing w:before="0" w:after="120" w:line="260" w:lineRule="atLeast"/>
        <w:rPr>
          <w:rFonts w:ascii="DM Sans" w:hAnsi="DM Sans"/>
        </w:rPr>
      </w:pPr>
      <w:r w:rsidRPr="00C25209">
        <w:rPr>
          <w:rFonts w:ascii="DM Sans" w:hAnsi="DM Sans"/>
        </w:rPr>
        <w:t xml:space="preserve">It can guide policy, tracking whether Australia is </w:t>
      </w:r>
      <w:r w:rsidR="00B545FD" w:rsidRPr="00C25209">
        <w:rPr>
          <w:rFonts w:ascii="DM Sans" w:hAnsi="DM Sans"/>
        </w:rPr>
        <w:t xml:space="preserve">trending to a more generous and giving nation, and helping to inform whether </w:t>
      </w:r>
      <w:proofErr w:type="gramStart"/>
      <w:r w:rsidR="00B545FD" w:rsidRPr="00C25209">
        <w:rPr>
          <w:rFonts w:ascii="DM Sans" w:hAnsi="DM Sans"/>
        </w:rPr>
        <w:t>particular policy</w:t>
      </w:r>
      <w:proofErr w:type="gramEnd"/>
      <w:r w:rsidR="00B545FD" w:rsidRPr="00C25209">
        <w:rPr>
          <w:rFonts w:ascii="DM Sans" w:hAnsi="DM Sans"/>
        </w:rPr>
        <w:t xml:space="preserve"> measures have been effective in lifting net giving.  </w:t>
      </w:r>
    </w:p>
    <w:p w14:paraId="7F6DBC25" w14:textId="77777777" w:rsidR="000B4442" w:rsidRPr="00C25209" w:rsidRDefault="000B4442" w:rsidP="00EE36A3">
      <w:pPr>
        <w:pStyle w:val="ListNumber2"/>
        <w:numPr>
          <w:ilvl w:val="0"/>
          <w:numId w:val="22"/>
        </w:numPr>
        <w:spacing w:before="0" w:after="120" w:line="260" w:lineRule="atLeast"/>
        <w:rPr>
          <w:rFonts w:ascii="DM Sans" w:hAnsi="DM Sans"/>
        </w:rPr>
      </w:pPr>
      <w:r w:rsidRPr="00C25209">
        <w:rPr>
          <w:rFonts w:ascii="DM Sans" w:hAnsi="DM Sans"/>
        </w:rPr>
        <w:t>Frequent publication of credible data – and the media and public discourse it would produce – would be a low cost, high yield nudge to the Australian community to lift their giving.</w:t>
      </w:r>
    </w:p>
    <w:p w14:paraId="2FD7C2AA" w14:textId="77777777" w:rsidR="000B4442" w:rsidRPr="00C25209" w:rsidRDefault="000B4442" w:rsidP="00EE36A3">
      <w:pPr>
        <w:pStyle w:val="ListNumber3"/>
        <w:numPr>
          <w:ilvl w:val="1"/>
          <w:numId w:val="22"/>
        </w:numPr>
        <w:spacing w:before="0" w:after="120" w:line="260" w:lineRule="atLeast"/>
        <w:ind w:left="709"/>
        <w:rPr>
          <w:rFonts w:ascii="DM Sans" w:hAnsi="DM Sans"/>
        </w:rPr>
      </w:pPr>
      <w:r w:rsidRPr="00C25209">
        <w:rPr>
          <w:rFonts w:ascii="DM Sans" w:hAnsi="DM Sans"/>
        </w:rPr>
        <w:t>Public information on trends in corporate giving would place a spotlight on giving by business and encourage the sector to lift its philanthropic contribution.</w:t>
      </w:r>
    </w:p>
    <w:p w14:paraId="0353CAE7" w14:textId="77777777" w:rsidR="000B4442" w:rsidRPr="00C25209" w:rsidRDefault="000B4442" w:rsidP="00EE36A3">
      <w:pPr>
        <w:pStyle w:val="ListNumber3"/>
        <w:numPr>
          <w:ilvl w:val="1"/>
          <w:numId w:val="22"/>
        </w:numPr>
        <w:spacing w:before="0" w:after="120" w:line="260" w:lineRule="atLeast"/>
        <w:ind w:left="709"/>
        <w:rPr>
          <w:rFonts w:ascii="DM Sans" w:hAnsi="DM Sans"/>
        </w:rPr>
      </w:pPr>
      <w:r w:rsidRPr="00C25209">
        <w:rPr>
          <w:rFonts w:ascii="DM Sans" w:hAnsi="DM Sans"/>
        </w:rPr>
        <w:t>Information on giving trends would position philanthropists to focus their giving to support Australians in greatest need.</w:t>
      </w:r>
    </w:p>
    <w:p w14:paraId="409BBCE9" w14:textId="2E805C06" w:rsidR="000B4442" w:rsidRPr="00C25209" w:rsidRDefault="000B4442" w:rsidP="00EE36A3">
      <w:pPr>
        <w:pStyle w:val="ListNumber3"/>
        <w:numPr>
          <w:ilvl w:val="1"/>
          <w:numId w:val="22"/>
        </w:numPr>
        <w:spacing w:before="0" w:after="120" w:line="260" w:lineRule="atLeast"/>
        <w:ind w:left="709"/>
        <w:rPr>
          <w:rFonts w:ascii="DM Sans" w:hAnsi="DM Sans"/>
        </w:rPr>
      </w:pPr>
      <w:r w:rsidRPr="00C25209">
        <w:rPr>
          <w:rFonts w:ascii="DM Sans" w:hAnsi="DM Sans"/>
        </w:rPr>
        <w:t xml:space="preserve">Charities </w:t>
      </w:r>
      <w:r w:rsidR="00A053A6">
        <w:rPr>
          <w:rFonts w:ascii="DM Sans" w:hAnsi="DM Sans"/>
        </w:rPr>
        <w:t>may</w:t>
      </w:r>
      <w:r w:rsidRPr="00C25209">
        <w:rPr>
          <w:rFonts w:ascii="DM Sans" w:hAnsi="DM Sans"/>
        </w:rPr>
        <w:t xml:space="preserve"> be </w:t>
      </w:r>
      <w:r w:rsidR="001030FC">
        <w:rPr>
          <w:rFonts w:ascii="DM Sans" w:hAnsi="DM Sans"/>
        </w:rPr>
        <w:t>better positioned to</w:t>
      </w:r>
      <w:r w:rsidRPr="00C25209">
        <w:rPr>
          <w:rFonts w:ascii="DM Sans" w:hAnsi="DM Sans"/>
        </w:rPr>
        <w:t xml:space="preserve"> attract support for their high impact initiatives.</w:t>
      </w:r>
    </w:p>
    <w:p w14:paraId="7DCA3F1F" w14:textId="697CBFC7" w:rsidR="00DE07BF" w:rsidRPr="008119BE" w:rsidRDefault="00DE07BF" w:rsidP="00A547B7">
      <w:pPr>
        <w:pStyle w:val="ListParagraph"/>
        <w:numPr>
          <w:ilvl w:val="3"/>
          <w:numId w:val="99"/>
        </w:numPr>
        <w:spacing w:after="120"/>
        <w:ind w:left="357" w:hanging="357"/>
        <w:rPr>
          <w:rFonts w:ascii="DM Sans" w:hAnsi="DM Sans"/>
          <w:b/>
          <w:bCs/>
          <w:sz w:val="20"/>
        </w:rPr>
      </w:pPr>
      <w:r w:rsidRPr="008119BE">
        <w:rPr>
          <w:rFonts w:ascii="DM Sans" w:hAnsi="DM Sans"/>
          <w:b/>
          <w:bCs/>
          <w:sz w:val="20"/>
        </w:rPr>
        <w:t>Developing an overarching, coherent, consistent National Philanthropy Data Set could provide all the data we need more cost effectively.</w:t>
      </w:r>
    </w:p>
    <w:p w14:paraId="52E474D5" w14:textId="5790B184" w:rsidR="00DE07BF" w:rsidRPr="00C25209" w:rsidRDefault="00DE07BF" w:rsidP="00EE36A3">
      <w:pPr>
        <w:pStyle w:val="ListNumber2"/>
        <w:numPr>
          <w:ilvl w:val="0"/>
          <w:numId w:val="22"/>
        </w:numPr>
        <w:spacing w:before="0" w:after="120" w:line="260" w:lineRule="atLeast"/>
        <w:rPr>
          <w:rFonts w:ascii="DM Sans" w:hAnsi="DM Sans"/>
        </w:rPr>
      </w:pPr>
      <w:r w:rsidRPr="00C25209">
        <w:rPr>
          <w:rFonts w:ascii="DM Sans" w:hAnsi="DM Sans"/>
        </w:rPr>
        <w:t xml:space="preserve">The current system has multiple </w:t>
      </w:r>
      <w:r w:rsidR="002909EC" w:rsidRPr="00C25209">
        <w:rPr>
          <w:rFonts w:ascii="DM Sans" w:hAnsi="DM Sans"/>
        </w:rPr>
        <w:t>public</w:t>
      </w:r>
      <w:r w:rsidR="001604E1">
        <w:rPr>
          <w:rFonts w:ascii="DM Sans" w:hAnsi="DM Sans"/>
        </w:rPr>
        <w:t>, for-purpose</w:t>
      </w:r>
      <w:r w:rsidR="002909EC" w:rsidRPr="00C25209">
        <w:rPr>
          <w:rFonts w:ascii="DM Sans" w:hAnsi="DM Sans"/>
        </w:rPr>
        <w:t xml:space="preserve"> and private </w:t>
      </w:r>
      <w:r w:rsidR="00EC0304" w:rsidRPr="00C25209">
        <w:rPr>
          <w:rFonts w:ascii="DM Sans" w:hAnsi="DM Sans"/>
        </w:rPr>
        <w:t>organisations</w:t>
      </w:r>
      <w:r w:rsidRPr="00C25209">
        <w:rPr>
          <w:rFonts w:ascii="DM Sans" w:hAnsi="DM Sans"/>
        </w:rPr>
        <w:t xml:space="preserve"> spending substantial collective amounts to produce partial, incoherent, generally out of date information on philanthropy.</w:t>
      </w:r>
    </w:p>
    <w:p w14:paraId="55F26217" w14:textId="210B78EB" w:rsidR="00736611" w:rsidRPr="001604E1" w:rsidRDefault="001604E1" w:rsidP="001604E1">
      <w:pPr>
        <w:pStyle w:val="BodyText"/>
        <w:numPr>
          <w:ilvl w:val="0"/>
          <w:numId w:val="22"/>
        </w:numPr>
        <w:rPr>
          <w:bCs/>
        </w:rPr>
      </w:pPr>
      <w:r>
        <w:rPr>
          <w:lang w:val="en-US"/>
        </w:rPr>
        <w:t>By obviating the need for numerous additional reports to fill data gaps, the comprehensive data set would deliver better national giving and volunteering information at lower national cost.</w:t>
      </w:r>
    </w:p>
    <w:p w14:paraId="45326796" w14:textId="77777777" w:rsidR="005904AB" w:rsidRPr="00C27804" w:rsidRDefault="005904AB">
      <w:pPr>
        <w:spacing w:before="200" w:after="200" w:line="260" w:lineRule="atLeast"/>
        <w:rPr>
          <w:rFonts w:ascii="DM Sans" w:eastAsiaTheme="majorEastAsia" w:hAnsi="DM Sans" w:cstheme="majorBidi"/>
          <w:b/>
          <w:bCs/>
          <w:color w:val="3D7EDB" w:themeColor="accent1"/>
          <w:sz w:val="24"/>
        </w:rPr>
      </w:pPr>
      <w:r w:rsidRPr="00C27804">
        <w:rPr>
          <w:rFonts w:ascii="DM Sans" w:hAnsi="DM Sans"/>
        </w:rPr>
        <w:br w:type="page"/>
      </w:r>
    </w:p>
    <w:p w14:paraId="19A18A45" w14:textId="66536676" w:rsidR="003A718D" w:rsidRPr="00C27804" w:rsidRDefault="001C1272" w:rsidP="00A547B7">
      <w:pPr>
        <w:pStyle w:val="Heading2"/>
        <w:numPr>
          <w:ilvl w:val="1"/>
          <w:numId w:val="95"/>
        </w:numPr>
        <w:rPr>
          <w:rFonts w:ascii="DM Sans" w:hAnsi="DM Sans"/>
        </w:rPr>
      </w:pPr>
      <w:bookmarkStart w:id="23" w:name="_Toc158381892"/>
      <w:r w:rsidRPr="00C27804">
        <w:rPr>
          <w:rFonts w:ascii="DM Sans" w:hAnsi="DM Sans"/>
        </w:rPr>
        <w:lastRenderedPageBreak/>
        <w:t>Governance arrangements to drive stronger</w:t>
      </w:r>
      <w:r w:rsidR="006136A3" w:rsidRPr="00C27804">
        <w:rPr>
          <w:rFonts w:ascii="DM Sans" w:hAnsi="DM Sans"/>
        </w:rPr>
        <w:t xml:space="preserve"> impact</w:t>
      </w:r>
      <w:bookmarkEnd w:id="23"/>
    </w:p>
    <w:tbl>
      <w:tblPr>
        <w:tblStyle w:val="PullOutTable"/>
        <w:tblW w:w="0" w:type="auto"/>
        <w:tblBorders>
          <w:insideH w:val="single" w:sz="4" w:space="0" w:color="F5F9FD" w:themeColor="background2"/>
          <w:insideV w:val="single" w:sz="4" w:space="0" w:color="F5F9FD" w:themeColor="background2"/>
        </w:tblBorders>
        <w:shd w:val="clear" w:color="auto" w:fill="DBE3F7" w:themeFill="text2" w:themeFillTint="1A"/>
        <w:tblLook w:val="04A0" w:firstRow="1" w:lastRow="0" w:firstColumn="1" w:lastColumn="0" w:noHBand="0" w:noVBand="1"/>
      </w:tblPr>
      <w:tblGrid>
        <w:gridCol w:w="9628"/>
      </w:tblGrid>
      <w:tr w:rsidR="00B14264" w:rsidRPr="00C27804" w14:paraId="0BCF16EB" w14:textId="77777777" w:rsidTr="00A958D5">
        <w:tc>
          <w:tcPr>
            <w:tcW w:w="9628" w:type="dxa"/>
            <w:shd w:val="clear" w:color="auto" w:fill="DBE3F7" w:themeFill="text2" w:themeFillTint="1A"/>
          </w:tcPr>
          <w:p w14:paraId="655635D9" w14:textId="77777777" w:rsidR="00AB1035" w:rsidRPr="00C27804" w:rsidRDefault="00AB1035" w:rsidP="00AB1035">
            <w:pPr>
              <w:pStyle w:val="BodyText"/>
              <w:shd w:val="clear" w:color="auto" w:fill="D8E5F7" w:themeFill="accent1" w:themeFillTint="33"/>
              <w:rPr>
                <w:rFonts w:ascii="DM Sans" w:hAnsi="DM Sans"/>
                <w:b/>
                <w:bCs/>
                <w:color w:val="3D7EDB" w:themeColor="accent1"/>
                <w:sz w:val="24"/>
                <w:szCs w:val="24"/>
              </w:rPr>
            </w:pPr>
            <w:r w:rsidRPr="00C27804">
              <w:rPr>
                <w:rFonts w:ascii="DM Sans" w:hAnsi="DM Sans"/>
                <w:b/>
                <w:bCs/>
                <w:color w:val="3D7EDB" w:themeColor="accent1"/>
                <w:sz w:val="24"/>
                <w:szCs w:val="24"/>
              </w:rPr>
              <w:t>Recommendation</w:t>
            </w:r>
          </w:p>
          <w:p w14:paraId="14CC7C15" w14:textId="5DFA0DFD" w:rsidR="00111897" w:rsidRPr="00C27804" w:rsidRDefault="00B14264" w:rsidP="00B255C9">
            <w:pPr>
              <w:numPr>
                <w:ilvl w:val="0"/>
                <w:numId w:val="38"/>
              </w:numPr>
              <w:spacing w:before="120" w:after="60" w:line="260" w:lineRule="atLeast"/>
              <w:rPr>
                <w:rFonts w:ascii="DM Sans" w:eastAsia="MS ??" w:hAnsi="DM Sans"/>
                <w:b/>
                <w:bCs/>
              </w:rPr>
            </w:pPr>
            <w:r w:rsidRPr="00C27804">
              <w:rPr>
                <w:rFonts w:ascii="DM Sans" w:eastAsia="MS ??" w:hAnsi="DM Sans"/>
                <w:b/>
                <w:bCs/>
              </w:rPr>
              <w:t xml:space="preserve">The PC recommend governance arrangements that </w:t>
            </w:r>
            <w:r w:rsidR="00307C2A" w:rsidRPr="00C27804">
              <w:rPr>
                <w:rFonts w:ascii="DM Sans" w:eastAsia="MS ??" w:hAnsi="DM Sans"/>
                <w:b/>
                <w:bCs/>
              </w:rPr>
              <w:t xml:space="preserve">facilitate regular engagement between government and philanthropy to </w:t>
            </w:r>
            <w:r w:rsidR="00111897" w:rsidRPr="00C27804">
              <w:rPr>
                <w:rFonts w:ascii="DM Sans" w:eastAsia="MS ??" w:hAnsi="DM Sans"/>
                <w:b/>
                <w:bCs/>
              </w:rPr>
              <w:t xml:space="preserve">drive greater social </w:t>
            </w:r>
            <w:r w:rsidR="00307C2A" w:rsidRPr="00C27804">
              <w:rPr>
                <w:rFonts w:ascii="DM Sans" w:eastAsia="MS ??" w:hAnsi="DM Sans"/>
                <w:b/>
                <w:bCs/>
              </w:rPr>
              <w:t>and environmental impact</w:t>
            </w:r>
            <w:r w:rsidR="00A034DF" w:rsidRPr="00C27804">
              <w:rPr>
                <w:rFonts w:ascii="DM Sans" w:eastAsia="MS ??" w:hAnsi="DM Sans"/>
                <w:b/>
                <w:bCs/>
              </w:rPr>
              <w:t>.</w:t>
            </w:r>
          </w:p>
          <w:p w14:paraId="7EFA85BF" w14:textId="77777777" w:rsidR="00446283" w:rsidRPr="00C25209" w:rsidRDefault="005444A8" w:rsidP="00B255C9">
            <w:pPr>
              <w:numPr>
                <w:ilvl w:val="0"/>
                <w:numId w:val="38"/>
              </w:numPr>
              <w:spacing w:before="120" w:after="60" w:line="260" w:lineRule="atLeast"/>
              <w:rPr>
                <w:rFonts w:ascii="DM Sans" w:eastAsia="MS ??" w:hAnsi="DM Sans"/>
                <w:b/>
                <w:bCs/>
              </w:rPr>
            </w:pPr>
            <w:r w:rsidRPr="00C25209">
              <w:rPr>
                <w:rFonts w:ascii="DM Sans" w:eastAsia="MS ??" w:hAnsi="DM Sans"/>
                <w:b/>
                <w:bCs/>
              </w:rPr>
              <w:t xml:space="preserve">As PA suggested in its May Submission, </w:t>
            </w:r>
            <w:r w:rsidR="00CD1B2E" w:rsidRPr="00C25209">
              <w:rPr>
                <w:rFonts w:ascii="DM Sans" w:eastAsia="MS ??" w:hAnsi="DM Sans"/>
                <w:b/>
                <w:bCs/>
              </w:rPr>
              <w:t xml:space="preserve">p.59-61, </w:t>
            </w:r>
            <w:r w:rsidR="00446283" w:rsidRPr="00C25209">
              <w:rPr>
                <w:rFonts w:ascii="DM Sans" w:eastAsia="MS ??" w:hAnsi="DM Sans"/>
                <w:b/>
                <w:bCs/>
              </w:rPr>
              <w:t>this could include:</w:t>
            </w:r>
          </w:p>
          <w:p w14:paraId="2A070D58" w14:textId="7AA18654" w:rsidR="00B14264" w:rsidRPr="00C25209" w:rsidRDefault="006577B4" w:rsidP="00B255C9">
            <w:pPr>
              <w:pStyle w:val="ListParagraph"/>
              <w:numPr>
                <w:ilvl w:val="0"/>
                <w:numId w:val="39"/>
              </w:numPr>
              <w:spacing w:before="120" w:after="60" w:line="260" w:lineRule="atLeast"/>
              <w:rPr>
                <w:rFonts w:ascii="DM Sans" w:hAnsi="DM Sans"/>
                <w:sz w:val="20"/>
              </w:rPr>
            </w:pPr>
            <w:r w:rsidRPr="00C25209">
              <w:rPr>
                <w:rFonts w:ascii="DM Sans" w:hAnsi="DM Sans"/>
                <w:b/>
                <w:bCs/>
                <w:sz w:val="20"/>
              </w:rPr>
              <w:t xml:space="preserve">High level engagement by sector leaders:  </w:t>
            </w:r>
            <w:r w:rsidRPr="00C25209">
              <w:rPr>
                <w:rFonts w:ascii="DM Sans" w:hAnsi="DM Sans"/>
                <w:sz w:val="20"/>
              </w:rPr>
              <w:t xml:space="preserve">For instance, </w:t>
            </w:r>
            <w:r w:rsidR="00AA40DE" w:rsidRPr="00C25209">
              <w:rPr>
                <w:rFonts w:ascii="DM Sans" w:hAnsi="DM Sans"/>
                <w:sz w:val="20"/>
              </w:rPr>
              <w:t xml:space="preserve">a Prime Minister’s (and/or Treasurer’s) Giving Council could include </w:t>
            </w:r>
            <w:r w:rsidR="004C3FE3" w:rsidRPr="00C25209">
              <w:rPr>
                <w:rFonts w:ascii="DM Sans" w:hAnsi="DM Sans"/>
                <w:sz w:val="20"/>
              </w:rPr>
              <w:t xml:space="preserve">2-3 representatives from </w:t>
            </w:r>
            <w:r w:rsidR="00B14264" w:rsidRPr="00C25209">
              <w:rPr>
                <w:rFonts w:ascii="DM Sans" w:hAnsi="DM Sans"/>
                <w:sz w:val="20"/>
              </w:rPr>
              <w:t xml:space="preserve">the four key sectors – government, business, </w:t>
            </w:r>
            <w:proofErr w:type="gramStart"/>
            <w:r w:rsidR="00B14264" w:rsidRPr="00C25209">
              <w:rPr>
                <w:rFonts w:ascii="DM Sans" w:hAnsi="DM Sans"/>
                <w:sz w:val="20"/>
              </w:rPr>
              <w:t>philanthropy</w:t>
            </w:r>
            <w:proofErr w:type="gramEnd"/>
            <w:r w:rsidR="00B14264" w:rsidRPr="00C25209">
              <w:rPr>
                <w:rFonts w:ascii="DM Sans" w:hAnsi="DM Sans"/>
                <w:sz w:val="20"/>
              </w:rPr>
              <w:t xml:space="preserve"> and charity – </w:t>
            </w:r>
            <w:r w:rsidR="004C3FE3" w:rsidRPr="00C25209">
              <w:rPr>
                <w:rFonts w:ascii="DM Sans" w:hAnsi="DM Sans"/>
                <w:sz w:val="20"/>
              </w:rPr>
              <w:t>to</w:t>
            </w:r>
            <w:r w:rsidR="00B14264" w:rsidRPr="00C25209">
              <w:rPr>
                <w:rFonts w:ascii="DM Sans" w:hAnsi="DM Sans"/>
                <w:sz w:val="20"/>
              </w:rPr>
              <w:t xml:space="preserve"> meet annually to discuss progress with the double giving agenda, and outline plans for the coming year.</w:t>
            </w:r>
          </w:p>
          <w:p w14:paraId="593B4CAE" w14:textId="01E9EB4D" w:rsidR="00A63E22" w:rsidRPr="00C25209" w:rsidRDefault="001B6344" w:rsidP="00B255C9">
            <w:pPr>
              <w:pStyle w:val="ListParagraph"/>
              <w:numPr>
                <w:ilvl w:val="0"/>
                <w:numId w:val="39"/>
              </w:numPr>
              <w:spacing w:before="120" w:after="60" w:line="260" w:lineRule="atLeast"/>
              <w:rPr>
                <w:rFonts w:ascii="DM Sans" w:hAnsi="DM Sans"/>
                <w:sz w:val="20"/>
              </w:rPr>
            </w:pPr>
            <w:r>
              <w:rPr>
                <w:rFonts w:ascii="DM Sans" w:hAnsi="DM Sans"/>
                <w:b/>
                <w:bCs/>
                <w:sz w:val="20"/>
              </w:rPr>
              <w:t>P</w:t>
            </w:r>
            <w:r w:rsidR="00A63E22" w:rsidRPr="00C25209">
              <w:rPr>
                <w:rFonts w:ascii="DM Sans" w:hAnsi="DM Sans"/>
                <w:b/>
                <w:bCs/>
                <w:sz w:val="20"/>
              </w:rPr>
              <w:t>ortfolio level engagement</w:t>
            </w:r>
            <w:r w:rsidR="00EC3129" w:rsidRPr="00C25209">
              <w:rPr>
                <w:rFonts w:ascii="DM Sans" w:hAnsi="DM Sans"/>
                <w:b/>
                <w:bCs/>
                <w:sz w:val="20"/>
              </w:rPr>
              <w:t>:</w:t>
            </w:r>
            <w:r w:rsidR="00EC3129" w:rsidRPr="00C25209">
              <w:rPr>
                <w:rFonts w:ascii="DM Sans" w:hAnsi="DM Sans"/>
                <w:sz w:val="20"/>
              </w:rPr>
              <w:t xml:space="preserve"> Responsible Ministers </w:t>
            </w:r>
            <w:r w:rsidR="00C85621" w:rsidRPr="00C25209">
              <w:rPr>
                <w:rFonts w:ascii="DM Sans" w:hAnsi="DM Sans"/>
                <w:sz w:val="20"/>
              </w:rPr>
              <w:t xml:space="preserve">and/or senior officials </w:t>
            </w:r>
            <w:r w:rsidR="009959D5" w:rsidRPr="00C25209">
              <w:rPr>
                <w:rFonts w:ascii="DM Sans" w:hAnsi="DM Sans"/>
                <w:sz w:val="20"/>
              </w:rPr>
              <w:t>c</w:t>
            </w:r>
            <w:r w:rsidR="00EC3129" w:rsidRPr="00C25209">
              <w:rPr>
                <w:rFonts w:ascii="DM Sans" w:hAnsi="DM Sans"/>
                <w:sz w:val="20"/>
              </w:rPr>
              <w:t>ould engage with philanthropy 2-4 times per year to determine how all parts of society can collaborate on shared agendas, thereby magnifying what government can achieve through its actions alone.</w:t>
            </w:r>
            <w:r w:rsidR="00EC3129" w:rsidRPr="00C25209">
              <w:rPr>
                <w:rFonts w:ascii="DM Sans" w:hAnsi="DM Sans"/>
                <w:b/>
                <w:sz w:val="20"/>
              </w:rPr>
              <w:t xml:space="preserve"> </w:t>
            </w:r>
            <w:proofErr w:type="gramStart"/>
            <w:r w:rsidR="00EC3129" w:rsidRPr="00C25209">
              <w:rPr>
                <w:rFonts w:ascii="DM Sans" w:hAnsi="DM Sans"/>
                <w:sz w:val="20"/>
              </w:rPr>
              <w:t>In particular, philanthropic</w:t>
            </w:r>
            <w:proofErr w:type="gramEnd"/>
            <w:r w:rsidR="00EC3129" w:rsidRPr="00C25209">
              <w:rPr>
                <w:rFonts w:ascii="DM Sans" w:hAnsi="DM Sans"/>
                <w:sz w:val="20"/>
              </w:rPr>
              <w:t xml:space="preserve"> funders could: co-invest in Flagship initiatives; and fund social innovations, which, if successful, could be adopted by government system wide.</w:t>
            </w:r>
          </w:p>
          <w:p w14:paraId="6C11E87C" w14:textId="56220985" w:rsidR="00EE1C27" w:rsidRPr="00C25209" w:rsidRDefault="00BD2700" w:rsidP="00B255C9">
            <w:pPr>
              <w:pStyle w:val="ListParagraph"/>
              <w:numPr>
                <w:ilvl w:val="0"/>
                <w:numId w:val="39"/>
              </w:numPr>
              <w:spacing w:before="120" w:after="60" w:line="260" w:lineRule="atLeast"/>
              <w:rPr>
                <w:rFonts w:ascii="DM Sans" w:hAnsi="DM Sans"/>
                <w:sz w:val="20"/>
              </w:rPr>
            </w:pPr>
            <w:r w:rsidRPr="00C25209">
              <w:rPr>
                <w:rFonts w:ascii="DM Sans" w:hAnsi="DM Sans"/>
                <w:b/>
                <w:bCs/>
                <w:sz w:val="20"/>
              </w:rPr>
              <w:t>Carefully s</w:t>
            </w:r>
            <w:r w:rsidR="00AA3A91" w:rsidRPr="00C25209">
              <w:rPr>
                <w:rFonts w:ascii="DM Sans" w:hAnsi="DM Sans"/>
                <w:b/>
                <w:bCs/>
                <w:sz w:val="20"/>
              </w:rPr>
              <w:t>taged implementation</w:t>
            </w:r>
            <w:r w:rsidR="002543D9" w:rsidRPr="00C25209">
              <w:rPr>
                <w:rFonts w:ascii="DM Sans" w:hAnsi="DM Sans"/>
                <w:b/>
                <w:bCs/>
                <w:sz w:val="20"/>
              </w:rPr>
              <w:t>, drawing on lessons from the Investment Dialogue for Australia’s Children</w:t>
            </w:r>
            <w:r w:rsidR="00256E35" w:rsidRPr="00C25209">
              <w:rPr>
                <w:rFonts w:ascii="DM Sans" w:hAnsi="DM Sans"/>
                <w:b/>
                <w:bCs/>
                <w:sz w:val="20"/>
              </w:rPr>
              <w:t xml:space="preserve"> (IDAC)</w:t>
            </w:r>
            <w:r w:rsidR="00AA3A91" w:rsidRPr="00C25209">
              <w:rPr>
                <w:rFonts w:ascii="DM Sans" w:hAnsi="DM Sans"/>
                <w:b/>
                <w:bCs/>
                <w:sz w:val="20"/>
              </w:rPr>
              <w:t>:</w:t>
            </w:r>
            <w:r w:rsidR="00AA3A91" w:rsidRPr="00C25209">
              <w:rPr>
                <w:rFonts w:ascii="DM Sans" w:hAnsi="DM Sans"/>
                <w:sz w:val="20"/>
              </w:rPr>
              <w:t xml:space="preserve"> </w:t>
            </w:r>
            <w:r w:rsidR="00BC6292" w:rsidRPr="00C25209">
              <w:rPr>
                <w:rFonts w:ascii="DM Sans" w:hAnsi="DM Sans"/>
                <w:sz w:val="20"/>
              </w:rPr>
              <w:t xml:space="preserve">IDAC was launched in the May 2023 Budget </w:t>
            </w:r>
            <w:r w:rsidR="00165918" w:rsidRPr="00C25209">
              <w:rPr>
                <w:rFonts w:ascii="DM Sans" w:hAnsi="DM Sans"/>
                <w:sz w:val="20"/>
              </w:rPr>
              <w:t xml:space="preserve">and involves </w:t>
            </w:r>
            <w:r w:rsidR="00AE4668" w:rsidRPr="00C25209">
              <w:rPr>
                <w:rFonts w:ascii="DM Sans" w:hAnsi="DM Sans"/>
                <w:sz w:val="20"/>
              </w:rPr>
              <w:t xml:space="preserve">the Federal Government collaborating closely with philanthropy leaders, aiming to ensure young Australians get the best start in life.  It has a particular </w:t>
            </w:r>
            <w:r w:rsidR="00A93C4D" w:rsidRPr="00C25209">
              <w:rPr>
                <w:rFonts w:ascii="DM Sans" w:hAnsi="DM Sans"/>
                <w:sz w:val="20"/>
              </w:rPr>
              <w:t xml:space="preserve">focus on addressing place-based disadvantage.  </w:t>
            </w:r>
            <w:hyperlink r:id="rId34" w:history="1">
              <w:r w:rsidR="00A93C4D" w:rsidRPr="00C25209">
                <w:rPr>
                  <w:rStyle w:val="Hyperlink"/>
                  <w:rFonts w:ascii="DM Sans" w:hAnsi="DM Sans"/>
                  <w:sz w:val="20"/>
                </w:rPr>
                <w:t xml:space="preserve">The first </w:t>
              </w:r>
              <w:r w:rsidR="006150AD" w:rsidRPr="00C25209">
                <w:rPr>
                  <w:rStyle w:val="Hyperlink"/>
                  <w:rFonts w:ascii="DM Sans" w:hAnsi="DM Sans"/>
                  <w:sz w:val="20"/>
                </w:rPr>
                <w:t>national roundtable</w:t>
              </w:r>
            </w:hyperlink>
            <w:r w:rsidR="006150AD" w:rsidRPr="00C25209">
              <w:rPr>
                <w:rFonts w:ascii="DM Sans" w:hAnsi="DM Sans"/>
                <w:sz w:val="20"/>
              </w:rPr>
              <w:t xml:space="preserve"> was held in the Parliament on 4 December </w:t>
            </w:r>
            <w:r w:rsidR="00B40B02" w:rsidRPr="00C25209">
              <w:rPr>
                <w:rFonts w:ascii="DM Sans" w:hAnsi="DM Sans"/>
                <w:sz w:val="20"/>
              </w:rPr>
              <w:t xml:space="preserve">where philanthropy leaders engaged with </w:t>
            </w:r>
            <w:r w:rsidR="00B40B02" w:rsidRPr="00C25209">
              <w:rPr>
                <w:rFonts w:ascii="DM Sans" w:hAnsi="DM Sans"/>
                <w:sz w:val="20"/>
                <w:lang w:val="en-AU"/>
              </w:rPr>
              <w:t>Treasurer Jim Chalmers, Social Services Minister Amanda Rishworth, Indigenous Affairs Minister Linda Burney and senior officials from portfolios across government.</w:t>
            </w:r>
            <w:r w:rsidR="00EE1C27" w:rsidRPr="00C25209">
              <w:rPr>
                <w:rFonts w:ascii="DM Sans" w:hAnsi="DM Sans"/>
                <w:sz w:val="20"/>
                <w:lang w:val="en-AU"/>
              </w:rPr>
              <w:t xml:space="preserve">  </w:t>
            </w:r>
            <w:r w:rsidR="00EE1C27" w:rsidRPr="00C25209">
              <w:rPr>
                <w:rFonts w:ascii="DM Sans" w:hAnsi="DM Sans"/>
                <w:sz w:val="20"/>
              </w:rPr>
              <w:t>Participants signed the Working Together Agreement</w:t>
            </w:r>
            <w:r w:rsidR="00EE1C27" w:rsidRPr="00C25209">
              <w:rPr>
                <w:rFonts w:ascii="Times New Roman" w:hAnsi="Times New Roman" w:cs="Times New Roman"/>
                <w:sz w:val="20"/>
              </w:rPr>
              <w:t> </w:t>
            </w:r>
            <w:r w:rsidR="00EE1C27" w:rsidRPr="00C25209">
              <w:rPr>
                <w:rFonts w:ascii="DM Sans" w:hAnsi="DM Sans" w:cs="DM Sans"/>
                <w:sz w:val="20"/>
              </w:rPr>
              <w:t>–</w:t>
            </w:r>
            <w:r w:rsidR="00EE1C27" w:rsidRPr="00C25209">
              <w:rPr>
                <w:rFonts w:ascii="DM Sans" w:hAnsi="DM Sans"/>
                <w:sz w:val="20"/>
              </w:rPr>
              <w:t xml:space="preserve"> outlining a shared commitment to a long-term collaboration to improve the wellbeing of children, young people, and their families</w:t>
            </w:r>
            <w:r w:rsidR="00D33F48" w:rsidRPr="00C25209">
              <w:rPr>
                <w:rFonts w:ascii="DM Sans" w:hAnsi="DM Sans"/>
                <w:sz w:val="20"/>
              </w:rPr>
              <w:t xml:space="preserve"> – and agreed to governance and working party arrangements to propel the initiative forwards in the years ahead</w:t>
            </w:r>
            <w:r w:rsidR="00EE1C27" w:rsidRPr="00C25209">
              <w:rPr>
                <w:rFonts w:ascii="DM Sans" w:hAnsi="DM Sans"/>
                <w:sz w:val="20"/>
              </w:rPr>
              <w:t>. </w:t>
            </w:r>
          </w:p>
          <w:p w14:paraId="40C2CA13" w14:textId="63BF4A1A" w:rsidR="00B14264" w:rsidRPr="00C27804" w:rsidRDefault="00BC3F64" w:rsidP="00B255C9">
            <w:pPr>
              <w:pStyle w:val="ListParagraph"/>
              <w:numPr>
                <w:ilvl w:val="1"/>
                <w:numId w:val="39"/>
              </w:numPr>
              <w:spacing w:before="120" w:after="60" w:line="260" w:lineRule="atLeast"/>
              <w:ind w:left="703"/>
              <w:rPr>
                <w:rFonts w:ascii="DM Sans" w:hAnsi="DM Sans"/>
              </w:rPr>
            </w:pPr>
            <w:r w:rsidRPr="00C25209">
              <w:rPr>
                <w:rFonts w:ascii="DM Sans" w:hAnsi="DM Sans"/>
                <w:sz w:val="20"/>
              </w:rPr>
              <w:t xml:space="preserve">It would make sense to </w:t>
            </w:r>
            <w:r w:rsidR="00857ADB" w:rsidRPr="00C25209">
              <w:rPr>
                <w:rFonts w:ascii="DM Sans" w:hAnsi="DM Sans"/>
                <w:sz w:val="20"/>
              </w:rPr>
              <w:t xml:space="preserve">implement other Ministerial portfolio arrangements – such as in the arts, </w:t>
            </w:r>
            <w:proofErr w:type="gramStart"/>
            <w:r w:rsidR="00857ADB" w:rsidRPr="00C25209">
              <w:rPr>
                <w:rFonts w:ascii="DM Sans" w:hAnsi="DM Sans"/>
                <w:sz w:val="20"/>
              </w:rPr>
              <w:t>environment</w:t>
            </w:r>
            <w:proofErr w:type="gramEnd"/>
            <w:r w:rsidR="00857ADB" w:rsidRPr="00C25209">
              <w:rPr>
                <w:rFonts w:ascii="DM Sans" w:hAnsi="DM Sans"/>
                <w:sz w:val="20"/>
              </w:rPr>
              <w:t xml:space="preserve"> or First Nations justice – in </w:t>
            </w:r>
            <w:r w:rsidR="007662C4" w:rsidRPr="00C25209">
              <w:rPr>
                <w:rFonts w:ascii="DM Sans" w:hAnsi="DM Sans"/>
                <w:sz w:val="20"/>
              </w:rPr>
              <w:t xml:space="preserve">carefully </w:t>
            </w:r>
            <w:r w:rsidR="00857ADB" w:rsidRPr="00C25209">
              <w:rPr>
                <w:rFonts w:ascii="DM Sans" w:hAnsi="DM Sans"/>
                <w:sz w:val="20"/>
              </w:rPr>
              <w:t xml:space="preserve">calibrated stages, </w:t>
            </w:r>
            <w:r w:rsidR="00C13D98" w:rsidRPr="00C25209">
              <w:rPr>
                <w:rFonts w:ascii="DM Sans" w:hAnsi="DM Sans"/>
                <w:sz w:val="20"/>
              </w:rPr>
              <w:t>with lessons learned from the operation of the IDAC applied to subsequent arrangements.</w:t>
            </w:r>
            <w:r w:rsidR="002A0644" w:rsidRPr="00C25209">
              <w:rPr>
                <w:rFonts w:ascii="DM Sans" w:hAnsi="DM Sans"/>
                <w:sz w:val="20"/>
              </w:rPr>
              <w:t xml:space="preserve">  It is better that expanded arrangements work effectively and efficiently, rather than be rushed.</w:t>
            </w:r>
          </w:p>
        </w:tc>
      </w:tr>
    </w:tbl>
    <w:p w14:paraId="22AEEAF2" w14:textId="4B7350BB" w:rsidR="00B14264" w:rsidRPr="00C27804" w:rsidRDefault="00B14264" w:rsidP="00C67F2E">
      <w:pPr>
        <w:keepNext/>
        <w:keepLines/>
        <w:spacing w:before="120"/>
        <w:outlineLvl w:val="3"/>
        <w:rPr>
          <w:rFonts w:ascii="DM Sans" w:eastAsiaTheme="majorEastAsia" w:hAnsi="DM Sans" w:cstheme="majorBidi"/>
          <w:b/>
          <w:bCs/>
          <w:iCs/>
          <w:color w:val="3D7EDB" w:themeColor="accent1"/>
          <w:sz w:val="21"/>
        </w:rPr>
      </w:pPr>
      <w:bookmarkStart w:id="24" w:name="_Toc126341240"/>
      <w:r w:rsidRPr="00C27804">
        <w:rPr>
          <w:rFonts w:ascii="DM Sans" w:eastAsiaTheme="majorEastAsia" w:hAnsi="DM Sans" w:cstheme="majorBidi"/>
          <w:b/>
          <w:bCs/>
          <w:iCs/>
          <w:color w:val="3D7EDB" w:themeColor="accent1"/>
          <w:sz w:val="21"/>
        </w:rPr>
        <w:t xml:space="preserve">The Case for </w:t>
      </w:r>
      <w:r w:rsidR="00A5373F" w:rsidRPr="00C27804">
        <w:rPr>
          <w:rFonts w:ascii="DM Sans" w:eastAsiaTheme="majorEastAsia" w:hAnsi="DM Sans" w:cstheme="majorBidi"/>
          <w:b/>
          <w:bCs/>
          <w:iCs/>
          <w:color w:val="3D7EDB" w:themeColor="accent1"/>
          <w:sz w:val="21"/>
        </w:rPr>
        <w:t xml:space="preserve">Reform </w:t>
      </w:r>
    </w:p>
    <w:p w14:paraId="2B781AE2" w14:textId="00F06E9E" w:rsidR="00B14264" w:rsidRPr="00C25209" w:rsidRDefault="00B14264" w:rsidP="00B255C9">
      <w:pPr>
        <w:pStyle w:val="ListParagraph"/>
        <w:numPr>
          <w:ilvl w:val="3"/>
          <w:numId w:val="38"/>
        </w:numPr>
        <w:spacing w:before="120" w:after="60" w:line="260" w:lineRule="atLeast"/>
        <w:ind w:left="357" w:hanging="357"/>
        <w:rPr>
          <w:rFonts w:ascii="DM Sans" w:hAnsi="DM Sans"/>
          <w:b/>
          <w:sz w:val="20"/>
        </w:rPr>
      </w:pPr>
      <w:r w:rsidRPr="00C25209">
        <w:rPr>
          <w:rFonts w:ascii="DM Sans" w:hAnsi="DM Sans"/>
          <w:b/>
          <w:sz w:val="20"/>
        </w:rPr>
        <w:t>Australia has never established sustainable, effective governance arrangements for government-civil society collaboration to drive impact through philanthropy.</w:t>
      </w:r>
      <w:bookmarkEnd w:id="24"/>
    </w:p>
    <w:p w14:paraId="39AC2931" w14:textId="77777777" w:rsidR="00B14264" w:rsidRPr="00C25209" w:rsidRDefault="00B14264" w:rsidP="00B255C9">
      <w:pPr>
        <w:pStyle w:val="ListParagraph"/>
        <w:numPr>
          <w:ilvl w:val="0"/>
          <w:numId w:val="40"/>
        </w:numPr>
        <w:spacing w:before="60" w:after="60" w:line="260" w:lineRule="atLeast"/>
        <w:rPr>
          <w:rFonts w:ascii="DM Sans" w:hAnsi="DM Sans"/>
          <w:sz w:val="20"/>
        </w:rPr>
      </w:pPr>
      <w:r w:rsidRPr="00C25209">
        <w:rPr>
          <w:rFonts w:ascii="DM Sans" w:eastAsia="Calibri" w:hAnsi="DM Sans"/>
          <w:sz w:val="20"/>
        </w:rPr>
        <w:t>While there have been periods of positive cooperation and achievement, such as through the Community-Business Partnership, powerful governance arrangements to create genuine cooperation and extract maximum impact have never been established and sustained in Australia’s history.</w:t>
      </w:r>
    </w:p>
    <w:p w14:paraId="1CB51585" w14:textId="6AE762FF" w:rsidR="00B14264" w:rsidRPr="00C25209" w:rsidRDefault="00B14264" w:rsidP="00B255C9">
      <w:pPr>
        <w:pStyle w:val="ListNumberinTable"/>
        <w:numPr>
          <w:ilvl w:val="3"/>
          <w:numId w:val="38"/>
        </w:numPr>
        <w:spacing w:line="260" w:lineRule="atLeast"/>
        <w:ind w:left="357" w:hanging="357"/>
        <w:rPr>
          <w:rFonts w:ascii="DM Sans" w:eastAsia="MS ??" w:hAnsi="DM Sans"/>
          <w:b/>
        </w:rPr>
      </w:pPr>
      <w:bookmarkStart w:id="25" w:name="_Toc126341241"/>
      <w:r w:rsidRPr="00C25209">
        <w:rPr>
          <w:rFonts w:ascii="DM Sans" w:eastAsia="MS ??" w:hAnsi="DM Sans"/>
          <w:b/>
        </w:rPr>
        <w:t xml:space="preserve">This means a massive source of social change is being left untapped.  </w:t>
      </w:r>
      <w:r w:rsidR="00883662" w:rsidRPr="00C25209">
        <w:rPr>
          <w:rFonts w:ascii="DM Sans" w:eastAsia="MS ??" w:hAnsi="DM Sans"/>
          <w:b/>
        </w:rPr>
        <w:t>Collaboration could</w:t>
      </w:r>
      <w:r w:rsidRPr="00C25209">
        <w:rPr>
          <w:rFonts w:ascii="DM Sans" w:eastAsia="MS ??" w:hAnsi="DM Sans"/>
          <w:b/>
        </w:rPr>
        <w:t xml:space="preserve"> help propel a shared agenda, delivering greater impact</w:t>
      </w:r>
      <w:r w:rsidR="00274774">
        <w:rPr>
          <w:rFonts w:ascii="DM Sans" w:eastAsia="MS ??" w:hAnsi="DM Sans"/>
          <w:b/>
        </w:rPr>
        <w:t xml:space="preserve"> per dollar expended</w:t>
      </w:r>
      <w:r w:rsidRPr="00C25209">
        <w:rPr>
          <w:rFonts w:ascii="DM Sans" w:eastAsia="MS ??" w:hAnsi="DM Sans"/>
          <w:b/>
        </w:rPr>
        <w:t>.</w:t>
      </w:r>
      <w:bookmarkEnd w:id="25"/>
    </w:p>
    <w:p w14:paraId="53ECBC1B" w14:textId="129E9C52" w:rsidR="00F87595" w:rsidRPr="00C25209" w:rsidRDefault="005E57C4" w:rsidP="00B255C9">
      <w:pPr>
        <w:pStyle w:val="ListParagraph"/>
        <w:numPr>
          <w:ilvl w:val="0"/>
          <w:numId w:val="40"/>
        </w:numPr>
        <w:spacing w:before="60" w:after="60" w:line="260" w:lineRule="atLeast"/>
        <w:rPr>
          <w:rFonts w:ascii="DM Sans" w:hAnsi="DM Sans"/>
          <w:sz w:val="20"/>
        </w:rPr>
      </w:pPr>
      <w:r w:rsidRPr="00C25209">
        <w:rPr>
          <w:rFonts w:ascii="DM Sans" w:hAnsi="DM Sans"/>
          <w:sz w:val="20"/>
        </w:rPr>
        <w:t>As t</w:t>
      </w:r>
      <w:r w:rsidR="005C663E" w:rsidRPr="00C25209">
        <w:rPr>
          <w:rFonts w:ascii="DM Sans" w:hAnsi="DM Sans"/>
          <w:sz w:val="20"/>
        </w:rPr>
        <w:t xml:space="preserve">he PC </w:t>
      </w:r>
      <w:r w:rsidR="006E4469" w:rsidRPr="00C25209">
        <w:rPr>
          <w:rFonts w:ascii="DM Sans" w:hAnsi="DM Sans"/>
          <w:sz w:val="20"/>
        </w:rPr>
        <w:t>notes</w:t>
      </w:r>
      <w:r w:rsidRPr="00C25209">
        <w:rPr>
          <w:rFonts w:ascii="DM Sans" w:hAnsi="DM Sans"/>
          <w:sz w:val="20"/>
        </w:rPr>
        <w:t xml:space="preserve"> </w:t>
      </w:r>
      <w:r w:rsidR="005C663E" w:rsidRPr="00C25209">
        <w:rPr>
          <w:rFonts w:ascii="DM Sans" w:hAnsi="DM Sans"/>
          <w:sz w:val="20"/>
        </w:rPr>
        <w:t>in its draft report</w:t>
      </w:r>
      <w:r w:rsidRPr="00C25209">
        <w:rPr>
          <w:rFonts w:ascii="DM Sans" w:hAnsi="DM Sans"/>
          <w:sz w:val="20"/>
        </w:rPr>
        <w:t>,</w:t>
      </w:r>
      <w:r w:rsidR="005C663E" w:rsidRPr="00C25209">
        <w:rPr>
          <w:rFonts w:ascii="DM Sans" w:hAnsi="DM Sans"/>
          <w:sz w:val="20"/>
        </w:rPr>
        <w:t xml:space="preserve"> government and philanthropy </w:t>
      </w:r>
      <w:r w:rsidR="008B25EA" w:rsidRPr="00C25209">
        <w:rPr>
          <w:rFonts w:ascii="DM Sans" w:hAnsi="DM Sans"/>
          <w:sz w:val="20"/>
        </w:rPr>
        <w:t>have complementary strengths</w:t>
      </w:r>
      <w:r w:rsidR="00967519" w:rsidRPr="00C25209">
        <w:rPr>
          <w:rFonts w:ascii="DM Sans" w:hAnsi="DM Sans"/>
          <w:sz w:val="20"/>
        </w:rPr>
        <w:t xml:space="preserve">.  Philanthropy has more flexibility to trial social innovations.  </w:t>
      </w:r>
      <w:proofErr w:type="gramStart"/>
      <w:r w:rsidR="00967519" w:rsidRPr="00C25209">
        <w:rPr>
          <w:rFonts w:ascii="DM Sans" w:hAnsi="DM Sans"/>
          <w:sz w:val="20"/>
        </w:rPr>
        <w:t>Government</w:t>
      </w:r>
      <w:proofErr w:type="gramEnd"/>
      <w:r w:rsidR="00967519" w:rsidRPr="00C25209">
        <w:rPr>
          <w:rFonts w:ascii="DM Sans" w:hAnsi="DM Sans"/>
          <w:sz w:val="20"/>
        </w:rPr>
        <w:t xml:space="preserve"> is better positioned to pick up and adopt effective practices </w:t>
      </w:r>
      <w:r w:rsidR="00863162" w:rsidRPr="00C25209">
        <w:rPr>
          <w:rFonts w:ascii="DM Sans" w:hAnsi="DM Sans"/>
          <w:sz w:val="20"/>
        </w:rPr>
        <w:t>system</w:t>
      </w:r>
      <w:r w:rsidR="00283E5C">
        <w:rPr>
          <w:rFonts w:ascii="DM Sans" w:hAnsi="DM Sans"/>
          <w:sz w:val="20"/>
        </w:rPr>
        <w:t>-</w:t>
      </w:r>
      <w:r w:rsidR="00863162" w:rsidRPr="00C25209">
        <w:rPr>
          <w:rFonts w:ascii="DM Sans" w:hAnsi="DM Sans"/>
          <w:sz w:val="20"/>
        </w:rPr>
        <w:t>wide.</w:t>
      </w:r>
    </w:p>
    <w:p w14:paraId="33F63348" w14:textId="6CF3E09F" w:rsidR="00B14264" w:rsidRPr="00C25209" w:rsidRDefault="00B14264" w:rsidP="00B255C9">
      <w:pPr>
        <w:pStyle w:val="ListParagraph"/>
        <w:numPr>
          <w:ilvl w:val="0"/>
          <w:numId w:val="40"/>
        </w:numPr>
        <w:spacing w:before="60" w:after="60" w:line="260" w:lineRule="atLeast"/>
        <w:rPr>
          <w:rFonts w:ascii="DM Sans" w:hAnsi="DM Sans"/>
          <w:sz w:val="20"/>
        </w:rPr>
      </w:pPr>
      <w:r w:rsidRPr="00C25209">
        <w:rPr>
          <w:rFonts w:ascii="DM Sans" w:hAnsi="DM Sans"/>
          <w:sz w:val="20"/>
        </w:rPr>
        <w:t xml:space="preserve">Unfortunately, a lack of collaborative structures has sometimes meant powerful social innovations have been tested and proven, only for government to fail to then back the initiatives or take many years to do so.  </w:t>
      </w:r>
      <w:r w:rsidR="00863162" w:rsidRPr="00C25209">
        <w:rPr>
          <w:rFonts w:ascii="DM Sans" w:hAnsi="DM Sans"/>
          <w:sz w:val="20"/>
        </w:rPr>
        <w:t>Minister’s collaborating with civil society would find ways to magnify impact in their portfolios beyond what they can achieve through government investment alone.</w:t>
      </w:r>
    </w:p>
    <w:p w14:paraId="071A19C4" w14:textId="787A9CE9" w:rsidR="00B14264" w:rsidRPr="00C25209" w:rsidRDefault="00B14264" w:rsidP="00B255C9">
      <w:pPr>
        <w:pStyle w:val="ListNumberinTable"/>
        <w:numPr>
          <w:ilvl w:val="0"/>
          <w:numId w:val="38"/>
        </w:numPr>
        <w:spacing w:line="260" w:lineRule="atLeast"/>
        <w:rPr>
          <w:rFonts w:ascii="DM Sans" w:eastAsia="MS ??" w:hAnsi="DM Sans"/>
          <w:b/>
        </w:rPr>
      </w:pPr>
      <w:bookmarkStart w:id="26" w:name="_Toc126341249"/>
      <w:r w:rsidRPr="00C25209">
        <w:rPr>
          <w:rFonts w:ascii="DM Sans" w:eastAsia="MS ??" w:hAnsi="DM Sans"/>
          <w:b/>
        </w:rPr>
        <w:t>Simple, efficient, non-onerous collaboration structures c</w:t>
      </w:r>
      <w:r w:rsidR="003E2D24" w:rsidRPr="00C25209">
        <w:rPr>
          <w:rFonts w:ascii="DM Sans" w:eastAsia="MS ??" w:hAnsi="DM Sans"/>
          <w:b/>
        </w:rPr>
        <w:t>ould</w:t>
      </w:r>
      <w:r w:rsidRPr="00C25209">
        <w:rPr>
          <w:rFonts w:ascii="DM Sans" w:eastAsia="MS ??" w:hAnsi="DM Sans"/>
          <w:b/>
        </w:rPr>
        <w:t xml:space="preserve"> deliver much stronger social impact through </w:t>
      </w:r>
      <w:bookmarkEnd w:id="26"/>
      <w:r w:rsidR="0017219F" w:rsidRPr="00C25209">
        <w:rPr>
          <w:rFonts w:ascii="DM Sans" w:eastAsia="MS ??" w:hAnsi="DM Sans"/>
          <w:b/>
        </w:rPr>
        <w:t>better cooperation.</w:t>
      </w:r>
      <w:r w:rsidR="00A55E03" w:rsidRPr="00C25209">
        <w:rPr>
          <w:rFonts w:ascii="DM Sans" w:eastAsia="MS ??" w:hAnsi="DM Sans"/>
          <w:b/>
        </w:rPr>
        <w:t xml:space="preserve">  </w:t>
      </w:r>
    </w:p>
    <w:p w14:paraId="39253C13" w14:textId="77777777" w:rsidR="00C3395D" w:rsidRPr="00C25209" w:rsidRDefault="00116D30" w:rsidP="00B255C9">
      <w:pPr>
        <w:pStyle w:val="ListParagraph"/>
        <w:numPr>
          <w:ilvl w:val="0"/>
          <w:numId w:val="41"/>
        </w:numPr>
        <w:spacing w:before="60" w:after="60" w:line="260" w:lineRule="atLeast"/>
        <w:rPr>
          <w:rFonts w:ascii="DM Sans" w:hAnsi="DM Sans"/>
          <w:sz w:val="20"/>
        </w:rPr>
      </w:pPr>
      <w:r w:rsidRPr="00C25209">
        <w:rPr>
          <w:rFonts w:ascii="DM Sans" w:hAnsi="DM Sans"/>
          <w:sz w:val="20"/>
        </w:rPr>
        <w:t xml:space="preserve">There have been a suite of </w:t>
      </w:r>
      <w:r w:rsidR="00DE60A6" w:rsidRPr="00C25209">
        <w:rPr>
          <w:rFonts w:ascii="DM Sans" w:hAnsi="DM Sans"/>
          <w:sz w:val="20"/>
        </w:rPr>
        <w:t xml:space="preserve">important examples where philanthropy and government have each </w:t>
      </w:r>
      <w:r w:rsidR="00DE60A6" w:rsidRPr="00C25209">
        <w:rPr>
          <w:rFonts w:ascii="DM Sans" w:hAnsi="DM Sans"/>
          <w:sz w:val="20"/>
        </w:rPr>
        <w:lastRenderedPageBreak/>
        <w:t xml:space="preserve">played a role in </w:t>
      </w:r>
      <w:r w:rsidR="00612508" w:rsidRPr="00C25209">
        <w:rPr>
          <w:rFonts w:ascii="DM Sans" w:hAnsi="DM Sans"/>
          <w:sz w:val="20"/>
        </w:rPr>
        <w:t xml:space="preserve">creating impact, such as </w:t>
      </w:r>
      <w:r w:rsidR="00276BA4" w:rsidRPr="00C25209">
        <w:rPr>
          <w:rFonts w:ascii="DM Sans" w:hAnsi="DM Sans"/>
          <w:sz w:val="20"/>
        </w:rPr>
        <w:t>the development of the bionic e</w:t>
      </w:r>
      <w:r w:rsidR="000457E7" w:rsidRPr="00C25209">
        <w:rPr>
          <w:rFonts w:ascii="DM Sans" w:hAnsi="DM Sans"/>
          <w:sz w:val="20"/>
        </w:rPr>
        <w:t>ar or the cervical cancer vaccine, development of a world class arts precinct at Southbank, Victoria</w:t>
      </w:r>
      <w:r w:rsidR="00C3395D" w:rsidRPr="00C25209">
        <w:rPr>
          <w:rFonts w:ascii="DM Sans" w:hAnsi="DM Sans"/>
          <w:sz w:val="20"/>
        </w:rPr>
        <w:t>, or philanthropic support for Orgyen, which spawned headspace, a pioneering national system of mental health support for young Australians.</w:t>
      </w:r>
    </w:p>
    <w:p w14:paraId="2A58224C" w14:textId="6FC39E64" w:rsidR="00116D30" w:rsidRPr="00C25209" w:rsidRDefault="00612508" w:rsidP="00B255C9">
      <w:pPr>
        <w:pStyle w:val="ListParagraph"/>
        <w:numPr>
          <w:ilvl w:val="0"/>
          <w:numId w:val="41"/>
        </w:numPr>
        <w:spacing w:before="60" w:after="60" w:line="260" w:lineRule="atLeast"/>
        <w:rPr>
          <w:rFonts w:ascii="DM Sans" w:hAnsi="DM Sans"/>
          <w:sz w:val="20"/>
        </w:rPr>
      </w:pPr>
      <w:r w:rsidRPr="00C25209">
        <w:rPr>
          <w:rFonts w:ascii="DM Sans" w:hAnsi="DM Sans"/>
          <w:sz w:val="20"/>
        </w:rPr>
        <w:t xml:space="preserve">The challenge now is to find ways to make this more frequent and systemic, so </w:t>
      </w:r>
      <w:r w:rsidR="001D2FC1" w:rsidRPr="00C25209">
        <w:rPr>
          <w:rFonts w:ascii="DM Sans" w:hAnsi="DM Sans"/>
          <w:sz w:val="20"/>
        </w:rPr>
        <w:t xml:space="preserve">more substantial impact is achieved from the collective investment.  </w:t>
      </w:r>
      <w:r w:rsidR="008F5B19" w:rsidRPr="00C25209">
        <w:rPr>
          <w:rFonts w:ascii="DM Sans" w:hAnsi="DM Sans"/>
          <w:sz w:val="20"/>
        </w:rPr>
        <w:t xml:space="preserve">Social innovation could </w:t>
      </w:r>
      <w:r w:rsidR="00794E3B">
        <w:rPr>
          <w:rFonts w:ascii="DM Sans" w:hAnsi="DM Sans"/>
          <w:sz w:val="20"/>
        </w:rPr>
        <w:t>‘</w:t>
      </w:r>
      <w:r w:rsidR="008F5B19" w:rsidRPr="00C25209">
        <w:rPr>
          <w:rFonts w:ascii="DM Sans" w:hAnsi="DM Sans"/>
          <w:sz w:val="20"/>
        </w:rPr>
        <w:t>roll of</w:t>
      </w:r>
      <w:r w:rsidR="00794E3B">
        <w:rPr>
          <w:rFonts w:ascii="DM Sans" w:hAnsi="DM Sans"/>
          <w:sz w:val="20"/>
        </w:rPr>
        <w:t>f</w:t>
      </w:r>
      <w:r w:rsidR="008F5B19" w:rsidRPr="00C25209">
        <w:rPr>
          <w:rFonts w:ascii="DM Sans" w:hAnsi="DM Sans"/>
          <w:sz w:val="20"/>
        </w:rPr>
        <w:t xml:space="preserve"> the production line</w:t>
      </w:r>
      <w:r w:rsidR="00794E3B">
        <w:rPr>
          <w:rFonts w:ascii="DM Sans" w:hAnsi="DM Sans"/>
          <w:sz w:val="20"/>
        </w:rPr>
        <w:t>’ more</w:t>
      </w:r>
      <w:r w:rsidR="008F5B19" w:rsidRPr="00C25209">
        <w:rPr>
          <w:rFonts w:ascii="DM Sans" w:hAnsi="DM Sans"/>
          <w:sz w:val="20"/>
        </w:rPr>
        <w:t xml:space="preserve"> </w:t>
      </w:r>
      <w:r w:rsidR="00CA3C6F" w:rsidRPr="00C25209">
        <w:rPr>
          <w:rFonts w:ascii="DM Sans" w:hAnsi="DM Sans"/>
          <w:sz w:val="20"/>
        </w:rPr>
        <w:t>consistently through structured collaboration, rather than emerge in an ad hoc manner through serendipity.</w:t>
      </w:r>
    </w:p>
    <w:p w14:paraId="36AC31F7" w14:textId="07C3FB16" w:rsidR="00116D30" w:rsidRPr="00C25209" w:rsidRDefault="005C3D0D" w:rsidP="00B255C9">
      <w:pPr>
        <w:pStyle w:val="ListNumberinTable"/>
        <w:numPr>
          <w:ilvl w:val="0"/>
          <w:numId w:val="38"/>
        </w:numPr>
        <w:spacing w:before="60" w:line="260" w:lineRule="atLeast"/>
        <w:rPr>
          <w:rFonts w:ascii="DM Sans" w:eastAsia="MS ??" w:hAnsi="DM Sans"/>
          <w:b/>
          <w:bCs/>
        </w:rPr>
      </w:pPr>
      <w:r w:rsidRPr="00C25209">
        <w:rPr>
          <w:rFonts w:ascii="DM Sans" w:eastAsia="MS ??" w:hAnsi="DM Sans"/>
          <w:b/>
          <w:bCs/>
        </w:rPr>
        <w:t>Governance is within the PC’s Terms of Reference.</w:t>
      </w:r>
    </w:p>
    <w:p w14:paraId="1EE1FCBE" w14:textId="59F2879C" w:rsidR="003D5F32" w:rsidRPr="00C25209" w:rsidRDefault="008B46A4" w:rsidP="00B255C9">
      <w:pPr>
        <w:pStyle w:val="ListParagraph"/>
        <w:numPr>
          <w:ilvl w:val="0"/>
          <w:numId w:val="42"/>
        </w:numPr>
        <w:spacing w:before="60" w:after="60" w:line="260" w:lineRule="atLeast"/>
        <w:rPr>
          <w:rFonts w:ascii="DM Sans" w:hAnsi="DM Sans"/>
          <w:sz w:val="20"/>
        </w:rPr>
      </w:pPr>
      <w:r w:rsidRPr="00C25209">
        <w:rPr>
          <w:rFonts w:ascii="DM Sans" w:hAnsi="DM Sans"/>
          <w:sz w:val="20"/>
        </w:rPr>
        <w:t xml:space="preserve">Point 2 asks the PC to </w:t>
      </w:r>
      <w:r w:rsidR="0071721E" w:rsidRPr="00C25209">
        <w:rPr>
          <w:rFonts w:ascii="DM Sans" w:hAnsi="DM Sans"/>
          <w:sz w:val="20"/>
        </w:rPr>
        <w:t>‘</w:t>
      </w:r>
      <w:r w:rsidR="003D5F32" w:rsidRPr="00C25209">
        <w:rPr>
          <w:rFonts w:ascii="DM Sans" w:hAnsi="DM Sans"/>
          <w:sz w:val="20"/>
        </w:rPr>
        <w:t>Identify opportunities to increase philanthropic giving and the extent of their potential impac</w:t>
      </w:r>
      <w:r w:rsidR="0071721E" w:rsidRPr="00C25209">
        <w:rPr>
          <w:rFonts w:ascii="DM Sans" w:hAnsi="DM Sans"/>
          <w:sz w:val="20"/>
        </w:rPr>
        <w:t>t.’</w:t>
      </w:r>
    </w:p>
    <w:p w14:paraId="335692CC" w14:textId="51713637" w:rsidR="003D5F32" w:rsidRPr="00C25209" w:rsidRDefault="00CC3C40" w:rsidP="00B255C9">
      <w:pPr>
        <w:pStyle w:val="ListNumberinTable"/>
        <w:numPr>
          <w:ilvl w:val="0"/>
          <w:numId w:val="38"/>
        </w:numPr>
        <w:spacing w:before="60" w:line="260" w:lineRule="atLeast"/>
        <w:rPr>
          <w:rFonts w:ascii="DM Sans" w:eastAsia="MS ??" w:hAnsi="DM Sans"/>
          <w:b/>
          <w:bCs/>
        </w:rPr>
      </w:pPr>
      <w:r w:rsidRPr="00C25209">
        <w:rPr>
          <w:rFonts w:ascii="DM Sans" w:eastAsia="MS ??" w:hAnsi="DM Sans"/>
          <w:b/>
          <w:bCs/>
        </w:rPr>
        <w:t xml:space="preserve">There is momentum within Government for </w:t>
      </w:r>
      <w:r w:rsidR="003E139F" w:rsidRPr="00C25209">
        <w:rPr>
          <w:rFonts w:ascii="DM Sans" w:eastAsia="MS ??" w:hAnsi="DM Sans"/>
          <w:b/>
          <w:bCs/>
        </w:rPr>
        <w:t>collaborating with civil society to drive innovation and impact.</w:t>
      </w:r>
    </w:p>
    <w:p w14:paraId="5988B7FA" w14:textId="31F21EFE" w:rsidR="00CC3C40" w:rsidRDefault="00C65A13" w:rsidP="00B255C9">
      <w:pPr>
        <w:pStyle w:val="ListNumberinTable"/>
        <w:numPr>
          <w:ilvl w:val="0"/>
          <w:numId w:val="42"/>
        </w:numPr>
        <w:spacing w:before="60" w:line="260" w:lineRule="atLeast"/>
        <w:rPr>
          <w:rFonts w:ascii="DM Sans" w:eastAsia="MS ??" w:hAnsi="DM Sans"/>
        </w:rPr>
      </w:pPr>
      <w:r w:rsidRPr="00C25209">
        <w:rPr>
          <w:rFonts w:ascii="DM Sans" w:eastAsia="MS ??" w:hAnsi="DM Sans"/>
        </w:rPr>
        <w:t xml:space="preserve">For instance, </w:t>
      </w:r>
      <w:r w:rsidR="00CC3C40" w:rsidRPr="00C25209">
        <w:rPr>
          <w:rFonts w:ascii="DM Sans" w:eastAsia="MS ??" w:hAnsi="DM Sans"/>
        </w:rPr>
        <w:t xml:space="preserve">the Treasurer, Minister for Social Services, Minister for Indigenous </w:t>
      </w:r>
      <w:proofErr w:type="gramStart"/>
      <w:r w:rsidR="00CC3C40" w:rsidRPr="00C25209">
        <w:rPr>
          <w:rFonts w:ascii="DM Sans" w:eastAsia="MS ??" w:hAnsi="DM Sans"/>
        </w:rPr>
        <w:t>Australians</w:t>
      </w:r>
      <w:proofErr w:type="gramEnd"/>
      <w:r w:rsidR="00CC3C40" w:rsidRPr="00C25209">
        <w:rPr>
          <w:rFonts w:ascii="DM Sans" w:eastAsia="MS ??" w:hAnsi="DM Sans"/>
        </w:rPr>
        <w:t xml:space="preserve"> and senior officials from departments across government </w:t>
      </w:r>
      <w:r w:rsidRPr="00C25209">
        <w:rPr>
          <w:rFonts w:ascii="DM Sans" w:eastAsia="MS ??" w:hAnsi="DM Sans"/>
        </w:rPr>
        <w:t xml:space="preserve">are collaborating systematically with philanthropy </w:t>
      </w:r>
      <w:r w:rsidR="00CC3C40" w:rsidRPr="00C25209">
        <w:rPr>
          <w:rFonts w:ascii="DM Sans" w:eastAsia="MS ??" w:hAnsi="DM Sans"/>
        </w:rPr>
        <w:t>on the IDAC</w:t>
      </w:r>
      <w:r w:rsidRPr="00C25209">
        <w:rPr>
          <w:rFonts w:ascii="DM Sans" w:eastAsia="MS ??" w:hAnsi="DM Sans"/>
        </w:rPr>
        <w:t xml:space="preserve">.  The Treasurer is engaging </w:t>
      </w:r>
      <w:r w:rsidR="00B16EA5" w:rsidRPr="00C25209">
        <w:rPr>
          <w:rFonts w:ascii="DM Sans" w:eastAsia="MS ??" w:hAnsi="DM Sans"/>
        </w:rPr>
        <w:t xml:space="preserve">business, super funds and philanthropy through investor roundtables </w:t>
      </w:r>
      <w:r w:rsidR="00180DC6" w:rsidRPr="00C25209">
        <w:rPr>
          <w:rFonts w:ascii="DM Sans" w:eastAsia="MS ??" w:hAnsi="DM Sans"/>
        </w:rPr>
        <w:t xml:space="preserve">aiming to </w:t>
      </w:r>
      <w:r w:rsidR="002654E5" w:rsidRPr="00C25209">
        <w:rPr>
          <w:rFonts w:ascii="DM Sans" w:eastAsia="MS ??" w:hAnsi="DM Sans"/>
        </w:rPr>
        <w:t>jointly address issues such as affordable housing.</w:t>
      </w:r>
    </w:p>
    <w:p w14:paraId="78683D92" w14:textId="6CDCD9A0" w:rsidR="00200ED3" w:rsidRPr="00C25209" w:rsidRDefault="00200ED3" w:rsidP="00B255C9">
      <w:pPr>
        <w:pStyle w:val="ListNumberinTable"/>
        <w:numPr>
          <w:ilvl w:val="0"/>
          <w:numId w:val="42"/>
        </w:numPr>
        <w:spacing w:before="60" w:line="260" w:lineRule="atLeast"/>
        <w:rPr>
          <w:rFonts w:ascii="DM Sans" w:eastAsia="MS ??" w:hAnsi="DM Sans"/>
        </w:rPr>
      </w:pPr>
      <w:r>
        <w:rPr>
          <w:rFonts w:ascii="DM Sans" w:eastAsia="MS ??" w:hAnsi="DM Sans"/>
        </w:rPr>
        <w:t>The Prime Minister and Treasurer are championing this approach to governing.</w:t>
      </w:r>
    </w:p>
    <w:p w14:paraId="5CDCCA45" w14:textId="77777777" w:rsidR="00845F92" w:rsidRPr="00C25209" w:rsidRDefault="00845F92" w:rsidP="003B0BB7">
      <w:pPr>
        <w:keepNext/>
        <w:keepLines/>
        <w:pBdr>
          <w:top w:val="single" w:sz="4" w:space="10" w:color="F5F9FD" w:themeColor="background2"/>
          <w:left w:val="single" w:sz="4" w:space="10" w:color="F5F9FD" w:themeColor="background2"/>
          <w:bottom w:val="single" w:sz="4" w:space="10" w:color="F5F9FD" w:themeColor="background2"/>
          <w:right w:val="single" w:sz="4" w:space="10" w:color="F5F9FD" w:themeColor="background2"/>
        </w:pBdr>
        <w:shd w:val="clear" w:color="auto" w:fill="E5F6F3" w:themeFill="accent3" w:themeFillTint="33"/>
        <w:spacing w:before="120"/>
        <w:ind w:left="227" w:right="227"/>
        <w:rPr>
          <w:rFonts w:ascii="DM Sans" w:eastAsia="Arial" w:hAnsi="DM Sans"/>
          <w:iCs/>
        </w:rPr>
      </w:pPr>
      <w:bookmarkStart w:id="27" w:name="_Toc126341243"/>
      <w:r w:rsidRPr="00C25209">
        <w:rPr>
          <w:rFonts w:ascii="DM Sans" w:eastAsia="Arial" w:hAnsi="DM Sans"/>
          <w:iCs/>
        </w:rPr>
        <w:t>“We must </w:t>
      </w:r>
      <w:hyperlink r:id="rId35" w:history="1">
        <w:r w:rsidRPr="00C25209">
          <w:rPr>
            <w:rFonts w:ascii="DM Sans" w:eastAsia="Arial" w:hAnsi="DM Sans"/>
            <w:iCs/>
          </w:rPr>
          <w:t>rediscover the spirit of consensus that former Labor prime minister Bob Hawke used</w:t>
        </w:r>
      </w:hyperlink>
      <w:r w:rsidRPr="00C25209">
        <w:rPr>
          <w:rFonts w:ascii="DM Sans" w:eastAsia="Arial" w:hAnsi="DM Sans"/>
          <w:iCs/>
        </w:rPr>
        <w:t> to bring together governments, trade unions, businesses and civil society around their shared aims...”</w:t>
      </w:r>
      <w:bookmarkEnd w:id="27"/>
    </w:p>
    <w:p w14:paraId="1D4897A1" w14:textId="77777777" w:rsidR="00845F92" w:rsidRPr="00C25209" w:rsidRDefault="00845F92" w:rsidP="003B0BB7">
      <w:pPr>
        <w:keepNext/>
        <w:keepLines/>
        <w:pBdr>
          <w:top w:val="single" w:sz="4" w:space="10" w:color="F5F9FD" w:themeColor="background2"/>
          <w:left w:val="single" w:sz="4" w:space="10" w:color="F5F9FD" w:themeColor="background2"/>
          <w:bottom w:val="single" w:sz="4" w:space="10" w:color="F5F9FD" w:themeColor="background2"/>
          <w:right w:val="single" w:sz="4" w:space="10" w:color="F5F9FD" w:themeColor="background2"/>
        </w:pBdr>
        <w:shd w:val="clear" w:color="auto" w:fill="E5F6F3" w:themeFill="accent3" w:themeFillTint="33"/>
        <w:spacing w:before="120" w:after="240"/>
        <w:ind w:left="227" w:right="227"/>
        <w:rPr>
          <w:rFonts w:ascii="DM Sans" w:eastAsia="Arial" w:hAnsi="DM Sans"/>
          <w:b/>
          <w:bCs/>
          <w:i/>
        </w:rPr>
      </w:pPr>
      <w:bookmarkStart w:id="28" w:name="_Toc126341244"/>
      <w:bookmarkStart w:id="29" w:name="_Hlk126568706"/>
      <w:r w:rsidRPr="00C25209">
        <w:rPr>
          <w:rFonts w:ascii="DM Sans" w:eastAsia="Arial" w:hAnsi="DM Sans"/>
          <w:i/>
        </w:rPr>
        <w:t xml:space="preserve">— </w:t>
      </w:r>
      <w:r w:rsidRPr="00C25209">
        <w:rPr>
          <w:rFonts w:ascii="DM Sans" w:eastAsia="Arial" w:hAnsi="DM Sans"/>
          <w:b/>
          <w:bCs/>
          <w:i/>
        </w:rPr>
        <w:t>Prime Minister Anthony Albanese in his speech to the AFR Business Summit, 2022</w:t>
      </w:r>
      <w:bookmarkEnd w:id="28"/>
    </w:p>
    <w:p w14:paraId="04EDB7CF" w14:textId="77777777" w:rsidR="00845F92" w:rsidRPr="00C25209" w:rsidRDefault="00845F92" w:rsidP="003B0BB7">
      <w:pPr>
        <w:keepLines/>
        <w:pBdr>
          <w:top w:val="single" w:sz="4" w:space="10" w:color="F5F9FD" w:themeColor="background2"/>
          <w:left w:val="single" w:sz="4" w:space="10" w:color="F5F9FD" w:themeColor="background2"/>
          <w:bottom w:val="single" w:sz="4" w:space="10" w:color="F5F9FD" w:themeColor="background2"/>
          <w:right w:val="single" w:sz="4" w:space="10" w:color="F5F9FD" w:themeColor="background2"/>
        </w:pBdr>
        <w:shd w:val="clear" w:color="auto" w:fill="E5F6F3" w:themeFill="accent3" w:themeFillTint="33"/>
        <w:spacing w:before="120" w:after="200"/>
        <w:ind w:left="227" w:right="227"/>
        <w:rPr>
          <w:rFonts w:ascii="DM Sans" w:eastAsia="Arial" w:hAnsi="DM Sans"/>
          <w:iCs/>
        </w:rPr>
      </w:pPr>
      <w:bookmarkStart w:id="30" w:name="_Toc126341245"/>
      <w:bookmarkEnd w:id="29"/>
      <w:r w:rsidRPr="00C25209">
        <w:rPr>
          <w:rFonts w:ascii="DM Sans" w:eastAsia="Arial" w:hAnsi="DM Sans"/>
          <w:iCs/>
        </w:rPr>
        <w:t xml:space="preserve">‘How do we build this more inclusive and resilient economy…? By strengthening our institutions and our capacity, with a focus on the intersection of prosperity and wellbeing, on evidence, on place and community, on collaboration and cooperation. By reimagining and redesigning markets – seeking value and impact… And with coordination and co-investment – recognising that government, business, philanthropic and investor </w:t>
      </w:r>
      <w:proofErr w:type="gramStart"/>
      <w:r w:rsidRPr="00C25209">
        <w:rPr>
          <w:rFonts w:ascii="DM Sans" w:eastAsia="Arial" w:hAnsi="DM Sans"/>
          <w:iCs/>
        </w:rPr>
        <w:t>interests</w:t>
      </w:r>
      <w:proofErr w:type="gramEnd"/>
      <w:r w:rsidRPr="00C25209">
        <w:rPr>
          <w:rFonts w:ascii="DM Sans" w:eastAsia="Arial" w:hAnsi="DM Sans"/>
          <w:iCs/>
        </w:rPr>
        <w:t xml:space="preserve"> and objectives are increasingly aligned and intertwined.</w:t>
      </w:r>
      <w:bookmarkEnd w:id="30"/>
    </w:p>
    <w:p w14:paraId="2EB13C25" w14:textId="77777777" w:rsidR="00845F92" w:rsidRPr="00C25209" w:rsidRDefault="00845F92" w:rsidP="003B0BB7">
      <w:pPr>
        <w:keepLines/>
        <w:pBdr>
          <w:top w:val="single" w:sz="4" w:space="10" w:color="F5F9FD" w:themeColor="background2"/>
          <w:left w:val="single" w:sz="4" w:space="10" w:color="F5F9FD" w:themeColor="background2"/>
          <w:bottom w:val="single" w:sz="4" w:space="10" w:color="F5F9FD" w:themeColor="background2"/>
          <w:right w:val="single" w:sz="4" w:space="10" w:color="F5F9FD" w:themeColor="background2"/>
        </w:pBdr>
        <w:shd w:val="clear" w:color="auto" w:fill="E5F6F3" w:themeFill="accent3" w:themeFillTint="33"/>
        <w:spacing w:before="120" w:after="0"/>
        <w:ind w:left="227" w:right="227"/>
        <w:rPr>
          <w:rFonts w:ascii="DM Sans" w:eastAsia="Arial" w:hAnsi="DM Sans"/>
          <w:iCs/>
        </w:rPr>
      </w:pPr>
      <w:bookmarkStart w:id="31" w:name="_Toc126341246"/>
      <w:r w:rsidRPr="00C25209">
        <w:rPr>
          <w:rFonts w:ascii="DM Sans" w:eastAsia="Arial" w:hAnsi="DM Sans"/>
          <w:iCs/>
        </w:rPr>
        <w:t xml:space="preserve">With a new, values-based capitalism for Australia, we can understand something the old thinking neglected: that the problems of government – of whole societies – don’t and shouldn’t permit one simple solution set. Single frameworks tend to close thinking down when what we need is to open our thinking up – to new approaches and new participants. That’s how Prime Minister Anthony Albanese has led since taking office: deliberate, open, drawing in not only all the talents of government but also those of our </w:t>
      </w:r>
      <w:proofErr w:type="gramStart"/>
      <w:r w:rsidRPr="00C25209">
        <w:rPr>
          <w:rFonts w:ascii="DM Sans" w:eastAsia="Arial" w:hAnsi="DM Sans"/>
          <w:iCs/>
        </w:rPr>
        <w:t>society as a whole</w:t>
      </w:r>
      <w:proofErr w:type="gramEnd"/>
      <w:r w:rsidRPr="00C25209">
        <w:rPr>
          <w:rFonts w:ascii="DM Sans" w:eastAsia="Arial" w:hAnsi="DM Sans"/>
          <w:iCs/>
        </w:rPr>
        <w:t>.’</w:t>
      </w:r>
      <w:bookmarkEnd w:id="31"/>
      <w:r w:rsidRPr="00C25209">
        <w:rPr>
          <w:rFonts w:ascii="DM Sans" w:eastAsia="Arial" w:hAnsi="DM Sans"/>
          <w:iCs/>
        </w:rPr>
        <w:t xml:space="preserve"> </w:t>
      </w:r>
    </w:p>
    <w:p w14:paraId="605D16E7" w14:textId="77777777" w:rsidR="00845F92" w:rsidRPr="00C25209" w:rsidRDefault="00845F92" w:rsidP="003B0BB7">
      <w:pPr>
        <w:keepLines/>
        <w:pBdr>
          <w:top w:val="single" w:sz="4" w:space="10" w:color="F5F9FD" w:themeColor="background2"/>
          <w:left w:val="single" w:sz="4" w:space="10" w:color="F5F9FD" w:themeColor="background2"/>
          <w:bottom w:val="single" w:sz="4" w:space="10" w:color="F5F9FD" w:themeColor="background2"/>
          <w:right w:val="single" w:sz="4" w:space="10" w:color="F5F9FD" w:themeColor="background2"/>
        </w:pBdr>
        <w:shd w:val="clear" w:color="auto" w:fill="E5F6F3" w:themeFill="accent3" w:themeFillTint="33"/>
        <w:spacing w:before="120"/>
        <w:ind w:left="227" w:right="227"/>
        <w:rPr>
          <w:rFonts w:ascii="DM Sans" w:eastAsia="Arial" w:hAnsi="DM Sans"/>
          <w:iCs/>
        </w:rPr>
      </w:pPr>
      <w:r w:rsidRPr="00C25209">
        <w:rPr>
          <w:rFonts w:ascii="DM Sans" w:hAnsi="DM Sans"/>
          <w:i/>
        </w:rPr>
        <w:t>—</w:t>
      </w:r>
      <w:r w:rsidRPr="00C25209">
        <w:rPr>
          <w:rFonts w:ascii="DM Sans" w:hAnsi="DM Sans"/>
          <w:b/>
          <w:bCs/>
          <w:i/>
        </w:rPr>
        <w:t>Treasurer Jim Chalmers, Capitalism after the crises’, The Monthly</w:t>
      </w:r>
    </w:p>
    <w:p w14:paraId="58E43BF1" w14:textId="404B1F47" w:rsidR="00B14264" w:rsidRPr="00C25209" w:rsidRDefault="00B14264" w:rsidP="00B255C9">
      <w:pPr>
        <w:pStyle w:val="ListNumberinTable"/>
        <w:numPr>
          <w:ilvl w:val="0"/>
          <w:numId w:val="38"/>
        </w:numPr>
        <w:spacing w:before="60" w:line="260" w:lineRule="atLeast"/>
        <w:rPr>
          <w:rFonts w:ascii="DM Sans" w:eastAsia="MS ??" w:hAnsi="DM Sans"/>
        </w:rPr>
      </w:pPr>
      <w:bookmarkStart w:id="32" w:name="_Toc126341242"/>
      <w:r w:rsidRPr="00C25209">
        <w:rPr>
          <w:rFonts w:ascii="DM Sans" w:hAnsi="DM Sans"/>
          <w:b/>
        </w:rPr>
        <w:t xml:space="preserve">There is value in learning from the Investment Dialogue for Australia’s Children – expected to be announced shortly - </w:t>
      </w:r>
      <w:proofErr w:type="gramStart"/>
      <w:r w:rsidRPr="00C25209">
        <w:rPr>
          <w:rFonts w:ascii="DM Sans" w:hAnsi="DM Sans"/>
          <w:b/>
        </w:rPr>
        <w:t>in order to</w:t>
      </w:r>
      <w:proofErr w:type="gramEnd"/>
      <w:r w:rsidRPr="00C25209">
        <w:rPr>
          <w:rFonts w:ascii="DM Sans" w:hAnsi="DM Sans"/>
          <w:b/>
        </w:rPr>
        <w:t xml:space="preserve"> inform robust arrangements for other sectors.</w:t>
      </w:r>
    </w:p>
    <w:p w14:paraId="634B95D3" w14:textId="1153530E" w:rsidR="00CF7633" w:rsidRPr="00C25209" w:rsidRDefault="00722361" w:rsidP="00B255C9">
      <w:pPr>
        <w:pStyle w:val="ListNumberinTable"/>
        <w:numPr>
          <w:ilvl w:val="0"/>
          <w:numId w:val="42"/>
        </w:numPr>
        <w:spacing w:before="60" w:line="260" w:lineRule="atLeast"/>
        <w:rPr>
          <w:rFonts w:ascii="DM Sans" w:hAnsi="DM Sans"/>
        </w:rPr>
      </w:pPr>
      <w:r w:rsidRPr="00C25209">
        <w:rPr>
          <w:rFonts w:ascii="DM Sans" w:eastAsia="MS ??" w:hAnsi="DM Sans"/>
        </w:rPr>
        <w:t xml:space="preserve">IDAC has been developed over a couple of years </w:t>
      </w:r>
      <w:r w:rsidR="00EF38B5" w:rsidRPr="00C25209">
        <w:rPr>
          <w:rFonts w:ascii="DM Sans" w:eastAsia="MS ??" w:hAnsi="DM Sans"/>
        </w:rPr>
        <w:t>t</w:t>
      </w:r>
      <w:r w:rsidR="00B14264" w:rsidRPr="00C25209">
        <w:rPr>
          <w:rFonts w:ascii="DM Sans" w:eastAsia="MS ??" w:hAnsi="DM Sans"/>
        </w:rPr>
        <w:t xml:space="preserve">hrough goodwill and sustained effort from government and philanthropy, </w:t>
      </w:r>
      <w:r w:rsidR="00EF38B5" w:rsidRPr="00C25209">
        <w:rPr>
          <w:rFonts w:ascii="DM Sans" w:eastAsia="MS ??" w:hAnsi="DM Sans"/>
        </w:rPr>
        <w:t xml:space="preserve">overcoming </w:t>
      </w:r>
      <w:r w:rsidR="00B14264" w:rsidRPr="00C25209">
        <w:rPr>
          <w:rFonts w:ascii="DM Sans" w:eastAsia="MS ??" w:hAnsi="DM Sans"/>
        </w:rPr>
        <w:t xml:space="preserve">impediments that have hampered previous attempts, </w:t>
      </w:r>
      <w:r w:rsidR="00EF38B5" w:rsidRPr="00C25209">
        <w:rPr>
          <w:rFonts w:ascii="DM Sans" w:eastAsia="MS ??" w:hAnsi="DM Sans"/>
        </w:rPr>
        <w:t xml:space="preserve">and codifying the terms of engagement through the </w:t>
      </w:r>
      <w:r w:rsidR="0087595C" w:rsidRPr="00C25209">
        <w:rPr>
          <w:rFonts w:ascii="DM Sans" w:eastAsia="MS ??" w:hAnsi="DM Sans"/>
        </w:rPr>
        <w:t>Working Together Agreement.</w:t>
      </w:r>
      <w:r w:rsidR="0087595C" w:rsidRPr="00C25209">
        <w:rPr>
          <w:rFonts w:ascii="DM Sans" w:hAnsi="DM Sans"/>
        </w:rPr>
        <w:t xml:space="preserve">  </w:t>
      </w:r>
      <w:bookmarkEnd w:id="32"/>
    </w:p>
    <w:p w14:paraId="22A79A2C" w14:textId="77777777" w:rsidR="00CF7633" w:rsidRPr="00C27804" w:rsidRDefault="00CF7633" w:rsidP="008A57CD">
      <w:pPr>
        <w:pStyle w:val="ListNumberinTable"/>
        <w:numPr>
          <w:ilvl w:val="0"/>
          <w:numId w:val="0"/>
        </w:numPr>
        <w:spacing w:before="60" w:line="260" w:lineRule="atLeast"/>
        <w:rPr>
          <w:rFonts w:ascii="DM Sans" w:hAnsi="DM Sans"/>
        </w:rPr>
      </w:pPr>
    </w:p>
    <w:p w14:paraId="09AA526F" w14:textId="33F6EB24" w:rsidR="00C85621" w:rsidRPr="00C27804" w:rsidRDefault="00C85621" w:rsidP="008A57CD">
      <w:pPr>
        <w:pStyle w:val="ListNumberinTable"/>
        <w:numPr>
          <w:ilvl w:val="0"/>
          <w:numId w:val="0"/>
        </w:numPr>
        <w:spacing w:before="60" w:line="260" w:lineRule="atLeast"/>
        <w:rPr>
          <w:rFonts w:ascii="DM Sans" w:eastAsiaTheme="majorEastAsia" w:hAnsi="DM Sans" w:cstheme="majorBidi"/>
          <w:b/>
          <w:bCs/>
          <w:color w:val="3D7EDB" w:themeColor="accent1"/>
          <w:sz w:val="32"/>
          <w:szCs w:val="40"/>
        </w:rPr>
      </w:pPr>
      <w:r w:rsidRPr="00C27804">
        <w:rPr>
          <w:rFonts w:ascii="DM Sans" w:hAnsi="DM Sans"/>
        </w:rPr>
        <w:br w:type="page"/>
      </w:r>
    </w:p>
    <w:p w14:paraId="1CEC3C77" w14:textId="4325FCF3" w:rsidR="005A3F17" w:rsidRPr="00B64055" w:rsidRDefault="00B25528" w:rsidP="00A547B7">
      <w:pPr>
        <w:pStyle w:val="Heading1"/>
        <w:numPr>
          <w:ilvl w:val="2"/>
          <w:numId w:val="99"/>
        </w:numPr>
        <w:ind w:left="357" w:hanging="357"/>
        <w:rPr>
          <w:rFonts w:ascii="DM Sans" w:hAnsi="DM Sans"/>
        </w:rPr>
      </w:pPr>
      <w:bookmarkStart w:id="33" w:name="_Toc158381893"/>
      <w:r w:rsidRPr="00C27804">
        <w:rPr>
          <w:rFonts w:ascii="DM Sans" w:hAnsi="DM Sans"/>
        </w:rPr>
        <w:lastRenderedPageBreak/>
        <w:t>Responses on Key Issues</w:t>
      </w:r>
      <w:bookmarkEnd w:id="33"/>
    </w:p>
    <w:p w14:paraId="260B9F81" w14:textId="216EC760" w:rsidR="00B25528" w:rsidRDefault="00C228B5" w:rsidP="00A547B7">
      <w:pPr>
        <w:pStyle w:val="Heading3"/>
        <w:numPr>
          <w:ilvl w:val="1"/>
          <w:numId w:val="97"/>
        </w:numPr>
        <w:rPr>
          <w:rFonts w:ascii="DM Sans" w:hAnsi="DM Sans"/>
        </w:rPr>
      </w:pPr>
      <w:bookmarkStart w:id="34" w:name="_Toc158381894"/>
      <w:r w:rsidRPr="00C27804">
        <w:rPr>
          <w:rFonts w:ascii="DM Sans" w:hAnsi="DM Sans"/>
        </w:rPr>
        <w:t>Changing the minimum distribution rates</w:t>
      </w:r>
      <w:bookmarkEnd w:id="34"/>
    </w:p>
    <w:p w14:paraId="50582A09" w14:textId="4EBA6A76" w:rsidR="0080460E" w:rsidRPr="00CC3607" w:rsidRDefault="00110186" w:rsidP="0080460E">
      <w:pPr>
        <w:pStyle w:val="BodyText"/>
      </w:pPr>
      <w:r w:rsidRPr="00CC3607">
        <w:t xml:space="preserve">Philanthropy Australia </w:t>
      </w:r>
      <w:r w:rsidR="00AA13D8" w:rsidRPr="00CC3607">
        <w:t xml:space="preserve">appreciates the very balanced approach the PC took to this issue in the draft report, </w:t>
      </w:r>
      <w:r w:rsidR="000538F9" w:rsidRPr="00CC3607">
        <w:t>with the case</w:t>
      </w:r>
      <w:r w:rsidR="00D33D06" w:rsidRPr="00CC3607">
        <w:t xml:space="preserve"> for and against changes well outlined for consideration.  </w:t>
      </w:r>
    </w:p>
    <w:p w14:paraId="7359AEE5" w14:textId="0C8F021F" w:rsidR="00111D74" w:rsidRPr="00CC3607" w:rsidRDefault="005A3F17" w:rsidP="00111D74">
      <w:pPr>
        <w:pStyle w:val="BodyText"/>
      </w:pPr>
      <w:r w:rsidRPr="00CC3607">
        <w:t>Philanthropy Australia engaged its members in two ways:</w:t>
      </w:r>
    </w:p>
    <w:p w14:paraId="703D85DE" w14:textId="49D0D0AC" w:rsidR="005A3F17" w:rsidRPr="00CC3607" w:rsidRDefault="00B64055" w:rsidP="00B255C9">
      <w:pPr>
        <w:pStyle w:val="BodyText"/>
        <w:numPr>
          <w:ilvl w:val="0"/>
          <w:numId w:val="20"/>
        </w:numPr>
      </w:pPr>
      <w:r w:rsidRPr="00CC3607">
        <w:t>We released a draft submission to members on 22 December and called for written or verbal responses.</w:t>
      </w:r>
    </w:p>
    <w:p w14:paraId="05221246" w14:textId="4F333933" w:rsidR="00B64055" w:rsidRPr="00CC3607" w:rsidRDefault="00B64055" w:rsidP="00B255C9">
      <w:pPr>
        <w:pStyle w:val="BodyText"/>
        <w:numPr>
          <w:ilvl w:val="0"/>
          <w:numId w:val="20"/>
        </w:numPr>
      </w:pPr>
      <w:r w:rsidRPr="00CC3607">
        <w:t>We held two well attended member sessions in late January.</w:t>
      </w:r>
    </w:p>
    <w:p w14:paraId="02CFB75C" w14:textId="6E764AD0" w:rsidR="00B64055" w:rsidRPr="00CC3607" w:rsidRDefault="00B255F1" w:rsidP="00B64055">
      <w:pPr>
        <w:pStyle w:val="BodyText"/>
      </w:pPr>
      <w:r w:rsidRPr="00CC3607">
        <w:t xml:space="preserve">Responses </w:t>
      </w:r>
      <w:r w:rsidR="000875DA" w:rsidRPr="00CC3607">
        <w:t xml:space="preserve">on this issue </w:t>
      </w:r>
      <w:r w:rsidRPr="00CC3607">
        <w:t>were mixed</w:t>
      </w:r>
      <w:r w:rsidR="00CC1518" w:rsidRPr="00CC3607">
        <w:t>, with the majority favouring no change to minimum distribution rates</w:t>
      </w:r>
      <w:r w:rsidRPr="00CC3607">
        <w:t>.</w:t>
      </w:r>
    </w:p>
    <w:p w14:paraId="6B47267E" w14:textId="63EC33AF" w:rsidR="00862BC8" w:rsidRPr="00CC3607" w:rsidRDefault="00A74828" w:rsidP="00D40166">
      <w:pPr>
        <w:pStyle w:val="BodyText"/>
      </w:pPr>
      <w:r w:rsidRPr="00CC3607">
        <w:t xml:space="preserve">A minority of members </w:t>
      </w:r>
      <w:r w:rsidR="00D40166" w:rsidRPr="00CC3607">
        <w:t>believed</w:t>
      </w:r>
      <w:r w:rsidRPr="00CC3607">
        <w:t xml:space="preserve"> minimum distribution rates could be lifted slightly higher – say to 6 per cent </w:t>
      </w:r>
      <w:r w:rsidR="003D3471" w:rsidRPr="00CC3607">
        <w:t xml:space="preserve">for PAFs </w:t>
      </w:r>
      <w:r w:rsidRPr="00CC3607">
        <w:t xml:space="preserve">– to get more money to charity sooner.  </w:t>
      </w:r>
      <w:r w:rsidR="00CC1518" w:rsidRPr="00CC3607">
        <w:t xml:space="preserve">They were swayed by the Commission’s analysis that increasing the PAF minimum rate to 6 per cent could mean another $60 million per year for charity. </w:t>
      </w:r>
      <w:r w:rsidRPr="00CC3607">
        <w:t xml:space="preserve">Advocates of this position </w:t>
      </w:r>
      <w:r w:rsidR="00AF683F" w:rsidRPr="00CC3607">
        <w:t>expressed confidence that most</w:t>
      </w:r>
      <w:r w:rsidR="00114BA0" w:rsidRPr="00CC3607">
        <w:t xml:space="preserve"> ancillary funds </w:t>
      </w:r>
      <w:r w:rsidR="00AF683F" w:rsidRPr="00CC3607">
        <w:t xml:space="preserve">could </w:t>
      </w:r>
      <w:r w:rsidR="00114BA0" w:rsidRPr="00CC3607">
        <w:t xml:space="preserve">achieve returns </w:t>
      </w:r>
      <w:proofErr w:type="gramStart"/>
      <w:r w:rsidR="00114BA0" w:rsidRPr="00CC3607">
        <w:t>in excess of</w:t>
      </w:r>
      <w:proofErr w:type="gramEnd"/>
      <w:r w:rsidR="00114BA0" w:rsidRPr="00CC3607">
        <w:t xml:space="preserve"> 6 per cent, </w:t>
      </w:r>
      <w:r w:rsidR="00634208" w:rsidRPr="00CC3607">
        <w:t xml:space="preserve">so could still operate in perpetuity with a slightly higher minimum distribution.  </w:t>
      </w:r>
    </w:p>
    <w:p w14:paraId="2D453116" w14:textId="7A247A52" w:rsidR="00634208" w:rsidRPr="00CC3607" w:rsidRDefault="006D2576" w:rsidP="006D2576">
      <w:pPr>
        <w:pStyle w:val="BodyText"/>
      </w:pPr>
      <w:r w:rsidRPr="00CC3607">
        <w:t xml:space="preserve">A majority of members </w:t>
      </w:r>
      <w:r w:rsidR="007D3BDF" w:rsidRPr="00CC3607">
        <w:t>believed Australia’s long-term giving will be higher if minimum distribution rates are left as they are at this time</w:t>
      </w:r>
      <w:r w:rsidR="004B202C" w:rsidRPr="00CC3607">
        <w:t>.  The rationale:</w:t>
      </w:r>
    </w:p>
    <w:p w14:paraId="668186AC" w14:textId="10B59685" w:rsidR="00B52FF9" w:rsidRPr="00CC3607" w:rsidRDefault="00F474C5" w:rsidP="00A547B7">
      <w:pPr>
        <w:pStyle w:val="BodyText"/>
        <w:numPr>
          <w:ilvl w:val="0"/>
          <w:numId w:val="85"/>
        </w:numPr>
      </w:pPr>
      <w:r w:rsidRPr="00CC3607">
        <w:t xml:space="preserve">The key driver of increasing donations </w:t>
      </w:r>
      <w:r w:rsidR="00C618D4" w:rsidRPr="00CC3607">
        <w:t xml:space="preserve">in this area is to increase the number of ancillary funds.  </w:t>
      </w:r>
      <w:r w:rsidR="002A29C4" w:rsidRPr="00CC3607">
        <w:t>Increasing the minimum distribution amounts could impede this growth, harming long-term giving outcomes.</w:t>
      </w:r>
    </w:p>
    <w:p w14:paraId="533D1C48" w14:textId="508B67DA" w:rsidR="00811CA1" w:rsidRPr="00CC3607" w:rsidRDefault="00811CA1" w:rsidP="00A547B7">
      <w:pPr>
        <w:pStyle w:val="BodyText"/>
        <w:numPr>
          <w:ilvl w:val="1"/>
          <w:numId w:val="85"/>
        </w:numPr>
        <w:ind w:left="709"/>
      </w:pPr>
      <w:r w:rsidRPr="00CC3607">
        <w:t>As the PC notes, the growth of ancillary funds has been a key driver of increased giving.</w:t>
      </w:r>
      <w:r w:rsidRPr="00CC3607">
        <w:rPr>
          <w:spacing w:val="-4"/>
        </w:rPr>
        <w:t xml:space="preserve"> Giving into private and public ancillary funds has grown both in value (from $692 million in 2011-12 to $2.4 billion in 2020-21) and as a share of giving by individuals (donations to private ancillary funds have grown from 15% to 27% of individual giving). Net assets have grown from $4.6 billion in 2011-12 to $16.4 billion in 2020-21.</w:t>
      </w:r>
    </w:p>
    <w:p w14:paraId="2308520D" w14:textId="2D931D27" w:rsidR="003D3471" w:rsidRPr="00CC3607" w:rsidRDefault="003D6A13" w:rsidP="00A547B7">
      <w:pPr>
        <w:pStyle w:val="BodyText"/>
        <w:numPr>
          <w:ilvl w:val="1"/>
          <w:numId w:val="85"/>
        </w:numPr>
        <w:ind w:left="709"/>
      </w:pPr>
      <w:r w:rsidRPr="00CC3607">
        <w:t xml:space="preserve">The key imperative now is to attract more wealthy Australians to establish funds.  </w:t>
      </w:r>
      <w:r w:rsidR="00A5115A" w:rsidRPr="00CC3607">
        <w:t xml:space="preserve">Compared with nations such as the US, Australia is at a relatively early phase of the take up of ancillary funds.  </w:t>
      </w:r>
      <w:r w:rsidR="00467459" w:rsidRPr="00CC3607">
        <w:t xml:space="preserve">In a little over 20 years, </w:t>
      </w:r>
      <w:r w:rsidR="002A29C4" w:rsidRPr="00CC3607">
        <w:t>more than 2,000 PAFs have been created and they are growing at around 100 per year.</w:t>
      </w:r>
      <w:r w:rsidRPr="00CC3607">
        <w:t xml:space="preserve">  A common view is that Australia should have at least 20,000</w:t>
      </w:r>
      <w:r w:rsidR="00D42EB2" w:rsidRPr="00CC3607">
        <w:t xml:space="preserve"> PAFs, given our wealth.  </w:t>
      </w:r>
      <w:r w:rsidR="00104AD3" w:rsidRPr="00CC3607">
        <w:t>There are over 20,800 ultra-high net worth individuals ($30m plus net wealth), and hundreds of thousands more with substantial wealth</w:t>
      </w:r>
      <w:r w:rsidR="00125769" w:rsidRPr="00CC3607">
        <w:t>.</w:t>
      </w:r>
      <w:r w:rsidR="00D306EC" w:rsidRPr="00CC3607">
        <w:t xml:space="preserve">  The key thing at this point in our history is </w:t>
      </w:r>
      <w:r w:rsidR="0097206A" w:rsidRPr="00CC3607">
        <w:t>to expand take up.</w:t>
      </w:r>
    </w:p>
    <w:p w14:paraId="5BD8A920" w14:textId="01A969DB" w:rsidR="00FE43A5" w:rsidRDefault="0099468D" w:rsidP="00A547B7">
      <w:pPr>
        <w:pStyle w:val="BodyText"/>
        <w:numPr>
          <w:ilvl w:val="0"/>
          <w:numId w:val="85"/>
        </w:numPr>
      </w:pPr>
      <w:r w:rsidRPr="00CC3607">
        <w:t xml:space="preserve">It is also critical to provide maximum support </w:t>
      </w:r>
      <w:r w:rsidR="001C4E43" w:rsidRPr="00CC3607">
        <w:t xml:space="preserve">to charitable purposes over the long-term.  Imposing a minimum distribution rate that meant the corpus </w:t>
      </w:r>
      <w:r w:rsidR="00854560" w:rsidRPr="00CC3607">
        <w:t>was steadily eroded would mean less people supported than a rate that allowed ancillary funds to operate in perpetuity.</w:t>
      </w:r>
    </w:p>
    <w:p w14:paraId="5464856F" w14:textId="2F1845CF" w:rsidR="009D162E" w:rsidRPr="00CC3607" w:rsidRDefault="009D162E" w:rsidP="00A547B7">
      <w:pPr>
        <w:pStyle w:val="BodyText"/>
        <w:numPr>
          <w:ilvl w:val="0"/>
          <w:numId w:val="85"/>
        </w:numPr>
      </w:pPr>
      <w:r>
        <w:t xml:space="preserve">Those with sufficient earnings </w:t>
      </w:r>
      <w:r w:rsidR="00EF7804">
        <w:t xml:space="preserve">generally already do give </w:t>
      </w:r>
      <w:proofErr w:type="gramStart"/>
      <w:r w:rsidR="00EF7804">
        <w:t>in excess of</w:t>
      </w:r>
      <w:proofErr w:type="gramEnd"/>
      <w:r w:rsidR="00EF7804">
        <w:t xml:space="preserve"> minimum distribution rates. </w:t>
      </w:r>
    </w:p>
    <w:p w14:paraId="34E4B3A3" w14:textId="5F2AC59F" w:rsidR="00B52FF9" w:rsidRPr="00CC3607" w:rsidRDefault="00C32F62" w:rsidP="00A547B7">
      <w:pPr>
        <w:pStyle w:val="BodyText"/>
        <w:numPr>
          <w:ilvl w:val="0"/>
          <w:numId w:val="85"/>
        </w:numPr>
      </w:pPr>
      <w:r w:rsidRPr="00CC3607">
        <w:t xml:space="preserve">It was also noted that ancillary funds were increasingly embracing social impact investing, including </w:t>
      </w:r>
      <w:r w:rsidR="005633A5" w:rsidRPr="00CC3607">
        <w:t xml:space="preserve">through higher risk or concessional loans.  </w:t>
      </w:r>
      <w:r w:rsidR="00E151BB" w:rsidRPr="00CC3607">
        <w:t xml:space="preserve">Lowering the </w:t>
      </w:r>
      <w:r w:rsidR="00520646" w:rsidRPr="00CC3607">
        <w:t>minimum distribution rate could impede the ability of ancillary funds to offer these loans.</w:t>
      </w:r>
    </w:p>
    <w:p w14:paraId="2744E37C" w14:textId="2E3A03E1" w:rsidR="005F7B9D" w:rsidRPr="00CC3607" w:rsidRDefault="004A0F0B" w:rsidP="005F7B9D">
      <w:pPr>
        <w:pStyle w:val="BodyText"/>
      </w:pPr>
      <w:r w:rsidRPr="00CC3607">
        <w:t xml:space="preserve">There is lively debate on this issue in the United States, as detailed by </w:t>
      </w:r>
      <w:r w:rsidRPr="00CC3607">
        <w:rPr>
          <w:b/>
          <w:bCs/>
        </w:rPr>
        <w:t xml:space="preserve">Paul Salmon, </w:t>
      </w:r>
      <w:r w:rsidR="00B01D12" w:rsidRPr="00CC3607">
        <w:rPr>
          <w:b/>
          <w:bCs/>
        </w:rPr>
        <w:t>‘</w:t>
      </w:r>
      <w:r w:rsidR="00747A55" w:rsidRPr="00CC3607">
        <w:rPr>
          <w:b/>
          <w:bCs/>
        </w:rPr>
        <w:t>Private Foundations and the Five Percent Payout Rule</w:t>
      </w:r>
      <w:r w:rsidR="00B01D12" w:rsidRPr="00CC3607">
        <w:rPr>
          <w:b/>
          <w:bCs/>
        </w:rPr>
        <w:t>’</w:t>
      </w:r>
      <w:r w:rsidR="00912AAD" w:rsidRPr="00CC3607">
        <w:rPr>
          <w:b/>
          <w:bCs/>
        </w:rPr>
        <w:t xml:space="preserve">, Policy Primer, November 2023.  </w:t>
      </w:r>
      <w:r w:rsidR="00912AAD" w:rsidRPr="00CC3607">
        <w:t>Key findings:</w:t>
      </w:r>
    </w:p>
    <w:p w14:paraId="3E3DAB22" w14:textId="0E59332E" w:rsidR="00912AAD" w:rsidRPr="00CC3607" w:rsidRDefault="0009189E" w:rsidP="00A547B7">
      <w:pPr>
        <w:pStyle w:val="BodyText"/>
        <w:numPr>
          <w:ilvl w:val="0"/>
          <w:numId w:val="86"/>
        </w:numPr>
      </w:pPr>
      <w:r w:rsidRPr="00CC3607">
        <w:t xml:space="preserve">There are 125,000 </w:t>
      </w:r>
      <w:r w:rsidR="0077217A" w:rsidRPr="00CC3607">
        <w:t>domestic grant</w:t>
      </w:r>
      <w:r w:rsidR="004358C4">
        <w:t>-</w:t>
      </w:r>
      <w:r w:rsidR="0077217A" w:rsidRPr="00CC3607">
        <w:t>making institutions in the US</w:t>
      </w:r>
      <w:r w:rsidR="00FA7010" w:rsidRPr="00CC3607">
        <w:t xml:space="preserve"> that distributed $105 billion in 2022, a quadrup</w:t>
      </w:r>
      <w:r w:rsidR="00E97A74" w:rsidRPr="00CC3607">
        <w:t xml:space="preserve">ling </w:t>
      </w:r>
      <w:r w:rsidR="0040367F" w:rsidRPr="00CC3607">
        <w:t xml:space="preserve">in donations </w:t>
      </w:r>
      <w:r w:rsidR="00E97A74" w:rsidRPr="00CC3607">
        <w:t>over 25 years.</w:t>
      </w:r>
    </w:p>
    <w:p w14:paraId="6866BB61" w14:textId="2F43DF53" w:rsidR="00CF2003" w:rsidRPr="00CC3607" w:rsidRDefault="00CE0FE7" w:rsidP="00A547B7">
      <w:pPr>
        <w:pStyle w:val="BodyText"/>
        <w:numPr>
          <w:ilvl w:val="0"/>
          <w:numId w:val="86"/>
        </w:numPr>
      </w:pPr>
      <w:r w:rsidRPr="00CC3607">
        <w:t xml:space="preserve">The 1969 Tax Reform Act </w:t>
      </w:r>
      <w:r w:rsidR="00B84411" w:rsidRPr="00CC3607">
        <w:t>established a minimum distribution rate</w:t>
      </w:r>
      <w:r w:rsidR="001C4A80" w:rsidRPr="00CC3607">
        <w:t xml:space="preserve"> for the first time</w:t>
      </w:r>
      <w:r w:rsidR="00036D07" w:rsidRPr="00CC3607">
        <w:t xml:space="preserve">, at a rate of 6 per </w:t>
      </w:r>
      <w:r w:rsidR="00BF1214" w:rsidRPr="00CC3607">
        <w:t>cent,</w:t>
      </w:r>
      <w:r w:rsidR="00B84411" w:rsidRPr="00CC3607">
        <w:t xml:space="preserve"> which resulted in around </w:t>
      </w:r>
      <w:r w:rsidR="001F3657" w:rsidRPr="00CC3607">
        <w:t>15 per cent of foundations closing by 1974</w:t>
      </w:r>
      <w:r w:rsidR="00CF2003" w:rsidRPr="00CC3607">
        <w:t xml:space="preserve">, </w:t>
      </w:r>
      <w:r w:rsidR="00036D07" w:rsidRPr="00CC3607">
        <w:t xml:space="preserve">mainly because they were unable to sustain the required rates of return to maintain their corpus.  </w:t>
      </w:r>
      <w:r w:rsidR="00466FDC" w:rsidRPr="00CC3607">
        <w:t xml:space="preserve">In 1976 it was reduced to 5 </w:t>
      </w:r>
      <w:r w:rsidR="00466FDC" w:rsidRPr="00CC3607">
        <w:lastRenderedPageBreak/>
        <w:t xml:space="preserve">per cent </w:t>
      </w:r>
      <w:r w:rsidR="00272E41" w:rsidRPr="00CC3607">
        <w:t xml:space="preserve">(noting that the law allows foundations to include their administration costs within this 5 per cent) and this has applied ever since.  </w:t>
      </w:r>
    </w:p>
    <w:p w14:paraId="2EC6C3B0" w14:textId="160747ED" w:rsidR="00E60423" w:rsidRPr="00CC3607" w:rsidRDefault="0053687A" w:rsidP="00A547B7">
      <w:pPr>
        <w:pStyle w:val="BodyText"/>
        <w:numPr>
          <w:ilvl w:val="0"/>
          <w:numId w:val="86"/>
        </w:numPr>
      </w:pPr>
      <w:r w:rsidRPr="00CC3607">
        <w:t xml:space="preserve">The author details a suite of </w:t>
      </w:r>
      <w:r w:rsidR="008C0519" w:rsidRPr="00CC3607">
        <w:t xml:space="preserve">studies </w:t>
      </w:r>
      <w:r w:rsidR="00586118" w:rsidRPr="00CC3607">
        <w:t xml:space="preserve">over various </w:t>
      </w:r>
      <w:r w:rsidR="002824F6" w:rsidRPr="00CC3607">
        <w:t>timelines</w:t>
      </w:r>
      <w:r w:rsidR="00586118" w:rsidRPr="00CC3607">
        <w:t xml:space="preserve"> </w:t>
      </w:r>
      <w:r w:rsidR="008C0519" w:rsidRPr="00CC3607">
        <w:t xml:space="preserve">showing that real returns on investment for foundations </w:t>
      </w:r>
      <w:r w:rsidR="001C1F3E" w:rsidRPr="00CC3607">
        <w:t>have been a little</w:t>
      </w:r>
      <w:r w:rsidR="008C0519" w:rsidRPr="00CC3607">
        <w:t xml:space="preserve"> over 5 per cent</w:t>
      </w:r>
      <w:r w:rsidR="001C1F3E" w:rsidRPr="00CC3607">
        <w:t xml:space="preserve"> since then</w:t>
      </w:r>
      <w:r w:rsidR="00586118" w:rsidRPr="00CC3607">
        <w:t xml:space="preserve">.  </w:t>
      </w:r>
      <w:r w:rsidR="00B34FDA" w:rsidRPr="00CC3607">
        <w:t>For these reasons the authors conclude there is no justification for increasing the minimum distribution rate</w:t>
      </w:r>
      <w:r w:rsidR="007A49F4" w:rsidRPr="00CC3607">
        <w:t>, noting:</w:t>
      </w:r>
    </w:p>
    <w:p w14:paraId="2464C51F" w14:textId="4D46CB04" w:rsidR="007A49F4" w:rsidRPr="00CC3607" w:rsidRDefault="007A49F4" w:rsidP="007A49F4">
      <w:pPr>
        <w:pStyle w:val="BodyText"/>
        <w:ind w:left="360"/>
        <w:rPr>
          <w:sz w:val="18"/>
          <w:szCs w:val="18"/>
        </w:rPr>
      </w:pPr>
      <w:r w:rsidRPr="00CC3607">
        <w:rPr>
          <w:sz w:val="18"/>
          <w:szCs w:val="18"/>
        </w:rPr>
        <w:t>The 5 per cent pa</w:t>
      </w:r>
      <w:r w:rsidR="00520492" w:rsidRPr="00CC3607">
        <w:rPr>
          <w:sz w:val="18"/>
          <w:szCs w:val="18"/>
        </w:rPr>
        <w:t>y</w:t>
      </w:r>
      <w:r w:rsidRPr="00CC3607">
        <w:rPr>
          <w:sz w:val="18"/>
          <w:szCs w:val="18"/>
        </w:rPr>
        <w:t xml:space="preserve">out rate was chosen to strike a balance between providing resources for charitable activities and ensuring long-term asset growth.  Existing studies and available data consistently demonstrate that the 5 percent payout rule </w:t>
      </w:r>
      <w:r w:rsidR="002D3CFB" w:rsidRPr="00CC3607">
        <w:rPr>
          <w:sz w:val="18"/>
          <w:szCs w:val="18"/>
        </w:rPr>
        <w:t xml:space="preserve">comes closest to preserving the purchasing power of private foundations, providing a consistent and reliable </w:t>
      </w:r>
      <w:r w:rsidR="00A239FB" w:rsidRPr="00CC3607">
        <w:rPr>
          <w:sz w:val="18"/>
          <w:szCs w:val="18"/>
        </w:rPr>
        <w:t>source of funds for charities over the long run.  What’s more, forecas</w:t>
      </w:r>
      <w:r w:rsidR="00757C36" w:rsidRPr="00CC3607">
        <w:rPr>
          <w:sz w:val="18"/>
          <w:szCs w:val="18"/>
        </w:rPr>
        <w:t>t</w:t>
      </w:r>
      <w:r w:rsidR="00A239FB" w:rsidRPr="00CC3607">
        <w:rPr>
          <w:sz w:val="18"/>
          <w:szCs w:val="18"/>
        </w:rPr>
        <w:t>s of future investment returns suggest even a 5 percent payout requirement could restrain the long-term activities of some foundations, while higher payout requirements would lead to a significant decline in real dollar payouts over time.</w:t>
      </w:r>
    </w:p>
    <w:p w14:paraId="6560957A" w14:textId="121A8C04" w:rsidR="00AB2DEB" w:rsidRPr="00CC3607" w:rsidRDefault="00800809" w:rsidP="007A49F4">
      <w:pPr>
        <w:pStyle w:val="BodyText"/>
        <w:ind w:left="360"/>
        <w:rPr>
          <w:sz w:val="18"/>
          <w:szCs w:val="18"/>
        </w:rPr>
      </w:pPr>
      <w:r w:rsidRPr="00CC3607">
        <w:rPr>
          <w:sz w:val="18"/>
          <w:szCs w:val="18"/>
        </w:rPr>
        <w:t>[On critics arguing for a higher payout rate] … a thorough analysis of the data and literature suggests</w:t>
      </w:r>
      <w:r w:rsidR="00695B49" w:rsidRPr="00CC3607">
        <w:rPr>
          <w:sz w:val="18"/>
          <w:szCs w:val="18"/>
        </w:rPr>
        <w:t xml:space="preserve"> such proposals are unjustified and likely to stifle activity – resulting in fewer dollars </w:t>
      </w:r>
      <w:r w:rsidR="00AC4CD9" w:rsidRPr="00CC3607">
        <w:rPr>
          <w:sz w:val="18"/>
          <w:szCs w:val="18"/>
        </w:rPr>
        <w:t>available for our society’s most vulnerable, especially over the long term.</w:t>
      </w:r>
    </w:p>
    <w:p w14:paraId="448D3D37" w14:textId="4D075DAA" w:rsidR="003A1006" w:rsidRPr="00E52DAA" w:rsidRDefault="003A1006" w:rsidP="00A547B7">
      <w:pPr>
        <w:pStyle w:val="Heading3"/>
        <w:numPr>
          <w:ilvl w:val="1"/>
          <w:numId w:val="97"/>
        </w:numPr>
        <w:rPr>
          <w:rFonts w:ascii="DM Sans" w:hAnsi="DM Sans"/>
        </w:rPr>
      </w:pPr>
      <w:bookmarkStart w:id="35" w:name="_Toc158381895"/>
      <w:r w:rsidRPr="00E52DAA">
        <w:rPr>
          <w:rFonts w:ascii="DM Sans" w:hAnsi="DM Sans"/>
        </w:rPr>
        <w:t>Removing DGR status</w:t>
      </w:r>
      <w:r w:rsidR="00867337" w:rsidRPr="00E52DAA">
        <w:rPr>
          <w:rFonts w:ascii="DM Sans" w:hAnsi="DM Sans"/>
        </w:rPr>
        <w:t xml:space="preserve"> for school building funds</w:t>
      </w:r>
      <w:bookmarkEnd w:id="35"/>
      <w:r w:rsidRPr="00E52DAA">
        <w:rPr>
          <w:rFonts w:ascii="DM Sans" w:hAnsi="DM Sans"/>
        </w:rPr>
        <w:t xml:space="preserve"> </w:t>
      </w:r>
    </w:p>
    <w:p w14:paraId="6602C8BF" w14:textId="77777777" w:rsidR="00A47C36" w:rsidRPr="00CC3607" w:rsidRDefault="00A47C36" w:rsidP="00A47C36">
      <w:proofErr w:type="gramStart"/>
      <w:r w:rsidRPr="00CC3607">
        <w:t>The majority of</w:t>
      </w:r>
      <w:proofErr w:type="gramEnd"/>
      <w:r w:rsidRPr="00CC3607">
        <w:t xml:space="preserve"> PA members expressing a view on this topic believe that DGR for school building funds should be retained as:</w:t>
      </w:r>
    </w:p>
    <w:p w14:paraId="13DC26D9" w14:textId="77777777" w:rsidR="00A47C36" w:rsidRPr="00CC3607" w:rsidRDefault="00A47C36" w:rsidP="00A547B7">
      <w:pPr>
        <w:pStyle w:val="ListParagraph"/>
        <w:numPr>
          <w:ilvl w:val="0"/>
          <w:numId w:val="88"/>
        </w:numPr>
        <w:rPr>
          <w:rFonts w:asciiTheme="minorHAnsi" w:hAnsiTheme="minorHAnsi"/>
          <w:sz w:val="20"/>
        </w:rPr>
      </w:pPr>
      <w:r w:rsidRPr="00CC3607">
        <w:rPr>
          <w:rFonts w:asciiTheme="minorHAnsi" w:hAnsiTheme="minorHAnsi"/>
          <w:sz w:val="20"/>
        </w:rPr>
        <w:t xml:space="preserve">Education is pivotal to productivity, </w:t>
      </w:r>
      <w:proofErr w:type="gramStart"/>
      <w:r w:rsidRPr="00CC3607">
        <w:rPr>
          <w:rFonts w:asciiTheme="minorHAnsi" w:hAnsiTheme="minorHAnsi"/>
          <w:sz w:val="20"/>
        </w:rPr>
        <w:t>opportunity</w:t>
      </w:r>
      <w:proofErr w:type="gramEnd"/>
      <w:r w:rsidRPr="00CC3607">
        <w:rPr>
          <w:rFonts w:asciiTheme="minorHAnsi" w:hAnsiTheme="minorHAnsi"/>
          <w:sz w:val="20"/>
        </w:rPr>
        <w:t xml:space="preserve"> and equity in our society.  There is a much stronger case for expanding DGR to all primary and secondary schools – so private funding can enhance what can be achieved by government alone in supporting children to get a great education – than going further to restrict philanthropic giving in education.</w:t>
      </w:r>
    </w:p>
    <w:p w14:paraId="7FCB160A" w14:textId="7D370889" w:rsidR="00A47C36" w:rsidRPr="00CC3607" w:rsidRDefault="00A47C36" w:rsidP="00A547B7">
      <w:pPr>
        <w:pStyle w:val="ListParagraph"/>
        <w:numPr>
          <w:ilvl w:val="0"/>
          <w:numId w:val="88"/>
        </w:numPr>
        <w:rPr>
          <w:rFonts w:asciiTheme="minorHAnsi" w:hAnsiTheme="minorHAnsi"/>
          <w:sz w:val="20"/>
        </w:rPr>
      </w:pPr>
      <w:r w:rsidRPr="00CC3607">
        <w:rPr>
          <w:rFonts w:asciiTheme="minorHAnsi" w:hAnsiTheme="minorHAnsi"/>
          <w:sz w:val="20"/>
        </w:rPr>
        <w:t xml:space="preserve">The funds provide a significant community benefit.  Donations by families and alumni are often a way of ‘giving back’, with support for school infrastructure benefiting children right across the school, often for generations to come.  </w:t>
      </w:r>
      <w:r w:rsidR="004C1763">
        <w:rPr>
          <w:rFonts w:asciiTheme="minorHAnsi" w:hAnsiTheme="minorHAnsi"/>
          <w:sz w:val="20"/>
        </w:rPr>
        <w:t xml:space="preserve">Indeed, a significant minority of donors are friends and alumni donating to the school long after their children have departed.  </w:t>
      </w:r>
      <w:r w:rsidR="00ED7DAB">
        <w:rPr>
          <w:rFonts w:asciiTheme="minorHAnsi" w:hAnsiTheme="minorHAnsi"/>
          <w:sz w:val="20"/>
        </w:rPr>
        <w:t xml:space="preserve">Many donors contribute to infrastructure not finalized until after their children have left </w:t>
      </w:r>
      <w:proofErr w:type="gramStart"/>
      <w:r w:rsidR="00ED7DAB">
        <w:rPr>
          <w:rFonts w:asciiTheme="minorHAnsi" w:hAnsiTheme="minorHAnsi"/>
          <w:sz w:val="20"/>
        </w:rPr>
        <w:t>the school</w:t>
      </w:r>
      <w:proofErr w:type="gramEnd"/>
      <w:r w:rsidR="00ED7DAB">
        <w:rPr>
          <w:rFonts w:asciiTheme="minorHAnsi" w:hAnsiTheme="minorHAnsi"/>
          <w:sz w:val="20"/>
        </w:rPr>
        <w:t xml:space="preserve">.  </w:t>
      </w:r>
      <w:r w:rsidRPr="00CC3607">
        <w:rPr>
          <w:rFonts w:asciiTheme="minorHAnsi" w:hAnsiTheme="minorHAnsi"/>
          <w:sz w:val="20"/>
        </w:rPr>
        <w:t>Many schools also make their buildings and facilities available for community use.</w:t>
      </w:r>
    </w:p>
    <w:p w14:paraId="2D197B37" w14:textId="77777777" w:rsidR="00A47C36" w:rsidRPr="00CC3607" w:rsidRDefault="00A47C36" w:rsidP="00A547B7">
      <w:pPr>
        <w:pStyle w:val="ListParagraph"/>
        <w:numPr>
          <w:ilvl w:val="0"/>
          <w:numId w:val="88"/>
        </w:numPr>
        <w:rPr>
          <w:rFonts w:asciiTheme="minorHAnsi" w:hAnsiTheme="minorHAnsi"/>
          <w:sz w:val="20"/>
        </w:rPr>
      </w:pPr>
      <w:r w:rsidRPr="00CC3607">
        <w:rPr>
          <w:rFonts w:asciiTheme="minorHAnsi" w:hAnsiTheme="minorHAnsi"/>
          <w:sz w:val="20"/>
        </w:rPr>
        <w:t>The recommendation would make Australia an outlier compared with leading philanthropic nations around the world.</w:t>
      </w:r>
    </w:p>
    <w:p w14:paraId="0BBD0C37" w14:textId="12567102" w:rsidR="00FB0B60" w:rsidRPr="00CC3607" w:rsidRDefault="001C2A46" w:rsidP="00FB0B60">
      <w:r w:rsidRPr="00CC3607">
        <w:t xml:space="preserve">A minority of PA members expressing a view on this matter agreed with the PC’s recommendation, </w:t>
      </w:r>
      <w:r w:rsidR="00E35308" w:rsidRPr="00CC3607">
        <w:t>arguing that:</w:t>
      </w:r>
    </w:p>
    <w:p w14:paraId="52394819" w14:textId="3897F648" w:rsidR="001C2A46" w:rsidRPr="00CC3607" w:rsidRDefault="00E35308" w:rsidP="00A547B7">
      <w:pPr>
        <w:pStyle w:val="ListParagraph"/>
        <w:numPr>
          <w:ilvl w:val="0"/>
          <w:numId w:val="87"/>
        </w:numPr>
        <w:rPr>
          <w:rFonts w:asciiTheme="minorHAnsi" w:hAnsiTheme="minorHAnsi"/>
          <w:sz w:val="20"/>
        </w:rPr>
      </w:pPr>
      <w:r w:rsidRPr="00CC3607">
        <w:rPr>
          <w:rFonts w:asciiTheme="minorHAnsi" w:hAnsiTheme="minorHAnsi"/>
          <w:sz w:val="20"/>
        </w:rPr>
        <w:t>The benefits of donations do accrue privately</w:t>
      </w:r>
      <w:r w:rsidR="00EC662F" w:rsidRPr="00CC3607">
        <w:rPr>
          <w:rFonts w:asciiTheme="minorHAnsi" w:hAnsiTheme="minorHAnsi"/>
          <w:sz w:val="20"/>
        </w:rPr>
        <w:t>.</w:t>
      </w:r>
    </w:p>
    <w:p w14:paraId="1FD38972" w14:textId="40FC7D35" w:rsidR="00E35308" w:rsidRPr="00CC3607" w:rsidRDefault="00E35308" w:rsidP="00A547B7">
      <w:pPr>
        <w:pStyle w:val="ListParagraph"/>
        <w:numPr>
          <w:ilvl w:val="0"/>
          <w:numId w:val="87"/>
        </w:numPr>
        <w:rPr>
          <w:rFonts w:asciiTheme="minorHAnsi" w:hAnsiTheme="minorHAnsi"/>
          <w:sz w:val="20"/>
        </w:rPr>
      </w:pPr>
      <w:r w:rsidRPr="00CC3607">
        <w:rPr>
          <w:rFonts w:asciiTheme="minorHAnsi" w:hAnsiTheme="minorHAnsi"/>
          <w:sz w:val="20"/>
        </w:rPr>
        <w:t xml:space="preserve">There is a significant disparity between public and private school resourcing </w:t>
      </w:r>
      <w:r w:rsidR="00EC662F" w:rsidRPr="00CC3607">
        <w:rPr>
          <w:rFonts w:asciiTheme="minorHAnsi" w:hAnsiTheme="minorHAnsi"/>
          <w:sz w:val="20"/>
        </w:rPr>
        <w:t>which DGR for school building funds makes worse.</w:t>
      </w:r>
    </w:p>
    <w:p w14:paraId="1C45E3B4" w14:textId="7C5AD8DE" w:rsidR="00EC662F" w:rsidRPr="00CC3607" w:rsidRDefault="00EC662F" w:rsidP="00A547B7">
      <w:pPr>
        <w:pStyle w:val="ListParagraph"/>
        <w:numPr>
          <w:ilvl w:val="0"/>
          <w:numId w:val="87"/>
        </w:numPr>
        <w:rPr>
          <w:rFonts w:asciiTheme="minorHAnsi" w:hAnsiTheme="minorHAnsi"/>
          <w:sz w:val="20"/>
        </w:rPr>
      </w:pPr>
      <w:r w:rsidRPr="00CC3607">
        <w:rPr>
          <w:rFonts w:asciiTheme="minorHAnsi" w:hAnsiTheme="minorHAnsi"/>
          <w:sz w:val="20"/>
        </w:rPr>
        <w:t>The Federal Government already invests substantially in the private school sector.</w:t>
      </w:r>
    </w:p>
    <w:p w14:paraId="5CBD989B" w14:textId="48B5A626" w:rsidR="00056C55" w:rsidRDefault="00056C55">
      <w:pPr>
        <w:spacing w:before="200" w:after="200" w:line="260" w:lineRule="atLeast"/>
        <w:rPr>
          <w:rFonts w:ascii="DM Sans" w:hAnsi="DM Sans"/>
        </w:rPr>
      </w:pPr>
      <w:r>
        <w:rPr>
          <w:rFonts w:ascii="DM Sans" w:hAnsi="DM Sans"/>
        </w:rPr>
        <w:br w:type="page"/>
      </w:r>
    </w:p>
    <w:p w14:paraId="40451F73" w14:textId="56B453FE" w:rsidR="00056C55" w:rsidRPr="008E5F74" w:rsidRDefault="00056C55" w:rsidP="008E35F1">
      <w:pPr>
        <w:pStyle w:val="Heading1NoNumbering"/>
        <w:rPr>
          <w:sz w:val="28"/>
          <w:szCs w:val="28"/>
        </w:rPr>
      </w:pPr>
      <w:bookmarkStart w:id="36" w:name="_Toc158381896"/>
      <w:r w:rsidRPr="008E5F74">
        <w:rPr>
          <w:sz w:val="28"/>
          <w:szCs w:val="28"/>
        </w:rPr>
        <w:lastRenderedPageBreak/>
        <w:t xml:space="preserve">ATTACHMENT ONE: </w:t>
      </w:r>
      <w:r w:rsidR="00B51201" w:rsidRPr="008E5F74">
        <w:rPr>
          <w:sz w:val="28"/>
          <w:szCs w:val="28"/>
        </w:rPr>
        <w:t xml:space="preserve">FURTHER DEVELOPING THE </w:t>
      </w:r>
      <w:r w:rsidR="00F11885" w:rsidRPr="008E5F74">
        <w:rPr>
          <w:sz w:val="28"/>
          <w:szCs w:val="28"/>
        </w:rPr>
        <w:t>CASE FOR REFORM</w:t>
      </w:r>
      <w:bookmarkEnd w:id="36"/>
    </w:p>
    <w:p w14:paraId="7E4559CE" w14:textId="77777777" w:rsidR="00F70F0E" w:rsidRPr="00C27804" w:rsidRDefault="00F70F0E" w:rsidP="003B0BB7">
      <w:pPr>
        <w:pStyle w:val="Heading3"/>
        <w:pBdr>
          <w:top w:val="single" w:sz="4" w:space="1" w:color="auto"/>
          <w:left w:val="single" w:sz="4" w:space="4" w:color="auto"/>
          <w:bottom w:val="single" w:sz="4" w:space="1" w:color="auto"/>
          <w:right w:val="single" w:sz="4" w:space="4" w:color="auto"/>
        </w:pBdr>
        <w:shd w:val="clear" w:color="auto" w:fill="E5F6F3" w:themeFill="accent3" w:themeFillTint="33"/>
      </w:pPr>
      <w:bookmarkStart w:id="37" w:name="_Toc158381897"/>
      <w:r>
        <w:t>Example one: A voluntary choice to donate as part of the tax return process.</w:t>
      </w:r>
      <w:bookmarkEnd w:id="37"/>
    </w:p>
    <w:p w14:paraId="45933949" w14:textId="5AC031FE" w:rsidR="00F70F0E" w:rsidRDefault="00F70F0E" w:rsidP="003B0BB7">
      <w:pPr>
        <w:pStyle w:val="BodyText"/>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b/>
          <w:bCs/>
          <w:i/>
          <w:iCs/>
        </w:rPr>
      </w:pPr>
      <w:r w:rsidRPr="00C27804">
        <w:rPr>
          <w:rFonts w:ascii="DM Sans" w:hAnsi="DM Sans"/>
          <w:b/>
          <w:bCs/>
          <w:i/>
          <w:iCs/>
        </w:rPr>
        <w:t xml:space="preserve">The case for action is not </w:t>
      </w:r>
      <w:r w:rsidR="00D83473">
        <w:rPr>
          <w:rFonts w:ascii="DM Sans" w:hAnsi="DM Sans"/>
          <w:b/>
          <w:bCs/>
          <w:i/>
          <w:iCs/>
        </w:rPr>
        <w:t xml:space="preserve">well articulated </w:t>
      </w:r>
      <w:r w:rsidRPr="00C27804">
        <w:rPr>
          <w:rFonts w:ascii="DM Sans" w:hAnsi="DM Sans"/>
          <w:b/>
          <w:bCs/>
          <w:i/>
          <w:iCs/>
        </w:rPr>
        <w:t xml:space="preserve">in the discussion of this proposal (p.327-329). </w:t>
      </w:r>
    </w:p>
    <w:p w14:paraId="3C096C54" w14:textId="4CF4D3D3" w:rsidR="00F70F0E" w:rsidRPr="00C27804" w:rsidRDefault="00BC162F" w:rsidP="003B0BB7">
      <w:pPr>
        <w:pStyle w:val="BodyText"/>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b/>
          <w:bCs/>
          <w:i/>
          <w:iCs/>
        </w:rPr>
      </w:pPr>
      <w:r>
        <w:rPr>
          <w:rFonts w:ascii="DM Sans" w:hAnsi="DM Sans"/>
        </w:rPr>
        <w:t>Significant benefits weren’t canvassed, such as:</w:t>
      </w:r>
    </w:p>
    <w:p w14:paraId="508D9EF1" w14:textId="77777777" w:rsidR="00F70F0E" w:rsidRPr="00C27804" w:rsidRDefault="00F70F0E" w:rsidP="003B0BB7">
      <w:pPr>
        <w:pStyle w:val="BodyText"/>
        <w:numPr>
          <w:ilvl w:val="0"/>
          <w:numId w:val="21"/>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b/>
          <w:bCs/>
          <w:i/>
          <w:iCs/>
        </w:rPr>
      </w:pPr>
      <w:r w:rsidRPr="00C27804">
        <w:rPr>
          <w:rFonts w:ascii="DM Sans" w:hAnsi="DM Sans"/>
          <w:b/>
          <w:bCs/>
        </w:rPr>
        <w:t>The reform addresses clear policy problems.</w:t>
      </w:r>
      <w:r w:rsidRPr="00C27804">
        <w:rPr>
          <w:rFonts w:ascii="DM Sans" w:hAnsi="DM Sans"/>
        </w:rPr>
        <w:t xml:space="preserve">  Australia lacks a culture of giving present in leading philanthropic nations – this reform has the potential to become a valued national custom, and a regular reminder of the value of giving.  Through simplicity, it also overcomes the effort and red tape often involved with giving, and facilitates choice for people to give to charities they value.</w:t>
      </w:r>
    </w:p>
    <w:p w14:paraId="641767E1" w14:textId="77777777" w:rsidR="00F70F0E" w:rsidRPr="00C27804" w:rsidRDefault="00F70F0E" w:rsidP="003B0BB7">
      <w:pPr>
        <w:pStyle w:val="BodyText"/>
        <w:numPr>
          <w:ilvl w:val="0"/>
          <w:numId w:val="21"/>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b/>
          <w:bCs/>
          <w:i/>
          <w:iCs/>
        </w:rPr>
      </w:pPr>
      <w:r w:rsidRPr="00C27804">
        <w:rPr>
          <w:rFonts w:ascii="DM Sans" w:hAnsi="DM Sans"/>
          <w:b/>
          <w:bCs/>
        </w:rPr>
        <w:t>It could substantially lift giving.</w:t>
      </w:r>
      <w:r w:rsidRPr="00C27804">
        <w:rPr>
          <w:rFonts w:ascii="DM Sans" w:hAnsi="DM Sans"/>
        </w:rPr>
        <w:t xml:space="preserve">  Around $30 billion is returned each year in tax returns, or around $2,800 among those receiving returns.  In a wealthy country, we might expect several billion in additional giving to occur each year, even after substitution effects, or tens of billions per decade.</w:t>
      </w:r>
    </w:p>
    <w:p w14:paraId="70F904E4" w14:textId="73E9F63C" w:rsidR="00F70F0E" w:rsidRPr="00C27804" w:rsidRDefault="00F70F0E" w:rsidP="003B0BB7">
      <w:pPr>
        <w:pStyle w:val="BodyText"/>
        <w:numPr>
          <w:ilvl w:val="0"/>
          <w:numId w:val="21"/>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b/>
          <w:bCs/>
          <w:i/>
          <w:iCs/>
        </w:rPr>
      </w:pPr>
      <w:r w:rsidRPr="00C27804">
        <w:rPr>
          <w:rFonts w:ascii="DM Sans" w:hAnsi="DM Sans"/>
          <w:b/>
          <w:bCs/>
        </w:rPr>
        <w:t xml:space="preserve">It </w:t>
      </w:r>
      <w:r w:rsidR="00350449">
        <w:rPr>
          <w:rFonts w:ascii="DM Sans" w:hAnsi="DM Sans"/>
          <w:b/>
          <w:bCs/>
        </w:rPr>
        <w:t>has significant potential</w:t>
      </w:r>
      <w:r w:rsidRPr="00C27804">
        <w:rPr>
          <w:rFonts w:ascii="DM Sans" w:hAnsi="DM Sans"/>
          <w:b/>
          <w:bCs/>
        </w:rPr>
        <w:t xml:space="preserve"> to be welfare enhancing:</w:t>
      </w:r>
      <w:r w:rsidRPr="00C27804">
        <w:rPr>
          <w:rFonts w:ascii="DM Sans" w:hAnsi="DM Sans"/>
        </w:rPr>
        <w:t xml:space="preserve"> The PC has </w:t>
      </w:r>
      <w:r>
        <w:rPr>
          <w:rFonts w:ascii="DM Sans" w:hAnsi="DM Sans"/>
        </w:rPr>
        <w:t xml:space="preserve">confirmed the </w:t>
      </w:r>
      <w:r w:rsidRPr="00C27804">
        <w:rPr>
          <w:rFonts w:ascii="DM Sans" w:hAnsi="DM Sans"/>
        </w:rPr>
        <w:t xml:space="preserve">tax concession for giving </w:t>
      </w:r>
      <w:r>
        <w:rPr>
          <w:rFonts w:ascii="DM Sans" w:hAnsi="DM Sans"/>
        </w:rPr>
        <w:t>is</w:t>
      </w:r>
      <w:r w:rsidRPr="00C27804">
        <w:rPr>
          <w:rFonts w:ascii="DM Sans" w:hAnsi="DM Sans"/>
        </w:rPr>
        <w:t xml:space="preserve"> welfare enhancing.  It follows that if this reform is effective in increasing such giving – and does not have major downsides – it too is welfare enhancing.</w:t>
      </w:r>
    </w:p>
    <w:p w14:paraId="1C3D9D16" w14:textId="77777777" w:rsidR="00F70F0E" w:rsidRPr="00C27804" w:rsidRDefault="00F70F0E" w:rsidP="003B0BB7">
      <w:pPr>
        <w:pStyle w:val="BodyText"/>
        <w:numPr>
          <w:ilvl w:val="0"/>
          <w:numId w:val="21"/>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i/>
          <w:iCs/>
          <w:lang w:val="en-US"/>
        </w:rPr>
      </w:pPr>
      <w:r w:rsidRPr="00C27804">
        <w:rPr>
          <w:rFonts w:ascii="DM Sans" w:hAnsi="DM Sans"/>
          <w:b/>
          <w:bCs/>
        </w:rPr>
        <w:t>Evidence from dozens of studies confirms behavioural nudges have been highly effective in increasing philanthropic giving.</w:t>
      </w:r>
      <w:r w:rsidRPr="00C27804">
        <w:rPr>
          <w:rFonts w:ascii="DM Sans" w:hAnsi="DM Sans"/>
        </w:rPr>
        <w:t xml:space="preserve">  More specifically, well timed prompts have radically increased giving.  For instance, a trial by the UK Behavioural </w:t>
      </w:r>
      <w:r>
        <w:rPr>
          <w:rFonts w:ascii="DM Sans" w:hAnsi="DM Sans"/>
        </w:rPr>
        <w:t>Insights</w:t>
      </w:r>
      <w:r w:rsidRPr="00C27804">
        <w:rPr>
          <w:rFonts w:ascii="DM Sans" w:hAnsi="DM Sans"/>
        </w:rPr>
        <w:t xml:space="preserve"> Team showed that having lawyers ask clients making their wills whether they wished to make a philanthropic bequest as much as tripled the proportion </w:t>
      </w:r>
      <w:r>
        <w:rPr>
          <w:rFonts w:ascii="DM Sans" w:hAnsi="DM Sans"/>
        </w:rPr>
        <w:t xml:space="preserve">of people </w:t>
      </w:r>
      <w:r w:rsidRPr="00C27804">
        <w:rPr>
          <w:rFonts w:ascii="DM Sans" w:hAnsi="DM Sans"/>
        </w:rPr>
        <w:t>giving, and doubled the average amount given.</w:t>
      </w:r>
      <w:r w:rsidRPr="00C27804">
        <w:rPr>
          <w:rStyle w:val="FootnoteReference"/>
          <w:rFonts w:ascii="DM Sans" w:hAnsi="DM Sans"/>
        </w:rPr>
        <w:footnoteReference w:id="16"/>
      </w:r>
    </w:p>
    <w:p w14:paraId="02C00B05" w14:textId="1F81CF0E" w:rsidR="00F70F0E" w:rsidRPr="00C27804" w:rsidRDefault="00F70F0E" w:rsidP="003B0BB7">
      <w:pPr>
        <w:pStyle w:val="BodyText"/>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b/>
          <w:bCs/>
          <w:i/>
          <w:iCs/>
        </w:rPr>
      </w:pPr>
      <w:r w:rsidRPr="00C27804">
        <w:rPr>
          <w:rFonts w:ascii="DM Sans" w:hAnsi="DM Sans"/>
          <w:b/>
          <w:bCs/>
          <w:i/>
          <w:iCs/>
        </w:rPr>
        <w:t xml:space="preserve">Risks are highlighted, but with </w:t>
      </w:r>
      <w:r w:rsidR="0065182B">
        <w:rPr>
          <w:rFonts w:ascii="DM Sans" w:hAnsi="DM Sans"/>
          <w:b/>
          <w:bCs/>
          <w:i/>
          <w:iCs/>
        </w:rPr>
        <w:t>limited focus on identifying</w:t>
      </w:r>
      <w:r w:rsidRPr="00C27804">
        <w:rPr>
          <w:rFonts w:ascii="DM Sans" w:hAnsi="DM Sans"/>
          <w:b/>
          <w:bCs/>
          <w:i/>
          <w:iCs/>
        </w:rPr>
        <w:t xml:space="preserve"> means to mitigate them, or consider counter-perspectives.  </w:t>
      </w:r>
      <w:r w:rsidRPr="00C27804">
        <w:rPr>
          <w:rFonts w:ascii="DM Sans" w:hAnsi="DM Sans"/>
        </w:rPr>
        <w:t>For instance:</w:t>
      </w:r>
      <w:r w:rsidRPr="00C27804">
        <w:rPr>
          <w:rFonts w:ascii="DM Sans" w:hAnsi="DM Sans"/>
          <w:b/>
          <w:bCs/>
          <w:i/>
          <w:iCs/>
        </w:rPr>
        <w:t xml:space="preserve"> </w:t>
      </w:r>
    </w:p>
    <w:p w14:paraId="1C7370DF" w14:textId="77777777" w:rsidR="00F70F0E" w:rsidRPr="00C27804" w:rsidRDefault="00F70F0E" w:rsidP="003B0BB7">
      <w:pPr>
        <w:pStyle w:val="BodyText"/>
        <w:numPr>
          <w:ilvl w:val="0"/>
          <w:numId w:val="29"/>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b/>
          <w:bCs/>
        </w:rPr>
        <w:t xml:space="preserve">Possible poor public reception: </w:t>
      </w:r>
      <w:r w:rsidRPr="00C27804">
        <w:rPr>
          <w:rFonts w:ascii="DM Sans" w:hAnsi="DM Sans"/>
        </w:rPr>
        <w:t>The PC state</w:t>
      </w:r>
      <w:r w:rsidRPr="00C27804">
        <w:rPr>
          <w:rFonts w:ascii="DM Sans" w:hAnsi="DM Sans"/>
          <w:bCs/>
          <w:color w:val="auto"/>
        </w:rPr>
        <w:t xml:space="preserve"> ‘It is possible that taxpayers may resent being asked to donate by a government body, particularly in the context of a compulsory interaction related to taxation, and a poor public reaction to this type of campaign could undermine other efforts to increase giving.’  </w:t>
      </w:r>
      <w:r w:rsidRPr="00C27804">
        <w:rPr>
          <w:rFonts w:ascii="DM Sans" w:hAnsi="DM Sans"/>
          <w:bCs/>
          <w:color w:val="auto"/>
          <w:u w:val="single"/>
        </w:rPr>
        <w:t>Mitigation/response:</w:t>
      </w:r>
      <w:r w:rsidRPr="00C27804">
        <w:rPr>
          <w:rFonts w:ascii="DM Sans" w:hAnsi="DM Sans"/>
          <w:bCs/>
          <w:color w:val="auto"/>
        </w:rPr>
        <w:t xml:space="preserve"> </w:t>
      </w:r>
      <w:r w:rsidRPr="00C27804">
        <w:rPr>
          <w:rFonts w:ascii="DM Sans" w:hAnsi="DM Sans"/>
          <w:color w:val="auto"/>
        </w:rPr>
        <w:t xml:space="preserve">Redbridge national polling of more than 2,500 people showed </w:t>
      </w:r>
      <w:r w:rsidRPr="00C27804">
        <w:rPr>
          <w:rFonts w:ascii="DM Sans" w:hAnsi="DM Sans"/>
        </w:rPr>
        <w:t>70 per cent supported the reform, 9 per cent were opposed, and 21 per cent were neutral or not sure.  Redbridge focus groups show the risk of a negative reaction does need to be mitigated, but a communications campaign and appropriate messaging – including to be clear it is entirely voluntary – can mitigate the risk.  Over time, it can become a positive and expected practice.  As one participant said: “I think it's a great idea. It's not making anyone give anything they don't want to give. It's just a reminder, and it's an easy option.”</w:t>
      </w:r>
    </w:p>
    <w:p w14:paraId="13BDDB61" w14:textId="77777777" w:rsidR="00F70F0E" w:rsidRPr="00C27804" w:rsidRDefault="00F70F0E" w:rsidP="003B0BB7">
      <w:pPr>
        <w:pStyle w:val="BodyText"/>
        <w:numPr>
          <w:ilvl w:val="0"/>
          <w:numId w:val="29"/>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b/>
          <w:bCs/>
        </w:rPr>
        <w:t>Unethical:</w:t>
      </w:r>
      <w:r w:rsidRPr="00C27804">
        <w:rPr>
          <w:rFonts w:ascii="DM Sans" w:hAnsi="DM Sans"/>
        </w:rPr>
        <w:t xml:space="preserve"> PC: ‘Use of nudges by the ATO to increase giving may also raise ethical issues. Some studies on the effects of nudges for giving, such as at supermarket checkouts, suggest they can cause feelings of anxiety or irritation for the people being asked to give.  </w:t>
      </w:r>
      <w:r w:rsidRPr="00C27804">
        <w:rPr>
          <w:rFonts w:ascii="DM Sans" w:hAnsi="DM Sans"/>
          <w:u w:val="single"/>
        </w:rPr>
        <w:t>Mitigation/response:</w:t>
      </w:r>
      <w:r w:rsidRPr="00C27804">
        <w:rPr>
          <w:rFonts w:ascii="DM Sans" w:hAnsi="DM Sans"/>
        </w:rPr>
        <w:t xml:space="preserve"> People are asked dozens of times a year for donations.  It is unlikely one more voluntary ask would materially compromise mental health.  On the other hand, it would be highly ethical to implement a reform to generate tens of billions to support people in greatest need.</w:t>
      </w:r>
    </w:p>
    <w:p w14:paraId="7595E3D7" w14:textId="77777777" w:rsidR="00F70F0E" w:rsidRPr="00C27804" w:rsidRDefault="00F70F0E" w:rsidP="003B0BB7">
      <w:pPr>
        <w:pStyle w:val="BodyText"/>
        <w:numPr>
          <w:ilvl w:val="0"/>
          <w:numId w:val="29"/>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b/>
          <w:bCs/>
        </w:rPr>
        <w:t>Only the sector, not government, should implement behavioural nudges:</w:t>
      </w:r>
      <w:r w:rsidRPr="00C27804">
        <w:rPr>
          <w:rFonts w:ascii="DM Sans" w:hAnsi="DM Sans"/>
        </w:rPr>
        <w:t xml:space="preserve"> PC: ‘… the use of nudges among governments agencies, such as the Australian Taxation Office (ATO) for this purpose would be novel … [T]he </w:t>
      </w:r>
      <w:proofErr w:type="gramStart"/>
      <w:r w:rsidRPr="00C27804">
        <w:rPr>
          <w:rFonts w:ascii="DM Sans" w:hAnsi="DM Sans"/>
        </w:rPr>
        <w:t>sector</w:t>
      </w:r>
      <w:proofErr w:type="gramEnd"/>
      <w:r w:rsidRPr="00C27804">
        <w:rPr>
          <w:rFonts w:ascii="DM Sans" w:hAnsi="DM Sans"/>
        </w:rPr>
        <w:t xml:space="preserve"> itself – rather than government – is likely to be better placed to implement behavioural nudges most likely to increase overall giving.</w:t>
      </w:r>
      <w:r>
        <w:rPr>
          <w:rFonts w:ascii="DM Sans" w:hAnsi="DM Sans"/>
        </w:rPr>
        <w:t>’</w:t>
      </w:r>
      <w:r w:rsidRPr="00C27804">
        <w:rPr>
          <w:rFonts w:ascii="DM Sans" w:hAnsi="DM Sans"/>
        </w:rPr>
        <w:t xml:space="preserve">  </w:t>
      </w:r>
      <w:r w:rsidRPr="00C27804">
        <w:rPr>
          <w:rFonts w:ascii="DM Sans" w:hAnsi="DM Sans"/>
          <w:u w:val="single"/>
        </w:rPr>
        <w:t>Response:</w:t>
      </w:r>
      <w:r w:rsidRPr="00C27804">
        <w:rPr>
          <w:rFonts w:ascii="DM Sans" w:hAnsi="DM Sans"/>
        </w:rPr>
        <w:t xml:space="preserve"> No evidence is </w:t>
      </w:r>
      <w:proofErr w:type="gramStart"/>
      <w:r w:rsidRPr="00C27804">
        <w:rPr>
          <w:rFonts w:ascii="DM Sans" w:hAnsi="DM Sans"/>
        </w:rPr>
        <w:t>provided that</w:t>
      </w:r>
      <w:proofErr w:type="gramEnd"/>
      <w:r w:rsidRPr="00C27804">
        <w:rPr>
          <w:rFonts w:ascii="DM Sans" w:hAnsi="DM Sans"/>
        </w:rPr>
        <w:t xml:space="preserve"> government should not undertake nudges, or that it can’t be effective.  Indeed, the Government massively influences behaviour and culture in a ubiquitous fashion – for instance, welfare rules encourage people to seek work, and tax concessions administered by the ATO </w:t>
      </w:r>
      <w:r>
        <w:rPr>
          <w:rFonts w:ascii="DM Sans" w:hAnsi="DM Sans"/>
        </w:rPr>
        <w:t xml:space="preserve">to </w:t>
      </w:r>
      <w:r w:rsidRPr="00C27804">
        <w:rPr>
          <w:rFonts w:ascii="DM Sans" w:hAnsi="DM Sans"/>
        </w:rPr>
        <w:t xml:space="preserve">encourage research and development and business investment.  Reform by its nature is often novel and </w:t>
      </w:r>
      <w:proofErr w:type="gramStart"/>
      <w:r w:rsidRPr="00C27804">
        <w:rPr>
          <w:rFonts w:ascii="DM Sans" w:hAnsi="DM Sans"/>
        </w:rPr>
        <w:t xml:space="preserve">the </w:t>
      </w:r>
      <w:r w:rsidRPr="00C27804">
        <w:rPr>
          <w:rFonts w:ascii="DM Sans" w:hAnsi="DM Sans"/>
        </w:rPr>
        <w:lastRenderedPageBreak/>
        <w:t>means by which</w:t>
      </w:r>
      <w:proofErr w:type="gramEnd"/>
      <w:r w:rsidRPr="00C27804">
        <w:rPr>
          <w:rFonts w:ascii="DM Sans" w:hAnsi="DM Sans"/>
        </w:rPr>
        <w:t xml:space="preserve"> we improve society.  Only government can offer a choice to donate </w:t>
      </w:r>
      <w:r>
        <w:rPr>
          <w:rFonts w:ascii="DM Sans" w:hAnsi="DM Sans"/>
        </w:rPr>
        <w:t>during the tax return process.</w:t>
      </w:r>
    </w:p>
    <w:p w14:paraId="12529383" w14:textId="77777777" w:rsidR="00F70F0E" w:rsidRPr="00C27804" w:rsidRDefault="00F70F0E" w:rsidP="003B0BB7">
      <w:pPr>
        <w:pStyle w:val="BodyText"/>
        <w:numPr>
          <w:ilvl w:val="0"/>
          <w:numId w:val="29"/>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b/>
          <w:bCs/>
        </w:rPr>
        <w:t>Some people might not donate:</w:t>
      </w:r>
      <w:r w:rsidRPr="00C27804">
        <w:rPr>
          <w:rFonts w:ascii="DM Sans" w:hAnsi="DM Sans"/>
        </w:rPr>
        <w:t xml:space="preserve"> PC: ‘offering an option for people to donate to charity when lodging their income tax return would mean the deduction would apply to the next financial year. This might not be attractive to people that cannot reliably predict their tax position a year in advance.’  </w:t>
      </w:r>
      <w:r w:rsidRPr="00C27804">
        <w:rPr>
          <w:rFonts w:ascii="DM Sans" w:hAnsi="DM Sans"/>
          <w:u w:val="single"/>
        </w:rPr>
        <w:t>Response:</w:t>
      </w:r>
      <w:r w:rsidRPr="00C27804">
        <w:rPr>
          <w:rFonts w:ascii="DM Sans" w:hAnsi="DM Sans"/>
        </w:rPr>
        <w:t xml:space="preserve">  Some people with low or uncertain incomes may decide not to give in a particular year to ensure they can adequately support their families, and this is a good thing.  However, </w:t>
      </w:r>
      <w:r>
        <w:rPr>
          <w:rFonts w:ascii="DM Sans" w:hAnsi="DM Sans"/>
        </w:rPr>
        <w:t>this does not</w:t>
      </w:r>
      <w:r w:rsidRPr="00C27804">
        <w:rPr>
          <w:rFonts w:ascii="DM Sans" w:hAnsi="DM Sans"/>
        </w:rPr>
        <w:t xml:space="preserve"> invalidate the potential or net benefit of this policy reform.</w:t>
      </w:r>
      <w:r>
        <w:rPr>
          <w:rFonts w:ascii="DM Sans" w:hAnsi="DM Sans"/>
        </w:rPr>
        <w:t xml:space="preserve">  </w:t>
      </w:r>
      <w:r w:rsidRPr="00C27804">
        <w:rPr>
          <w:rFonts w:ascii="DM Sans" w:hAnsi="DM Sans"/>
        </w:rPr>
        <w:t xml:space="preserve">The prompt </w:t>
      </w:r>
      <w:r>
        <w:rPr>
          <w:rFonts w:ascii="DM Sans" w:hAnsi="DM Sans"/>
        </w:rPr>
        <w:t>is likely to be</w:t>
      </w:r>
      <w:r w:rsidRPr="00C27804">
        <w:rPr>
          <w:rFonts w:ascii="DM Sans" w:hAnsi="DM Sans"/>
        </w:rPr>
        <w:t xml:space="preserve"> sufficient to ensure that millions </w:t>
      </w:r>
      <w:r>
        <w:rPr>
          <w:rFonts w:ascii="DM Sans" w:hAnsi="DM Sans"/>
        </w:rPr>
        <w:t xml:space="preserve">of </w:t>
      </w:r>
      <w:r w:rsidRPr="00C27804">
        <w:rPr>
          <w:rFonts w:ascii="DM Sans" w:hAnsi="DM Sans"/>
        </w:rPr>
        <w:t>people – especially those more fortunately placed – will consider giving</w:t>
      </w:r>
      <w:r>
        <w:rPr>
          <w:rFonts w:ascii="DM Sans" w:hAnsi="DM Sans"/>
        </w:rPr>
        <w:t>.</w:t>
      </w:r>
      <w:r w:rsidRPr="00C27804">
        <w:rPr>
          <w:rFonts w:ascii="DM Sans" w:hAnsi="DM Sans"/>
        </w:rPr>
        <w:t xml:space="preserve">  As the Commission has identified, there are a range of non-financial motivations that could drive such giving.  For some, knowing their next tax return will include a return for charitable giving may be an additional financial incentive.  The idea for the reform is that we create a national custom, where those in a position to give, consider giving at tax time, aiming to increase giving by several billion a year (from the $30 billion returned).  </w:t>
      </w:r>
    </w:p>
    <w:p w14:paraId="04F1CB5B" w14:textId="0E7D8145" w:rsidR="00F70F0E" w:rsidRPr="00C27804" w:rsidRDefault="007C0D90" w:rsidP="003B0BB7">
      <w:pPr>
        <w:pStyle w:val="BodyText"/>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b/>
          <w:bCs/>
          <w:i/>
          <w:iCs/>
        </w:rPr>
      </w:pPr>
      <w:r>
        <w:rPr>
          <w:rFonts w:ascii="DM Sans" w:hAnsi="DM Sans"/>
          <w:b/>
          <w:bCs/>
          <w:i/>
          <w:iCs/>
        </w:rPr>
        <w:t>M</w:t>
      </w:r>
      <w:r w:rsidR="00FE0DAF">
        <w:rPr>
          <w:rFonts w:ascii="DM Sans" w:hAnsi="DM Sans"/>
          <w:b/>
          <w:bCs/>
          <w:i/>
          <w:iCs/>
        </w:rPr>
        <w:t xml:space="preserve">ore could be done to </w:t>
      </w:r>
      <w:r w:rsidR="00F70F0E" w:rsidRPr="00C27804">
        <w:rPr>
          <w:rFonts w:ascii="DM Sans" w:hAnsi="DM Sans"/>
          <w:b/>
          <w:bCs/>
          <w:i/>
          <w:iCs/>
        </w:rPr>
        <w:t>consider how the policy proposition could be made to work.</w:t>
      </w:r>
    </w:p>
    <w:p w14:paraId="4B130F77" w14:textId="77777777" w:rsidR="00F70F0E" w:rsidRPr="00C27804" w:rsidRDefault="00F70F0E" w:rsidP="003B0BB7">
      <w:pPr>
        <w:pStyle w:val="BodyText"/>
        <w:numPr>
          <w:ilvl w:val="0"/>
          <w:numId w:val="37"/>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Pr>
          <w:rFonts w:ascii="DM Sans" w:hAnsi="DM Sans"/>
        </w:rPr>
        <w:t xml:space="preserve">Given the reform could deliver a large increase in giving, particularly over the long term, </w:t>
      </w:r>
      <w:r w:rsidRPr="00C27804">
        <w:rPr>
          <w:rFonts w:ascii="DM Sans" w:hAnsi="DM Sans"/>
        </w:rPr>
        <w:t xml:space="preserve">we believe the PC should consider the </w:t>
      </w:r>
      <w:r>
        <w:rPr>
          <w:rFonts w:ascii="DM Sans" w:hAnsi="DM Sans"/>
        </w:rPr>
        <w:t>‘</w:t>
      </w:r>
      <w:r w:rsidRPr="00C27804">
        <w:rPr>
          <w:rFonts w:ascii="DM Sans" w:hAnsi="DM Sans"/>
        </w:rPr>
        <w:t>yes case</w:t>
      </w:r>
      <w:r>
        <w:rPr>
          <w:rFonts w:ascii="DM Sans" w:hAnsi="DM Sans"/>
        </w:rPr>
        <w:t>’</w:t>
      </w:r>
      <w:r w:rsidRPr="00C27804">
        <w:rPr>
          <w:rFonts w:ascii="DM Sans" w:hAnsi="DM Sans"/>
        </w:rPr>
        <w:t xml:space="preserve"> for action, how risks identified could be mitigated, whether benefits are likely to outweigh costs, and how a scheme could be designed to lift giving and be welfare-enhancing.  </w:t>
      </w:r>
    </w:p>
    <w:p w14:paraId="354524EB" w14:textId="77777777" w:rsidR="00F70F0E" w:rsidRPr="00C27804" w:rsidRDefault="00F70F0E" w:rsidP="00F70F0E">
      <w:pPr>
        <w:pStyle w:val="BodyText"/>
        <w:rPr>
          <w:rFonts w:ascii="DM Sans" w:hAnsi="DM Sans"/>
        </w:rPr>
      </w:pPr>
    </w:p>
    <w:p w14:paraId="538D0BA3" w14:textId="77777777" w:rsidR="00F70F0E" w:rsidRPr="00F70F0E" w:rsidRDefault="00F70F0E" w:rsidP="00F70F0E">
      <w:pPr>
        <w:pStyle w:val="BodyText"/>
      </w:pPr>
    </w:p>
    <w:p w14:paraId="5FDEEDE7" w14:textId="77777777" w:rsidR="00F70F0E" w:rsidRDefault="00F70F0E">
      <w:pPr>
        <w:spacing w:before="200" w:after="200" w:line="260" w:lineRule="atLeast"/>
        <w:rPr>
          <w:rFonts w:asciiTheme="majorHAnsi" w:eastAsiaTheme="majorEastAsia" w:hAnsiTheme="majorHAnsi" w:cstheme="majorBidi"/>
          <w:b/>
          <w:bCs/>
          <w:color w:val="3D7EDB" w:themeColor="accent1"/>
          <w:sz w:val="24"/>
        </w:rPr>
      </w:pPr>
      <w:r>
        <w:br w:type="page"/>
      </w:r>
    </w:p>
    <w:p w14:paraId="6995424B" w14:textId="0772F2F2" w:rsidR="00056C55" w:rsidRPr="00B42E96" w:rsidRDefault="00270435" w:rsidP="003B0BB7">
      <w:pPr>
        <w:pStyle w:val="Heading3"/>
        <w:pBdr>
          <w:top w:val="single" w:sz="4" w:space="1" w:color="auto"/>
          <w:left w:val="single" w:sz="4" w:space="4" w:color="auto"/>
          <w:bottom w:val="single" w:sz="4" w:space="1" w:color="auto"/>
          <w:right w:val="single" w:sz="4" w:space="4" w:color="auto"/>
        </w:pBdr>
        <w:shd w:val="clear" w:color="auto" w:fill="E5F6F3" w:themeFill="accent3" w:themeFillTint="33"/>
      </w:pPr>
      <w:bookmarkStart w:id="38" w:name="_Toc158381898"/>
      <w:r>
        <w:lastRenderedPageBreak/>
        <w:t>Example two: Allowing the choice to bequest through super</w:t>
      </w:r>
      <w:bookmarkEnd w:id="38"/>
    </w:p>
    <w:p w14:paraId="1E1D2E89" w14:textId="77777777" w:rsidR="00056C55" w:rsidRPr="00B42E96" w:rsidRDefault="00056C55"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b/>
          <w:bCs/>
          <w:i/>
          <w:iCs/>
        </w:rPr>
      </w:pPr>
      <w:r w:rsidRPr="00B42E96">
        <w:rPr>
          <w:rFonts w:ascii="DM Sans" w:hAnsi="DM Sans"/>
          <w:b/>
          <w:bCs/>
          <w:i/>
          <w:iCs/>
        </w:rPr>
        <w:t>The PC underplays benefits and highlights but does not address multiple risks (p.268-272)</w:t>
      </w:r>
    </w:p>
    <w:p w14:paraId="608EF7D6" w14:textId="77777777" w:rsidR="00056C55" w:rsidRPr="00B42E96" w:rsidRDefault="00056C55"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B42E96">
        <w:rPr>
          <w:rFonts w:ascii="DM Sans" w:hAnsi="DM Sans"/>
        </w:rPr>
        <w:t>We are delighted that the PC has left open the possibility of recommending super bequests but note:</w:t>
      </w:r>
    </w:p>
    <w:p w14:paraId="67C6C42D" w14:textId="7B42D3B0" w:rsidR="00056C55" w:rsidRPr="00B42E96" w:rsidRDefault="00056C55" w:rsidP="003B0BB7">
      <w:pPr>
        <w:pStyle w:val="ListParagraph"/>
        <w:numPr>
          <w:ilvl w:val="0"/>
          <w:numId w:val="50"/>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57" w:hanging="357"/>
        <w:rPr>
          <w:rFonts w:ascii="DM Sans" w:hAnsi="DM Sans"/>
          <w:b/>
          <w:bCs/>
          <w:sz w:val="20"/>
        </w:rPr>
      </w:pPr>
      <w:r w:rsidRPr="00B42E96">
        <w:rPr>
          <w:rFonts w:ascii="DM Sans" w:hAnsi="DM Sans"/>
          <w:sz w:val="20"/>
          <w:lang w:val="en-AU"/>
        </w:rPr>
        <w:t>The PC expresses the benefits as:</w:t>
      </w:r>
      <w:r w:rsidRPr="00B42E96">
        <w:rPr>
          <w:rFonts w:ascii="DM Sans" w:hAnsi="DM Sans"/>
          <w:b/>
          <w:bCs/>
          <w:sz w:val="20"/>
          <w:lang w:val="en-AU"/>
        </w:rPr>
        <w:t xml:space="preserve"> </w:t>
      </w:r>
      <w:r w:rsidRPr="00B42E96">
        <w:rPr>
          <w:rFonts w:ascii="DM Sans" w:hAnsi="DM Sans"/>
          <w:sz w:val="20"/>
          <w:lang w:val="en-AU"/>
        </w:rPr>
        <w:t>‘The argument for change is to make the process simpler and easier by reducing any unnecessary regulatory barriers – and that this would enable more superannuation death benefits to be directed to charities upon death compared with the status quo.’</w:t>
      </w:r>
    </w:p>
    <w:p w14:paraId="4F60E0B7" w14:textId="77777777" w:rsidR="00056C55" w:rsidRPr="00B42E96" w:rsidRDefault="00056C55" w:rsidP="003B0BB7">
      <w:pPr>
        <w:pStyle w:val="ListParagraph"/>
        <w:numPr>
          <w:ilvl w:val="0"/>
          <w:numId w:val="50"/>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57" w:hanging="357"/>
        <w:rPr>
          <w:rFonts w:ascii="DM Sans" w:hAnsi="DM Sans"/>
          <w:iCs/>
          <w:sz w:val="20"/>
        </w:rPr>
      </w:pPr>
      <w:r w:rsidRPr="00B42E96">
        <w:rPr>
          <w:rFonts w:ascii="DM Sans" w:hAnsi="DM Sans"/>
          <w:sz w:val="20"/>
          <w:lang w:val="en-AU"/>
        </w:rPr>
        <w:t>A key section is headed ‘</w:t>
      </w:r>
      <w:r w:rsidRPr="00B42E96">
        <w:rPr>
          <w:rFonts w:ascii="DM Sans" w:hAnsi="DM Sans"/>
          <w:iCs/>
          <w:sz w:val="20"/>
        </w:rPr>
        <w:t>There should be a high threshold for changes to superannuation arrangements.’  This appears to suggest the case for the status quo should be given more weight than the case for policy reform.  We disagree.  As with any policy endeavour, careful judgement should be made, based on evidence and reasoning, fairly weighing the case for and against change.</w:t>
      </w:r>
    </w:p>
    <w:p w14:paraId="5299BBAC" w14:textId="77777777" w:rsidR="00056C55" w:rsidRPr="00B42E96" w:rsidRDefault="00056C55" w:rsidP="003B0BB7">
      <w:pPr>
        <w:pStyle w:val="ListParagraph"/>
        <w:numPr>
          <w:ilvl w:val="0"/>
          <w:numId w:val="50"/>
        </w:numPr>
        <w:pBdr>
          <w:top w:val="single" w:sz="4" w:space="1" w:color="auto"/>
          <w:left w:val="single" w:sz="4" w:space="4" w:color="auto"/>
          <w:bottom w:val="single" w:sz="4" w:space="1" w:color="auto"/>
          <w:right w:val="single" w:sz="4" w:space="4" w:color="auto"/>
        </w:pBdr>
        <w:shd w:val="clear" w:color="auto" w:fill="E5F6F3" w:themeFill="accent3" w:themeFillTint="33"/>
        <w:spacing w:after="0"/>
        <w:ind w:left="357" w:hanging="357"/>
        <w:rPr>
          <w:rFonts w:ascii="DM Sans" w:hAnsi="DM Sans"/>
          <w:iCs/>
          <w:sz w:val="20"/>
        </w:rPr>
      </w:pPr>
      <w:r w:rsidRPr="00B42E96">
        <w:rPr>
          <w:rFonts w:ascii="DM Sans" w:hAnsi="DM Sans"/>
          <w:iCs/>
          <w:sz w:val="20"/>
        </w:rPr>
        <w:t xml:space="preserve">Multiple risks are then outlined, with </w:t>
      </w:r>
      <w:r>
        <w:rPr>
          <w:rFonts w:ascii="DM Sans" w:hAnsi="DM Sans"/>
          <w:iCs/>
          <w:sz w:val="20"/>
        </w:rPr>
        <w:t xml:space="preserve">no </w:t>
      </w:r>
      <w:r w:rsidRPr="00B42E96">
        <w:rPr>
          <w:rFonts w:ascii="DM Sans" w:hAnsi="DM Sans"/>
          <w:iCs/>
          <w:sz w:val="20"/>
        </w:rPr>
        <w:t>assessment of the gravity of the risk and no suggested mitigation.</w:t>
      </w:r>
    </w:p>
    <w:p w14:paraId="6EC1A49A" w14:textId="77777777" w:rsidR="00056C55" w:rsidRPr="00B42E96" w:rsidRDefault="00056C55" w:rsidP="003B0BB7">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E5F6F3" w:themeFill="accent3" w:themeFillTint="33"/>
        <w:spacing w:after="0"/>
        <w:rPr>
          <w:rFonts w:ascii="DM Sans" w:hAnsi="DM Sans"/>
          <w:iCs/>
          <w:sz w:val="20"/>
        </w:rPr>
      </w:pPr>
      <w:r w:rsidRPr="00B42E96">
        <w:rPr>
          <w:rFonts w:ascii="DM Sans" w:hAnsi="DM Sans"/>
          <w:iCs/>
          <w:sz w:val="20"/>
        </w:rPr>
        <w:t>Unintended consequences.</w:t>
      </w:r>
    </w:p>
    <w:p w14:paraId="15D49019" w14:textId="77777777" w:rsidR="00056C55" w:rsidRPr="00B42E96" w:rsidRDefault="00056C55" w:rsidP="003B0BB7">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E5F6F3" w:themeFill="accent3" w:themeFillTint="33"/>
        <w:spacing w:after="0"/>
        <w:rPr>
          <w:rFonts w:ascii="DM Sans" w:hAnsi="DM Sans"/>
          <w:iCs/>
          <w:sz w:val="20"/>
        </w:rPr>
      </w:pPr>
      <w:r w:rsidRPr="00B42E96">
        <w:rPr>
          <w:rFonts w:ascii="DM Sans" w:hAnsi="DM Sans"/>
          <w:iCs/>
          <w:sz w:val="20"/>
        </w:rPr>
        <w:t>Giving may fall now and rise in the future.</w:t>
      </w:r>
    </w:p>
    <w:p w14:paraId="16A8D525" w14:textId="77777777" w:rsidR="00056C55" w:rsidRPr="00B42E96" w:rsidRDefault="00056C55" w:rsidP="003B0BB7">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E5F6F3" w:themeFill="accent3" w:themeFillTint="33"/>
        <w:spacing w:after="0"/>
        <w:rPr>
          <w:rFonts w:ascii="DM Sans" w:hAnsi="DM Sans"/>
          <w:iCs/>
          <w:sz w:val="20"/>
        </w:rPr>
      </w:pPr>
      <w:r w:rsidRPr="00B42E96">
        <w:rPr>
          <w:rFonts w:ascii="DM Sans" w:hAnsi="DM Sans"/>
          <w:iCs/>
          <w:sz w:val="20"/>
        </w:rPr>
        <w:t>The Government may reduce spending on charities.</w:t>
      </w:r>
    </w:p>
    <w:p w14:paraId="6605998C" w14:textId="77777777" w:rsidR="00056C55" w:rsidRPr="00B42E96" w:rsidRDefault="00056C55" w:rsidP="003B0BB7">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E5F6F3" w:themeFill="accent3" w:themeFillTint="33"/>
        <w:spacing w:after="0"/>
        <w:rPr>
          <w:rFonts w:ascii="DM Sans" w:hAnsi="DM Sans"/>
          <w:iCs/>
          <w:sz w:val="20"/>
        </w:rPr>
      </w:pPr>
      <w:r w:rsidRPr="00B42E96">
        <w:rPr>
          <w:rFonts w:ascii="DM Sans" w:hAnsi="DM Sans"/>
          <w:iCs/>
          <w:sz w:val="20"/>
        </w:rPr>
        <w:t>The need for safeguards for members and dependents.</w:t>
      </w:r>
    </w:p>
    <w:p w14:paraId="7FE07708" w14:textId="77777777" w:rsidR="00056C55" w:rsidRPr="00B42E96" w:rsidRDefault="00056C55" w:rsidP="003B0BB7">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E5F6F3" w:themeFill="accent3" w:themeFillTint="33"/>
        <w:spacing w:after="0"/>
        <w:rPr>
          <w:rFonts w:ascii="DM Sans" w:hAnsi="DM Sans"/>
          <w:iCs/>
          <w:sz w:val="20"/>
        </w:rPr>
      </w:pPr>
      <w:r w:rsidRPr="00B42E96">
        <w:rPr>
          <w:rFonts w:ascii="DM Sans" w:hAnsi="DM Sans"/>
          <w:iCs/>
          <w:sz w:val="20"/>
        </w:rPr>
        <w:t>Implications for superannuation trustees, including potential costs from legal challenges or managing scenarios where the charity has wound up.</w:t>
      </w:r>
    </w:p>
    <w:p w14:paraId="614372AD" w14:textId="77777777" w:rsidR="00056C55" w:rsidRPr="00B42E96" w:rsidRDefault="00056C55" w:rsidP="003B0BB7">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E5F6F3" w:themeFill="accent3" w:themeFillTint="33"/>
        <w:spacing w:after="0"/>
        <w:rPr>
          <w:rFonts w:ascii="DM Sans" w:hAnsi="DM Sans"/>
          <w:iCs/>
          <w:sz w:val="20"/>
        </w:rPr>
      </w:pPr>
      <w:r w:rsidRPr="00B42E96">
        <w:rPr>
          <w:rFonts w:ascii="DM Sans" w:hAnsi="DM Sans"/>
          <w:iCs/>
          <w:sz w:val="20"/>
        </w:rPr>
        <w:t>Alignment with the current policy objectives of superannuation.</w:t>
      </w:r>
    </w:p>
    <w:p w14:paraId="739351F4" w14:textId="77777777" w:rsidR="00056C55" w:rsidRPr="00B42E96" w:rsidRDefault="00056C55" w:rsidP="003B0BB7">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iCs/>
          <w:sz w:val="20"/>
        </w:rPr>
      </w:pPr>
      <w:r w:rsidRPr="00B42E96">
        <w:rPr>
          <w:rFonts w:ascii="DM Sans" w:hAnsi="DM Sans"/>
          <w:iCs/>
          <w:sz w:val="20"/>
        </w:rPr>
        <w:t>Implications for the death nomination process.</w:t>
      </w:r>
    </w:p>
    <w:p w14:paraId="75BBE830" w14:textId="77777777" w:rsidR="00056C55" w:rsidRPr="00B42E96" w:rsidRDefault="00056C55" w:rsidP="003B0BB7">
      <w:pPr>
        <w:pStyle w:val="ListParagraph"/>
        <w:numPr>
          <w:ilvl w:val="0"/>
          <w:numId w:val="50"/>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57" w:hanging="357"/>
        <w:rPr>
          <w:rFonts w:ascii="DM Sans" w:hAnsi="DM Sans"/>
          <w:sz w:val="20"/>
        </w:rPr>
      </w:pPr>
      <w:r w:rsidRPr="00B42E96">
        <w:rPr>
          <w:rFonts w:ascii="DM Sans" w:hAnsi="DM Sans"/>
          <w:sz w:val="20"/>
        </w:rPr>
        <w:t>Stakeholders, with special emphasis on super funds, are then asked for their views</w:t>
      </w:r>
      <w:r>
        <w:rPr>
          <w:rFonts w:ascii="DM Sans" w:hAnsi="DM Sans"/>
          <w:sz w:val="20"/>
        </w:rPr>
        <w:t>, without the substantial benefits of reform having been identified and reflected</w:t>
      </w:r>
      <w:r w:rsidRPr="00B42E96">
        <w:rPr>
          <w:rFonts w:ascii="DM Sans" w:hAnsi="DM Sans"/>
          <w:sz w:val="20"/>
        </w:rPr>
        <w:t>.</w:t>
      </w:r>
    </w:p>
    <w:p w14:paraId="44C75EAA" w14:textId="77777777" w:rsidR="00056C55" w:rsidRPr="00B42E96" w:rsidRDefault="00056C55"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b/>
          <w:bCs/>
          <w:i/>
          <w:iCs/>
        </w:rPr>
      </w:pPr>
      <w:r w:rsidRPr="00B42E96">
        <w:rPr>
          <w:rFonts w:ascii="DM Sans" w:hAnsi="DM Sans"/>
          <w:b/>
          <w:bCs/>
          <w:i/>
          <w:iCs/>
        </w:rPr>
        <w:t>PA believes the PC could usefully:</w:t>
      </w:r>
    </w:p>
    <w:p w14:paraId="2F8788E2" w14:textId="77777777" w:rsidR="00056C55" w:rsidRPr="00B42E96" w:rsidRDefault="00056C55" w:rsidP="003B0BB7">
      <w:pPr>
        <w:pStyle w:val="ListParagraph"/>
        <w:numPr>
          <w:ilvl w:val="5"/>
          <w:numId w:val="13"/>
        </w:numPr>
        <w:pBdr>
          <w:top w:val="single" w:sz="4" w:space="1" w:color="auto"/>
          <w:left w:val="single" w:sz="4" w:space="4" w:color="auto"/>
          <w:bottom w:val="single" w:sz="4" w:space="1" w:color="auto"/>
          <w:right w:val="single" w:sz="4" w:space="4" w:color="auto"/>
        </w:pBdr>
        <w:shd w:val="clear" w:color="auto" w:fill="E5F6F3" w:themeFill="accent3" w:themeFillTint="33"/>
        <w:ind w:left="357" w:hanging="357"/>
        <w:rPr>
          <w:rFonts w:ascii="DM Sans" w:hAnsi="DM Sans"/>
          <w:b/>
          <w:bCs/>
          <w:i/>
          <w:iCs/>
          <w:sz w:val="20"/>
        </w:rPr>
      </w:pPr>
      <w:r w:rsidRPr="00B42E96">
        <w:rPr>
          <w:rFonts w:ascii="DM Sans" w:hAnsi="DM Sans"/>
          <w:b/>
          <w:bCs/>
          <w:i/>
          <w:iCs/>
          <w:sz w:val="20"/>
        </w:rPr>
        <w:t xml:space="preserve">Further consider, </w:t>
      </w:r>
      <w:proofErr w:type="gramStart"/>
      <w:r w:rsidRPr="00B42E96">
        <w:rPr>
          <w:rFonts w:ascii="DM Sans" w:hAnsi="DM Sans"/>
          <w:b/>
          <w:bCs/>
          <w:i/>
          <w:iCs/>
          <w:sz w:val="20"/>
        </w:rPr>
        <w:t>develop</w:t>
      </w:r>
      <w:proofErr w:type="gramEnd"/>
      <w:r w:rsidRPr="00B42E96">
        <w:rPr>
          <w:rFonts w:ascii="DM Sans" w:hAnsi="DM Sans"/>
          <w:b/>
          <w:bCs/>
          <w:i/>
          <w:iCs/>
          <w:sz w:val="20"/>
        </w:rPr>
        <w:t xml:space="preserve"> and reflect the strong case for super bequest reform – both in consultations with stakeholders and in the final report. </w:t>
      </w:r>
      <w:r w:rsidRPr="00B42E96">
        <w:rPr>
          <w:rFonts w:ascii="DM Sans" w:hAnsi="DM Sans"/>
          <w:sz w:val="20"/>
        </w:rPr>
        <w:t>In addition to removing unnecessary regulatory barriers, super bequest reform would:</w:t>
      </w:r>
    </w:p>
    <w:p w14:paraId="7D9B19DE" w14:textId="77777777" w:rsidR="00056C55" w:rsidRPr="00B42E96" w:rsidRDefault="00056C55" w:rsidP="003B0BB7">
      <w:pPr>
        <w:pStyle w:val="ListParagraph"/>
        <w:numPr>
          <w:ilvl w:val="0"/>
          <w:numId w:val="50"/>
        </w:numPr>
        <w:pBdr>
          <w:top w:val="single" w:sz="4" w:space="1" w:color="auto"/>
          <w:left w:val="single" w:sz="4" w:space="4" w:color="auto"/>
          <w:bottom w:val="single" w:sz="4" w:space="1" w:color="auto"/>
          <w:right w:val="single" w:sz="4" w:space="4" w:color="auto"/>
        </w:pBdr>
        <w:shd w:val="clear" w:color="auto" w:fill="E5F6F3" w:themeFill="accent3" w:themeFillTint="33"/>
        <w:spacing w:after="0"/>
        <w:ind w:left="357" w:hanging="357"/>
        <w:rPr>
          <w:rFonts w:ascii="DM Sans" w:hAnsi="DM Sans"/>
          <w:iCs/>
          <w:sz w:val="20"/>
        </w:rPr>
      </w:pPr>
      <w:r w:rsidRPr="00B42E96">
        <w:rPr>
          <w:rFonts w:ascii="DM Sans" w:hAnsi="DM Sans"/>
          <w:iCs/>
          <w:sz w:val="20"/>
        </w:rPr>
        <w:t xml:space="preserve">Deliver a very large net rise in giving over the long </w:t>
      </w:r>
      <w:proofErr w:type="gramStart"/>
      <w:r w:rsidRPr="00B42E96">
        <w:rPr>
          <w:rFonts w:ascii="DM Sans" w:hAnsi="DM Sans"/>
          <w:iCs/>
          <w:sz w:val="20"/>
        </w:rPr>
        <w:t>term;</w:t>
      </w:r>
      <w:proofErr w:type="gramEnd"/>
      <w:r w:rsidRPr="00B42E96">
        <w:rPr>
          <w:rFonts w:ascii="DM Sans" w:hAnsi="DM Sans"/>
          <w:iCs/>
          <w:sz w:val="20"/>
        </w:rPr>
        <w:t xml:space="preserve"> </w:t>
      </w:r>
    </w:p>
    <w:p w14:paraId="423C5CB3" w14:textId="77777777" w:rsidR="00056C55" w:rsidRPr="00B42E96" w:rsidRDefault="00056C55" w:rsidP="003B0BB7">
      <w:pPr>
        <w:pStyle w:val="ListParagraph"/>
        <w:numPr>
          <w:ilvl w:val="0"/>
          <w:numId w:val="50"/>
        </w:numPr>
        <w:pBdr>
          <w:top w:val="single" w:sz="4" w:space="1" w:color="auto"/>
          <w:left w:val="single" w:sz="4" w:space="4" w:color="auto"/>
          <w:bottom w:val="single" w:sz="4" w:space="1" w:color="auto"/>
          <w:right w:val="single" w:sz="4" w:space="4" w:color="auto"/>
        </w:pBdr>
        <w:shd w:val="clear" w:color="auto" w:fill="E5F6F3" w:themeFill="accent3" w:themeFillTint="33"/>
        <w:spacing w:after="0"/>
        <w:ind w:left="357" w:hanging="357"/>
        <w:rPr>
          <w:rFonts w:ascii="DM Sans" w:hAnsi="DM Sans"/>
          <w:iCs/>
          <w:sz w:val="20"/>
        </w:rPr>
      </w:pPr>
      <w:r w:rsidRPr="00B42E96">
        <w:rPr>
          <w:rFonts w:ascii="DM Sans" w:hAnsi="DM Sans"/>
          <w:iCs/>
          <w:sz w:val="20"/>
        </w:rPr>
        <w:t>Ensur</w:t>
      </w:r>
      <w:r>
        <w:rPr>
          <w:rFonts w:ascii="DM Sans" w:hAnsi="DM Sans"/>
          <w:iCs/>
          <w:sz w:val="20"/>
        </w:rPr>
        <w:t>e</w:t>
      </w:r>
      <w:r w:rsidRPr="00B42E96">
        <w:rPr>
          <w:rFonts w:ascii="DM Sans" w:hAnsi="DM Sans"/>
          <w:iCs/>
          <w:sz w:val="20"/>
        </w:rPr>
        <w:t xml:space="preserve"> Australia’s large super asset base is not effectively excluded from potential national </w:t>
      </w:r>
      <w:proofErr w:type="gramStart"/>
      <w:r w:rsidRPr="00B42E96">
        <w:rPr>
          <w:rFonts w:ascii="DM Sans" w:hAnsi="DM Sans"/>
          <w:iCs/>
          <w:sz w:val="20"/>
        </w:rPr>
        <w:t>giving;</w:t>
      </w:r>
      <w:proofErr w:type="gramEnd"/>
    </w:p>
    <w:p w14:paraId="20BD0D08" w14:textId="77777777" w:rsidR="00056C55" w:rsidRPr="00B42E96" w:rsidRDefault="00056C55" w:rsidP="003B0BB7">
      <w:pPr>
        <w:pStyle w:val="ListParagraph"/>
        <w:numPr>
          <w:ilvl w:val="0"/>
          <w:numId w:val="50"/>
        </w:numPr>
        <w:pBdr>
          <w:top w:val="single" w:sz="4" w:space="1" w:color="auto"/>
          <w:left w:val="single" w:sz="4" w:space="4" w:color="auto"/>
          <w:bottom w:val="single" w:sz="4" w:space="1" w:color="auto"/>
          <w:right w:val="single" w:sz="4" w:space="4" w:color="auto"/>
        </w:pBdr>
        <w:shd w:val="clear" w:color="auto" w:fill="E5F6F3" w:themeFill="accent3" w:themeFillTint="33"/>
        <w:spacing w:after="0"/>
        <w:ind w:left="357" w:hanging="357"/>
        <w:rPr>
          <w:rFonts w:ascii="DM Sans" w:hAnsi="DM Sans"/>
          <w:iCs/>
          <w:sz w:val="20"/>
        </w:rPr>
      </w:pPr>
      <w:r w:rsidRPr="00B42E96">
        <w:rPr>
          <w:rFonts w:ascii="DM Sans" w:hAnsi="DM Sans"/>
          <w:iCs/>
          <w:sz w:val="20"/>
        </w:rPr>
        <w:t>Provide a highly efficient means of giving, as bequests do not attract a tax concession;</w:t>
      </w:r>
    </w:p>
    <w:p w14:paraId="0FA9A2C2" w14:textId="244BC40F" w:rsidR="00056C55" w:rsidRPr="00B42E96" w:rsidRDefault="00056C55" w:rsidP="003B0BB7">
      <w:pPr>
        <w:pStyle w:val="ListParagraph"/>
        <w:numPr>
          <w:ilvl w:val="0"/>
          <w:numId w:val="50"/>
        </w:numPr>
        <w:pBdr>
          <w:top w:val="single" w:sz="4" w:space="1" w:color="auto"/>
          <w:left w:val="single" w:sz="4" w:space="4" w:color="auto"/>
          <w:bottom w:val="single" w:sz="4" w:space="1" w:color="auto"/>
          <w:right w:val="single" w:sz="4" w:space="4" w:color="auto"/>
        </w:pBdr>
        <w:shd w:val="clear" w:color="auto" w:fill="E5F6F3" w:themeFill="accent3" w:themeFillTint="33"/>
        <w:spacing w:after="0"/>
        <w:ind w:left="357" w:hanging="357"/>
        <w:rPr>
          <w:rFonts w:ascii="DM Sans" w:hAnsi="DM Sans"/>
          <w:iCs/>
          <w:sz w:val="20"/>
        </w:rPr>
      </w:pPr>
      <w:r>
        <w:rPr>
          <w:rFonts w:ascii="DM Sans" w:hAnsi="DM Sans"/>
          <w:iCs/>
          <w:sz w:val="20"/>
        </w:rPr>
        <w:t>Deliver a</w:t>
      </w:r>
      <w:r w:rsidRPr="00B42E96">
        <w:rPr>
          <w:rFonts w:ascii="DM Sans" w:hAnsi="DM Sans"/>
          <w:iCs/>
          <w:sz w:val="20"/>
        </w:rPr>
        <w:t xml:space="preserve"> significant increase in government revenue;</w:t>
      </w:r>
    </w:p>
    <w:p w14:paraId="79D59E73" w14:textId="312D8E0F" w:rsidR="00056C55" w:rsidRPr="00B42E96" w:rsidRDefault="00895297" w:rsidP="003B0BB7">
      <w:pPr>
        <w:pStyle w:val="ListParagraph"/>
        <w:numPr>
          <w:ilvl w:val="0"/>
          <w:numId w:val="50"/>
        </w:numPr>
        <w:pBdr>
          <w:top w:val="single" w:sz="4" w:space="1" w:color="auto"/>
          <w:left w:val="single" w:sz="4" w:space="4" w:color="auto"/>
          <w:bottom w:val="single" w:sz="4" w:space="1" w:color="auto"/>
          <w:right w:val="single" w:sz="4" w:space="4" w:color="auto"/>
        </w:pBdr>
        <w:shd w:val="clear" w:color="auto" w:fill="E5F6F3" w:themeFill="accent3" w:themeFillTint="33"/>
        <w:spacing w:after="120"/>
        <w:ind w:left="357" w:hanging="357"/>
        <w:rPr>
          <w:rFonts w:ascii="DM Sans" w:hAnsi="DM Sans"/>
          <w:iCs/>
          <w:sz w:val="20"/>
        </w:rPr>
      </w:pPr>
      <w:r>
        <w:rPr>
          <w:rFonts w:ascii="DM Sans" w:hAnsi="DM Sans"/>
          <w:iCs/>
          <w:sz w:val="20"/>
        </w:rPr>
        <w:t>Create</w:t>
      </w:r>
      <w:r w:rsidR="00056C55" w:rsidRPr="00B42E96">
        <w:rPr>
          <w:rFonts w:ascii="DM Sans" w:hAnsi="DM Sans"/>
          <w:iCs/>
          <w:sz w:val="20"/>
        </w:rPr>
        <w:t xml:space="preserve"> a powerful lever for more equitable sharing of wealth and opportunity</w:t>
      </w:r>
      <w:r w:rsidR="001A7D4A">
        <w:rPr>
          <w:rFonts w:ascii="DM Sans" w:hAnsi="DM Sans"/>
          <w:iCs/>
          <w:sz w:val="20"/>
        </w:rPr>
        <w:t xml:space="preserve"> (Detail at 1.1 above).</w:t>
      </w:r>
    </w:p>
    <w:p w14:paraId="132CA7E7" w14:textId="481C2B56" w:rsidR="00056C55" w:rsidRPr="00B42E96" w:rsidRDefault="00056C55"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iCs/>
        </w:rPr>
      </w:pPr>
      <w:r w:rsidRPr="00B42E96">
        <w:rPr>
          <w:rFonts w:ascii="DM Sans" w:hAnsi="DM Sans"/>
          <w:iCs/>
        </w:rPr>
        <w:t xml:space="preserve">PC analysis on these issues – particularly the increases in giving and revenue – would be welcome.  </w:t>
      </w:r>
    </w:p>
    <w:p w14:paraId="333201CA" w14:textId="77777777" w:rsidR="00056C55" w:rsidRPr="00B42E96" w:rsidRDefault="00056C55" w:rsidP="003B0BB7">
      <w:pPr>
        <w:pStyle w:val="ListParagraph"/>
        <w:numPr>
          <w:ilvl w:val="5"/>
          <w:numId w:val="13"/>
        </w:numPr>
        <w:pBdr>
          <w:top w:val="single" w:sz="4" w:space="1" w:color="auto"/>
          <w:left w:val="single" w:sz="4" w:space="4" w:color="auto"/>
          <w:bottom w:val="single" w:sz="4" w:space="1" w:color="auto"/>
          <w:right w:val="single" w:sz="4" w:space="4" w:color="auto"/>
        </w:pBdr>
        <w:shd w:val="clear" w:color="auto" w:fill="E5F6F3" w:themeFill="accent3" w:themeFillTint="33"/>
        <w:ind w:left="357" w:hanging="357"/>
        <w:rPr>
          <w:rFonts w:ascii="DM Sans" w:hAnsi="DM Sans"/>
          <w:b/>
          <w:bCs/>
          <w:i/>
          <w:iCs/>
          <w:sz w:val="20"/>
        </w:rPr>
      </w:pPr>
      <w:r w:rsidRPr="00B42E96">
        <w:rPr>
          <w:rFonts w:ascii="DM Sans" w:hAnsi="DM Sans"/>
          <w:b/>
          <w:bCs/>
          <w:i/>
          <w:iCs/>
          <w:sz w:val="20"/>
        </w:rPr>
        <w:t>Proactively consider and detail how implementation challenges/risks can be mitigated.</w:t>
      </w:r>
    </w:p>
    <w:p w14:paraId="207B770E" w14:textId="4E2597D4" w:rsidR="00056C55" w:rsidRPr="00B42E96" w:rsidRDefault="00056C55"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B42E96">
        <w:rPr>
          <w:rFonts w:ascii="DM Sans" w:hAnsi="DM Sans"/>
        </w:rPr>
        <w:t>PA agrees there are implementation challenges</w:t>
      </w:r>
      <w:r>
        <w:rPr>
          <w:rFonts w:ascii="DM Sans" w:hAnsi="DM Sans"/>
        </w:rPr>
        <w:t>.  We identified challenges and</w:t>
      </w:r>
      <w:r w:rsidRPr="00B42E96">
        <w:rPr>
          <w:rFonts w:ascii="DM Sans" w:hAnsi="DM Sans"/>
        </w:rPr>
        <w:t xml:space="preserve"> mitigation strategies in our May submission and asked Impact Economics to do further work in their report.  </w:t>
      </w:r>
      <w:r>
        <w:rPr>
          <w:rFonts w:ascii="DM Sans" w:hAnsi="DM Sans"/>
        </w:rPr>
        <w:t xml:space="preserve">We provide further advice </w:t>
      </w:r>
      <w:r w:rsidRPr="00B42E96">
        <w:rPr>
          <w:rFonts w:ascii="DM Sans" w:hAnsi="DM Sans"/>
        </w:rPr>
        <w:t xml:space="preserve">in Box </w:t>
      </w:r>
      <w:r w:rsidR="0041273B">
        <w:rPr>
          <w:rFonts w:ascii="DM Sans" w:hAnsi="DM Sans"/>
        </w:rPr>
        <w:t>1.1</w:t>
      </w:r>
      <w:r w:rsidRPr="00B42E96">
        <w:rPr>
          <w:rFonts w:ascii="DM Sans" w:hAnsi="DM Sans"/>
        </w:rPr>
        <w:t xml:space="preserve">: Addressing Implementation Challenges in </w:t>
      </w:r>
      <w:r w:rsidR="0041273B">
        <w:rPr>
          <w:rFonts w:ascii="DM Sans" w:hAnsi="DM Sans"/>
        </w:rPr>
        <w:t>1.1 above.</w:t>
      </w:r>
    </w:p>
    <w:p w14:paraId="3B93114E" w14:textId="77777777" w:rsidR="00056C55" w:rsidRPr="00B42E96" w:rsidRDefault="00056C55" w:rsidP="003B0BB7">
      <w:pPr>
        <w:pStyle w:val="ListParagraph"/>
        <w:numPr>
          <w:ilvl w:val="5"/>
          <w:numId w:val="13"/>
        </w:numPr>
        <w:pBdr>
          <w:top w:val="single" w:sz="4" w:space="1" w:color="auto"/>
          <w:left w:val="single" w:sz="4" w:space="4" w:color="auto"/>
          <w:bottom w:val="single" w:sz="4" w:space="1" w:color="auto"/>
          <w:right w:val="single" w:sz="4" w:space="4" w:color="auto"/>
        </w:pBdr>
        <w:shd w:val="clear" w:color="auto" w:fill="E5F6F3" w:themeFill="accent3" w:themeFillTint="33"/>
        <w:ind w:left="357" w:hanging="357"/>
        <w:rPr>
          <w:rFonts w:ascii="DM Sans" w:eastAsia="Times New Roman" w:hAnsi="DM Sans"/>
          <w:b/>
          <w:bCs/>
          <w:sz w:val="20"/>
        </w:rPr>
      </w:pPr>
      <w:r w:rsidRPr="00B42E96">
        <w:rPr>
          <w:rFonts w:ascii="DM Sans" w:hAnsi="DM Sans"/>
          <w:b/>
          <w:bCs/>
          <w:i/>
          <w:iCs/>
          <w:sz w:val="20"/>
        </w:rPr>
        <w:t>Assess the likely benefits against the costs and risks.</w:t>
      </w:r>
    </w:p>
    <w:p w14:paraId="140BA02D" w14:textId="4D75BA49" w:rsidR="00056C55" w:rsidRPr="00B42E96" w:rsidRDefault="00056C55" w:rsidP="003B0BB7">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b/>
          <w:bCs/>
        </w:rPr>
      </w:pPr>
      <w:r w:rsidRPr="00B42E96">
        <w:rPr>
          <w:rFonts w:ascii="DM Sans" w:hAnsi="DM Sans"/>
        </w:rPr>
        <w:t xml:space="preserve">PA believes the benefits are </w:t>
      </w:r>
      <w:r w:rsidR="004A3B03">
        <w:rPr>
          <w:rFonts w:ascii="DM Sans" w:hAnsi="DM Sans"/>
        </w:rPr>
        <w:t xml:space="preserve">likely to be </w:t>
      </w:r>
      <w:r w:rsidRPr="00B42E96">
        <w:rPr>
          <w:rFonts w:ascii="DM Sans" w:hAnsi="DM Sans"/>
        </w:rPr>
        <w:t xml:space="preserve">very substantial </w:t>
      </w:r>
      <w:r w:rsidR="00CF1EC9">
        <w:rPr>
          <w:rFonts w:ascii="DM Sans" w:hAnsi="DM Sans"/>
        </w:rPr>
        <w:t>– tens or hundreds of billions by 20</w:t>
      </w:r>
      <w:r w:rsidR="00530250">
        <w:rPr>
          <w:rFonts w:ascii="DM Sans" w:hAnsi="DM Sans"/>
        </w:rPr>
        <w:t>60 at no revenue cost.  By contrast,</w:t>
      </w:r>
      <w:r w:rsidRPr="00B42E96">
        <w:rPr>
          <w:rFonts w:ascii="DM Sans" w:hAnsi="DM Sans"/>
        </w:rPr>
        <w:t xml:space="preserve"> the </w:t>
      </w:r>
      <w:proofErr w:type="gramStart"/>
      <w:r w:rsidRPr="00B42E96">
        <w:rPr>
          <w:rFonts w:ascii="DM Sans" w:hAnsi="DM Sans"/>
        </w:rPr>
        <w:t>costs</w:t>
      </w:r>
      <w:proofErr w:type="gramEnd"/>
      <w:r w:rsidRPr="00B42E96">
        <w:rPr>
          <w:rFonts w:ascii="DM Sans" w:hAnsi="DM Sans"/>
        </w:rPr>
        <w:t xml:space="preserve"> and risks – even taken as a whole – are limited and</w:t>
      </w:r>
      <w:r w:rsidR="004A3B03">
        <w:rPr>
          <w:rFonts w:ascii="DM Sans" w:hAnsi="DM Sans"/>
        </w:rPr>
        <w:t>/or</w:t>
      </w:r>
      <w:r w:rsidRPr="00B42E96">
        <w:rPr>
          <w:rFonts w:ascii="DM Sans" w:hAnsi="DM Sans"/>
        </w:rPr>
        <w:t xml:space="preserve"> can be addressed, making the case to recommend super bequest</w:t>
      </w:r>
      <w:r w:rsidR="00530250">
        <w:rPr>
          <w:rFonts w:ascii="DM Sans" w:hAnsi="DM Sans"/>
        </w:rPr>
        <w:t>s</w:t>
      </w:r>
      <w:r w:rsidRPr="00B42E96">
        <w:rPr>
          <w:rFonts w:ascii="DM Sans" w:hAnsi="DM Sans"/>
        </w:rPr>
        <w:t xml:space="preserve"> to the Federal Government very strong.  As an additional safeguard, we recommend further engagement with the industry on how best to implement the reform, prior to implementation.</w:t>
      </w:r>
      <w:r w:rsidRPr="00B42E96">
        <w:rPr>
          <w:rFonts w:ascii="DM Sans" w:hAnsi="DM Sans"/>
          <w:b/>
          <w:bCs/>
        </w:rPr>
        <w:t xml:space="preserve">  </w:t>
      </w:r>
    </w:p>
    <w:p w14:paraId="1D0C92BA" w14:textId="77777777" w:rsidR="00056C55" w:rsidRDefault="00056C55" w:rsidP="00056C55">
      <w:pPr>
        <w:rPr>
          <w:rFonts w:ascii="DM Sans" w:hAnsi="DM Sans" w:cs="Calibri"/>
          <w:lang w:eastAsia="en-GB"/>
        </w:rPr>
      </w:pPr>
    </w:p>
    <w:p w14:paraId="655F59F5" w14:textId="77777777" w:rsidR="00BE1C9B" w:rsidRDefault="00BE1C9B">
      <w:pPr>
        <w:spacing w:before="200" w:after="200" w:line="260" w:lineRule="atLeast"/>
        <w:rPr>
          <w:rFonts w:asciiTheme="majorHAnsi" w:eastAsiaTheme="majorEastAsia" w:hAnsiTheme="majorHAnsi" w:cstheme="majorBidi"/>
          <w:b/>
          <w:bCs/>
          <w:color w:val="3D7EDB" w:themeColor="accent1"/>
          <w:sz w:val="24"/>
        </w:rPr>
      </w:pPr>
      <w:r>
        <w:br w:type="page"/>
      </w:r>
    </w:p>
    <w:p w14:paraId="506782CC" w14:textId="45B25478" w:rsidR="00F70F0E" w:rsidRPr="00C27804" w:rsidRDefault="00F70F0E" w:rsidP="00C77306">
      <w:pPr>
        <w:pStyle w:val="Heading3"/>
        <w:pBdr>
          <w:top w:val="single" w:sz="4" w:space="1" w:color="auto"/>
          <w:left w:val="single" w:sz="4" w:space="4" w:color="auto"/>
          <w:bottom w:val="single" w:sz="4" w:space="1" w:color="auto"/>
          <w:right w:val="single" w:sz="4" w:space="4" w:color="auto"/>
        </w:pBdr>
        <w:shd w:val="clear" w:color="auto" w:fill="E5F6F3" w:themeFill="accent3" w:themeFillTint="33"/>
      </w:pPr>
      <w:bookmarkStart w:id="39" w:name="_Toc158381899"/>
      <w:r>
        <w:lastRenderedPageBreak/>
        <w:t>Example three: Removing the 17-cent tax penalty on super bequests.</w:t>
      </w:r>
      <w:bookmarkEnd w:id="39"/>
      <w:r>
        <w:t xml:space="preserve">  </w:t>
      </w:r>
    </w:p>
    <w:p w14:paraId="2E11B10A" w14:textId="77777777" w:rsidR="00F70F0E" w:rsidRPr="00C27804" w:rsidRDefault="00F70F0E" w:rsidP="00C77306">
      <w:pPr>
        <w:pStyle w:val="BodyText"/>
        <w:pBdr>
          <w:top w:val="single" w:sz="4" w:space="1" w:color="auto"/>
          <w:left w:val="single" w:sz="4" w:space="4" w:color="auto"/>
          <w:bottom w:val="single" w:sz="4" w:space="1" w:color="auto"/>
          <w:right w:val="single" w:sz="4" w:space="4" w:color="auto"/>
        </w:pBdr>
        <w:shd w:val="clear" w:color="auto" w:fill="E5F6F3" w:themeFill="accent3" w:themeFillTint="33"/>
        <w:spacing w:after="0"/>
        <w:rPr>
          <w:rFonts w:ascii="DM Sans" w:hAnsi="DM Sans"/>
          <w:b/>
          <w:bCs/>
          <w:i/>
          <w:iCs/>
        </w:rPr>
      </w:pPr>
      <w:r w:rsidRPr="00C27804">
        <w:rPr>
          <w:rFonts w:ascii="DM Sans" w:hAnsi="DM Sans"/>
          <w:b/>
          <w:bCs/>
          <w:i/>
          <w:iCs/>
        </w:rPr>
        <w:t>The PC makes a strong case for the status quo (p.272-278)</w:t>
      </w:r>
    </w:p>
    <w:p w14:paraId="77C199CE" w14:textId="77777777" w:rsidR="00F70F0E" w:rsidRPr="00C27804" w:rsidRDefault="00F70F0E" w:rsidP="00C77306">
      <w:pPr>
        <w:pStyle w:val="BodyText"/>
        <w:numPr>
          <w:ilvl w:val="0"/>
          <w:numId w:val="48"/>
        </w:numPr>
        <w:pBdr>
          <w:top w:val="single" w:sz="4" w:space="1" w:color="auto"/>
          <w:left w:val="single" w:sz="4" w:space="4" w:color="auto"/>
          <w:bottom w:val="single" w:sz="4" w:space="1" w:color="auto"/>
          <w:right w:val="single" w:sz="4" w:space="4" w:color="auto"/>
        </w:pBdr>
        <w:shd w:val="clear" w:color="auto" w:fill="E5F6F3" w:themeFill="accent3" w:themeFillTint="33"/>
        <w:spacing w:after="0"/>
        <w:rPr>
          <w:rFonts w:ascii="DM Sans" w:hAnsi="DM Sans"/>
        </w:rPr>
      </w:pPr>
      <w:r w:rsidRPr="00C27804">
        <w:rPr>
          <w:rFonts w:ascii="DM Sans" w:hAnsi="DM Sans"/>
        </w:rPr>
        <w:t xml:space="preserve">While there would be limited foregone revenue over the forward estimates, there would be considerable foregone revenue over the longer term.  </w:t>
      </w:r>
    </w:p>
    <w:p w14:paraId="5936777C" w14:textId="77777777" w:rsidR="00F70F0E" w:rsidRPr="00C27804" w:rsidRDefault="00F70F0E" w:rsidP="00C77306">
      <w:pPr>
        <w:pStyle w:val="BodyText"/>
        <w:numPr>
          <w:ilvl w:val="0"/>
          <w:numId w:val="48"/>
        </w:numPr>
        <w:pBdr>
          <w:top w:val="single" w:sz="4" w:space="1" w:color="auto"/>
          <w:left w:val="single" w:sz="4" w:space="4" w:color="auto"/>
          <w:bottom w:val="single" w:sz="4" w:space="1" w:color="auto"/>
          <w:right w:val="single" w:sz="4" w:space="4" w:color="auto"/>
        </w:pBdr>
        <w:shd w:val="clear" w:color="auto" w:fill="E5F6F3" w:themeFill="accent3" w:themeFillTint="33"/>
        <w:spacing w:after="0"/>
        <w:rPr>
          <w:rFonts w:ascii="DM Sans" w:hAnsi="DM Sans"/>
        </w:rPr>
      </w:pPr>
      <w:r w:rsidRPr="00C27804">
        <w:rPr>
          <w:rFonts w:ascii="DM Sans" w:hAnsi="DM Sans"/>
        </w:rPr>
        <w:t>Removing the tax for donations to charity, while retaining it for adult dependents, is arguably unfair.</w:t>
      </w:r>
    </w:p>
    <w:p w14:paraId="1992AF6F" w14:textId="77777777" w:rsidR="00F70F0E" w:rsidRPr="00C27804" w:rsidRDefault="00F70F0E" w:rsidP="00C77306">
      <w:pPr>
        <w:pStyle w:val="BodyText"/>
        <w:numPr>
          <w:ilvl w:val="0"/>
          <w:numId w:val="48"/>
        </w:num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 xml:space="preserve">Across the life cycle, people receive extensive tax concessions on their superannuation contributions, </w:t>
      </w:r>
      <w:proofErr w:type="gramStart"/>
      <w:r w:rsidRPr="00C27804">
        <w:rPr>
          <w:rFonts w:ascii="DM Sans" w:hAnsi="DM Sans"/>
        </w:rPr>
        <w:t>earnings</w:t>
      </w:r>
      <w:proofErr w:type="gramEnd"/>
      <w:r w:rsidRPr="00C27804">
        <w:rPr>
          <w:rFonts w:ascii="DM Sans" w:hAnsi="DM Sans"/>
        </w:rPr>
        <w:t xml:space="preserve"> and withdrawals.</w:t>
      </w:r>
    </w:p>
    <w:p w14:paraId="2B60F191" w14:textId="77777777" w:rsidR="00F70F0E" w:rsidRPr="00C27804" w:rsidRDefault="00F70F0E" w:rsidP="00C77306">
      <w:pPr>
        <w:pStyle w:val="BodyText"/>
        <w:pBdr>
          <w:top w:val="single" w:sz="4" w:space="1" w:color="auto"/>
          <w:left w:val="single" w:sz="4" w:space="4" w:color="auto"/>
          <w:bottom w:val="single" w:sz="4" w:space="1" w:color="auto"/>
          <w:right w:val="single" w:sz="4" w:space="4" w:color="auto"/>
        </w:pBdr>
        <w:shd w:val="clear" w:color="auto" w:fill="E5F6F3" w:themeFill="accent3" w:themeFillTint="33"/>
        <w:spacing w:after="0"/>
        <w:rPr>
          <w:rFonts w:ascii="DM Sans" w:hAnsi="DM Sans"/>
          <w:b/>
          <w:bCs/>
          <w:i/>
          <w:iCs/>
        </w:rPr>
      </w:pPr>
      <w:r w:rsidRPr="00C27804">
        <w:rPr>
          <w:rFonts w:ascii="DM Sans" w:hAnsi="DM Sans"/>
          <w:b/>
          <w:bCs/>
          <w:i/>
          <w:iCs/>
        </w:rPr>
        <w:t>However, strong arguments for removing the tax are not stated or are underplayed.</w:t>
      </w:r>
    </w:p>
    <w:p w14:paraId="41202303" w14:textId="484E809E" w:rsidR="00F70F0E" w:rsidRPr="00C27804" w:rsidRDefault="00F70F0E" w:rsidP="00C77306">
      <w:pPr>
        <w:pBdr>
          <w:top w:val="single" w:sz="4" w:space="1" w:color="auto"/>
          <w:left w:val="single" w:sz="4" w:space="4" w:color="auto"/>
          <w:bottom w:val="single" w:sz="4" w:space="1" w:color="auto"/>
          <w:right w:val="single" w:sz="4" w:space="4" w:color="auto"/>
        </w:pBdr>
        <w:shd w:val="clear" w:color="auto" w:fill="E5F6F3" w:themeFill="accent3" w:themeFillTint="33"/>
        <w:rPr>
          <w:rFonts w:ascii="DM Sans" w:hAnsi="DM Sans"/>
        </w:rPr>
      </w:pPr>
      <w:r w:rsidRPr="00C27804">
        <w:rPr>
          <w:rFonts w:ascii="DM Sans" w:hAnsi="DM Sans"/>
        </w:rPr>
        <w:t xml:space="preserve">The PC concludes ‘There is no case to change tax arrangements for superannuation bequests to charities.’  </w:t>
      </w:r>
      <w:r w:rsidR="00FF48F8">
        <w:rPr>
          <w:rFonts w:ascii="DM Sans" w:hAnsi="DM Sans"/>
        </w:rPr>
        <w:t xml:space="preserve">PA is no longer seeking to advocate to the PC on this issue, as the PC has </w:t>
      </w:r>
      <w:r w:rsidR="00F473D7">
        <w:rPr>
          <w:rFonts w:ascii="DM Sans" w:hAnsi="DM Sans"/>
        </w:rPr>
        <w:t>taken a final view.  However,</w:t>
      </w:r>
      <w:r w:rsidR="00FF48F8">
        <w:rPr>
          <w:rFonts w:ascii="DM Sans" w:hAnsi="DM Sans"/>
        </w:rPr>
        <w:t xml:space="preserve"> we</w:t>
      </w:r>
      <w:r w:rsidR="00F473D7">
        <w:rPr>
          <w:rFonts w:ascii="DM Sans" w:hAnsi="DM Sans"/>
        </w:rPr>
        <w:t xml:space="preserve"> believe </w:t>
      </w:r>
      <w:r w:rsidRPr="00C27804">
        <w:rPr>
          <w:rFonts w:ascii="DM Sans" w:hAnsi="DM Sans"/>
        </w:rPr>
        <w:t>there are strong arguments for removing the tax that should have been reflected and engaged with, even if, on balance, the PC recommended the status quo:</w:t>
      </w:r>
    </w:p>
    <w:p w14:paraId="08EC140B" w14:textId="77777777" w:rsidR="00F70F0E" w:rsidRPr="00C27804" w:rsidRDefault="00F70F0E" w:rsidP="00C7730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E5F6F3" w:themeFill="accent3" w:themeFillTint="33"/>
        <w:spacing w:after="120"/>
        <w:rPr>
          <w:rFonts w:ascii="DM Sans" w:hAnsi="DM Sans"/>
          <w:b/>
          <w:bCs/>
          <w:sz w:val="20"/>
        </w:rPr>
      </w:pPr>
      <w:r w:rsidRPr="00C27804">
        <w:rPr>
          <w:rFonts w:ascii="DM Sans" w:hAnsi="DM Sans"/>
          <w:b/>
          <w:bCs/>
          <w:sz w:val="20"/>
        </w:rPr>
        <w:t xml:space="preserve">Inconsistent tax treatment: </w:t>
      </w:r>
      <w:r w:rsidRPr="00C27804">
        <w:rPr>
          <w:rFonts w:ascii="DM Sans" w:hAnsi="DM Sans"/>
          <w:sz w:val="20"/>
        </w:rPr>
        <w:t>The Government offers tax deductibility on donations to charities with DGR status, recogni</w:t>
      </w:r>
      <w:r>
        <w:rPr>
          <w:rFonts w:ascii="DM Sans" w:hAnsi="DM Sans"/>
          <w:sz w:val="20"/>
        </w:rPr>
        <w:t>s</w:t>
      </w:r>
      <w:r w:rsidRPr="00C27804">
        <w:rPr>
          <w:rFonts w:ascii="DM Sans" w:hAnsi="DM Sans"/>
          <w:sz w:val="20"/>
        </w:rPr>
        <w:t>ing the public good achieved through such charitable giving.  The PC concluded that the DGR framework increases giving and produces a community-wide benefit, even after accounting for revenue foregone.</w:t>
      </w:r>
      <w:r w:rsidRPr="00C27804">
        <w:rPr>
          <w:rFonts w:ascii="DM Sans" w:hAnsi="DM Sans"/>
          <w:b/>
          <w:bCs/>
          <w:sz w:val="20"/>
        </w:rPr>
        <w:t xml:space="preserve">  </w:t>
      </w:r>
      <w:r w:rsidRPr="00C27804">
        <w:rPr>
          <w:rFonts w:ascii="DM Sans" w:hAnsi="DM Sans"/>
          <w:sz w:val="20"/>
        </w:rPr>
        <w:t xml:space="preserve">However, charitable giving through super bequests </w:t>
      </w:r>
      <w:proofErr w:type="gramStart"/>
      <w:r w:rsidRPr="00C27804">
        <w:rPr>
          <w:rFonts w:ascii="DM Sans" w:hAnsi="DM Sans"/>
          <w:sz w:val="20"/>
        </w:rPr>
        <w:t>are</w:t>
      </w:r>
      <w:proofErr w:type="gramEnd"/>
      <w:r w:rsidRPr="00C27804">
        <w:rPr>
          <w:rFonts w:ascii="DM Sans" w:hAnsi="DM Sans"/>
          <w:sz w:val="20"/>
        </w:rPr>
        <w:t xml:space="preserve"> taxed at up to 17 cents in the dollar.</w:t>
      </w:r>
      <w:r w:rsidRPr="00C27804">
        <w:rPr>
          <w:rFonts w:ascii="DM Sans" w:hAnsi="DM Sans"/>
          <w:b/>
          <w:bCs/>
          <w:sz w:val="20"/>
        </w:rPr>
        <w:t xml:space="preserve">  </w:t>
      </w:r>
      <w:r w:rsidRPr="00651B80">
        <w:rPr>
          <w:rFonts w:ascii="DM Sans" w:hAnsi="DM Sans"/>
          <w:sz w:val="20"/>
          <w:lang w:val="en-AU"/>
        </w:rPr>
        <w:t>The effect of this tax treatment is that a donation made when someone is alive is tax deductible, but a donation made directly through superannuation after they die incurs tax.</w:t>
      </w:r>
      <w:r w:rsidRPr="005215D5">
        <w:rPr>
          <w:rFonts w:ascii="DM Sans" w:hAnsi="DM Sans"/>
          <w:b/>
          <w:bCs/>
          <w:sz w:val="20"/>
          <w:lang w:val="en-AU"/>
        </w:rPr>
        <w:t xml:space="preserve"> </w:t>
      </w:r>
      <w:r w:rsidRPr="00C27804">
        <w:rPr>
          <w:rFonts w:ascii="DM Sans" w:hAnsi="DM Sans"/>
          <w:sz w:val="20"/>
        </w:rPr>
        <w:t xml:space="preserve">It is not consistent logic to state that in one context, charitable giving should be encouraged through a tax break and is welfare enhancing, but in another context, a tax penalty should be imposed on charitable giving to protect community welfare. </w:t>
      </w:r>
    </w:p>
    <w:p w14:paraId="63C99753" w14:textId="77777777" w:rsidR="00F70F0E" w:rsidRPr="00C27804" w:rsidRDefault="00F70F0E" w:rsidP="00C7730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E5F6F3" w:themeFill="accent3" w:themeFillTint="33"/>
        <w:spacing w:after="120"/>
        <w:rPr>
          <w:rFonts w:ascii="DM Sans" w:hAnsi="DM Sans"/>
          <w:sz w:val="20"/>
          <w:lang w:val="en-AU"/>
        </w:rPr>
      </w:pPr>
      <w:r w:rsidRPr="00C27804">
        <w:rPr>
          <w:rFonts w:ascii="DM Sans" w:hAnsi="DM Sans"/>
          <w:b/>
          <w:bCs/>
          <w:sz w:val="20"/>
        </w:rPr>
        <w:t xml:space="preserve">Encouraging charitable giving: </w:t>
      </w:r>
      <w:r>
        <w:rPr>
          <w:rFonts w:ascii="DM Sans" w:hAnsi="DM Sans"/>
          <w:sz w:val="20"/>
        </w:rPr>
        <w:t>R</w:t>
      </w:r>
      <w:r w:rsidRPr="00C27804">
        <w:rPr>
          <w:rFonts w:ascii="DM Sans" w:hAnsi="DM Sans"/>
          <w:sz w:val="20"/>
        </w:rPr>
        <w:t xml:space="preserve">emoving the tax penalty on super bequests would likely increase charitable giving. When told that super bequests attract a tax penalty, with such money going to the government rather than the intended charity, some people would likely give less or not at all.  </w:t>
      </w:r>
      <w:r>
        <w:rPr>
          <w:rFonts w:ascii="DM Sans" w:hAnsi="DM Sans"/>
          <w:sz w:val="20"/>
        </w:rPr>
        <w:t xml:space="preserve">International evidence shows tax settings influence the level of charitable giving.  Consider, for instance, what </w:t>
      </w:r>
      <w:r w:rsidRPr="00C27804">
        <w:rPr>
          <w:rFonts w:ascii="DM Sans" w:hAnsi="DM Sans"/>
          <w:sz w:val="20"/>
        </w:rPr>
        <w:t>happens in nations that have inheritance taxes, which can be partially offset by charitable giving.  A review of the evidence found ‘</w:t>
      </w:r>
      <w:r w:rsidRPr="00C27804">
        <w:rPr>
          <w:rFonts w:ascii="DM Sans" w:hAnsi="DM Sans"/>
          <w:sz w:val="20"/>
          <w:lang w:val="en-AU"/>
        </w:rPr>
        <w:t>An inheritance tax … provides greater incentive to give to charity. OECD analysis suggests charitable bequests decline by 12-20% when there is no inheritance tax in place.’</w:t>
      </w:r>
      <w:r w:rsidRPr="00C27804">
        <w:rPr>
          <w:rStyle w:val="FootnoteReference"/>
          <w:rFonts w:ascii="DM Sans" w:hAnsi="DM Sans"/>
          <w:sz w:val="20"/>
          <w:lang w:val="en-AU"/>
        </w:rPr>
        <w:footnoteReference w:id="17"/>
      </w:r>
      <w:r w:rsidRPr="00C27804">
        <w:rPr>
          <w:rFonts w:ascii="DM Sans" w:hAnsi="DM Sans"/>
          <w:i/>
          <w:iCs/>
          <w:sz w:val="20"/>
          <w:lang w:val="en-AU"/>
        </w:rPr>
        <w:t xml:space="preserve"> </w:t>
      </w:r>
      <w:r w:rsidRPr="00C27804">
        <w:rPr>
          <w:rFonts w:ascii="DM Sans" w:hAnsi="DM Sans"/>
          <w:sz w:val="20"/>
          <w:lang w:val="en-AU"/>
        </w:rPr>
        <w:t xml:space="preserve"> This </w:t>
      </w:r>
      <w:r>
        <w:rPr>
          <w:rFonts w:ascii="DM Sans" w:hAnsi="DM Sans"/>
          <w:sz w:val="20"/>
          <w:lang w:val="en-AU"/>
        </w:rPr>
        <w:t>argument</w:t>
      </w:r>
      <w:r w:rsidRPr="00C27804">
        <w:rPr>
          <w:rFonts w:ascii="DM Sans" w:hAnsi="DM Sans"/>
          <w:sz w:val="20"/>
          <w:lang w:val="en-AU"/>
        </w:rPr>
        <w:t xml:space="preserve"> does not appear in the draft report and indeed the PC states ‘</w:t>
      </w:r>
      <w:r w:rsidRPr="00C27804">
        <w:rPr>
          <w:rFonts w:ascii="DM Sans" w:hAnsi="DM Sans"/>
          <w:sz w:val="20"/>
        </w:rPr>
        <w:t>it is not apparent that the current taxation arrangements create an additional barrier to giving from superannuation death benefits…’</w:t>
      </w:r>
    </w:p>
    <w:p w14:paraId="47BF473C" w14:textId="0CA1B846" w:rsidR="00F70F0E" w:rsidRPr="00C27804" w:rsidRDefault="00F70F0E" w:rsidP="00C7730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E5F6F3" w:themeFill="accent3" w:themeFillTint="33"/>
        <w:spacing w:after="120"/>
        <w:rPr>
          <w:rFonts w:ascii="DM Sans" w:hAnsi="DM Sans"/>
          <w:b/>
          <w:bCs/>
          <w:sz w:val="20"/>
        </w:rPr>
      </w:pPr>
      <w:r w:rsidRPr="00C27804">
        <w:rPr>
          <w:rFonts w:ascii="DM Sans" w:hAnsi="DM Sans"/>
          <w:b/>
          <w:bCs/>
          <w:sz w:val="20"/>
        </w:rPr>
        <w:t>Lower revenue foregone and a more efficient means to encourage giving:</w:t>
      </w:r>
      <w:r w:rsidRPr="00C27804">
        <w:rPr>
          <w:rFonts w:ascii="DM Sans" w:hAnsi="DM Sans"/>
          <w:sz w:val="20"/>
        </w:rPr>
        <w:t xml:space="preserve"> The PC states ‘… </w:t>
      </w:r>
      <w:r w:rsidRPr="00C27804">
        <w:rPr>
          <w:rFonts w:ascii="DM Sans" w:hAnsi="DM Sans"/>
          <w:sz w:val="20"/>
          <w:lang w:val="en-AU"/>
        </w:rPr>
        <w:t>the cost to government would likely be higher than for donations through other mechanisms.’  This is false.  Most giving is tax deductible, so people can deduct it at their top marginal tax rate of up to 45 cents.</w:t>
      </w:r>
      <w:r w:rsidRPr="00C27804">
        <w:rPr>
          <w:rFonts w:ascii="DM Sans" w:hAnsi="DM Sans"/>
          <w:b/>
          <w:bCs/>
          <w:sz w:val="20"/>
        </w:rPr>
        <w:t xml:space="preserve">  </w:t>
      </w:r>
      <w:r w:rsidRPr="00C27804">
        <w:rPr>
          <w:rFonts w:ascii="DM Sans" w:hAnsi="DM Sans"/>
          <w:sz w:val="20"/>
        </w:rPr>
        <w:t>Removing the 17</w:t>
      </w:r>
      <w:r>
        <w:rPr>
          <w:rFonts w:ascii="DM Sans" w:hAnsi="DM Sans"/>
          <w:sz w:val="20"/>
        </w:rPr>
        <w:t xml:space="preserve"> per </w:t>
      </w:r>
      <w:r w:rsidRPr="00C27804">
        <w:rPr>
          <w:rFonts w:ascii="DM Sans" w:hAnsi="DM Sans"/>
          <w:sz w:val="20"/>
        </w:rPr>
        <w:t xml:space="preserve">cent tax on super bequests is likely a more efficient means to spur giving </w:t>
      </w:r>
      <w:proofErr w:type="gramStart"/>
      <w:r w:rsidR="00560159">
        <w:rPr>
          <w:rFonts w:ascii="DM Sans" w:hAnsi="DM Sans"/>
          <w:sz w:val="20"/>
        </w:rPr>
        <w:t>(</w:t>
      </w:r>
      <w:r w:rsidRPr="00C27804">
        <w:rPr>
          <w:rFonts w:ascii="DM Sans" w:hAnsi="DM Sans"/>
          <w:sz w:val="20"/>
        </w:rPr>
        <w:t xml:space="preserve">including </w:t>
      </w:r>
      <w:proofErr w:type="gramEnd"/>
      <w:r w:rsidRPr="00C27804">
        <w:rPr>
          <w:rFonts w:ascii="DM Sans" w:hAnsi="DM Sans"/>
          <w:sz w:val="20"/>
        </w:rPr>
        <w:t>because components of bequests may displace money otherwise going to child dependents which are not taxed).</w:t>
      </w:r>
      <w:r w:rsidRPr="00C27804">
        <w:rPr>
          <w:rFonts w:ascii="DM Sans" w:hAnsi="DM Sans"/>
          <w:b/>
          <w:bCs/>
          <w:sz w:val="20"/>
        </w:rPr>
        <w:t xml:space="preserve">  </w:t>
      </w:r>
      <w:r w:rsidRPr="00C27804">
        <w:rPr>
          <w:rFonts w:ascii="DM Sans" w:hAnsi="DM Sans"/>
          <w:sz w:val="20"/>
        </w:rPr>
        <w:t>The PC view that removing the tax on super bequests is relatively expensive appears to be based on counting in the cost not just the 17-cent reduction, but all the tax concessions provided to individuals for their super across their lifetime.</w:t>
      </w:r>
      <w:r w:rsidRPr="00C27804">
        <w:rPr>
          <w:rFonts w:ascii="DM Sans" w:hAnsi="DM Sans"/>
          <w:b/>
          <w:bCs/>
          <w:sz w:val="20"/>
        </w:rPr>
        <w:t xml:space="preserve">  </w:t>
      </w:r>
      <w:r w:rsidRPr="00C27804">
        <w:rPr>
          <w:rFonts w:ascii="DM Sans" w:hAnsi="DM Sans"/>
          <w:sz w:val="20"/>
        </w:rPr>
        <w:t>These broader expenses happen in any case.  A policy costing would only count the cost of the change from the status quo.</w:t>
      </w:r>
    </w:p>
    <w:p w14:paraId="101C9AD9" w14:textId="77777777" w:rsidR="00F70F0E" w:rsidRPr="00C27804" w:rsidRDefault="00F70F0E" w:rsidP="00C7730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E5F6F3" w:themeFill="accent3" w:themeFillTint="33"/>
        <w:spacing w:after="120"/>
        <w:rPr>
          <w:rFonts w:ascii="DM Sans" w:hAnsi="DM Sans"/>
          <w:b/>
          <w:bCs/>
          <w:sz w:val="20"/>
        </w:rPr>
      </w:pPr>
      <w:r w:rsidRPr="00C27804">
        <w:rPr>
          <w:rFonts w:ascii="DM Sans" w:hAnsi="DM Sans"/>
          <w:b/>
          <w:bCs/>
          <w:sz w:val="20"/>
        </w:rPr>
        <w:t xml:space="preserve">A fair assessment of revenue foregone? </w:t>
      </w:r>
      <w:r w:rsidRPr="00C27804">
        <w:rPr>
          <w:rFonts w:ascii="DM Sans" w:hAnsi="DM Sans"/>
          <w:sz w:val="20"/>
        </w:rPr>
        <w:t xml:space="preserve">We note the PC uses the figure of $3.6 billion in revenue foregone in 2060, using the most optimistic assumption for increased giving, and the </w:t>
      </w:r>
      <w:r>
        <w:rPr>
          <w:rFonts w:ascii="DM Sans" w:hAnsi="DM Sans"/>
          <w:sz w:val="20"/>
        </w:rPr>
        <w:t xml:space="preserve">unlikely </w:t>
      </w:r>
      <w:r w:rsidRPr="00C27804">
        <w:rPr>
          <w:rFonts w:ascii="DM Sans" w:hAnsi="DM Sans"/>
          <w:sz w:val="20"/>
        </w:rPr>
        <w:t>assumption that all bequests displaced funds otherwise going to adults rather than dependents.</w:t>
      </w:r>
    </w:p>
    <w:p w14:paraId="61883CB2" w14:textId="6D8F06BE" w:rsidR="001D70D6" w:rsidRDefault="001D70D6">
      <w:pPr>
        <w:spacing w:before="200" w:after="200" w:line="260" w:lineRule="atLeast"/>
        <w:rPr>
          <w:rFonts w:asciiTheme="majorHAnsi" w:eastAsiaTheme="majorEastAsia" w:hAnsiTheme="majorHAnsi" w:cstheme="majorBidi"/>
          <w:b/>
          <w:bCs/>
          <w:color w:val="3D7EDB" w:themeColor="accent1"/>
          <w:sz w:val="24"/>
        </w:rPr>
      </w:pPr>
    </w:p>
    <w:sectPr w:rsidR="001D70D6" w:rsidSect="00A24A9A">
      <w:pgSz w:w="11906" w:h="16838"/>
      <w:pgMar w:top="1134" w:right="1134" w:bottom="1134" w:left="1134"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3C50" w14:textId="77777777" w:rsidR="00A24A9A" w:rsidRDefault="00454ABA" w:rsidP="006D5A90">
      <w:r>
        <w:pict w14:anchorId="7C240829">
          <v:rect id="_x0000_i1025" style="width:0;height:1.5pt" o:hralign="center" o:hrstd="t" o:hr="t" fillcolor="#a0a0a0" stroked="f"/>
        </w:pict>
      </w:r>
    </w:p>
    <w:p w14:paraId="67C77CC3" w14:textId="77777777" w:rsidR="00A24A9A" w:rsidRDefault="00A24A9A" w:rsidP="006D5A90"/>
  </w:endnote>
  <w:endnote w:type="continuationSeparator" w:id="0">
    <w:p w14:paraId="003074E7" w14:textId="77777777" w:rsidR="00A24A9A" w:rsidRDefault="00454ABA" w:rsidP="006D5A90">
      <w:r>
        <w:pict w14:anchorId="0D59FCD7">
          <v:rect id="_x0000_i1026" style="width:0;height:1.5pt" o:hralign="center" o:hrstd="t" o:hr="t" fillcolor="#a0a0a0" stroked="f"/>
        </w:pict>
      </w:r>
    </w:p>
    <w:p w14:paraId="5E016AE7" w14:textId="77777777" w:rsidR="00A24A9A" w:rsidRDefault="00A24A9A" w:rsidP="006D5A90"/>
  </w:endnote>
  <w:endnote w:type="continuationNotice" w:id="1">
    <w:p w14:paraId="797E6FDD" w14:textId="77777777" w:rsidR="00A24A9A" w:rsidRDefault="00A24A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M Sans Medium">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ProximaNova-Light">
    <w:altName w:val="Calibri"/>
    <w:charset w:val="00"/>
    <w:family w:val="auto"/>
    <w:pitch w:val="default"/>
    <w:sig w:usb0="00000003" w:usb1="00000000" w:usb2="00000000" w:usb3="00000000" w:csb0="00000001" w:csb1="00000000"/>
  </w:font>
  <w:font w:name="ProximaNova-Bold">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7569" w14:textId="77777777" w:rsidR="002526A5" w:rsidRDefault="002526A5" w:rsidP="002526A5">
    <w:pPr>
      <w:pStyle w:val="FooterPageNumber"/>
      <w:framePr w:wrap="around"/>
    </w:pPr>
    <w:r>
      <w:rPr>
        <w:noProof w:val="0"/>
      </w:rPr>
      <w:fldChar w:fldCharType="begin"/>
    </w:r>
    <w:r>
      <w:instrText xml:space="preserve"> PAGE   \* MERGEFORMAT </w:instrText>
    </w:r>
    <w:r>
      <w:rPr>
        <w:noProof w:val="0"/>
      </w:rPr>
      <w:fldChar w:fldCharType="separate"/>
    </w:r>
    <w:r>
      <w:rPr>
        <w:noProof w:val="0"/>
      </w:rPr>
      <w:t>i</w:t>
    </w:r>
    <w:r>
      <w:fldChar w:fldCharType="end"/>
    </w:r>
  </w:p>
  <w:p w14:paraId="47D655AA" w14:textId="23251380" w:rsidR="007953C8" w:rsidRPr="002526A5" w:rsidRDefault="00C8761C" w:rsidP="002526A5">
    <w:pPr>
      <w:pStyle w:val="Footer"/>
    </w:pPr>
    <w:r>
      <w:t>Philanthropy Australia final submission on draft report - 9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B68E" w14:textId="77777777" w:rsidR="002526A5" w:rsidRDefault="002526A5" w:rsidP="002526A5">
    <w:pPr>
      <w:pStyle w:val="FooterPageNumber"/>
      <w:framePr w:wrap="around"/>
    </w:pPr>
    <w:r>
      <w:rPr>
        <w:noProof w:val="0"/>
      </w:rPr>
      <w:fldChar w:fldCharType="begin"/>
    </w:r>
    <w:r>
      <w:instrText xml:space="preserve"> PAGE   \* MERGEFORMAT </w:instrText>
    </w:r>
    <w:r>
      <w:rPr>
        <w:noProof w:val="0"/>
      </w:rPr>
      <w:fldChar w:fldCharType="separate"/>
    </w:r>
    <w:r>
      <w:rPr>
        <w:noProof w:val="0"/>
      </w:rPr>
      <w:t>i</w:t>
    </w:r>
    <w:r>
      <w:fldChar w:fldCharType="end"/>
    </w:r>
  </w:p>
  <w:sdt>
    <w:sdtPr>
      <w:alias w:val="Title"/>
      <w:tag w:val=""/>
      <w:id w:val="1891848344"/>
      <w:dataBinding w:prefixMappings="xmlns:ns0='http://purl.org/dc/elements/1.1/' xmlns:ns1='http://schemas.openxmlformats.org/package/2006/metadata/core-properties' " w:xpath="/ns1:coreProperties[1]/ns0:title[1]" w:storeItemID="{6C3C8BC8-F283-45AE-878A-BAB7291924A1}"/>
      <w:text/>
    </w:sdtPr>
    <w:sdtEndPr/>
    <w:sdtContent>
      <w:p w14:paraId="21864DC4" w14:textId="1182B6AF" w:rsidR="002526A5" w:rsidRPr="002526A5" w:rsidRDefault="00645613" w:rsidP="002526A5">
        <w:pPr>
          <w:pStyle w:val="Footer"/>
        </w:pPr>
        <w:r>
          <w:t>Submission 595 - Philanthropy Australia (PA) - Philanthropy - Public inquiry</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F2CE" w14:textId="77777777" w:rsidR="008213AA" w:rsidRDefault="008213AA" w:rsidP="006B04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C4E8" w14:textId="77777777" w:rsidR="008213AA" w:rsidRDefault="008213AA" w:rsidP="006B0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F2A9" w14:textId="77777777" w:rsidR="00A24A9A" w:rsidRPr="00CA30B7" w:rsidRDefault="00A24A9A" w:rsidP="006D5A90">
      <w:pPr>
        <w:rPr>
          <w:lang w:val="en-US"/>
        </w:rPr>
      </w:pPr>
      <w:r w:rsidRPr="00CA30B7">
        <w:rPr>
          <w:lang w:val="en-US"/>
        </w:rPr>
        <w:t>_______</w:t>
      </w:r>
    </w:p>
  </w:footnote>
  <w:footnote w:type="continuationSeparator" w:id="0">
    <w:p w14:paraId="404D6053" w14:textId="77777777" w:rsidR="00A24A9A" w:rsidRPr="00CA30B7" w:rsidRDefault="00A24A9A" w:rsidP="006D5A90">
      <w:pPr>
        <w:rPr>
          <w:lang w:val="en-US"/>
        </w:rPr>
      </w:pPr>
      <w:r w:rsidRPr="00CA30B7">
        <w:rPr>
          <w:lang w:val="en-US"/>
        </w:rPr>
        <w:t>_______</w:t>
      </w:r>
    </w:p>
  </w:footnote>
  <w:footnote w:type="continuationNotice" w:id="1">
    <w:p w14:paraId="71AA9D80" w14:textId="77777777" w:rsidR="00A24A9A" w:rsidRDefault="00A24A9A" w:rsidP="006D5A90"/>
  </w:footnote>
  <w:footnote w:id="2">
    <w:p w14:paraId="14532C64" w14:textId="592B2FF9" w:rsidR="00B23EDC" w:rsidRPr="00B23EDC" w:rsidRDefault="00B23EDC">
      <w:pPr>
        <w:pStyle w:val="FootnoteText"/>
        <w:rPr>
          <w:lang w:val="en-US"/>
        </w:rPr>
      </w:pPr>
      <w:r>
        <w:rPr>
          <w:rStyle w:val="FootnoteReference"/>
        </w:rPr>
        <w:footnoteRef/>
      </w:r>
      <w:r>
        <w:t xml:space="preserve"> </w:t>
      </w:r>
      <w:hyperlink r:id="rId1" w:history="1">
        <w:r w:rsidR="00AE3D8A" w:rsidRPr="00B23EDC">
          <w:rPr>
            <w:rStyle w:val="Hyperlink"/>
          </w:rPr>
          <w:t>PA’s main submission in May</w:t>
        </w:r>
      </w:hyperlink>
      <w:r w:rsidR="002A68C1">
        <w:rPr>
          <w:lang w:val="en-US"/>
        </w:rPr>
        <w:t xml:space="preserve"> made five recommendations</w:t>
      </w:r>
      <w:r w:rsidRPr="00B23EDC">
        <w:t xml:space="preserve"> aimed at creating a more generous culture – a national schools program; a National Giving Campaign; and the philanthropic, business and charity sectors making contributions to the ‘double giving’ mission, formalised in regular compacts with the Federal Government. </w:t>
      </w:r>
    </w:p>
  </w:footnote>
  <w:footnote w:id="3">
    <w:p w14:paraId="7A8A3F4F" w14:textId="77777777" w:rsidR="00CB3A31" w:rsidRPr="00187B98" w:rsidRDefault="00CB3A31" w:rsidP="00CB3A31">
      <w:pPr>
        <w:pStyle w:val="FootnoteText"/>
        <w:rPr>
          <w:lang w:val="en-US"/>
        </w:rPr>
      </w:pPr>
      <w:r>
        <w:rPr>
          <w:rStyle w:val="FootnoteReference"/>
        </w:rPr>
        <w:footnoteRef/>
      </w:r>
      <w:r>
        <w:t xml:space="preserve"> </w:t>
      </w:r>
      <w:r>
        <w:rPr>
          <w:lang w:val="en-US"/>
        </w:rPr>
        <w:t xml:space="preserve">Ideas 42, </w:t>
      </w:r>
      <w:r w:rsidRPr="001925CE">
        <w:rPr>
          <w:i/>
          <w:iCs/>
          <w:lang w:val="en-US"/>
        </w:rPr>
        <w:t>Behaviour and Charitable Giving: 2019 Update</w:t>
      </w:r>
      <w:r>
        <w:rPr>
          <w:lang w:val="en-US"/>
        </w:rPr>
        <w:t>, p.13.</w:t>
      </w:r>
    </w:p>
  </w:footnote>
  <w:footnote w:id="4">
    <w:p w14:paraId="3114F9EA" w14:textId="77777777" w:rsidR="00DA523B" w:rsidRPr="000D3D87" w:rsidRDefault="00DA523B" w:rsidP="00DA523B">
      <w:pPr>
        <w:pStyle w:val="FootnoteText"/>
      </w:pPr>
      <w:r>
        <w:rPr>
          <w:rStyle w:val="FootnoteReference"/>
        </w:rPr>
        <w:footnoteRef/>
      </w:r>
      <w:r>
        <w:t xml:space="preserve"> UK Behavioural Insights Team, </w:t>
      </w:r>
      <w:r w:rsidRPr="000D3D87">
        <w:rPr>
          <w:i/>
          <w:iCs/>
        </w:rPr>
        <w:t>Applying behavioural insights to charitable giving</w:t>
      </w:r>
      <w:r>
        <w:t>, 2013, p.22,23.</w:t>
      </w:r>
    </w:p>
  </w:footnote>
  <w:footnote w:id="5">
    <w:p w14:paraId="4E928F69" w14:textId="2B175A95" w:rsidR="0004063E" w:rsidRPr="0004063E" w:rsidRDefault="0004063E">
      <w:pPr>
        <w:pStyle w:val="FootnoteText"/>
        <w:rPr>
          <w:lang w:val="en-US"/>
        </w:rPr>
      </w:pPr>
      <w:r>
        <w:rPr>
          <w:rStyle w:val="FootnoteReference"/>
        </w:rPr>
        <w:footnoteRef/>
      </w:r>
      <w:r>
        <w:t xml:space="preserve"> </w:t>
      </w:r>
      <w:r w:rsidR="008104DD">
        <w:t xml:space="preserve"> For more on the methodology, see </w:t>
      </w:r>
      <w:r w:rsidR="00BD0FF8">
        <w:t xml:space="preserve">Impact Economics and Policy, </w:t>
      </w:r>
      <w:hyperlink r:id="rId2" w:history="1">
        <w:r w:rsidR="00BD0FF8" w:rsidRPr="00BD0FF8">
          <w:rPr>
            <w:rStyle w:val="Hyperlink"/>
            <w:i/>
            <w:iCs/>
            <w:lang w:val="en-US"/>
          </w:rPr>
          <w:t>Charitable Superannuation Bequests: Making Giving Easy</w:t>
        </w:r>
      </w:hyperlink>
      <w:r w:rsidR="00BD0FF8">
        <w:t xml:space="preserve">, </w:t>
      </w:r>
      <w:r w:rsidR="00A271D4">
        <w:t xml:space="preserve">2023, p.19 and Appendix One.  </w:t>
      </w:r>
      <w:r w:rsidR="003B3E24">
        <w:rPr>
          <w:rFonts w:eastAsia="MS ??"/>
          <w:lang w:val="en-US"/>
        </w:rPr>
        <w:t xml:space="preserve">The conservative estimate accounted for a tiny behavioural response to the increased simplicity of the process, with the more optimistic scenario </w:t>
      </w:r>
      <w:r w:rsidR="00603A71">
        <w:rPr>
          <w:rFonts w:eastAsia="MS ??"/>
          <w:lang w:val="en-US"/>
        </w:rPr>
        <w:t>incorporating a stronger response</w:t>
      </w:r>
      <w:r w:rsidR="003B3E24">
        <w:rPr>
          <w:rFonts w:eastAsia="MS ??"/>
          <w:lang w:val="en-US"/>
        </w:rPr>
        <w:t xml:space="preserve">; </w:t>
      </w:r>
      <w:r w:rsidR="00603A71">
        <w:rPr>
          <w:rFonts w:eastAsia="MS ??"/>
          <w:lang w:val="en-US"/>
        </w:rPr>
        <w:t xml:space="preserve">the more conservative </w:t>
      </w:r>
      <w:r w:rsidR="00B074A6">
        <w:rPr>
          <w:rFonts w:eastAsia="MS ??"/>
          <w:lang w:val="en-US"/>
        </w:rPr>
        <w:t xml:space="preserve">estimate included a major response to </w:t>
      </w:r>
      <w:r w:rsidR="003B3E24">
        <w:rPr>
          <w:rFonts w:eastAsia="MS ??"/>
          <w:lang w:val="en-US"/>
        </w:rPr>
        <w:t>the government’s efforts to increase the spend-down in retirement</w:t>
      </w:r>
      <w:r w:rsidR="009C0D44">
        <w:rPr>
          <w:rFonts w:eastAsia="MS ??"/>
          <w:lang w:val="en-US"/>
        </w:rPr>
        <w:t>; and both scenarios incorporated a response to removing the tax on super bequests</w:t>
      </w:r>
      <w:r w:rsidR="003B3E24">
        <w:rPr>
          <w:rFonts w:eastAsia="MS ??"/>
          <w:lang w:val="en-US"/>
        </w:rPr>
        <w:t xml:space="preserve">.  </w:t>
      </w:r>
    </w:p>
  </w:footnote>
  <w:footnote w:id="6">
    <w:p w14:paraId="3DB3AACC" w14:textId="77777777" w:rsidR="006269DD" w:rsidRPr="000059AA" w:rsidRDefault="006269DD" w:rsidP="006269DD">
      <w:pPr>
        <w:pStyle w:val="FootnoteText"/>
        <w:rPr>
          <w:lang w:val="en-US"/>
        </w:rPr>
      </w:pPr>
      <w:r>
        <w:rPr>
          <w:rStyle w:val="FootnoteReference"/>
        </w:rPr>
        <w:footnoteRef/>
      </w:r>
      <w:r>
        <w:t xml:space="preserve"> </w:t>
      </w:r>
      <w:r>
        <w:tab/>
        <w:t xml:space="preserve">See: </w:t>
      </w:r>
      <w:hyperlink r:id="rId3" w:history="1">
        <w:r w:rsidRPr="006C3E2D">
          <w:rPr>
            <w:rStyle w:val="Hyperlink"/>
          </w:rPr>
          <w:t>https://www.gov.uk/government/publications/applying-behavioural-insights-to-charitable-giving</w:t>
        </w:r>
      </w:hyperlink>
    </w:p>
  </w:footnote>
  <w:footnote w:id="7">
    <w:p w14:paraId="02F35DB9" w14:textId="574E63DA" w:rsidR="004B6F9A" w:rsidRPr="004B6F9A" w:rsidRDefault="004B6F9A">
      <w:pPr>
        <w:pStyle w:val="FootnoteText"/>
        <w:rPr>
          <w:lang w:val="en-US"/>
        </w:rPr>
      </w:pPr>
      <w:r>
        <w:rPr>
          <w:rStyle w:val="FootnoteReference"/>
        </w:rPr>
        <w:footnoteRef/>
      </w:r>
      <w:r>
        <w:t xml:space="preserve"> </w:t>
      </w:r>
      <w:r>
        <w:rPr>
          <w:lang w:val="en-US"/>
        </w:rPr>
        <w:t xml:space="preserve">Ideas 42, </w:t>
      </w:r>
      <w:r w:rsidR="001925CE" w:rsidRPr="001925CE">
        <w:rPr>
          <w:i/>
          <w:iCs/>
          <w:lang w:val="en-US"/>
        </w:rPr>
        <w:t>Behaviour and Charitable Giving: 2019 Update</w:t>
      </w:r>
      <w:r w:rsidR="001925CE">
        <w:rPr>
          <w:lang w:val="en-US"/>
        </w:rPr>
        <w:t>, p.13.</w:t>
      </w:r>
    </w:p>
  </w:footnote>
  <w:footnote w:id="8">
    <w:p w14:paraId="6E463AB7" w14:textId="793FC012" w:rsidR="00187B98" w:rsidRPr="00187B98" w:rsidRDefault="00187B98">
      <w:pPr>
        <w:pStyle w:val="FootnoteText"/>
        <w:rPr>
          <w:lang w:val="en-US"/>
        </w:rPr>
      </w:pPr>
      <w:r>
        <w:rPr>
          <w:rStyle w:val="FootnoteReference"/>
        </w:rPr>
        <w:footnoteRef/>
      </w:r>
      <w:r>
        <w:t xml:space="preserve"> </w:t>
      </w:r>
      <w:r>
        <w:rPr>
          <w:lang w:val="en-US"/>
        </w:rPr>
        <w:t xml:space="preserve">Ideas 42, </w:t>
      </w:r>
      <w:r w:rsidRPr="001925CE">
        <w:rPr>
          <w:i/>
          <w:iCs/>
          <w:lang w:val="en-US"/>
        </w:rPr>
        <w:t>Behaviour and Charitable Giving: 2019 Update</w:t>
      </w:r>
      <w:r>
        <w:rPr>
          <w:lang w:val="en-US"/>
        </w:rPr>
        <w:t>, p.13.</w:t>
      </w:r>
    </w:p>
  </w:footnote>
  <w:footnote w:id="9">
    <w:p w14:paraId="6A05ECA5" w14:textId="77777777" w:rsidR="009107D9" w:rsidRPr="0008551D" w:rsidRDefault="009107D9" w:rsidP="009107D9">
      <w:pPr>
        <w:pStyle w:val="FootnoteText"/>
        <w:rPr>
          <w:lang w:val="en-US"/>
        </w:rPr>
      </w:pPr>
      <w:r w:rsidRPr="009A33DD">
        <w:rPr>
          <w:rStyle w:val="FootnoteReference"/>
        </w:rPr>
        <w:footnoteRef/>
      </w:r>
      <w:r w:rsidRPr="009A33DD">
        <w:rPr>
          <w:rStyle w:val="FootnoteReference"/>
        </w:rPr>
        <w:t xml:space="preserve"> </w:t>
      </w:r>
      <w:r>
        <w:rPr>
          <w:rStyle w:val="FootnoteReference"/>
        </w:rPr>
        <w:tab/>
      </w:r>
      <w:r>
        <w:rPr>
          <w:lang w:val="en-US"/>
        </w:rPr>
        <w:t xml:space="preserve">See: </w:t>
      </w:r>
      <w:hyperlink r:id="rId4" w:history="1">
        <w:r w:rsidRPr="001814D6">
          <w:rPr>
            <w:rStyle w:val="Hyperlink"/>
            <w:lang w:val="en-US"/>
          </w:rPr>
          <w:t>https://www.hrblock.com.au/tax-academy/bigger-tax-refund</w:t>
        </w:r>
      </w:hyperlink>
    </w:p>
  </w:footnote>
  <w:footnote w:id="10">
    <w:p w14:paraId="17BFFFC8" w14:textId="67994444" w:rsidR="003B1F39" w:rsidRPr="003B1F39" w:rsidRDefault="003B1F39">
      <w:pPr>
        <w:pStyle w:val="FootnoteText"/>
        <w:rPr>
          <w:lang w:val="en-US"/>
        </w:rPr>
      </w:pPr>
      <w:r>
        <w:rPr>
          <w:rStyle w:val="FootnoteReference"/>
        </w:rPr>
        <w:footnoteRef/>
      </w:r>
      <w:r>
        <w:t xml:space="preserve"> Productivity Commission, </w:t>
      </w:r>
      <w:r w:rsidR="004933DF" w:rsidRPr="00A37C4B">
        <w:rPr>
          <w:i/>
          <w:iCs/>
        </w:rPr>
        <w:t xml:space="preserve">Future </w:t>
      </w:r>
      <w:r w:rsidR="008311D4" w:rsidRPr="00A37C4B">
        <w:rPr>
          <w:i/>
          <w:iCs/>
        </w:rPr>
        <w:t>Foundations for Giving; Draft Report,</w:t>
      </w:r>
      <w:r w:rsidR="008311D4">
        <w:t xml:space="preserve"> </w:t>
      </w:r>
      <w:r w:rsidR="00A37C4B">
        <w:t xml:space="preserve">November 2023, </w:t>
      </w:r>
      <w:r>
        <w:rPr>
          <w:rFonts w:ascii="DM Sans" w:hAnsi="DM Sans"/>
          <w:bCs/>
        </w:rPr>
        <w:t>p.323</w:t>
      </w:r>
      <w:r w:rsidR="00A37C4B">
        <w:rPr>
          <w:rFonts w:ascii="DM Sans" w:hAnsi="DM Sans"/>
          <w:bCs/>
        </w:rPr>
        <w:t>.</w:t>
      </w:r>
    </w:p>
  </w:footnote>
  <w:footnote w:id="11">
    <w:p w14:paraId="071D8FD2" w14:textId="02579A81" w:rsidR="000D3D87" w:rsidRPr="000D3D87" w:rsidRDefault="000D3D87" w:rsidP="000D3D87">
      <w:pPr>
        <w:pStyle w:val="FootnoteText"/>
      </w:pPr>
      <w:r>
        <w:rPr>
          <w:rStyle w:val="FootnoteReference"/>
        </w:rPr>
        <w:footnoteRef/>
      </w:r>
      <w:r>
        <w:t xml:space="preserve"> UK Behavioural Insights Team, </w:t>
      </w:r>
      <w:r w:rsidRPr="000D3D87">
        <w:rPr>
          <w:i/>
          <w:iCs/>
        </w:rPr>
        <w:t>Applying behavioural insights to charitable giving</w:t>
      </w:r>
      <w:r>
        <w:t xml:space="preserve">, 2013, </w:t>
      </w:r>
      <w:r w:rsidR="0094453E">
        <w:t>p.22,23.</w:t>
      </w:r>
    </w:p>
  </w:footnote>
  <w:footnote w:id="12">
    <w:p w14:paraId="4B8A51AD" w14:textId="77777777" w:rsidR="00635C35" w:rsidRPr="00242E7E" w:rsidRDefault="00635C35" w:rsidP="00635C35">
      <w:pPr>
        <w:pStyle w:val="FootnoteText"/>
        <w:rPr>
          <w:lang w:val="en-US"/>
        </w:rPr>
      </w:pPr>
      <w:r>
        <w:rPr>
          <w:rStyle w:val="FootnoteReference"/>
        </w:rPr>
        <w:footnoteRef/>
      </w:r>
      <w:r>
        <w:t xml:space="preserve"> </w:t>
      </w:r>
      <w:r>
        <w:rPr>
          <w:lang w:val="en-US"/>
        </w:rPr>
        <w:t xml:space="preserve">Jesuit Social Services, </w:t>
      </w:r>
      <w:r w:rsidRPr="00242E7E">
        <w:rPr>
          <w:i/>
          <w:iCs/>
          <w:lang w:val="en-US"/>
        </w:rPr>
        <w:t>Dropping Off the Edge 2021</w:t>
      </w:r>
      <w:r>
        <w:rPr>
          <w:lang w:val="en-US"/>
        </w:rPr>
        <w:t xml:space="preserve">; and Australian Bureau of Statistics, </w:t>
      </w:r>
      <w:r w:rsidRPr="002F1144">
        <w:rPr>
          <w:i/>
          <w:iCs/>
          <w:lang w:val="en-US"/>
        </w:rPr>
        <w:t>Socio-Economic Indexes for Areas (SEIFA), Australia</w:t>
      </w:r>
      <w:r>
        <w:rPr>
          <w:i/>
          <w:iCs/>
          <w:lang w:val="en-US"/>
        </w:rPr>
        <w:t>.</w:t>
      </w:r>
    </w:p>
  </w:footnote>
  <w:footnote w:id="13">
    <w:p w14:paraId="394009B4" w14:textId="77777777" w:rsidR="00F27A50" w:rsidRPr="0003186D" w:rsidRDefault="00F27A50" w:rsidP="00F27A50">
      <w:pPr>
        <w:pStyle w:val="FootnoteText"/>
        <w:rPr>
          <w:lang w:val="en-US"/>
        </w:rPr>
      </w:pPr>
      <w:r w:rsidRPr="009A33DD">
        <w:rPr>
          <w:rStyle w:val="FootnoteReference"/>
        </w:rPr>
        <w:footnoteRef/>
      </w:r>
      <w:r w:rsidRPr="009A33DD">
        <w:rPr>
          <w:rStyle w:val="FootnoteReference"/>
        </w:rPr>
        <w:t xml:space="preserve"> </w:t>
      </w:r>
      <w:r>
        <w:rPr>
          <w:lang w:val="en-US"/>
        </w:rPr>
        <w:t xml:space="preserve">Redbridge, </w:t>
      </w:r>
      <w:r w:rsidRPr="008939DB">
        <w:rPr>
          <w:i/>
          <w:iCs/>
        </w:rPr>
        <w:t>Philanthropy Australia Community Case</w:t>
      </w:r>
      <w:r>
        <w:rPr>
          <w:lang w:val="en-US"/>
        </w:rPr>
        <w:t xml:space="preserve">, December 2022 – available </w:t>
      </w:r>
      <w:hyperlink r:id="rId5" w:history="1">
        <w:r w:rsidRPr="004E6BC9">
          <w:rPr>
            <w:rStyle w:val="Hyperlink"/>
            <w:lang w:val="en-US"/>
          </w:rPr>
          <w:t>here</w:t>
        </w:r>
      </w:hyperlink>
      <w:r>
        <w:rPr>
          <w:lang w:val="en-US"/>
        </w:rPr>
        <w:t>.</w:t>
      </w:r>
    </w:p>
  </w:footnote>
  <w:footnote w:id="14">
    <w:p w14:paraId="0E61E68D" w14:textId="77777777" w:rsidR="001C1B09" w:rsidRPr="00D40F59" w:rsidRDefault="001C1B09" w:rsidP="001C1B09">
      <w:pPr>
        <w:pStyle w:val="FootnoteText"/>
        <w:rPr>
          <w:lang w:val="en-US"/>
        </w:rPr>
      </w:pPr>
      <w:r>
        <w:rPr>
          <w:rStyle w:val="FootnoteReference"/>
        </w:rPr>
        <w:footnoteRef/>
      </w:r>
      <w:r>
        <w:t xml:space="preserve"> An Office of NFP Engagement was recommended by the PC In 2010 and</w:t>
      </w:r>
      <w:r w:rsidRPr="00D40F59">
        <w:t xml:space="preserve"> briefly established, but abolished by the Abbott Government</w:t>
      </w:r>
      <w:r>
        <w:t>.</w:t>
      </w:r>
    </w:p>
  </w:footnote>
  <w:footnote w:id="15">
    <w:p w14:paraId="624D84FC" w14:textId="6DF593D7" w:rsidR="0093702E" w:rsidRPr="0093702E" w:rsidRDefault="0093702E">
      <w:pPr>
        <w:pStyle w:val="FootnoteText"/>
        <w:rPr>
          <w:lang w:val="en-US"/>
        </w:rPr>
      </w:pPr>
      <w:r>
        <w:rPr>
          <w:rStyle w:val="FootnoteReference"/>
        </w:rPr>
        <w:footnoteRef/>
      </w:r>
      <w:r>
        <w:t xml:space="preserve"> </w:t>
      </w:r>
      <w:r>
        <w:rPr>
          <w:i/>
          <w:iCs/>
          <w:sz w:val="18"/>
          <w:szCs w:val="18"/>
        </w:rPr>
        <w:t xml:space="preserve">Bekkers, R., &amp; Wiepking, P. (2011). A Literature Review of Empirical Studies of Philanthropy: Eight Mechanisms That Drive Charitable Giving. Nonprofit and Voluntary Sector Quarterly, 40(5), 924-973. </w:t>
      </w:r>
      <w:hyperlink r:id="rId6" w:history="1">
        <w:r>
          <w:rPr>
            <w:rStyle w:val="Hyperlink"/>
            <w:i/>
            <w:iCs/>
            <w:color w:val="auto"/>
            <w:sz w:val="18"/>
            <w:szCs w:val="18"/>
          </w:rPr>
          <w:t>https://doi.org/10.1177/0899764010380927</w:t>
        </w:r>
      </w:hyperlink>
      <w:r>
        <w:rPr>
          <w:i/>
          <w:iCs/>
          <w:sz w:val="18"/>
          <w:szCs w:val="18"/>
        </w:rPr>
        <w:t>;</w:t>
      </w:r>
    </w:p>
  </w:footnote>
  <w:footnote w:id="16">
    <w:p w14:paraId="38A6194C" w14:textId="77777777" w:rsidR="00F70F0E" w:rsidRPr="001D3601" w:rsidRDefault="00F70F0E" w:rsidP="00F70F0E">
      <w:pPr>
        <w:pStyle w:val="FootnoteText"/>
        <w:rPr>
          <w:lang w:val="en-US"/>
        </w:rPr>
      </w:pPr>
      <w:r>
        <w:rPr>
          <w:rStyle w:val="FootnoteReference"/>
        </w:rPr>
        <w:footnoteRef/>
      </w:r>
      <w:r>
        <w:t xml:space="preserve"> UK Behavioural Insights Team, </w:t>
      </w:r>
      <w:r w:rsidRPr="000D3D87">
        <w:rPr>
          <w:i/>
          <w:iCs/>
        </w:rPr>
        <w:t>Applying behavioural insights to charitable giving</w:t>
      </w:r>
      <w:r>
        <w:t>, 2013, p.22,23.</w:t>
      </w:r>
    </w:p>
  </w:footnote>
  <w:footnote w:id="17">
    <w:p w14:paraId="5A649139" w14:textId="77777777" w:rsidR="00F70F0E" w:rsidRPr="008D594B" w:rsidRDefault="00F70F0E" w:rsidP="00F70F0E">
      <w:pPr>
        <w:spacing w:after="0"/>
        <w:rPr>
          <w:rFonts w:eastAsia="MS ??"/>
          <w:sz w:val="18"/>
          <w:szCs w:val="18"/>
        </w:rPr>
      </w:pPr>
      <w:r>
        <w:rPr>
          <w:rStyle w:val="FootnoteReference"/>
        </w:rPr>
        <w:footnoteRef/>
      </w:r>
      <w:r>
        <w:t xml:space="preserve"> </w:t>
      </w:r>
      <w:r w:rsidRPr="00626974">
        <w:rPr>
          <w:rFonts w:eastAsia="MS ??"/>
          <w:sz w:val="16"/>
          <w:szCs w:val="16"/>
        </w:rPr>
        <w:t>Flatau, P., Lester, L., Brown, J.T., Kyron, M., Callis, Z., &amp; Muir, K. (2022). ‘</w:t>
      </w:r>
      <w:r w:rsidRPr="00626974">
        <w:rPr>
          <w:rFonts w:eastAsia="MS ??"/>
          <w:i/>
          <w:iCs/>
          <w:sz w:val="16"/>
          <w:szCs w:val="16"/>
        </w:rPr>
        <w:t>High Net Wealth Giving in Australia: A Review of the Evidence’</w:t>
      </w:r>
      <w:r w:rsidRPr="00626974">
        <w:rPr>
          <w:rFonts w:eastAsia="MS ??"/>
          <w:sz w:val="16"/>
          <w:szCs w:val="16"/>
        </w:rPr>
        <w:t xml:space="preserve">, Centre for Social Impact: UNSW and UWA. DOI, p.15: </w:t>
      </w:r>
      <w:hyperlink r:id="rId7" w:history="1">
        <w:r w:rsidRPr="00626974">
          <w:rPr>
            <w:rStyle w:val="Hyperlink"/>
            <w:sz w:val="16"/>
            <w:szCs w:val="16"/>
            <w:lang w:eastAsia="en-US"/>
          </w:rPr>
          <w:t>https://doi.org/10.25916/ranq-n886</w:t>
        </w:r>
      </w:hyperlink>
    </w:p>
    <w:p w14:paraId="5F242BB2" w14:textId="77777777" w:rsidR="00F70F0E" w:rsidRPr="008D594B" w:rsidRDefault="00F70F0E" w:rsidP="00F70F0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2D6E" w14:textId="77777777" w:rsidR="008213AA" w:rsidRDefault="008213AA" w:rsidP="006B0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25A7" w14:textId="77777777" w:rsidR="008213AA" w:rsidRDefault="008213AA" w:rsidP="006B0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E386" w14:textId="77777777" w:rsidR="008213AA" w:rsidRDefault="008213AA" w:rsidP="006B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744"/>
    <w:multiLevelType w:val="hybridMultilevel"/>
    <w:tmpl w:val="0FACB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F6EB0"/>
    <w:multiLevelType w:val="hybridMultilevel"/>
    <w:tmpl w:val="F10A9D3E"/>
    <w:lvl w:ilvl="0" w:tplc="0C090003">
      <w:start w:val="1"/>
      <w:numFmt w:val="bullet"/>
      <w:lvlText w:val="o"/>
      <w:lvlJc w:val="left"/>
      <w:pPr>
        <w:ind w:left="709" w:hanging="360"/>
      </w:pPr>
      <w:rPr>
        <w:rFonts w:ascii="Courier New" w:hAnsi="Courier New" w:cs="Courier New"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070E22"/>
    <w:multiLevelType w:val="hybridMultilevel"/>
    <w:tmpl w:val="4274D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DF64E93"/>
    <w:multiLevelType w:val="hybridMultilevel"/>
    <w:tmpl w:val="3094285E"/>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3404387"/>
    <w:multiLevelType w:val="hybridMultilevel"/>
    <w:tmpl w:val="B4E43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D119D7"/>
    <w:multiLevelType w:val="hybridMultilevel"/>
    <w:tmpl w:val="0298DCB0"/>
    <w:lvl w:ilvl="0" w:tplc="0C090001">
      <w:start w:val="1"/>
      <w:numFmt w:val="bullet"/>
      <w:lvlText w:val=""/>
      <w:lvlJc w:val="left"/>
      <w:pPr>
        <w:ind w:left="717" w:hanging="360"/>
      </w:pPr>
      <w:rPr>
        <w:rFonts w:ascii="Symbol" w:hAnsi="Symbol" w:hint="default"/>
      </w:rPr>
    </w:lvl>
    <w:lvl w:ilvl="1" w:tplc="FFFFFFFF">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1" w15:restartNumberingAfterBreak="0">
    <w:nsid w:val="160168E4"/>
    <w:multiLevelType w:val="multilevel"/>
    <w:tmpl w:val="539293A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2" w15:restartNumberingAfterBreak="0">
    <w:nsid w:val="16700A51"/>
    <w:multiLevelType w:val="hybridMultilevel"/>
    <w:tmpl w:val="40D0BEF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B55390"/>
    <w:multiLevelType w:val="multilevel"/>
    <w:tmpl w:val="FE6E6746"/>
    <w:lvl w:ilvl="0">
      <w:start w:val="1"/>
      <w:numFmt w:val="bullet"/>
      <w:lvlText w:val=""/>
      <w:lvlJc w:val="left"/>
      <w:pPr>
        <w:ind w:left="340" w:hanging="340"/>
      </w:pPr>
      <w:rPr>
        <w:rFonts w:ascii="Symbol" w:hAnsi="Symbol"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4" w15:restartNumberingAfterBreak="0">
    <w:nsid w:val="16CF25FC"/>
    <w:multiLevelType w:val="multilevel"/>
    <w:tmpl w:val="7E68C5B0"/>
    <w:lvl w:ilvl="0">
      <w:start w:val="1"/>
      <w:numFmt w:val="decimal"/>
      <w:lvlText w:val="%1."/>
      <w:lvlJc w:val="left"/>
      <w:pPr>
        <w:ind w:left="340" w:hanging="340"/>
      </w:pPr>
      <w:rPr>
        <w:rFonts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5" w15:restartNumberingAfterBreak="0">
    <w:nsid w:val="1771034A"/>
    <w:multiLevelType w:val="multilevel"/>
    <w:tmpl w:val="DAEE6F38"/>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6" w15:restartNumberingAfterBreak="0">
    <w:nsid w:val="17972CFC"/>
    <w:multiLevelType w:val="multilevel"/>
    <w:tmpl w:val="D6BEB126"/>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righ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17CC1933"/>
    <w:multiLevelType w:val="multilevel"/>
    <w:tmpl w:val="6F36F198"/>
    <w:lvl w:ilvl="0">
      <w:start w:val="1"/>
      <w:numFmt w:val="bullet"/>
      <w:lvlText w:val=""/>
      <w:lvlJc w:val="left"/>
      <w:pPr>
        <w:ind w:left="340" w:hanging="340"/>
      </w:pPr>
      <w:rPr>
        <w:rFonts w:ascii="Symbol" w:hAnsi="Symbol"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8" w15:restartNumberingAfterBreak="0">
    <w:nsid w:val="181C194F"/>
    <w:multiLevelType w:val="hybridMultilevel"/>
    <w:tmpl w:val="3E54A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82909D1"/>
    <w:multiLevelType w:val="multilevel"/>
    <w:tmpl w:val="CDA4AB36"/>
    <w:lvl w:ilvl="0">
      <w:start w:val="1"/>
      <w:numFmt w:val="decimal"/>
      <w:lvlText w:val="%1."/>
      <w:lvlJc w:val="left"/>
      <w:pPr>
        <w:ind w:left="340" w:hanging="340"/>
      </w:pPr>
      <w:rPr>
        <w:rFonts w:asciiTheme="minorHAnsi" w:eastAsia="MS ??" w:hAnsiTheme="minorHAnsi" w:cs="Times New Roman"/>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0" w15:restartNumberingAfterBreak="0">
    <w:nsid w:val="196617E8"/>
    <w:multiLevelType w:val="hybridMultilevel"/>
    <w:tmpl w:val="D70A5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6E39E3"/>
    <w:multiLevelType w:val="multilevel"/>
    <w:tmpl w:val="7F06AA7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2" w15:restartNumberingAfterBreak="0">
    <w:nsid w:val="1A0C721A"/>
    <w:multiLevelType w:val="multilevel"/>
    <w:tmpl w:val="3D8A4A8C"/>
    <w:lvl w:ilvl="0">
      <w:start w:val="1"/>
      <w:numFmt w:val="bullet"/>
      <w:lvlText w:val=""/>
      <w:lvlJc w:val="left"/>
      <w:pPr>
        <w:ind w:left="340" w:hanging="340"/>
      </w:pPr>
      <w:rPr>
        <w:rFonts w:ascii="Symbol" w:hAnsi="Symbol"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3" w15:restartNumberingAfterBreak="0">
    <w:nsid w:val="1A167246"/>
    <w:multiLevelType w:val="multilevel"/>
    <w:tmpl w:val="3D8A4A8C"/>
    <w:lvl w:ilvl="0">
      <w:start w:val="1"/>
      <w:numFmt w:val="bullet"/>
      <w:lvlText w:val=""/>
      <w:lvlJc w:val="left"/>
      <w:pPr>
        <w:ind w:left="340" w:hanging="340"/>
      </w:pPr>
      <w:rPr>
        <w:rFonts w:ascii="Symbol" w:hAnsi="Symbol"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4" w15:restartNumberingAfterBreak="0">
    <w:nsid w:val="1A2C3AC6"/>
    <w:multiLevelType w:val="multilevel"/>
    <w:tmpl w:val="CD9ECA9A"/>
    <w:name w:val="List Alpha"/>
    <w:lvl w:ilvl="0">
      <w:start w:val="1"/>
      <w:numFmt w:val="lowerLetter"/>
      <w:lvlText w:val="%1."/>
      <w:lvlJc w:val="left"/>
      <w:rPr>
        <w:rFonts w:ascii="Times New Roman" w:hAnsi="Times New Roman" w:cs="Times New Roman" w:hint="default"/>
        <w:b w:val="0"/>
        <w:bCs w:val="0"/>
        <w:i w:val="0"/>
        <w:iCs w:val="0"/>
        <w:caps w:val="0"/>
        <w:smallCaps w:val="0"/>
        <w:strike w:val="0"/>
        <w:dstrike w:val="0"/>
        <w:noProof w:val="0"/>
        <w:snapToGrid w:val="0"/>
        <w:vanish w:val="0"/>
        <w:color w:val="0F204B"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0F204B" w:themeColor="text2"/>
        <w:position w:val="2"/>
        <w:sz w:val="20"/>
      </w:rPr>
    </w:lvl>
    <w:lvl w:ilvl="2">
      <w:start w:val="1"/>
      <w:numFmt w:val="bullet"/>
      <w:lvlText w:val="–"/>
      <w:lvlJc w:val="left"/>
      <w:pPr>
        <w:tabs>
          <w:tab w:val="num" w:pos="1361"/>
        </w:tabs>
        <w:ind w:left="1361" w:hanging="340"/>
      </w:pPr>
      <w:rPr>
        <w:rFonts w:ascii="Arial" w:hAnsi="Arial" w:hint="default"/>
        <w:color w:val="0F204B"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1C5E66BF"/>
    <w:multiLevelType w:val="multilevel"/>
    <w:tmpl w:val="FE6E6746"/>
    <w:lvl w:ilvl="0">
      <w:start w:val="1"/>
      <w:numFmt w:val="bullet"/>
      <w:lvlText w:val=""/>
      <w:lvlJc w:val="left"/>
      <w:pPr>
        <w:ind w:left="340" w:hanging="340"/>
      </w:pPr>
      <w:rPr>
        <w:rFonts w:ascii="Symbol" w:hAnsi="Symbol"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6"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27" w15:restartNumberingAfterBreak="0">
    <w:nsid w:val="1FD43BAF"/>
    <w:multiLevelType w:val="hybridMultilevel"/>
    <w:tmpl w:val="C6DEC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0675906"/>
    <w:multiLevelType w:val="hybridMultilevel"/>
    <w:tmpl w:val="885E14C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9" w15:restartNumberingAfterBreak="0">
    <w:nsid w:val="215F6B72"/>
    <w:multiLevelType w:val="multilevel"/>
    <w:tmpl w:val="EC44A18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0" w15:restartNumberingAfterBreak="0">
    <w:nsid w:val="221D626A"/>
    <w:multiLevelType w:val="hybridMultilevel"/>
    <w:tmpl w:val="99DC1F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2E02040"/>
    <w:multiLevelType w:val="hybridMultilevel"/>
    <w:tmpl w:val="E4A2B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4ED4498"/>
    <w:multiLevelType w:val="hybridMultilevel"/>
    <w:tmpl w:val="8FD0AA18"/>
    <w:lvl w:ilvl="0" w:tplc="0C090001">
      <w:start w:val="1"/>
      <w:numFmt w:val="bullet"/>
      <w:lvlText w:val=""/>
      <w:lvlJc w:val="left"/>
      <w:pPr>
        <w:ind w:left="720" w:hanging="72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58A5DB9"/>
    <w:multiLevelType w:val="multilevel"/>
    <w:tmpl w:val="2C6E01D0"/>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26651757"/>
    <w:multiLevelType w:val="hybridMultilevel"/>
    <w:tmpl w:val="5B484DDE"/>
    <w:name w:val="lstNumbering2"/>
    <w:lvl w:ilvl="0" w:tplc="45CE61B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E0A6E0FE">
      <w:start w:val="1"/>
      <w:numFmt w:val="decimal"/>
      <w:pStyle w:val="PullOutBoxNumber"/>
      <w:lvlText w:val="%4."/>
      <w:lvlJc w:val="left"/>
      <w:pPr>
        <w:ind w:left="947"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360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6A66F40"/>
    <w:multiLevelType w:val="multilevel"/>
    <w:tmpl w:val="DAEE6F38"/>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37" w15:restartNumberingAfterBreak="0">
    <w:nsid w:val="28712BE1"/>
    <w:multiLevelType w:val="hybridMultilevel"/>
    <w:tmpl w:val="2BC69F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9A018EB"/>
    <w:multiLevelType w:val="multilevel"/>
    <w:tmpl w:val="1D8268EC"/>
    <w:lvl w:ilvl="0">
      <w:start w:val="1"/>
      <w:numFmt w:val="lowerLetter"/>
      <w:pStyle w:val="ListAlpha"/>
      <w:lvlText w:val="%1."/>
      <w:lvlJc w:val="left"/>
      <w:pPr>
        <w:ind w:left="340" w:hanging="340"/>
      </w:pPr>
    </w:lvl>
    <w:lvl w:ilvl="1">
      <w:start w:val="5"/>
      <w:numFmt w:val="bullet"/>
      <w:lvlText w:val="–"/>
      <w:lvlJc w:val="left"/>
      <w:pPr>
        <w:ind w:left="680" w:hanging="340"/>
      </w:pPr>
      <w:rPr>
        <w:rFonts w:ascii="Arial" w:hAnsi="Arial" w:hint="default"/>
        <w:b w:val="0"/>
        <w:i w:val="0"/>
        <w:color w:val="0F204B" w:themeColor="text2"/>
        <w:position w:val="2"/>
        <w:sz w:val="20"/>
      </w:rPr>
    </w:lvl>
    <w:lvl w:ilvl="2">
      <w:start w:val="1"/>
      <w:numFmt w:val="bullet"/>
      <w:lvlText w:val="–"/>
      <w:lvlJc w:val="left"/>
      <w:pPr>
        <w:ind w:left="1020" w:hanging="340"/>
      </w:pPr>
      <w:rPr>
        <w:rFonts w:ascii="Arial" w:hAnsi="Arial" w:hint="default"/>
        <w:color w:val="0F204B" w:themeColor="text2"/>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9" w15:restartNumberingAfterBreak="0">
    <w:nsid w:val="2C16154F"/>
    <w:multiLevelType w:val="multilevel"/>
    <w:tmpl w:val="539293A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0" w15:restartNumberingAfterBreak="0">
    <w:nsid w:val="2DE96FD5"/>
    <w:multiLevelType w:val="multilevel"/>
    <w:tmpl w:val="EC44A1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2ED97094"/>
    <w:multiLevelType w:val="hybridMultilevel"/>
    <w:tmpl w:val="51D4B4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FA50109"/>
    <w:multiLevelType w:val="hybridMultilevel"/>
    <w:tmpl w:val="EBF83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44" w15:restartNumberingAfterBreak="0">
    <w:nsid w:val="334A4E48"/>
    <w:multiLevelType w:val="hybridMultilevel"/>
    <w:tmpl w:val="DDBAD04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336205A9"/>
    <w:multiLevelType w:val="multilevel"/>
    <w:tmpl w:val="11CAB1E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36855328"/>
    <w:multiLevelType w:val="multilevel"/>
    <w:tmpl w:val="AF26DFFE"/>
    <w:name w:val="Numbered Headings"/>
    <w:lvl w:ilvl="0">
      <w:start w:val="1"/>
      <w:numFmt w:val="decimal"/>
      <w:pStyle w:val="HeadingNumbered1"/>
      <w:lvlText w:val="%1."/>
      <w:lvlJc w:val="left"/>
      <w:pPr>
        <w:ind w:left="567" w:hanging="567"/>
      </w:pPr>
      <w:rPr>
        <w:rFonts w:hint="default"/>
      </w:rPr>
    </w:lvl>
    <w:lvl w:ilvl="1">
      <w:start w:val="1"/>
      <w:numFmt w:val="decimal"/>
      <w:pStyle w:val="HeadingNumbered2"/>
      <w:lvlText w:val="%1.%2"/>
      <w:lvlJc w:val="left"/>
      <w:pPr>
        <w:ind w:left="567" w:hanging="567"/>
      </w:pPr>
      <w:rPr>
        <w:rFonts w:hint="default"/>
      </w:rPr>
    </w:lvl>
    <w:lvl w:ilvl="2">
      <w:start w:val="1"/>
      <w:numFmt w:val="decimal"/>
      <w:pStyle w:val="HeadingNumbered3"/>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4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38CC371F"/>
    <w:multiLevelType w:val="multilevel"/>
    <w:tmpl w:val="6C7E8332"/>
    <w:lvl w:ilvl="0">
      <w:start w:val="1"/>
      <w:numFmt w:val="upperLetter"/>
      <w:pStyle w:val="AppendixHeading1"/>
      <w:lvlText w:val="Appendix %1"/>
      <w:lvlJc w:val="left"/>
      <w:pPr>
        <w:tabs>
          <w:tab w:val="num" w:pos="2155"/>
        </w:tabs>
        <w:ind w:left="2155" w:hanging="2155"/>
      </w:pPr>
      <w:rPr>
        <w:rFonts w:hint="default"/>
      </w:rPr>
    </w:lvl>
    <w:lvl w:ilvl="1">
      <w:start w:val="1"/>
      <w:numFmt w:val="none"/>
      <w:pStyle w:val="AppendixHeading2"/>
      <w:suff w:val="nothing"/>
      <w:lvlText w:val=""/>
      <w:lvlJc w:val="left"/>
      <w:pPr>
        <w:ind w:left="794" w:hanging="794"/>
      </w:pPr>
      <w:rPr>
        <w:rFonts w:hint="default"/>
      </w:rPr>
    </w:lvl>
    <w:lvl w:ilvl="2">
      <w:start w:val="1"/>
      <w:numFmt w:val="none"/>
      <w:pStyle w:val="AppendixHeading3"/>
      <w:suff w:val="nothing"/>
      <w:lvlText w:val=""/>
      <w:lvlJc w:val="left"/>
      <w:pPr>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50" w15:restartNumberingAfterBreak="0">
    <w:nsid w:val="395D52A8"/>
    <w:multiLevelType w:val="multilevel"/>
    <w:tmpl w:val="8CE81736"/>
    <w:name w:val="ListNumbering22"/>
    <w:numStyleLink w:val="Appendices"/>
  </w:abstractNum>
  <w:abstractNum w:abstractNumId="5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0F204B"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0F204B"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3" w15:restartNumberingAfterBreak="0">
    <w:nsid w:val="3A1E609C"/>
    <w:multiLevelType w:val="hybridMultilevel"/>
    <w:tmpl w:val="C1F08DD6"/>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4" w15:restartNumberingAfterBreak="0">
    <w:nsid w:val="3EFE4493"/>
    <w:multiLevelType w:val="hybridMultilevel"/>
    <w:tmpl w:val="FAC85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F782A86"/>
    <w:multiLevelType w:val="hybridMultilevel"/>
    <w:tmpl w:val="066CD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13F3C88"/>
    <w:multiLevelType w:val="multilevel"/>
    <w:tmpl w:val="408C9932"/>
    <w:name w:val="lstNumbering22"/>
    <w:lvl w:ilvl="0">
      <w:start w:val="1"/>
      <w:numFmt w:val="decimal"/>
      <w:pStyle w:val="ListNumberinTable"/>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0F204B"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8" w15:restartNumberingAfterBreak="0">
    <w:nsid w:val="42126507"/>
    <w:multiLevelType w:val="hybridMultilevel"/>
    <w:tmpl w:val="458095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60" w15:restartNumberingAfterBreak="0">
    <w:nsid w:val="43E208BE"/>
    <w:multiLevelType w:val="hybridMultilevel"/>
    <w:tmpl w:val="26D29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45F2678"/>
    <w:multiLevelType w:val="hybridMultilevel"/>
    <w:tmpl w:val="23085E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50B6B19"/>
    <w:multiLevelType w:val="hybridMultilevel"/>
    <w:tmpl w:val="B99E9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5D1151C"/>
    <w:multiLevelType w:val="hybridMultilevel"/>
    <w:tmpl w:val="1CBE1A32"/>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64" w15:restartNumberingAfterBreak="0">
    <w:nsid w:val="45E4753D"/>
    <w:multiLevelType w:val="multilevel"/>
    <w:tmpl w:val="AD32C268"/>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65" w15:restartNumberingAfterBreak="0">
    <w:nsid w:val="47606DA1"/>
    <w:multiLevelType w:val="multilevel"/>
    <w:tmpl w:val="7F06AA7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6" w15:restartNumberingAfterBreak="0">
    <w:nsid w:val="49312B96"/>
    <w:multiLevelType w:val="multilevel"/>
    <w:tmpl w:val="4EFEB5E4"/>
    <w:lvl w:ilvl="0">
      <w:start w:val="1"/>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67" w15:restartNumberingAfterBreak="0">
    <w:nsid w:val="49DD5865"/>
    <w:multiLevelType w:val="multilevel"/>
    <w:tmpl w:val="6F36F198"/>
    <w:lvl w:ilvl="0">
      <w:start w:val="1"/>
      <w:numFmt w:val="bullet"/>
      <w:lvlText w:val=""/>
      <w:lvlJc w:val="left"/>
      <w:pPr>
        <w:ind w:left="340" w:hanging="340"/>
      </w:pPr>
      <w:rPr>
        <w:rFonts w:ascii="Symbol" w:hAnsi="Symbol"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8" w15:restartNumberingAfterBreak="0">
    <w:nsid w:val="4AA27F2E"/>
    <w:multiLevelType w:val="multilevel"/>
    <w:tmpl w:val="7854ADB8"/>
    <w:name w:val="Bullets"/>
    <w:lvl w:ilvl="0">
      <w:start w:val="1"/>
      <w:numFmt w:val="bullet"/>
      <w:pStyle w:val="ListBullet"/>
      <w:lvlText w:val=""/>
      <w:lvlJc w:val="left"/>
      <w:pPr>
        <w:ind w:left="340" w:hanging="340"/>
      </w:pPr>
      <w:rPr>
        <w:rFonts w:ascii="Symbol" w:hAnsi="Symbol" w:hint="default"/>
        <w:color w:val="000000" w:themeColor="text1"/>
      </w:rPr>
    </w:lvl>
    <w:lvl w:ilvl="1">
      <w:start w:val="1"/>
      <w:numFmt w:val="bullet"/>
      <w:pStyle w:val="ListBullet2"/>
      <w:lvlText w:val="—"/>
      <w:lvlJc w:val="left"/>
      <w:pPr>
        <w:ind w:left="680" w:hanging="340"/>
      </w:pPr>
      <w:rPr>
        <w:rFonts w:ascii="Trebuchet MS" w:hAnsi="Trebuchet MS"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tabs>
          <w:tab w:val="num" w:pos="1190"/>
        </w:tabs>
        <w:ind w:left="1360" w:hanging="340"/>
      </w:pPr>
      <w:rPr>
        <w:rFonts w:ascii="Symbol" w:hAnsi="Symbol" w:hint="default"/>
      </w:rPr>
    </w:lvl>
    <w:lvl w:ilvl="4">
      <w:start w:val="1"/>
      <w:numFmt w:val="bullet"/>
      <w:lvlText w:val="o"/>
      <w:lvlJc w:val="left"/>
      <w:pPr>
        <w:tabs>
          <w:tab w:val="num" w:pos="1530"/>
        </w:tabs>
        <w:ind w:left="1700" w:hanging="340"/>
      </w:pPr>
      <w:rPr>
        <w:rFonts w:ascii="Courier New" w:hAnsi="Courier New" w:cs="Courier New" w:hint="default"/>
      </w:rPr>
    </w:lvl>
    <w:lvl w:ilvl="5">
      <w:start w:val="1"/>
      <w:numFmt w:val="bullet"/>
      <w:lvlText w:val=""/>
      <w:lvlJc w:val="left"/>
      <w:pPr>
        <w:tabs>
          <w:tab w:val="num" w:pos="1870"/>
        </w:tabs>
        <w:ind w:left="2040" w:hanging="340"/>
      </w:pPr>
      <w:rPr>
        <w:rFonts w:ascii="Wingdings" w:hAnsi="Wingdings" w:hint="default"/>
      </w:rPr>
    </w:lvl>
    <w:lvl w:ilvl="6">
      <w:start w:val="1"/>
      <w:numFmt w:val="bullet"/>
      <w:lvlText w:val=""/>
      <w:lvlJc w:val="left"/>
      <w:pPr>
        <w:tabs>
          <w:tab w:val="num" w:pos="2210"/>
        </w:tabs>
        <w:ind w:left="2380" w:hanging="340"/>
      </w:pPr>
      <w:rPr>
        <w:rFonts w:ascii="Symbol" w:hAnsi="Symbol" w:hint="default"/>
      </w:rPr>
    </w:lvl>
    <w:lvl w:ilvl="7">
      <w:start w:val="1"/>
      <w:numFmt w:val="bullet"/>
      <w:lvlText w:val="o"/>
      <w:lvlJc w:val="left"/>
      <w:pPr>
        <w:tabs>
          <w:tab w:val="num" w:pos="2550"/>
        </w:tabs>
        <w:ind w:left="2720" w:hanging="340"/>
      </w:pPr>
      <w:rPr>
        <w:rFonts w:ascii="Courier New" w:hAnsi="Courier New" w:cs="Courier New" w:hint="default"/>
      </w:rPr>
    </w:lvl>
    <w:lvl w:ilvl="8">
      <w:start w:val="1"/>
      <w:numFmt w:val="bullet"/>
      <w:lvlText w:val=""/>
      <w:lvlJc w:val="left"/>
      <w:pPr>
        <w:tabs>
          <w:tab w:val="num" w:pos="2890"/>
        </w:tabs>
        <w:ind w:left="3060" w:hanging="340"/>
      </w:pPr>
      <w:rPr>
        <w:rFonts w:ascii="Wingdings" w:hAnsi="Wingdings" w:hint="default"/>
      </w:rPr>
    </w:lvl>
  </w:abstractNum>
  <w:abstractNum w:abstractNumId="69" w15:restartNumberingAfterBreak="0">
    <w:nsid w:val="4B262CA0"/>
    <w:multiLevelType w:val="hybridMultilevel"/>
    <w:tmpl w:val="7910F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C0223B6"/>
    <w:multiLevelType w:val="hybridMultilevel"/>
    <w:tmpl w:val="DFC667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C17438F"/>
    <w:multiLevelType w:val="hybridMultilevel"/>
    <w:tmpl w:val="1DF00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D7137C6"/>
    <w:multiLevelType w:val="multilevel"/>
    <w:tmpl w:val="3D8A4A8C"/>
    <w:lvl w:ilvl="0">
      <w:start w:val="1"/>
      <w:numFmt w:val="bullet"/>
      <w:lvlText w:val=""/>
      <w:lvlJc w:val="left"/>
      <w:pPr>
        <w:ind w:left="340" w:hanging="340"/>
      </w:pPr>
      <w:rPr>
        <w:rFonts w:ascii="Symbol" w:hAnsi="Symbol"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73" w15:restartNumberingAfterBreak="0">
    <w:nsid w:val="4EF01645"/>
    <w:multiLevelType w:val="multilevel"/>
    <w:tmpl w:val="A0D2470C"/>
    <w:lvl w:ilvl="0">
      <w:start w:val="1"/>
      <w:numFmt w:val="decimal"/>
      <w:lvlText w:val="%1."/>
      <w:lvlJc w:val="left"/>
      <w:pPr>
        <w:ind w:left="340" w:hanging="340"/>
      </w:pPr>
      <w:rPr>
        <w:rFonts w:hint="default"/>
        <w:b/>
        <w:bCs w:val="0"/>
        <w:i w:val="0"/>
      </w:rPr>
    </w:lvl>
    <w:lvl w:ilvl="1">
      <w:start w:val="1"/>
      <w:numFmt w:val="lowerLetter"/>
      <w:lvlText w:val="%2."/>
      <w:lvlJc w:val="left"/>
      <w:pPr>
        <w:ind w:left="680" w:hanging="340"/>
      </w:pPr>
      <w:rPr>
        <w:rFonts w:hint="default"/>
      </w:rPr>
    </w:lvl>
    <w:lvl w:ilvl="2">
      <w:start w:val="1"/>
      <w:numFmt w:val="lowerRoman"/>
      <w:lvlText w:val="%3."/>
      <w:lvlJc w:val="left"/>
      <w:pPr>
        <w:tabs>
          <w:tab w:val="num" w:pos="1021"/>
        </w:tabs>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74" w15:restartNumberingAfterBreak="0">
    <w:nsid w:val="501A4579"/>
    <w:multiLevelType w:val="hybridMultilevel"/>
    <w:tmpl w:val="028CF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1502434"/>
    <w:multiLevelType w:val="hybridMultilevel"/>
    <w:tmpl w:val="F8C063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1B017EE"/>
    <w:multiLevelType w:val="multilevel"/>
    <w:tmpl w:val="FE6E6746"/>
    <w:lvl w:ilvl="0">
      <w:start w:val="1"/>
      <w:numFmt w:val="bullet"/>
      <w:lvlText w:val=""/>
      <w:lvlJc w:val="left"/>
      <w:pPr>
        <w:ind w:left="340" w:hanging="340"/>
      </w:pPr>
      <w:rPr>
        <w:rFonts w:ascii="Symbol" w:hAnsi="Symbol"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7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7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79" w15:restartNumberingAfterBreak="0">
    <w:nsid w:val="554A3BD1"/>
    <w:multiLevelType w:val="hybridMultilevel"/>
    <w:tmpl w:val="81D447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7231450"/>
    <w:multiLevelType w:val="multilevel"/>
    <w:tmpl w:val="8A58E58E"/>
    <w:lvl w:ilvl="0">
      <w:start w:val="1"/>
      <w:numFmt w:val="bullet"/>
      <w:pStyle w:val="HighlightBoxBullet"/>
      <w:lvlText w:val=""/>
      <w:lvlJc w:val="left"/>
      <w:pPr>
        <w:ind w:left="510" w:hanging="283"/>
      </w:pPr>
      <w:rPr>
        <w:rFonts w:ascii="Symbol" w:hAnsi="Symbol" w:hint="default"/>
        <w:color w:val="000000" w:themeColor="text1"/>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8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83" w15:restartNumberingAfterBreak="0">
    <w:nsid w:val="5A54140F"/>
    <w:multiLevelType w:val="hybridMultilevel"/>
    <w:tmpl w:val="6C44D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5B3122D4"/>
    <w:multiLevelType w:val="hybridMultilevel"/>
    <w:tmpl w:val="6BE0DE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5CF01A87"/>
    <w:multiLevelType w:val="multilevel"/>
    <w:tmpl w:val="B134A93A"/>
    <w:lvl w:ilvl="0">
      <w:start w:val="2"/>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5"/>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88" w15:restartNumberingAfterBreak="0">
    <w:nsid w:val="5F73767A"/>
    <w:multiLevelType w:val="hybridMultilevel"/>
    <w:tmpl w:val="EB20E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F8541E0"/>
    <w:multiLevelType w:val="multilevel"/>
    <w:tmpl w:val="FAD2DD9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F8E085D"/>
    <w:multiLevelType w:val="hybridMultilevel"/>
    <w:tmpl w:val="2BA82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0684474"/>
    <w:multiLevelType w:val="hybridMultilevel"/>
    <w:tmpl w:val="B4D61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93"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0F204B" w:themeColor="text2"/>
      </w:rPr>
    </w:lvl>
    <w:lvl w:ilvl="1">
      <w:start w:val="1"/>
      <w:numFmt w:val="bullet"/>
      <w:lvlText w:val="–"/>
      <w:lvlJc w:val="left"/>
      <w:pPr>
        <w:ind w:left="539" w:hanging="227"/>
      </w:pPr>
      <w:rPr>
        <w:rFonts w:ascii="Arial" w:hAnsi="Arial" w:hint="default"/>
        <w:color w:val="0F204B"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94" w15:restartNumberingAfterBreak="0">
    <w:nsid w:val="64A560EB"/>
    <w:multiLevelType w:val="hybridMultilevel"/>
    <w:tmpl w:val="A580A8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0F204B" w:themeColor="text2"/>
        <w:sz w:val="32"/>
      </w:rPr>
    </w:lvl>
    <w:lvl w:ilvl="1">
      <w:start w:val="1"/>
      <w:numFmt w:val="decimal"/>
      <w:lvlText w:val="%2."/>
      <w:lvlJc w:val="left"/>
      <w:pPr>
        <w:tabs>
          <w:tab w:val="num" w:pos="992"/>
        </w:tabs>
        <w:ind w:left="992" w:hanging="992"/>
      </w:pPr>
      <w:rPr>
        <w:rFonts w:hint="default"/>
        <w:b w:val="0"/>
        <w:i w:val="0"/>
        <w:color w:val="0F204B" w:themeColor="text2"/>
        <w:sz w:val="24"/>
      </w:rPr>
    </w:lvl>
    <w:lvl w:ilvl="2">
      <w:start w:val="1"/>
      <w:numFmt w:val="decimal"/>
      <w:lvlText w:val="%2.%3"/>
      <w:lvlJc w:val="left"/>
      <w:pPr>
        <w:tabs>
          <w:tab w:val="num" w:pos="992"/>
        </w:tabs>
        <w:ind w:left="992" w:hanging="992"/>
      </w:pPr>
      <w:rPr>
        <w:rFonts w:hint="default"/>
        <w:b/>
        <w:i w:val="0"/>
        <w:color w:val="000000" w:themeColor="text1"/>
        <w:sz w:val="24"/>
      </w:rPr>
    </w:lvl>
    <w:lvl w:ilvl="3">
      <w:start w:val="1"/>
      <w:numFmt w:val="decimal"/>
      <w:lvlText w:val="%2.%3.%4"/>
      <w:lvlJc w:val="left"/>
      <w:pPr>
        <w:tabs>
          <w:tab w:val="num" w:pos="992"/>
        </w:tabs>
        <w:ind w:left="992" w:hanging="992"/>
      </w:pPr>
      <w:rPr>
        <w:rFonts w:hint="default"/>
        <w:b w:val="0"/>
        <w:i w:val="0"/>
        <w:color w:val="000000" w:themeColor="text1"/>
        <w:sz w:val="24"/>
      </w:rPr>
    </w:lvl>
    <w:lvl w:ilvl="4">
      <w:start w:val="1"/>
      <w:numFmt w:val="decimal"/>
      <w:lvlText w:val="%2.%3.%4.%5"/>
      <w:lvlJc w:val="left"/>
      <w:pPr>
        <w:tabs>
          <w:tab w:val="num" w:pos="992"/>
        </w:tabs>
        <w:ind w:left="992" w:hanging="992"/>
      </w:pPr>
      <w:rPr>
        <w:rFonts w:hint="default"/>
        <w:color w:val="000000"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96" w15:restartNumberingAfterBreak="0">
    <w:nsid w:val="65EB286F"/>
    <w:multiLevelType w:val="multilevel"/>
    <w:tmpl w:val="28349F6C"/>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o"/>
      <w:lvlJc w:val="left"/>
      <w:pPr>
        <w:ind w:left="1040" w:hanging="360"/>
      </w:pPr>
      <w:rPr>
        <w:rFonts w:ascii="Courier New" w:hAnsi="Courier New" w:cs="Courier New"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7" w15:restartNumberingAfterBreak="0">
    <w:nsid w:val="687650FD"/>
    <w:multiLevelType w:val="hybridMultilevel"/>
    <w:tmpl w:val="31C018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69BB66B4"/>
    <w:multiLevelType w:val="multilevel"/>
    <w:tmpl w:val="3D8A4A8C"/>
    <w:lvl w:ilvl="0">
      <w:start w:val="1"/>
      <w:numFmt w:val="bullet"/>
      <w:lvlText w:val=""/>
      <w:lvlJc w:val="left"/>
      <w:pPr>
        <w:ind w:left="340" w:hanging="340"/>
      </w:pPr>
      <w:rPr>
        <w:rFonts w:ascii="Symbol" w:hAnsi="Symbol"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9" w15:restartNumberingAfterBreak="0">
    <w:nsid w:val="6C036B39"/>
    <w:multiLevelType w:val="multilevel"/>
    <w:tmpl w:val="9CA03598"/>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DCC6A2B"/>
    <w:multiLevelType w:val="multilevel"/>
    <w:tmpl w:val="D6BEB126"/>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1" w15:restartNumberingAfterBreak="0">
    <w:nsid w:val="6EE462C9"/>
    <w:multiLevelType w:val="hybridMultilevel"/>
    <w:tmpl w:val="0EF2D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6F7F2BAE"/>
    <w:multiLevelType w:val="hybridMultilevel"/>
    <w:tmpl w:val="93A6C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0373B2C"/>
    <w:multiLevelType w:val="hybridMultilevel"/>
    <w:tmpl w:val="679057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26E39BA"/>
    <w:multiLevelType w:val="hybridMultilevel"/>
    <w:tmpl w:val="86C6C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736F432B"/>
    <w:multiLevelType w:val="hybridMultilevel"/>
    <w:tmpl w:val="02782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74774F4F"/>
    <w:multiLevelType w:val="multilevel"/>
    <w:tmpl w:val="7E68C5B0"/>
    <w:lvl w:ilvl="0">
      <w:start w:val="1"/>
      <w:numFmt w:val="decimal"/>
      <w:lvlText w:val="%1."/>
      <w:lvlJc w:val="left"/>
      <w:pPr>
        <w:ind w:left="340" w:hanging="340"/>
      </w:pPr>
      <w:rPr>
        <w:rFonts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0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00000"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08" w15:restartNumberingAfterBreak="0">
    <w:nsid w:val="74F24525"/>
    <w:multiLevelType w:val="hybridMultilevel"/>
    <w:tmpl w:val="BEC292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5B62B5E"/>
    <w:multiLevelType w:val="multilevel"/>
    <w:tmpl w:val="F2E8571A"/>
    <w:name w:val="List Alpha2"/>
    <w:lvl w:ilvl="0">
      <w:start w:val="1"/>
      <w:numFmt w:val="lowerLetter"/>
      <w:lvlText w:val="%1."/>
      <w:lvlJc w:val="left"/>
      <w:rPr>
        <w:rFonts w:ascii="Times New Roman" w:hAnsi="Times New Roman" w:cs="Times New Roman" w:hint="default"/>
        <w:b w:val="0"/>
        <w:bCs w:val="0"/>
        <w:i w:val="0"/>
        <w:iCs w:val="0"/>
        <w:caps w:val="0"/>
        <w:smallCaps w:val="0"/>
        <w:strike w:val="0"/>
        <w:dstrike w:val="0"/>
        <w:snapToGrid w:val="0"/>
        <w:vanish w:val="0"/>
        <w:color w:val="0F204B" w:themeColor="text2"/>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0F204B" w:themeColor="text2"/>
        <w:position w:val="2"/>
        <w:sz w:val="20"/>
      </w:rPr>
    </w:lvl>
    <w:lvl w:ilvl="2">
      <w:start w:val="1"/>
      <w:numFmt w:val="bullet"/>
      <w:lvlText w:val="–"/>
      <w:lvlJc w:val="left"/>
      <w:pPr>
        <w:tabs>
          <w:tab w:val="num" w:pos="1361"/>
        </w:tabs>
        <w:ind w:left="1361" w:hanging="340"/>
      </w:pPr>
      <w:rPr>
        <w:rFonts w:ascii="Arial" w:hAnsi="Arial" w:hint="default"/>
        <w:color w:val="0F204B"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0" w15:restartNumberingAfterBreak="0">
    <w:nsid w:val="76305102"/>
    <w:multiLevelType w:val="hybridMultilevel"/>
    <w:tmpl w:val="F956D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76CF2313"/>
    <w:multiLevelType w:val="hybridMultilevel"/>
    <w:tmpl w:val="724EBC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779B4AB2"/>
    <w:multiLevelType w:val="multilevel"/>
    <w:tmpl w:val="7250CDAA"/>
    <w:name w:val="lstNumbering"/>
    <w:lvl w:ilvl="0">
      <w:start w:val="1"/>
      <w:numFmt w:val="decimal"/>
      <w:pStyle w:val="ListNumber"/>
      <w:lvlText w:val="%1."/>
      <w:lvlJc w:val="left"/>
      <w:pPr>
        <w:ind w:left="340" w:hanging="340"/>
      </w:pPr>
      <w:rPr>
        <w:rFonts w:hint="default"/>
      </w:rPr>
    </w:lvl>
    <w:lvl w:ilvl="1">
      <w:start w:val="1"/>
      <w:numFmt w:val="bullet"/>
      <w:pStyle w:val="ListNumber2"/>
      <w:lvlText w:val=""/>
      <w:lvlJc w:val="left"/>
      <w:pPr>
        <w:ind w:left="680" w:hanging="340"/>
      </w:pPr>
      <w:rPr>
        <w:rFonts w:ascii="Symbol" w:hAnsi="Symbol" w:hint="default"/>
      </w:rPr>
    </w:lvl>
    <w:lvl w:ilvl="2">
      <w:start w:val="1"/>
      <w:numFmt w:val="bullet"/>
      <w:pStyle w:val="ListNumber3"/>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13" w15:restartNumberingAfterBreak="0">
    <w:nsid w:val="78452F66"/>
    <w:multiLevelType w:val="multilevel"/>
    <w:tmpl w:val="DAEE6F38"/>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14" w15:restartNumberingAfterBreak="0">
    <w:nsid w:val="7BD97641"/>
    <w:multiLevelType w:val="multilevel"/>
    <w:tmpl w:val="11CAB1E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5" w15:restartNumberingAfterBreak="0">
    <w:nsid w:val="7C522132"/>
    <w:multiLevelType w:val="multilevel"/>
    <w:tmpl w:val="3D8A4A8C"/>
    <w:lvl w:ilvl="0">
      <w:start w:val="1"/>
      <w:numFmt w:val="bullet"/>
      <w:lvlText w:val=""/>
      <w:lvlJc w:val="left"/>
      <w:pPr>
        <w:ind w:left="340" w:hanging="340"/>
      </w:pPr>
      <w:rPr>
        <w:rFonts w:ascii="Symbol" w:hAnsi="Symbol"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16" w15:restartNumberingAfterBreak="0">
    <w:nsid w:val="7CFA590C"/>
    <w:multiLevelType w:val="hybridMultilevel"/>
    <w:tmpl w:val="C816750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0F204B"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281954857">
    <w:abstractNumId w:val="5"/>
  </w:num>
  <w:num w:numId="2" w16cid:durableId="795681245">
    <w:abstractNumId w:val="36"/>
  </w:num>
  <w:num w:numId="3" w16cid:durableId="1448159471">
    <w:abstractNumId w:val="87"/>
  </w:num>
  <w:num w:numId="4" w16cid:durableId="1838228193">
    <w:abstractNumId w:val="26"/>
  </w:num>
  <w:num w:numId="5" w16cid:durableId="2036349118">
    <w:abstractNumId w:val="38"/>
  </w:num>
  <w:num w:numId="6" w16cid:durableId="557979318">
    <w:abstractNumId w:val="59"/>
  </w:num>
  <w:num w:numId="7" w16cid:durableId="1904564296">
    <w:abstractNumId w:val="3"/>
  </w:num>
  <w:num w:numId="8" w16cid:durableId="1024943547">
    <w:abstractNumId w:val="68"/>
  </w:num>
  <w:num w:numId="9" w16cid:durableId="1418792933">
    <w:abstractNumId w:val="49"/>
  </w:num>
  <w:num w:numId="10" w16cid:durableId="891304328">
    <w:abstractNumId w:val="47"/>
  </w:num>
  <w:num w:numId="11" w16cid:durableId="1124428316">
    <w:abstractNumId w:val="80"/>
  </w:num>
  <w:num w:numId="12" w16cid:durableId="1672175769">
    <w:abstractNumId w:val="64"/>
  </w:num>
  <w:num w:numId="13" w16cid:durableId="719401332">
    <w:abstractNumId w:val="99"/>
  </w:num>
  <w:num w:numId="14" w16cid:durableId="1727218155">
    <w:abstractNumId w:val="73"/>
  </w:num>
  <w:num w:numId="15" w16cid:durableId="1783841311">
    <w:abstractNumId w:val="112"/>
  </w:num>
  <w:num w:numId="16" w16cid:durableId="491718900">
    <w:abstractNumId w:val="34"/>
  </w:num>
  <w:num w:numId="17" w16cid:durableId="1890146761">
    <w:abstractNumId w:val="56"/>
  </w:num>
  <w:num w:numId="18" w16cid:durableId="1916935345">
    <w:abstractNumId w:val="90"/>
  </w:num>
  <w:num w:numId="19" w16cid:durableId="1930233302">
    <w:abstractNumId w:val="1"/>
  </w:num>
  <w:num w:numId="20" w16cid:durableId="1483159877">
    <w:abstractNumId w:val="62"/>
  </w:num>
  <w:num w:numId="21" w16cid:durableId="2048288389">
    <w:abstractNumId w:val="70"/>
  </w:num>
  <w:num w:numId="22" w16cid:durableId="938609143">
    <w:abstractNumId w:val="110"/>
  </w:num>
  <w:num w:numId="23" w16cid:durableId="2147164343">
    <w:abstractNumId w:val="92"/>
  </w:num>
  <w:num w:numId="24" w16cid:durableId="1777948125">
    <w:abstractNumId w:val="32"/>
  </w:num>
  <w:num w:numId="25" w16cid:durableId="1540170079">
    <w:abstractNumId w:val="100"/>
  </w:num>
  <w:num w:numId="26" w16cid:durableId="1494905231">
    <w:abstractNumId w:val="112"/>
  </w:num>
  <w:num w:numId="27" w16cid:durableId="39532279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8222360">
    <w:abstractNumId w:val="63"/>
  </w:num>
  <w:num w:numId="29" w16cid:durableId="113866494">
    <w:abstractNumId w:val="71"/>
  </w:num>
  <w:num w:numId="30" w16cid:durableId="239947757">
    <w:abstractNumId w:val="113"/>
  </w:num>
  <w:num w:numId="31" w16cid:durableId="1467508116">
    <w:abstractNumId w:val="35"/>
  </w:num>
  <w:num w:numId="32" w16cid:durableId="1106536728">
    <w:abstractNumId w:val="15"/>
  </w:num>
  <w:num w:numId="33" w16cid:durableId="1611543809">
    <w:abstractNumId w:val="96"/>
  </w:num>
  <w:num w:numId="34" w16cid:durableId="325790883">
    <w:abstractNumId w:val="44"/>
  </w:num>
  <w:num w:numId="35" w16cid:durableId="937912926">
    <w:abstractNumId w:val="105"/>
  </w:num>
  <w:num w:numId="36" w16cid:durableId="1747798880">
    <w:abstractNumId w:val="91"/>
  </w:num>
  <w:num w:numId="37" w16cid:durableId="1784183094">
    <w:abstractNumId w:val="85"/>
  </w:num>
  <w:num w:numId="38" w16cid:durableId="21049093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5133453">
    <w:abstractNumId w:val="103"/>
  </w:num>
  <w:num w:numId="40" w16cid:durableId="27876575">
    <w:abstractNumId w:val="20"/>
  </w:num>
  <w:num w:numId="41" w16cid:durableId="1212838696">
    <w:abstractNumId w:val="31"/>
  </w:num>
  <w:num w:numId="42" w16cid:durableId="1361472919">
    <w:abstractNumId w:val="9"/>
  </w:num>
  <w:num w:numId="43" w16cid:durableId="950428783">
    <w:abstractNumId w:val="11"/>
  </w:num>
  <w:num w:numId="44" w16cid:durableId="137261521">
    <w:abstractNumId w:val="55"/>
  </w:num>
  <w:num w:numId="45" w16cid:durableId="837576524">
    <w:abstractNumId w:val="39"/>
  </w:num>
  <w:num w:numId="46" w16cid:durableId="1539321361">
    <w:abstractNumId w:val="106"/>
  </w:num>
  <w:num w:numId="47" w16cid:durableId="1404572494">
    <w:abstractNumId w:val="61"/>
  </w:num>
  <w:num w:numId="48" w16cid:durableId="1912739658">
    <w:abstractNumId w:val="18"/>
  </w:num>
  <w:num w:numId="49" w16cid:durableId="993609623">
    <w:abstractNumId w:val="42"/>
  </w:num>
  <w:num w:numId="50" w16cid:durableId="341057778">
    <w:abstractNumId w:val="8"/>
  </w:num>
  <w:num w:numId="51" w16cid:durableId="352464815">
    <w:abstractNumId w:val="14"/>
  </w:num>
  <w:num w:numId="52" w16cid:durableId="1035540837">
    <w:abstractNumId w:val="97"/>
  </w:num>
  <w:num w:numId="53" w16cid:durableId="2096247438">
    <w:abstractNumId w:val="33"/>
  </w:num>
  <w:num w:numId="54" w16cid:durableId="1208763728">
    <w:abstractNumId w:val="83"/>
  </w:num>
  <w:num w:numId="55" w16cid:durableId="936328540">
    <w:abstractNumId w:val="30"/>
  </w:num>
  <w:num w:numId="56" w16cid:durableId="1425953975">
    <w:abstractNumId w:val="60"/>
  </w:num>
  <w:num w:numId="57" w16cid:durableId="1126310835">
    <w:abstractNumId w:val="69"/>
  </w:num>
  <w:num w:numId="58" w16cid:durableId="902641969">
    <w:abstractNumId w:val="53"/>
  </w:num>
  <w:num w:numId="59" w16cid:durableId="474107581">
    <w:abstractNumId w:val="98"/>
  </w:num>
  <w:num w:numId="60" w16cid:durableId="584219474">
    <w:abstractNumId w:val="65"/>
  </w:num>
  <w:num w:numId="61" w16cid:durableId="1761372397">
    <w:abstractNumId w:val="13"/>
  </w:num>
  <w:num w:numId="62" w16cid:durableId="2080471739">
    <w:abstractNumId w:val="21"/>
  </w:num>
  <w:num w:numId="63" w16cid:durableId="190159429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74160644">
    <w:abstractNumId w:val="19"/>
  </w:num>
  <w:num w:numId="65" w16cid:durableId="1950430139">
    <w:abstractNumId w:val="67"/>
  </w:num>
  <w:num w:numId="66" w16cid:durableId="1673029272">
    <w:abstractNumId w:val="17"/>
  </w:num>
  <w:num w:numId="67" w16cid:durableId="108842966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31346325">
    <w:abstractNumId w:val="45"/>
  </w:num>
  <w:num w:numId="69" w16cid:durableId="719978786">
    <w:abstractNumId w:val="22"/>
  </w:num>
  <w:num w:numId="70" w16cid:durableId="276839033">
    <w:abstractNumId w:val="115"/>
  </w:num>
  <w:num w:numId="71" w16cid:durableId="1842811771">
    <w:abstractNumId w:val="23"/>
  </w:num>
  <w:num w:numId="72" w16cid:durableId="1262300808">
    <w:abstractNumId w:val="66"/>
  </w:num>
  <w:num w:numId="73" w16cid:durableId="175969546">
    <w:abstractNumId w:val="88"/>
  </w:num>
  <w:num w:numId="74" w16cid:durableId="1875341778">
    <w:abstractNumId w:val="94"/>
  </w:num>
  <w:num w:numId="75" w16cid:durableId="872231842">
    <w:abstractNumId w:val="0"/>
  </w:num>
  <w:num w:numId="76" w16cid:durableId="1820460892">
    <w:abstractNumId w:val="114"/>
  </w:num>
  <w:num w:numId="77" w16cid:durableId="1505969351">
    <w:abstractNumId w:val="72"/>
  </w:num>
  <w:num w:numId="78" w16cid:durableId="1347905504">
    <w:abstractNumId w:val="54"/>
  </w:num>
  <w:num w:numId="79" w16cid:durableId="193424199">
    <w:abstractNumId w:val="79"/>
  </w:num>
  <w:num w:numId="80" w16cid:durableId="2116047551">
    <w:abstractNumId w:val="40"/>
  </w:num>
  <w:num w:numId="81" w16cid:durableId="1228808730">
    <w:abstractNumId w:val="102"/>
  </w:num>
  <w:num w:numId="82" w16cid:durableId="884020639">
    <w:abstractNumId w:val="41"/>
  </w:num>
  <w:num w:numId="83" w16cid:durableId="1604990147">
    <w:abstractNumId w:val="76"/>
  </w:num>
  <w:num w:numId="84" w16cid:durableId="672076297">
    <w:abstractNumId w:val="25"/>
  </w:num>
  <w:num w:numId="85" w16cid:durableId="1474060695">
    <w:abstractNumId w:val="37"/>
  </w:num>
  <w:num w:numId="86" w16cid:durableId="60105862">
    <w:abstractNumId w:val="101"/>
  </w:num>
  <w:num w:numId="87" w16cid:durableId="2098669715">
    <w:abstractNumId w:val="74"/>
  </w:num>
  <w:num w:numId="88" w16cid:durableId="1202134501">
    <w:abstractNumId w:val="27"/>
  </w:num>
  <w:num w:numId="89" w16cid:durableId="1714495509">
    <w:abstractNumId w:val="75"/>
  </w:num>
  <w:num w:numId="90" w16cid:durableId="421225866">
    <w:abstractNumId w:val="58"/>
  </w:num>
  <w:num w:numId="91" w16cid:durableId="1855797784">
    <w:abstractNumId w:val="108"/>
  </w:num>
  <w:num w:numId="92" w16cid:durableId="1673410857">
    <w:abstractNumId w:val="12"/>
  </w:num>
  <w:num w:numId="93" w16cid:durableId="434711627">
    <w:abstractNumId w:val="6"/>
  </w:num>
  <w:num w:numId="94" w16cid:durableId="28772178">
    <w:abstractNumId w:val="111"/>
  </w:num>
  <w:num w:numId="95" w16cid:durableId="193151518">
    <w:abstractNumId w:val="89"/>
  </w:num>
  <w:num w:numId="96" w16cid:durableId="748237344">
    <w:abstractNumId w:val="28"/>
  </w:num>
  <w:num w:numId="97" w16cid:durableId="885917248">
    <w:abstractNumId w:val="29"/>
  </w:num>
  <w:num w:numId="98" w16cid:durableId="44565983">
    <w:abstractNumId w:val="104"/>
  </w:num>
  <w:num w:numId="99" w16cid:durableId="1325931690">
    <w:abstractNumId w:val="86"/>
  </w:num>
  <w:num w:numId="100" w16cid:durableId="391000224">
    <w:abstractNumId w:val="16"/>
  </w:num>
  <w:num w:numId="101" w16cid:durableId="1146819674">
    <w:abstractNumId w:val="116"/>
  </w:num>
  <w:num w:numId="102" w16cid:durableId="2093505685">
    <w:abstractNumId w:val="1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89506E"/>
    <w:rsid w:val="00000194"/>
    <w:rsid w:val="00000246"/>
    <w:rsid w:val="00000BE8"/>
    <w:rsid w:val="00000FC9"/>
    <w:rsid w:val="000014D4"/>
    <w:rsid w:val="00001D81"/>
    <w:rsid w:val="00001F52"/>
    <w:rsid w:val="00002691"/>
    <w:rsid w:val="00002734"/>
    <w:rsid w:val="00003260"/>
    <w:rsid w:val="000035F6"/>
    <w:rsid w:val="00003E0D"/>
    <w:rsid w:val="00004327"/>
    <w:rsid w:val="00004810"/>
    <w:rsid w:val="00004A68"/>
    <w:rsid w:val="00004C16"/>
    <w:rsid w:val="00004EEE"/>
    <w:rsid w:val="000059AA"/>
    <w:rsid w:val="00005BE2"/>
    <w:rsid w:val="000062CF"/>
    <w:rsid w:val="000067FE"/>
    <w:rsid w:val="000068CA"/>
    <w:rsid w:val="00006C6B"/>
    <w:rsid w:val="00007039"/>
    <w:rsid w:val="0000736B"/>
    <w:rsid w:val="00007D49"/>
    <w:rsid w:val="00010366"/>
    <w:rsid w:val="000105A9"/>
    <w:rsid w:val="0001062E"/>
    <w:rsid w:val="000112BF"/>
    <w:rsid w:val="000112C0"/>
    <w:rsid w:val="00011C29"/>
    <w:rsid w:val="00011F46"/>
    <w:rsid w:val="00011FA8"/>
    <w:rsid w:val="0001216C"/>
    <w:rsid w:val="000125A5"/>
    <w:rsid w:val="0001269D"/>
    <w:rsid w:val="0001294B"/>
    <w:rsid w:val="00012D6E"/>
    <w:rsid w:val="000139F9"/>
    <w:rsid w:val="00013C91"/>
    <w:rsid w:val="0001429A"/>
    <w:rsid w:val="00014AD2"/>
    <w:rsid w:val="000152AC"/>
    <w:rsid w:val="00015B82"/>
    <w:rsid w:val="000160DB"/>
    <w:rsid w:val="000163B4"/>
    <w:rsid w:val="0001645A"/>
    <w:rsid w:val="00016927"/>
    <w:rsid w:val="00016A16"/>
    <w:rsid w:val="00016F11"/>
    <w:rsid w:val="00017885"/>
    <w:rsid w:val="000179E4"/>
    <w:rsid w:val="00017A29"/>
    <w:rsid w:val="00017A37"/>
    <w:rsid w:val="00017A86"/>
    <w:rsid w:val="00017E78"/>
    <w:rsid w:val="000200C4"/>
    <w:rsid w:val="00020166"/>
    <w:rsid w:val="00020318"/>
    <w:rsid w:val="00020425"/>
    <w:rsid w:val="0002048A"/>
    <w:rsid w:val="000204EA"/>
    <w:rsid w:val="00020640"/>
    <w:rsid w:val="00020900"/>
    <w:rsid w:val="0002090C"/>
    <w:rsid w:val="00020ED0"/>
    <w:rsid w:val="0002216C"/>
    <w:rsid w:val="00022690"/>
    <w:rsid w:val="00022FC9"/>
    <w:rsid w:val="000230D3"/>
    <w:rsid w:val="0002313E"/>
    <w:rsid w:val="00023619"/>
    <w:rsid w:val="00023884"/>
    <w:rsid w:val="000242C8"/>
    <w:rsid w:val="000243BF"/>
    <w:rsid w:val="00024991"/>
    <w:rsid w:val="00024C4F"/>
    <w:rsid w:val="00024DE5"/>
    <w:rsid w:val="00024F9A"/>
    <w:rsid w:val="00025270"/>
    <w:rsid w:val="000265EA"/>
    <w:rsid w:val="00026DA1"/>
    <w:rsid w:val="00026DC2"/>
    <w:rsid w:val="00026F6C"/>
    <w:rsid w:val="000272BB"/>
    <w:rsid w:val="000273C5"/>
    <w:rsid w:val="00030126"/>
    <w:rsid w:val="000307F5"/>
    <w:rsid w:val="00030A07"/>
    <w:rsid w:val="00030A38"/>
    <w:rsid w:val="00030FEA"/>
    <w:rsid w:val="0003160B"/>
    <w:rsid w:val="00031C5B"/>
    <w:rsid w:val="00031DC5"/>
    <w:rsid w:val="00031EB0"/>
    <w:rsid w:val="0003210A"/>
    <w:rsid w:val="0003242D"/>
    <w:rsid w:val="00032894"/>
    <w:rsid w:val="00032AB0"/>
    <w:rsid w:val="00032FF7"/>
    <w:rsid w:val="000332EC"/>
    <w:rsid w:val="000337A3"/>
    <w:rsid w:val="00034042"/>
    <w:rsid w:val="000343D3"/>
    <w:rsid w:val="000346D1"/>
    <w:rsid w:val="00034BBA"/>
    <w:rsid w:val="00034E7A"/>
    <w:rsid w:val="0003565D"/>
    <w:rsid w:val="0003594D"/>
    <w:rsid w:val="00035C37"/>
    <w:rsid w:val="00036289"/>
    <w:rsid w:val="00036D07"/>
    <w:rsid w:val="00036D45"/>
    <w:rsid w:val="000374E9"/>
    <w:rsid w:val="000375EE"/>
    <w:rsid w:val="00037F38"/>
    <w:rsid w:val="000403C3"/>
    <w:rsid w:val="0004063E"/>
    <w:rsid w:val="000408B7"/>
    <w:rsid w:val="00040DB0"/>
    <w:rsid w:val="00040EB4"/>
    <w:rsid w:val="000411A2"/>
    <w:rsid w:val="000412EA"/>
    <w:rsid w:val="00041613"/>
    <w:rsid w:val="00042807"/>
    <w:rsid w:val="000428C2"/>
    <w:rsid w:val="00042903"/>
    <w:rsid w:val="00042CE8"/>
    <w:rsid w:val="00042F13"/>
    <w:rsid w:val="00043187"/>
    <w:rsid w:val="00043473"/>
    <w:rsid w:val="00043A1F"/>
    <w:rsid w:val="00043FEB"/>
    <w:rsid w:val="00044020"/>
    <w:rsid w:val="00044607"/>
    <w:rsid w:val="000454DE"/>
    <w:rsid w:val="000457E7"/>
    <w:rsid w:val="0004603D"/>
    <w:rsid w:val="0004675A"/>
    <w:rsid w:val="000472AC"/>
    <w:rsid w:val="00047A63"/>
    <w:rsid w:val="00047C72"/>
    <w:rsid w:val="000504D0"/>
    <w:rsid w:val="00050713"/>
    <w:rsid w:val="000513EC"/>
    <w:rsid w:val="00051BFC"/>
    <w:rsid w:val="00051D5C"/>
    <w:rsid w:val="00052454"/>
    <w:rsid w:val="0005252A"/>
    <w:rsid w:val="00052638"/>
    <w:rsid w:val="0005290C"/>
    <w:rsid w:val="00052C34"/>
    <w:rsid w:val="00053718"/>
    <w:rsid w:val="000538F9"/>
    <w:rsid w:val="00053C58"/>
    <w:rsid w:val="0005458B"/>
    <w:rsid w:val="00054E85"/>
    <w:rsid w:val="0005578D"/>
    <w:rsid w:val="00055C62"/>
    <w:rsid w:val="00055E37"/>
    <w:rsid w:val="00056024"/>
    <w:rsid w:val="00056C55"/>
    <w:rsid w:val="00056E18"/>
    <w:rsid w:val="00057098"/>
    <w:rsid w:val="000574CC"/>
    <w:rsid w:val="000604DC"/>
    <w:rsid w:val="0006057D"/>
    <w:rsid w:val="000609BE"/>
    <w:rsid w:val="00060B9F"/>
    <w:rsid w:val="00061B40"/>
    <w:rsid w:val="000622F5"/>
    <w:rsid w:val="00062898"/>
    <w:rsid w:val="00062B3F"/>
    <w:rsid w:val="00063000"/>
    <w:rsid w:val="000634B5"/>
    <w:rsid w:val="00063A40"/>
    <w:rsid w:val="000644B8"/>
    <w:rsid w:val="00064C19"/>
    <w:rsid w:val="0006698F"/>
    <w:rsid w:val="00066A4B"/>
    <w:rsid w:val="00066E4C"/>
    <w:rsid w:val="00067287"/>
    <w:rsid w:val="00067A55"/>
    <w:rsid w:val="0007061C"/>
    <w:rsid w:val="0007068D"/>
    <w:rsid w:val="0007095A"/>
    <w:rsid w:val="00070CF5"/>
    <w:rsid w:val="0007166A"/>
    <w:rsid w:val="000718D7"/>
    <w:rsid w:val="0007247D"/>
    <w:rsid w:val="000738E9"/>
    <w:rsid w:val="000739C2"/>
    <w:rsid w:val="00074EF6"/>
    <w:rsid w:val="00075B1E"/>
    <w:rsid w:val="000764DD"/>
    <w:rsid w:val="000766EE"/>
    <w:rsid w:val="00076CEC"/>
    <w:rsid w:val="000770EF"/>
    <w:rsid w:val="000774C9"/>
    <w:rsid w:val="00080082"/>
    <w:rsid w:val="000807B5"/>
    <w:rsid w:val="000809F5"/>
    <w:rsid w:val="00080B70"/>
    <w:rsid w:val="00080D7D"/>
    <w:rsid w:val="0008149D"/>
    <w:rsid w:val="000818E8"/>
    <w:rsid w:val="00081ACB"/>
    <w:rsid w:val="00081C9E"/>
    <w:rsid w:val="000821B5"/>
    <w:rsid w:val="00082701"/>
    <w:rsid w:val="00082CAC"/>
    <w:rsid w:val="00082EEC"/>
    <w:rsid w:val="0008354A"/>
    <w:rsid w:val="00084998"/>
    <w:rsid w:val="00084E46"/>
    <w:rsid w:val="000854E4"/>
    <w:rsid w:val="000857E0"/>
    <w:rsid w:val="00085982"/>
    <w:rsid w:val="00085E3A"/>
    <w:rsid w:val="0008617D"/>
    <w:rsid w:val="00086400"/>
    <w:rsid w:val="0008678B"/>
    <w:rsid w:val="00086C5B"/>
    <w:rsid w:val="000873B9"/>
    <w:rsid w:val="00087416"/>
    <w:rsid w:val="000875DA"/>
    <w:rsid w:val="00087CE5"/>
    <w:rsid w:val="00090C31"/>
    <w:rsid w:val="00090CB5"/>
    <w:rsid w:val="00090D68"/>
    <w:rsid w:val="0009129D"/>
    <w:rsid w:val="000913B9"/>
    <w:rsid w:val="0009189E"/>
    <w:rsid w:val="00091C6D"/>
    <w:rsid w:val="00091E67"/>
    <w:rsid w:val="00092767"/>
    <w:rsid w:val="00093AB0"/>
    <w:rsid w:val="00093DB2"/>
    <w:rsid w:val="00093E35"/>
    <w:rsid w:val="00094000"/>
    <w:rsid w:val="00094C04"/>
    <w:rsid w:val="00095AD2"/>
    <w:rsid w:val="00095BCC"/>
    <w:rsid w:val="0009636C"/>
    <w:rsid w:val="00097178"/>
    <w:rsid w:val="000971A5"/>
    <w:rsid w:val="000A0157"/>
    <w:rsid w:val="000A043A"/>
    <w:rsid w:val="000A0772"/>
    <w:rsid w:val="000A07D4"/>
    <w:rsid w:val="000A0D39"/>
    <w:rsid w:val="000A0ECF"/>
    <w:rsid w:val="000A1641"/>
    <w:rsid w:val="000A1A10"/>
    <w:rsid w:val="000A22BA"/>
    <w:rsid w:val="000A25A3"/>
    <w:rsid w:val="000A2A5F"/>
    <w:rsid w:val="000A3203"/>
    <w:rsid w:val="000A3E5B"/>
    <w:rsid w:val="000A43C4"/>
    <w:rsid w:val="000A4DD8"/>
    <w:rsid w:val="000A513C"/>
    <w:rsid w:val="000A5285"/>
    <w:rsid w:val="000A55E9"/>
    <w:rsid w:val="000A5BD9"/>
    <w:rsid w:val="000A6056"/>
    <w:rsid w:val="000A64D2"/>
    <w:rsid w:val="000A65C4"/>
    <w:rsid w:val="000A68C1"/>
    <w:rsid w:val="000A68D7"/>
    <w:rsid w:val="000A7EDE"/>
    <w:rsid w:val="000B02C8"/>
    <w:rsid w:val="000B0402"/>
    <w:rsid w:val="000B0449"/>
    <w:rsid w:val="000B05E9"/>
    <w:rsid w:val="000B07C0"/>
    <w:rsid w:val="000B07D4"/>
    <w:rsid w:val="000B0CB0"/>
    <w:rsid w:val="000B13A1"/>
    <w:rsid w:val="000B1783"/>
    <w:rsid w:val="000B1EB6"/>
    <w:rsid w:val="000B240C"/>
    <w:rsid w:val="000B2CAC"/>
    <w:rsid w:val="000B2D2E"/>
    <w:rsid w:val="000B3096"/>
    <w:rsid w:val="000B4072"/>
    <w:rsid w:val="000B4442"/>
    <w:rsid w:val="000B51BB"/>
    <w:rsid w:val="000B534A"/>
    <w:rsid w:val="000B596E"/>
    <w:rsid w:val="000B59CB"/>
    <w:rsid w:val="000B5AC1"/>
    <w:rsid w:val="000B5B6D"/>
    <w:rsid w:val="000B620C"/>
    <w:rsid w:val="000B6301"/>
    <w:rsid w:val="000B65EE"/>
    <w:rsid w:val="000B6910"/>
    <w:rsid w:val="000B6B07"/>
    <w:rsid w:val="000B7133"/>
    <w:rsid w:val="000B7219"/>
    <w:rsid w:val="000C036C"/>
    <w:rsid w:val="000C043D"/>
    <w:rsid w:val="000C0759"/>
    <w:rsid w:val="000C0A60"/>
    <w:rsid w:val="000C0C1B"/>
    <w:rsid w:val="000C0EA4"/>
    <w:rsid w:val="000C168E"/>
    <w:rsid w:val="000C1BF5"/>
    <w:rsid w:val="000C1C30"/>
    <w:rsid w:val="000C211F"/>
    <w:rsid w:val="000C2142"/>
    <w:rsid w:val="000C269E"/>
    <w:rsid w:val="000C30A6"/>
    <w:rsid w:val="000C3390"/>
    <w:rsid w:val="000C346F"/>
    <w:rsid w:val="000C3827"/>
    <w:rsid w:val="000C4032"/>
    <w:rsid w:val="000C40AF"/>
    <w:rsid w:val="000C440C"/>
    <w:rsid w:val="000C4AFB"/>
    <w:rsid w:val="000C4CA9"/>
    <w:rsid w:val="000C4DC5"/>
    <w:rsid w:val="000C53CD"/>
    <w:rsid w:val="000C595C"/>
    <w:rsid w:val="000C5E23"/>
    <w:rsid w:val="000C620E"/>
    <w:rsid w:val="000C6AC6"/>
    <w:rsid w:val="000C6C48"/>
    <w:rsid w:val="000C71B5"/>
    <w:rsid w:val="000C72B0"/>
    <w:rsid w:val="000C782D"/>
    <w:rsid w:val="000C7BB4"/>
    <w:rsid w:val="000D01DB"/>
    <w:rsid w:val="000D0408"/>
    <w:rsid w:val="000D0471"/>
    <w:rsid w:val="000D04B1"/>
    <w:rsid w:val="000D0EFE"/>
    <w:rsid w:val="000D0FA2"/>
    <w:rsid w:val="000D192E"/>
    <w:rsid w:val="000D1AB9"/>
    <w:rsid w:val="000D1AEE"/>
    <w:rsid w:val="000D1DA0"/>
    <w:rsid w:val="000D1E2A"/>
    <w:rsid w:val="000D1E39"/>
    <w:rsid w:val="000D2083"/>
    <w:rsid w:val="000D2B3D"/>
    <w:rsid w:val="000D2E44"/>
    <w:rsid w:val="000D319F"/>
    <w:rsid w:val="000D31A5"/>
    <w:rsid w:val="000D3682"/>
    <w:rsid w:val="000D36F9"/>
    <w:rsid w:val="000D3881"/>
    <w:rsid w:val="000D3976"/>
    <w:rsid w:val="000D3CAE"/>
    <w:rsid w:val="000D3D87"/>
    <w:rsid w:val="000D51B1"/>
    <w:rsid w:val="000D556D"/>
    <w:rsid w:val="000D5967"/>
    <w:rsid w:val="000D5BE8"/>
    <w:rsid w:val="000D5CE1"/>
    <w:rsid w:val="000D5F8E"/>
    <w:rsid w:val="000D6044"/>
    <w:rsid w:val="000D6482"/>
    <w:rsid w:val="000D66AF"/>
    <w:rsid w:val="000D73BF"/>
    <w:rsid w:val="000D73C9"/>
    <w:rsid w:val="000D7F5B"/>
    <w:rsid w:val="000E0068"/>
    <w:rsid w:val="000E0D24"/>
    <w:rsid w:val="000E0E7D"/>
    <w:rsid w:val="000E1198"/>
    <w:rsid w:val="000E14CA"/>
    <w:rsid w:val="000E1777"/>
    <w:rsid w:val="000E1FAD"/>
    <w:rsid w:val="000E2BFA"/>
    <w:rsid w:val="000E2E35"/>
    <w:rsid w:val="000E2F22"/>
    <w:rsid w:val="000E30B6"/>
    <w:rsid w:val="000E34F0"/>
    <w:rsid w:val="000E35EE"/>
    <w:rsid w:val="000E38AA"/>
    <w:rsid w:val="000E423C"/>
    <w:rsid w:val="000E4302"/>
    <w:rsid w:val="000E4946"/>
    <w:rsid w:val="000E5431"/>
    <w:rsid w:val="000E546D"/>
    <w:rsid w:val="000E5563"/>
    <w:rsid w:val="000E573C"/>
    <w:rsid w:val="000E5848"/>
    <w:rsid w:val="000E584F"/>
    <w:rsid w:val="000E6D73"/>
    <w:rsid w:val="000E7124"/>
    <w:rsid w:val="000E73B2"/>
    <w:rsid w:val="000E7420"/>
    <w:rsid w:val="000E764D"/>
    <w:rsid w:val="000E77EB"/>
    <w:rsid w:val="000E79F7"/>
    <w:rsid w:val="000E7E4A"/>
    <w:rsid w:val="000E7F29"/>
    <w:rsid w:val="000F007C"/>
    <w:rsid w:val="000F0886"/>
    <w:rsid w:val="000F0977"/>
    <w:rsid w:val="000F0AB0"/>
    <w:rsid w:val="000F0D9E"/>
    <w:rsid w:val="000F1017"/>
    <w:rsid w:val="000F13DA"/>
    <w:rsid w:val="000F1AD7"/>
    <w:rsid w:val="000F1AF5"/>
    <w:rsid w:val="000F1BAD"/>
    <w:rsid w:val="000F1D16"/>
    <w:rsid w:val="000F1E52"/>
    <w:rsid w:val="000F26D5"/>
    <w:rsid w:val="000F2732"/>
    <w:rsid w:val="000F2BEC"/>
    <w:rsid w:val="000F2C45"/>
    <w:rsid w:val="000F2C81"/>
    <w:rsid w:val="000F3362"/>
    <w:rsid w:val="000F398A"/>
    <w:rsid w:val="000F39C2"/>
    <w:rsid w:val="000F436A"/>
    <w:rsid w:val="000F47F5"/>
    <w:rsid w:val="000F4D26"/>
    <w:rsid w:val="000F4F81"/>
    <w:rsid w:val="000F59FB"/>
    <w:rsid w:val="000F5BA3"/>
    <w:rsid w:val="000F5E55"/>
    <w:rsid w:val="000F5FFD"/>
    <w:rsid w:val="000F6093"/>
    <w:rsid w:val="000F6408"/>
    <w:rsid w:val="000F661E"/>
    <w:rsid w:val="000F6DA8"/>
    <w:rsid w:val="000F71ED"/>
    <w:rsid w:val="000F72AB"/>
    <w:rsid w:val="000F72D5"/>
    <w:rsid w:val="000F7466"/>
    <w:rsid w:val="000F74A2"/>
    <w:rsid w:val="000F76E5"/>
    <w:rsid w:val="000F7BB5"/>
    <w:rsid w:val="000F7BD3"/>
    <w:rsid w:val="000F7C2D"/>
    <w:rsid w:val="0010018C"/>
    <w:rsid w:val="00100A32"/>
    <w:rsid w:val="00100ED3"/>
    <w:rsid w:val="0010100E"/>
    <w:rsid w:val="00101215"/>
    <w:rsid w:val="001016DB"/>
    <w:rsid w:val="00101A91"/>
    <w:rsid w:val="00101B0F"/>
    <w:rsid w:val="00101D0A"/>
    <w:rsid w:val="00101E06"/>
    <w:rsid w:val="00102178"/>
    <w:rsid w:val="00102312"/>
    <w:rsid w:val="001023F4"/>
    <w:rsid w:val="00102D94"/>
    <w:rsid w:val="001030FC"/>
    <w:rsid w:val="001042E1"/>
    <w:rsid w:val="0010455D"/>
    <w:rsid w:val="00104AD3"/>
    <w:rsid w:val="00104BB5"/>
    <w:rsid w:val="00104C22"/>
    <w:rsid w:val="00105885"/>
    <w:rsid w:val="00105ACD"/>
    <w:rsid w:val="00105BBB"/>
    <w:rsid w:val="00105F22"/>
    <w:rsid w:val="00105FBE"/>
    <w:rsid w:val="00106C32"/>
    <w:rsid w:val="00107550"/>
    <w:rsid w:val="00107C8F"/>
    <w:rsid w:val="00110186"/>
    <w:rsid w:val="0011038E"/>
    <w:rsid w:val="00110760"/>
    <w:rsid w:val="0011087C"/>
    <w:rsid w:val="00110C48"/>
    <w:rsid w:val="00110D24"/>
    <w:rsid w:val="00111227"/>
    <w:rsid w:val="0011132C"/>
    <w:rsid w:val="00111897"/>
    <w:rsid w:val="00111D74"/>
    <w:rsid w:val="00112203"/>
    <w:rsid w:val="001129F9"/>
    <w:rsid w:val="00112C85"/>
    <w:rsid w:val="00112EDB"/>
    <w:rsid w:val="00113605"/>
    <w:rsid w:val="0011371C"/>
    <w:rsid w:val="00113895"/>
    <w:rsid w:val="00113A48"/>
    <w:rsid w:val="00113EE7"/>
    <w:rsid w:val="00114162"/>
    <w:rsid w:val="0011429D"/>
    <w:rsid w:val="00114377"/>
    <w:rsid w:val="00114BA0"/>
    <w:rsid w:val="0011501B"/>
    <w:rsid w:val="001153CE"/>
    <w:rsid w:val="00115644"/>
    <w:rsid w:val="001156B1"/>
    <w:rsid w:val="00116264"/>
    <w:rsid w:val="00116413"/>
    <w:rsid w:val="001164D9"/>
    <w:rsid w:val="001169AD"/>
    <w:rsid w:val="00116D30"/>
    <w:rsid w:val="001176AC"/>
    <w:rsid w:val="00117FC7"/>
    <w:rsid w:val="00120092"/>
    <w:rsid w:val="0012041B"/>
    <w:rsid w:val="00120681"/>
    <w:rsid w:val="001207B1"/>
    <w:rsid w:val="00120D59"/>
    <w:rsid w:val="00121843"/>
    <w:rsid w:val="00121AF6"/>
    <w:rsid w:val="00121CAD"/>
    <w:rsid w:val="001226CC"/>
    <w:rsid w:val="0012271F"/>
    <w:rsid w:val="001228AC"/>
    <w:rsid w:val="001230A0"/>
    <w:rsid w:val="001242E9"/>
    <w:rsid w:val="001244D8"/>
    <w:rsid w:val="00124E6F"/>
    <w:rsid w:val="00124ED0"/>
    <w:rsid w:val="001252B3"/>
    <w:rsid w:val="00125769"/>
    <w:rsid w:val="00126300"/>
    <w:rsid w:val="0012652C"/>
    <w:rsid w:val="001267B2"/>
    <w:rsid w:val="001267C9"/>
    <w:rsid w:val="001268AF"/>
    <w:rsid w:val="001268C6"/>
    <w:rsid w:val="00126943"/>
    <w:rsid w:val="00126C1F"/>
    <w:rsid w:val="00127F33"/>
    <w:rsid w:val="001301B3"/>
    <w:rsid w:val="001302AB"/>
    <w:rsid w:val="0013044E"/>
    <w:rsid w:val="00130735"/>
    <w:rsid w:val="00130B14"/>
    <w:rsid w:val="0013102C"/>
    <w:rsid w:val="00131DF9"/>
    <w:rsid w:val="001320DB"/>
    <w:rsid w:val="00132534"/>
    <w:rsid w:val="00132603"/>
    <w:rsid w:val="0013265A"/>
    <w:rsid w:val="00132DB8"/>
    <w:rsid w:val="00132ECF"/>
    <w:rsid w:val="00133CAA"/>
    <w:rsid w:val="00133CEB"/>
    <w:rsid w:val="00134434"/>
    <w:rsid w:val="001351EA"/>
    <w:rsid w:val="001354EE"/>
    <w:rsid w:val="00135A21"/>
    <w:rsid w:val="00135A97"/>
    <w:rsid w:val="0013609B"/>
    <w:rsid w:val="001369F7"/>
    <w:rsid w:val="001378AA"/>
    <w:rsid w:val="00137A24"/>
    <w:rsid w:val="00137C4E"/>
    <w:rsid w:val="00137D1D"/>
    <w:rsid w:val="00137F92"/>
    <w:rsid w:val="00140228"/>
    <w:rsid w:val="001406CA"/>
    <w:rsid w:val="00140765"/>
    <w:rsid w:val="0014125E"/>
    <w:rsid w:val="00141292"/>
    <w:rsid w:val="0014136D"/>
    <w:rsid w:val="00141553"/>
    <w:rsid w:val="001417FF"/>
    <w:rsid w:val="00141F49"/>
    <w:rsid w:val="00141FDF"/>
    <w:rsid w:val="00142974"/>
    <w:rsid w:val="0014301D"/>
    <w:rsid w:val="00143717"/>
    <w:rsid w:val="00143ECA"/>
    <w:rsid w:val="00144787"/>
    <w:rsid w:val="00144E89"/>
    <w:rsid w:val="001451E4"/>
    <w:rsid w:val="00145F74"/>
    <w:rsid w:val="00146083"/>
    <w:rsid w:val="00146441"/>
    <w:rsid w:val="00146947"/>
    <w:rsid w:val="00146A5F"/>
    <w:rsid w:val="00147141"/>
    <w:rsid w:val="0014722D"/>
    <w:rsid w:val="001476AB"/>
    <w:rsid w:val="00147BEB"/>
    <w:rsid w:val="00150746"/>
    <w:rsid w:val="00151331"/>
    <w:rsid w:val="001520BD"/>
    <w:rsid w:val="001536B2"/>
    <w:rsid w:val="00153EAC"/>
    <w:rsid w:val="0015405B"/>
    <w:rsid w:val="00154226"/>
    <w:rsid w:val="00154CAF"/>
    <w:rsid w:val="00155192"/>
    <w:rsid w:val="00155B41"/>
    <w:rsid w:val="00155B79"/>
    <w:rsid w:val="00155EBC"/>
    <w:rsid w:val="00156406"/>
    <w:rsid w:val="0015669A"/>
    <w:rsid w:val="00156BC1"/>
    <w:rsid w:val="001571C1"/>
    <w:rsid w:val="00157414"/>
    <w:rsid w:val="00157E0A"/>
    <w:rsid w:val="00157F04"/>
    <w:rsid w:val="001604E1"/>
    <w:rsid w:val="00160C09"/>
    <w:rsid w:val="00160EA5"/>
    <w:rsid w:val="00161183"/>
    <w:rsid w:val="00161DFE"/>
    <w:rsid w:val="00162319"/>
    <w:rsid w:val="00162508"/>
    <w:rsid w:val="0016271B"/>
    <w:rsid w:val="00162EBC"/>
    <w:rsid w:val="001631A3"/>
    <w:rsid w:val="0016336A"/>
    <w:rsid w:val="00163732"/>
    <w:rsid w:val="001638F9"/>
    <w:rsid w:val="00163A5B"/>
    <w:rsid w:val="00163A88"/>
    <w:rsid w:val="00163EC7"/>
    <w:rsid w:val="00164012"/>
    <w:rsid w:val="00164716"/>
    <w:rsid w:val="001647AE"/>
    <w:rsid w:val="00164D9E"/>
    <w:rsid w:val="00165918"/>
    <w:rsid w:val="00165CE1"/>
    <w:rsid w:val="00165FF7"/>
    <w:rsid w:val="00166097"/>
    <w:rsid w:val="00166E6D"/>
    <w:rsid w:val="00167022"/>
    <w:rsid w:val="0016718E"/>
    <w:rsid w:val="001704EC"/>
    <w:rsid w:val="00170701"/>
    <w:rsid w:val="001708C4"/>
    <w:rsid w:val="00170BDB"/>
    <w:rsid w:val="001712F7"/>
    <w:rsid w:val="0017219F"/>
    <w:rsid w:val="00172228"/>
    <w:rsid w:val="001726D4"/>
    <w:rsid w:val="001728B5"/>
    <w:rsid w:val="00172BA7"/>
    <w:rsid w:val="00173974"/>
    <w:rsid w:val="00173EA5"/>
    <w:rsid w:val="00174052"/>
    <w:rsid w:val="001745CE"/>
    <w:rsid w:val="0017472C"/>
    <w:rsid w:val="00175007"/>
    <w:rsid w:val="001750A0"/>
    <w:rsid w:val="00175DCC"/>
    <w:rsid w:val="001760F9"/>
    <w:rsid w:val="001766D2"/>
    <w:rsid w:val="001768FA"/>
    <w:rsid w:val="0017749D"/>
    <w:rsid w:val="001778A7"/>
    <w:rsid w:val="001778D8"/>
    <w:rsid w:val="001779A6"/>
    <w:rsid w:val="001806B5"/>
    <w:rsid w:val="00180941"/>
    <w:rsid w:val="00180A1E"/>
    <w:rsid w:val="00180CE7"/>
    <w:rsid w:val="00180DC6"/>
    <w:rsid w:val="00180E8D"/>
    <w:rsid w:val="001813B0"/>
    <w:rsid w:val="001814F6"/>
    <w:rsid w:val="001815D8"/>
    <w:rsid w:val="00181874"/>
    <w:rsid w:val="001818D8"/>
    <w:rsid w:val="00181CBC"/>
    <w:rsid w:val="0018234B"/>
    <w:rsid w:val="0018239D"/>
    <w:rsid w:val="001827CC"/>
    <w:rsid w:val="00182D72"/>
    <w:rsid w:val="00183096"/>
    <w:rsid w:val="00183E67"/>
    <w:rsid w:val="0018426D"/>
    <w:rsid w:val="00184490"/>
    <w:rsid w:val="001844C6"/>
    <w:rsid w:val="001845EF"/>
    <w:rsid w:val="00184A3E"/>
    <w:rsid w:val="00184B03"/>
    <w:rsid w:val="00185504"/>
    <w:rsid w:val="00185907"/>
    <w:rsid w:val="00185BF1"/>
    <w:rsid w:val="00186186"/>
    <w:rsid w:val="0018625D"/>
    <w:rsid w:val="00186A77"/>
    <w:rsid w:val="00186D45"/>
    <w:rsid w:val="00186D68"/>
    <w:rsid w:val="00186E65"/>
    <w:rsid w:val="001874D7"/>
    <w:rsid w:val="00187B98"/>
    <w:rsid w:val="00187B9E"/>
    <w:rsid w:val="00187BD4"/>
    <w:rsid w:val="001910A2"/>
    <w:rsid w:val="00191188"/>
    <w:rsid w:val="0019118C"/>
    <w:rsid w:val="001911BB"/>
    <w:rsid w:val="00191308"/>
    <w:rsid w:val="0019131B"/>
    <w:rsid w:val="00192320"/>
    <w:rsid w:val="001925CE"/>
    <w:rsid w:val="0019270C"/>
    <w:rsid w:val="00192F5C"/>
    <w:rsid w:val="00193CC6"/>
    <w:rsid w:val="00194013"/>
    <w:rsid w:val="001942E7"/>
    <w:rsid w:val="0019459E"/>
    <w:rsid w:val="001945C8"/>
    <w:rsid w:val="001948C5"/>
    <w:rsid w:val="00194AAE"/>
    <w:rsid w:val="00194B60"/>
    <w:rsid w:val="00194F93"/>
    <w:rsid w:val="00195256"/>
    <w:rsid w:val="00195D19"/>
    <w:rsid w:val="00196621"/>
    <w:rsid w:val="00196E13"/>
    <w:rsid w:val="0019734C"/>
    <w:rsid w:val="0019756C"/>
    <w:rsid w:val="00197810"/>
    <w:rsid w:val="00197C5C"/>
    <w:rsid w:val="00197D54"/>
    <w:rsid w:val="001A0FC3"/>
    <w:rsid w:val="001A2035"/>
    <w:rsid w:val="001A2362"/>
    <w:rsid w:val="001A26B9"/>
    <w:rsid w:val="001A28C8"/>
    <w:rsid w:val="001A2E55"/>
    <w:rsid w:val="001A2EC1"/>
    <w:rsid w:val="001A3193"/>
    <w:rsid w:val="001A3352"/>
    <w:rsid w:val="001A3695"/>
    <w:rsid w:val="001A3B5B"/>
    <w:rsid w:val="001A46FE"/>
    <w:rsid w:val="001A4901"/>
    <w:rsid w:val="001A4C5C"/>
    <w:rsid w:val="001A4DB2"/>
    <w:rsid w:val="001A50FB"/>
    <w:rsid w:val="001A59BB"/>
    <w:rsid w:val="001A63B0"/>
    <w:rsid w:val="001A6980"/>
    <w:rsid w:val="001A6B09"/>
    <w:rsid w:val="001A73F3"/>
    <w:rsid w:val="001A7D4A"/>
    <w:rsid w:val="001B017B"/>
    <w:rsid w:val="001B08FF"/>
    <w:rsid w:val="001B1091"/>
    <w:rsid w:val="001B1855"/>
    <w:rsid w:val="001B1992"/>
    <w:rsid w:val="001B19FF"/>
    <w:rsid w:val="001B1B2B"/>
    <w:rsid w:val="001B1CD9"/>
    <w:rsid w:val="001B204A"/>
    <w:rsid w:val="001B2AD7"/>
    <w:rsid w:val="001B2D49"/>
    <w:rsid w:val="001B32D1"/>
    <w:rsid w:val="001B330C"/>
    <w:rsid w:val="001B3470"/>
    <w:rsid w:val="001B355E"/>
    <w:rsid w:val="001B387D"/>
    <w:rsid w:val="001B3A77"/>
    <w:rsid w:val="001B4DDC"/>
    <w:rsid w:val="001B51F8"/>
    <w:rsid w:val="001B5BC6"/>
    <w:rsid w:val="001B6344"/>
    <w:rsid w:val="001B63A9"/>
    <w:rsid w:val="001B6D41"/>
    <w:rsid w:val="001B6E7E"/>
    <w:rsid w:val="001B706E"/>
    <w:rsid w:val="001B7B53"/>
    <w:rsid w:val="001B7D37"/>
    <w:rsid w:val="001B7E65"/>
    <w:rsid w:val="001C03A8"/>
    <w:rsid w:val="001C0D5A"/>
    <w:rsid w:val="001C1272"/>
    <w:rsid w:val="001C1281"/>
    <w:rsid w:val="001C145F"/>
    <w:rsid w:val="001C14A0"/>
    <w:rsid w:val="001C158E"/>
    <w:rsid w:val="001C1B09"/>
    <w:rsid w:val="001C1F3E"/>
    <w:rsid w:val="001C2103"/>
    <w:rsid w:val="001C222D"/>
    <w:rsid w:val="001C2489"/>
    <w:rsid w:val="001C2510"/>
    <w:rsid w:val="001C2788"/>
    <w:rsid w:val="001C2A46"/>
    <w:rsid w:val="001C2B0E"/>
    <w:rsid w:val="001C31C0"/>
    <w:rsid w:val="001C34E9"/>
    <w:rsid w:val="001C3B9C"/>
    <w:rsid w:val="001C40E3"/>
    <w:rsid w:val="001C4622"/>
    <w:rsid w:val="001C4657"/>
    <w:rsid w:val="001C4A80"/>
    <w:rsid w:val="001C4E43"/>
    <w:rsid w:val="001C4E4A"/>
    <w:rsid w:val="001C5885"/>
    <w:rsid w:val="001C5E6E"/>
    <w:rsid w:val="001C6EF7"/>
    <w:rsid w:val="001C71FB"/>
    <w:rsid w:val="001C72A9"/>
    <w:rsid w:val="001D0265"/>
    <w:rsid w:val="001D11E7"/>
    <w:rsid w:val="001D1BA9"/>
    <w:rsid w:val="001D1E70"/>
    <w:rsid w:val="001D223D"/>
    <w:rsid w:val="001D2D53"/>
    <w:rsid w:val="001D2FC1"/>
    <w:rsid w:val="001D3601"/>
    <w:rsid w:val="001D38DC"/>
    <w:rsid w:val="001D39F8"/>
    <w:rsid w:val="001D3B02"/>
    <w:rsid w:val="001D3D3C"/>
    <w:rsid w:val="001D5D1A"/>
    <w:rsid w:val="001D5D7C"/>
    <w:rsid w:val="001D5F89"/>
    <w:rsid w:val="001D5F98"/>
    <w:rsid w:val="001D5FC7"/>
    <w:rsid w:val="001D6139"/>
    <w:rsid w:val="001D63D0"/>
    <w:rsid w:val="001D6714"/>
    <w:rsid w:val="001D70D6"/>
    <w:rsid w:val="001D7288"/>
    <w:rsid w:val="001D7598"/>
    <w:rsid w:val="001D78C3"/>
    <w:rsid w:val="001D7A20"/>
    <w:rsid w:val="001E00B6"/>
    <w:rsid w:val="001E04BC"/>
    <w:rsid w:val="001E0DC2"/>
    <w:rsid w:val="001E1043"/>
    <w:rsid w:val="001E1DB7"/>
    <w:rsid w:val="001E1E00"/>
    <w:rsid w:val="001E2412"/>
    <w:rsid w:val="001E28B4"/>
    <w:rsid w:val="001E31A0"/>
    <w:rsid w:val="001E3629"/>
    <w:rsid w:val="001E3E6C"/>
    <w:rsid w:val="001E43CC"/>
    <w:rsid w:val="001E4891"/>
    <w:rsid w:val="001E48EA"/>
    <w:rsid w:val="001E4DBB"/>
    <w:rsid w:val="001E4FC4"/>
    <w:rsid w:val="001E51A2"/>
    <w:rsid w:val="001E57CA"/>
    <w:rsid w:val="001E5962"/>
    <w:rsid w:val="001E5C0A"/>
    <w:rsid w:val="001E60DC"/>
    <w:rsid w:val="001E6421"/>
    <w:rsid w:val="001E6674"/>
    <w:rsid w:val="001E6D8A"/>
    <w:rsid w:val="001E70EA"/>
    <w:rsid w:val="001F0092"/>
    <w:rsid w:val="001F0A24"/>
    <w:rsid w:val="001F0A5E"/>
    <w:rsid w:val="001F0A72"/>
    <w:rsid w:val="001F0DCA"/>
    <w:rsid w:val="001F1529"/>
    <w:rsid w:val="001F302E"/>
    <w:rsid w:val="001F3657"/>
    <w:rsid w:val="001F44D3"/>
    <w:rsid w:val="001F4765"/>
    <w:rsid w:val="001F4AC2"/>
    <w:rsid w:val="001F502C"/>
    <w:rsid w:val="001F5040"/>
    <w:rsid w:val="001F58C9"/>
    <w:rsid w:val="001F5BF9"/>
    <w:rsid w:val="001F5C06"/>
    <w:rsid w:val="001F618A"/>
    <w:rsid w:val="001F6460"/>
    <w:rsid w:val="001F6826"/>
    <w:rsid w:val="001F71E0"/>
    <w:rsid w:val="001F746E"/>
    <w:rsid w:val="001F797E"/>
    <w:rsid w:val="001F79DC"/>
    <w:rsid w:val="001F7EDD"/>
    <w:rsid w:val="00200ED3"/>
    <w:rsid w:val="0020149E"/>
    <w:rsid w:val="00201C70"/>
    <w:rsid w:val="00201D10"/>
    <w:rsid w:val="0020269C"/>
    <w:rsid w:val="0020272B"/>
    <w:rsid w:val="00202BB0"/>
    <w:rsid w:val="00202D57"/>
    <w:rsid w:val="00202EE1"/>
    <w:rsid w:val="00202F7A"/>
    <w:rsid w:val="002030BD"/>
    <w:rsid w:val="00203220"/>
    <w:rsid w:val="0020352B"/>
    <w:rsid w:val="002037D5"/>
    <w:rsid w:val="002038C1"/>
    <w:rsid w:val="00203955"/>
    <w:rsid w:val="00203EAF"/>
    <w:rsid w:val="002040B8"/>
    <w:rsid w:val="0020429E"/>
    <w:rsid w:val="00204843"/>
    <w:rsid w:val="002048EC"/>
    <w:rsid w:val="002049AB"/>
    <w:rsid w:val="00204B9C"/>
    <w:rsid w:val="00204C2B"/>
    <w:rsid w:val="00204C72"/>
    <w:rsid w:val="002054FC"/>
    <w:rsid w:val="0020581C"/>
    <w:rsid w:val="00205B11"/>
    <w:rsid w:val="002071C2"/>
    <w:rsid w:val="00207596"/>
    <w:rsid w:val="0020788F"/>
    <w:rsid w:val="00207E74"/>
    <w:rsid w:val="00207F3D"/>
    <w:rsid w:val="00210137"/>
    <w:rsid w:val="00210363"/>
    <w:rsid w:val="00210499"/>
    <w:rsid w:val="00210B5C"/>
    <w:rsid w:val="00210C96"/>
    <w:rsid w:val="00211075"/>
    <w:rsid w:val="00211161"/>
    <w:rsid w:val="00211938"/>
    <w:rsid w:val="0021199B"/>
    <w:rsid w:val="00212101"/>
    <w:rsid w:val="0021266C"/>
    <w:rsid w:val="00212B57"/>
    <w:rsid w:val="00213177"/>
    <w:rsid w:val="00213731"/>
    <w:rsid w:val="00213B2D"/>
    <w:rsid w:val="00214138"/>
    <w:rsid w:val="002146AD"/>
    <w:rsid w:val="002146FB"/>
    <w:rsid w:val="00215E28"/>
    <w:rsid w:val="00215E95"/>
    <w:rsid w:val="00215FB5"/>
    <w:rsid w:val="00216141"/>
    <w:rsid w:val="002167E2"/>
    <w:rsid w:val="002174E7"/>
    <w:rsid w:val="00217ADF"/>
    <w:rsid w:val="00217BE7"/>
    <w:rsid w:val="00217C54"/>
    <w:rsid w:val="00217CC9"/>
    <w:rsid w:val="00220395"/>
    <w:rsid w:val="00220576"/>
    <w:rsid w:val="00221946"/>
    <w:rsid w:val="00221E74"/>
    <w:rsid w:val="00221FA0"/>
    <w:rsid w:val="00222DA6"/>
    <w:rsid w:val="00222F48"/>
    <w:rsid w:val="002230AD"/>
    <w:rsid w:val="002239F4"/>
    <w:rsid w:val="00224547"/>
    <w:rsid w:val="00224677"/>
    <w:rsid w:val="0022477D"/>
    <w:rsid w:val="002247B9"/>
    <w:rsid w:val="002257BF"/>
    <w:rsid w:val="00226225"/>
    <w:rsid w:val="0022661F"/>
    <w:rsid w:val="00226A73"/>
    <w:rsid w:val="00226BA1"/>
    <w:rsid w:val="00226BF6"/>
    <w:rsid w:val="0022738F"/>
    <w:rsid w:val="00227DFA"/>
    <w:rsid w:val="00230259"/>
    <w:rsid w:val="00230E0A"/>
    <w:rsid w:val="00231782"/>
    <w:rsid w:val="00231C8D"/>
    <w:rsid w:val="00232046"/>
    <w:rsid w:val="002322AD"/>
    <w:rsid w:val="0023231E"/>
    <w:rsid w:val="0023294F"/>
    <w:rsid w:val="00232A00"/>
    <w:rsid w:val="00232BD5"/>
    <w:rsid w:val="00232D3E"/>
    <w:rsid w:val="00232D99"/>
    <w:rsid w:val="002338FF"/>
    <w:rsid w:val="00233B50"/>
    <w:rsid w:val="00234067"/>
    <w:rsid w:val="00234147"/>
    <w:rsid w:val="002347B3"/>
    <w:rsid w:val="002348A9"/>
    <w:rsid w:val="0023491A"/>
    <w:rsid w:val="00234DEF"/>
    <w:rsid w:val="002353F9"/>
    <w:rsid w:val="002358F5"/>
    <w:rsid w:val="00235C2B"/>
    <w:rsid w:val="00235FBB"/>
    <w:rsid w:val="00236187"/>
    <w:rsid w:val="0023624D"/>
    <w:rsid w:val="0023632A"/>
    <w:rsid w:val="00236CC3"/>
    <w:rsid w:val="00236F82"/>
    <w:rsid w:val="002373DE"/>
    <w:rsid w:val="002376D9"/>
    <w:rsid w:val="00237A47"/>
    <w:rsid w:val="00240884"/>
    <w:rsid w:val="002409BC"/>
    <w:rsid w:val="0024178C"/>
    <w:rsid w:val="002419AD"/>
    <w:rsid w:val="00242651"/>
    <w:rsid w:val="00242DCD"/>
    <w:rsid w:val="00242E7E"/>
    <w:rsid w:val="0024311B"/>
    <w:rsid w:val="00243399"/>
    <w:rsid w:val="002435D8"/>
    <w:rsid w:val="00243A45"/>
    <w:rsid w:val="00243CB1"/>
    <w:rsid w:val="00244166"/>
    <w:rsid w:val="002443A2"/>
    <w:rsid w:val="002445E5"/>
    <w:rsid w:val="002448CB"/>
    <w:rsid w:val="00244DDC"/>
    <w:rsid w:val="0024522B"/>
    <w:rsid w:val="00245568"/>
    <w:rsid w:val="00245762"/>
    <w:rsid w:val="0024650B"/>
    <w:rsid w:val="00246620"/>
    <w:rsid w:val="00246B20"/>
    <w:rsid w:val="00246CD2"/>
    <w:rsid w:val="00246CD8"/>
    <w:rsid w:val="00246FF0"/>
    <w:rsid w:val="002478A1"/>
    <w:rsid w:val="00247DAF"/>
    <w:rsid w:val="002508AB"/>
    <w:rsid w:val="00250A5F"/>
    <w:rsid w:val="00251326"/>
    <w:rsid w:val="00251AD4"/>
    <w:rsid w:val="002526A5"/>
    <w:rsid w:val="00252DEC"/>
    <w:rsid w:val="002533C2"/>
    <w:rsid w:val="00253696"/>
    <w:rsid w:val="002536AC"/>
    <w:rsid w:val="00253C6D"/>
    <w:rsid w:val="00253E45"/>
    <w:rsid w:val="0025402C"/>
    <w:rsid w:val="002543D9"/>
    <w:rsid w:val="002543FA"/>
    <w:rsid w:val="0025562D"/>
    <w:rsid w:val="00255632"/>
    <w:rsid w:val="0025600C"/>
    <w:rsid w:val="0025626D"/>
    <w:rsid w:val="00256560"/>
    <w:rsid w:val="00256624"/>
    <w:rsid w:val="00256E35"/>
    <w:rsid w:val="00256F62"/>
    <w:rsid w:val="002573B6"/>
    <w:rsid w:val="00257A9A"/>
    <w:rsid w:val="00257F30"/>
    <w:rsid w:val="002600A1"/>
    <w:rsid w:val="00260CB3"/>
    <w:rsid w:val="00260D1B"/>
    <w:rsid w:val="0026126C"/>
    <w:rsid w:val="0026181D"/>
    <w:rsid w:val="00261BE8"/>
    <w:rsid w:val="00261C7F"/>
    <w:rsid w:val="00261CDC"/>
    <w:rsid w:val="00261D7D"/>
    <w:rsid w:val="00261E40"/>
    <w:rsid w:val="0026258F"/>
    <w:rsid w:val="0026294A"/>
    <w:rsid w:val="00262ACE"/>
    <w:rsid w:val="00262B31"/>
    <w:rsid w:val="002633AF"/>
    <w:rsid w:val="002635FC"/>
    <w:rsid w:val="00263A79"/>
    <w:rsid w:val="002640C6"/>
    <w:rsid w:val="0026512D"/>
    <w:rsid w:val="002654E5"/>
    <w:rsid w:val="00265C0D"/>
    <w:rsid w:val="00265DE2"/>
    <w:rsid w:val="00266049"/>
    <w:rsid w:val="0026655E"/>
    <w:rsid w:val="00266EB6"/>
    <w:rsid w:val="002671CE"/>
    <w:rsid w:val="0026756C"/>
    <w:rsid w:val="00267632"/>
    <w:rsid w:val="002676DE"/>
    <w:rsid w:val="00267B16"/>
    <w:rsid w:val="0027011C"/>
    <w:rsid w:val="0027017D"/>
    <w:rsid w:val="00270243"/>
    <w:rsid w:val="00270435"/>
    <w:rsid w:val="00270817"/>
    <w:rsid w:val="00270E72"/>
    <w:rsid w:val="002712A7"/>
    <w:rsid w:val="002715E9"/>
    <w:rsid w:val="0027194F"/>
    <w:rsid w:val="00272073"/>
    <w:rsid w:val="0027240B"/>
    <w:rsid w:val="002725C1"/>
    <w:rsid w:val="00272608"/>
    <w:rsid w:val="002729DA"/>
    <w:rsid w:val="00272A50"/>
    <w:rsid w:val="00272E41"/>
    <w:rsid w:val="002737F3"/>
    <w:rsid w:val="0027394E"/>
    <w:rsid w:val="002743CC"/>
    <w:rsid w:val="00274774"/>
    <w:rsid w:val="00274C38"/>
    <w:rsid w:val="00274DED"/>
    <w:rsid w:val="00274E8B"/>
    <w:rsid w:val="00275003"/>
    <w:rsid w:val="002753CD"/>
    <w:rsid w:val="00275582"/>
    <w:rsid w:val="002755F3"/>
    <w:rsid w:val="00275B5A"/>
    <w:rsid w:val="00275C7B"/>
    <w:rsid w:val="002764A4"/>
    <w:rsid w:val="00276BA4"/>
    <w:rsid w:val="00276F47"/>
    <w:rsid w:val="002772B9"/>
    <w:rsid w:val="0027759D"/>
    <w:rsid w:val="00277CC4"/>
    <w:rsid w:val="002800C2"/>
    <w:rsid w:val="002803BA"/>
    <w:rsid w:val="002810E7"/>
    <w:rsid w:val="002811DB"/>
    <w:rsid w:val="00281663"/>
    <w:rsid w:val="00281969"/>
    <w:rsid w:val="00281C53"/>
    <w:rsid w:val="002824F6"/>
    <w:rsid w:val="002826B7"/>
    <w:rsid w:val="002827BC"/>
    <w:rsid w:val="00282F5E"/>
    <w:rsid w:val="002834F2"/>
    <w:rsid w:val="00283607"/>
    <w:rsid w:val="00283E5C"/>
    <w:rsid w:val="00283EA9"/>
    <w:rsid w:val="00283F74"/>
    <w:rsid w:val="00284456"/>
    <w:rsid w:val="00284B9E"/>
    <w:rsid w:val="00284D31"/>
    <w:rsid w:val="002851ED"/>
    <w:rsid w:val="002857D1"/>
    <w:rsid w:val="00285E1F"/>
    <w:rsid w:val="002865BE"/>
    <w:rsid w:val="00286822"/>
    <w:rsid w:val="00287648"/>
    <w:rsid w:val="0028764D"/>
    <w:rsid w:val="00287757"/>
    <w:rsid w:val="0028799A"/>
    <w:rsid w:val="00287FB4"/>
    <w:rsid w:val="002901CD"/>
    <w:rsid w:val="002909EC"/>
    <w:rsid w:val="00290F89"/>
    <w:rsid w:val="002912EE"/>
    <w:rsid w:val="00291A00"/>
    <w:rsid w:val="00291AE2"/>
    <w:rsid w:val="00291ED7"/>
    <w:rsid w:val="00292043"/>
    <w:rsid w:val="00292442"/>
    <w:rsid w:val="00292CBF"/>
    <w:rsid w:val="002931BB"/>
    <w:rsid w:val="00293B14"/>
    <w:rsid w:val="00294229"/>
    <w:rsid w:val="00294B76"/>
    <w:rsid w:val="00294D4E"/>
    <w:rsid w:val="002952FF"/>
    <w:rsid w:val="002953E2"/>
    <w:rsid w:val="0029579B"/>
    <w:rsid w:val="00295C3A"/>
    <w:rsid w:val="00295D7D"/>
    <w:rsid w:val="0029684C"/>
    <w:rsid w:val="00296ABF"/>
    <w:rsid w:val="00296C8A"/>
    <w:rsid w:val="002975D7"/>
    <w:rsid w:val="002977C9"/>
    <w:rsid w:val="00297C2D"/>
    <w:rsid w:val="002A00B5"/>
    <w:rsid w:val="002A0644"/>
    <w:rsid w:val="002A0874"/>
    <w:rsid w:val="002A0A44"/>
    <w:rsid w:val="002A0EA0"/>
    <w:rsid w:val="002A11B8"/>
    <w:rsid w:val="002A120A"/>
    <w:rsid w:val="002A1238"/>
    <w:rsid w:val="002A175E"/>
    <w:rsid w:val="002A1929"/>
    <w:rsid w:val="002A1ACC"/>
    <w:rsid w:val="002A22EF"/>
    <w:rsid w:val="002A2635"/>
    <w:rsid w:val="002A2674"/>
    <w:rsid w:val="002A26A8"/>
    <w:rsid w:val="002A29C4"/>
    <w:rsid w:val="002A3D3F"/>
    <w:rsid w:val="002A4163"/>
    <w:rsid w:val="002A4E2C"/>
    <w:rsid w:val="002A4F98"/>
    <w:rsid w:val="002A5072"/>
    <w:rsid w:val="002A66A3"/>
    <w:rsid w:val="002A68C1"/>
    <w:rsid w:val="002A6BD5"/>
    <w:rsid w:val="002A73A1"/>
    <w:rsid w:val="002A7825"/>
    <w:rsid w:val="002A7ACA"/>
    <w:rsid w:val="002A7D81"/>
    <w:rsid w:val="002B0874"/>
    <w:rsid w:val="002B0D60"/>
    <w:rsid w:val="002B0D9C"/>
    <w:rsid w:val="002B118F"/>
    <w:rsid w:val="002B11C6"/>
    <w:rsid w:val="002B1542"/>
    <w:rsid w:val="002B23F8"/>
    <w:rsid w:val="002B34A6"/>
    <w:rsid w:val="002B42A3"/>
    <w:rsid w:val="002B495F"/>
    <w:rsid w:val="002B4A7C"/>
    <w:rsid w:val="002B4D46"/>
    <w:rsid w:val="002B4DA9"/>
    <w:rsid w:val="002B4EE1"/>
    <w:rsid w:val="002B6142"/>
    <w:rsid w:val="002B6B22"/>
    <w:rsid w:val="002B6DE8"/>
    <w:rsid w:val="002B6EF1"/>
    <w:rsid w:val="002B6FA3"/>
    <w:rsid w:val="002B7185"/>
    <w:rsid w:val="002B742D"/>
    <w:rsid w:val="002B78E8"/>
    <w:rsid w:val="002B790E"/>
    <w:rsid w:val="002B79D7"/>
    <w:rsid w:val="002B7B5A"/>
    <w:rsid w:val="002B7D64"/>
    <w:rsid w:val="002C0033"/>
    <w:rsid w:val="002C02B3"/>
    <w:rsid w:val="002C077D"/>
    <w:rsid w:val="002C0CB0"/>
    <w:rsid w:val="002C1195"/>
    <w:rsid w:val="002C15CB"/>
    <w:rsid w:val="002C19D2"/>
    <w:rsid w:val="002C19FC"/>
    <w:rsid w:val="002C2658"/>
    <w:rsid w:val="002C2A75"/>
    <w:rsid w:val="002C308A"/>
    <w:rsid w:val="002C37A5"/>
    <w:rsid w:val="002C3DB2"/>
    <w:rsid w:val="002C4C01"/>
    <w:rsid w:val="002C52D2"/>
    <w:rsid w:val="002C55A7"/>
    <w:rsid w:val="002C563D"/>
    <w:rsid w:val="002C5AEF"/>
    <w:rsid w:val="002C5C70"/>
    <w:rsid w:val="002C5D9A"/>
    <w:rsid w:val="002C65F7"/>
    <w:rsid w:val="002C67BA"/>
    <w:rsid w:val="002C6858"/>
    <w:rsid w:val="002C687F"/>
    <w:rsid w:val="002C6E2D"/>
    <w:rsid w:val="002C7140"/>
    <w:rsid w:val="002C760A"/>
    <w:rsid w:val="002C76FE"/>
    <w:rsid w:val="002D10C1"/>
    <w:rsid w:val="002D11F9"/>
    <w:rsid w:val="002D19B7"/>
    <w:rsid w:val="002D19CD"/>
    <w:rsid w:val="002D1BB5"/>
    <w:rsid w:val="002D1FCF"/>
    <w:rsid w:val="002D21C9"/>
    <w:rsid w:val="002D2236"/>
    <w:rsid w:val="002D2371"/>
    <w:rsid w:val="002D2419"/>
    <w:rsid w:val="002D2577"/>
    <w:rsid w:val="002D2A80"/>
    <w:rsid w:val="002D2AB4"/>
    <w:rsid w:val="002D2BC2"/>
    <w:rsid w:val="002D2D1D"/>
    <w:rsid w:val="002D2DDC"/>
    <w:rsid w:val="002D32B7"/>
    <w:rsid w:val="002D37EE"/>
    <w:rsid w:val="002D3AA2"/>
    <w:rsid w:val="002D3CFB"/>
    <w:rsid w:val="002D47B6"/>
    <w:rsid w:val="002D4B23"/>
    <w:rsid w:val="002D5000"/>
    <w:rsid w:val="002D547A"/>
    <w:rsid w:val="002D5671"/>
    <w:rsid w:val="002D58B1"/>
    <w:rsid w:val="002D5C4E"/>
    <w:rsid w:val="002D630D"/>
    <w:rsid w:val="002D64F0"/>
    <w:rsid w:val="002D666C"/>
    <w:rsid w:val="002D6EEA"/>
    <w:rsid w:val="002D71E0"/>
    <w:rsid w:val="002D7AA5"/>
    <w:rsid w:val="002E0178"/>
    <w:rsid w:val="002E03B0"/>
    <w:rsid w:val="002E07C4"/>
    <w:rsid w:val="002E0B0F"/>
    <w:rsid w:val="002E0ED2"/>
    <w:rsid w:val="002E0EE7"/>
    <w:rsid w:val="002E1116"/>
    <w:rsid w:val="002E143F"/>
    <w:rsid w:val="002E1781"/>
    <w:rsid w:val="002E17E8"/>
    <w:rsid w:val="002E1AED"/>
    <w:rsid w:val="002E1B9B"/>
    <w:rsid w:val="002E22BE"/>
    <w:rsid w:val="002E22C4"/>
    <w:rsid w:val="002E2436"/>
    <w:rsid w:val="002E3000"/>
    <w:rsid w:val="002E300B"/>
    <w:rsid w:val="002E3498"/>
    <w:rsid w:val="002E34C5"/>
    <w:rsid w:val="002E3829"/>
    <w:rsid w:val="002E3B71"/>
    <w:rsid w:val="002E462F"/>
    <w:rsid w:val="002E4A39"/>
    <w:rsid w:val="002E4E4D"/>
    <w:rsid w:val="002E53B4"/>
    <w:rsid w:val="002E5553"/>
    <w:rsid w:val="002E581A"/>
    <w:rsid w:val="002E5D33"/>
    <w:rsid w:val="002E5E0C"/>
    <w:rsid w:val="002E627C"/>
    <w:rsid w:val="002E6414"/>
    <w:rsid w:val="002E6528"/>
    <w:rsid w:val="002E660A"/>
    <w:rsid w:val="002E6CAF"/>
    <w:rsid w:val="002E7216"/>
    <w:rsid w:val="002E73DB"/>
    <w:rsid w:val="002E7557"/>
    <w:rsid w:val="002E78C1"/>
    <w:rsid w:val="002F03C7"/>
    <w:rsid w:val="002F07A6"/>
    <w:rsid w:val="002F07E4"/>
    <w:rsid w:val="002F0FDE"/>
    <w:rsid w:val="002F1144"/>
    <w:rsid w:val="002F129E"/>
    <w:rsid w:val="002F15F9"/>
    <w:rsid w:val="002F19BF"/>
    <w:rsid w:val="002F1A07"/>
    <w:rsid w:val="002F1E3D"/>
    <w:rsid w:val="002F2DC3"/>
    <w:rsid w:val="002F2F06"/>
    <w:rsid w:val="002F30CF"/>
    <w:rsid w:val="002F34FB"/>
    <w:rsid w:val="002F3731"/>
    <w:rsid w:val="002F41ED"/>
    <w:rsid w:val="002F4766"/>
    <w:rsid w:val="002F4CA4"/>
    <w:rsid w:val="002F4EDD"/>
    <w:rsid w:val="002F502A"/>
    <w:rsid w:val="002F5105"/>
    <w:rsid w:val="002F647B"/>
    <w:rsid w:val="002F7016"/>
    <w:rsid w:val="002F73A1"/>
    <w:rsid w:val="003005C8"/>
    <w:rsid w:val="00300A07"/>
    <w:rsid w:val="00300DB5"/>
    <w:rsid w:val="0030113D"/>
    <w:rsid w:val="00301647"/>
    <w:rsid w:val="003017C6"/>
    <w:rsid w:val="0030192B"/>
    <w:rsid w:val="0030257E"/>
    <w:rsid w:val="0030259D"/>
    <w:rsid w:val="00302A0C"/>
    <w:rsid w:val="00302CDE"/>
    <w:rsid w:val="00303624"/>
    <w:rsid w:val="00303905"/>
    <w:rsid w:val="0030427C"/>
    <w:rsid w:val="00304AC1"/>
    <w:rsid w:val="00304CF9"/>
    <w:rsid w:val="003053E2"/>
    <w:rsid w:val="00305D81"/>
    <w:rsid w:val="00306043"/>
    <w:rsid w:val="003060A8"/>
    <w:rsid w:val="00306209"/>
    <w:rsid w:val="00306252"/>
    <w:rsid w:val="0030714E"/>
    <w:rsid w:val="003079F0"/>
    <w:rsid w:val="00307BA4"/>
    <w:rsid w:val="00307C2A"/>
    <w:rsid w:val="0031041C"/>
    <w:rsid w:val="0031053E"/>
    <w:rsid w:val="003107DA"/>
    <w:rsid w:val="0031091E"/>
    <w:rsid w:val="00310A9A"/>
    <w:rsid w:val="003119A5"/>
    <w:rsid w:val="0031211F"/>
    <w:rsid w:val="0031266F"/>
    <w:rsid w:val="00312A7C"/>
    <w:rsid w:val="00312C7B"/>
    <w:rsid w:val="003134AD"/>
    <w:rsid w:val="00313755"/>
    <w:rsid w:val="00313A63"/>
    <w:rsid w:val="00315142"/>
    <w:rsid w:val="00315198"/>
    <w:rsid w:val="003155D0"/>
    <w:rsid w:val="003159C5"/>
    <w:rsid w:val="003159F6"/>
    <w:rsid w:val="00315DC5"/>
    <w:rsid w:val="0031680B"/>
    <w:rsid w:val="0031685C"/>
    <w:rsid w:val="00316C52"/>
    <w:rsid w:val="00316DFD"/>
    <w:rsid w:val="00316E33"/>
    <w:rsid w:val="00316EE4"/>
    <w:rsid w:val="003172A7"/>
    <w:rsid w:val="003173BB"/>
    <w:rsid w:val="00317D2D"/>
    <w:rsid w:val="00317F17"/>
    <w:rsid w:val="00320BBE"/>
    <w:rsid w:val="00321517"/>
    <w:rsid w:val="00321A79"/>
    <w:rsid w:val="0032293A"/>
    <w:rsid w:val="00322BB9"/>
    <w:rsid w:val="00323059"/>
    <w:rsid w:val="00323503"/>
    <w:rsid w:val="00324172"/>
    <w:rsid w:val="00324524"/>
    <w:rsid w:val="00325018"/>
    <w:rsid w:val="00325069"/>
    <w:rsid w:val="00325438"/>
    <w:rsid w:val="003254A4"/>
    <w:rsid w:val="003255F2"/>
    <w:rsid w:val="0032565E"/>
    <w:rsid w:val="0032581C"/>
    <w:rsid w:val="00325A9E"/>
    <w:rsid w:val="00325DB2"/>
    <w:rsid w:val="00325E0A"/>
    <w:rsid w:val="00326A25"/>
    <w:rsid w:val="00326A65"/>
    <w:rsid w:val="00326B4E"/>
    <w:rsid w:val="00326E64"/>
    <w:rsid w:val="0032727C"/>
    <w:rsid w:val="00327613"/>
    <w:rsid w:val="003278BA"/>
    <w:rsid w:val="00327AC2"/>
    <w:rsid w:val="003306A2"/>
    <w:rsid w:val="00330D46"/>
    <w:rsid w:val="00330D85"/>
    <w:rsid w:val="00330FD7"/>
    <w:rsid w:val="00331625"/>
    <w:rsid w:val="00331931"/>
    <w:rsid w:val="00331A2A"/>
    <w:rsid w:val="00331C3A"/>
    <w:rsid w:val="00332CA8"/>
    <w:rsid w:val="003337C6"/>
    <w:rsid w:val="003339F5"/>
    <w:rsid w:val="00333D25"/>
    <w:rsid w:val="003341F2"/>
    <w:rsid w:val="0033440F"/>
    <w:rsid w:val="003347F7"/>
    <w:rsid w:val="0033628F"/>
    <w:rsid w:val="0033686F"/>
    <w:rsid w:val="00336FF9"/>
    <w:rsid w:val="00337111"/>
    <w:rsid w:val="00337408"/>
    <w:rsid w:val="00337868"/>
    <w:rsid w:val="00337B74"/>
    <w:rsid w:val="00337BA7"/>
    <w:rsid w:val="00337CDF"/>
    <w:rsid w:val="00337D06"/>
    <w:rsid w:val="00337D68"/>
    <w:rsid w:val="00337EF2"/>
    <w:rsid w:val="00340100"/>
    <w:rsid w:val="0034053A"/>
    <w:rsid w:val="003408F0"/>
    <w:rsid w:val="00340E7C"/>
    <w:rsid w:val="00340F88"/>
    <w:rsid w:val="00341D4C"/>
    <w:rsid w:val="00341F59"/>
    <w:rsid w:val="0034207F"/>
    <w:rsid w:val="00342297"/>
    <w:rsid w:val="003425C3"/>
    <w:rsid w:val="00343098"/>
    <w:rsid w:val="00343100"/>
    <w:rsid w:val="003436D0"/>
    <w:rsid w:val="0034378D"/>
    <w:rsid w:val="00343F93"/>
    <w:rsid w:val="0034425D"/>
    <w:rsid w:val="0034436C"/>
    <w:rsid w:val="0034494D"/>
    <w:rsid w:val="00344AE2"/>
    <w:rsid w:val="00344B84"/>
    <w:rsid w:val="00344BF8"/>
    <w:rsid w:val="00344D6E"/>
    <w:rsid w:val="003456FF"/>
    <w:rsid w:val="0034597C"/>
    <w:rsid w:val="0034664B"/>
    <w:rsid w:val="003466DE"/>
    <w:rsid w:val="00346ADF"/>
    <w:rsid w:val="00347261"/>
    <w:rsid w:val="00347812"/>
    <w:rsid w:val="0034791B"/>
    <w:rsid w:val="00347C3F"/>
    <w:rsid w:val="0035040B"/>
    <w:rsid w:val="00350449"/>
    <w:rsid w:val="0035068B"/>
    <w:rsid w:val="00350EA0"/>
    <w:rsid w:val="003511E4"/>
    <w:rsid w:val="0035130F"/>
    <w:rsid w:val="00351996"/>
    <w:rsid w:val="00351B0C"/>
    <w:rsid w:val="00351E90"/>
    <w:rsid w:val="0035206E"/>
    <w:rsid w:val="00352E5F"/>
    <w:rsid w:val="00354044"/>
    <w:rsid w:val="0035444E"/>
    <w:rsid w:val="003548B0"/>
    <w:rsid w:val="00354A7F"/>
    <w:rsid w:val="003554BF"/>
    <w:rsid w:val="003557A7"/>
    <w:rsid w:val="00355826"/>
    <w:rsid w:val="003558F6"/>
    <w:rsid w:val="003559F4"/>
    <w:rsid w:val="00356026"/>
    <w:rsid w:val="003560FA"/>
    <w:rsid w:val="003563B4"/>
    <w:rsid w:val="003564B9"/>
    <w:rsid w:val="00356A79"/>
    <w:rsid w:val="00356D17"/>
    <w:rsid w:val="00356E73"/>
    <w:rsid w:val="00356F35"/>
    <w:rsid w:val="00357163"/>
    <w:rsid w:val="00357251"/>
    <w:rsid w:val="00357540"/>
    <w:rsid w:val="00357837"/>
    <w:rsid w:val="00357AF9"/>
    <w:rsid w:val="00357C82"/>
    <w:rsid w:val="00357FC6"/>
    <w:rsid w:val="003608FA"/>
    <w:rsid w:val="003609C1"/>
    <w:rsid w:val="0036126C"/>
    <w:rsid w:val="0036129D"/>
    <w:rsid w:val="00361C24"/>
    <w:rsid w:val="00361ECA"/>
    <w:rsid w:val="0036200D"/>
    <w:rsid w:val="00362253"/>
    <w:rsid w:val="00362304"/>
    <w:rsid w:val="0036258B"/>
    <w:rsid w:val="00362729"/>
    <w:rsid w:val="00362953"/>
    <w:rsid w:val="00362A66"/>
    <w:rsid w:val="00362B7F"/>
    <w:rsid w:val="00362BCD"/>
    <w:rsid w:val="003636D0"/>
    <w:rsid w:val="003636D4"/>
    <w:rsid w:val="00363CE7"/>
    <w:rsid w:val="00363F02"/>
    <w:rsid w:val="003642AD"/>
    <w:rsid w:val="00364559"/>
    <w:rsid w:val="00364E80"/>
    <w:rsid w:val="00365212"/>
    <w:rsid w:val="00365533"/>
    <w:rsid w:val="00365F08"/>
    <w:rsid w:val="00366E1B"/>
    <w:rsid w:val="0036747C"/>
    <w:rsid w:val="00367FA6"/>
    <w:rsid w:val="00370000"/>
    <w:rsid w:val="003702E7"/>
    <w:rsid w:val="00370510"/>
    <w:rsid w:val="00370562"/>
    <w:rsid w:val="00370C5B"/>
    <w:rsid w:val="00371008"/>
    <w:rsid w:val="00371054"/>
    <w:rsid w:val="003718C3"/>
    <w:rsid w:val="00371A0A"/>
    <w:rsid w:val="003724D5"/>
    <w:rsid w:val="003727CD"/>
    <w:rsid w:val="00372C55"/>
    <w:rsid w:val="003731E8"/>
    <w:rsid w:val="00373234"/>
    <w:rsid w:val="003732C9"/>
    <w:rsid w:val="00374A8B"/>
    <w:rsid w:val="003751AC"/>
    <w:rsid w:val="003753F7"/>
    <w:rsid w:val="003756A1"/>
    <w:rsid w:val="00375A74"/>
    <w:rsid w:val="00375DE3"/>
    <w:rsid w:val="003763C4"/>
    <w:rsid w:val="0037663F"/>
    <w:rsid w:val="00376B20"/>
    <w:rsid w:val="00376B27"/>
    <w:rsid w:val="00376FAE"/>
    <w:rsid w:val="00376FEE"/>
    <w:rsid w:val="0037727C"/>
    <w:rsid w:val="003773F0"/>
    <w:rsid w:val="003779C2"/>
    <w:rsid w:val="003803CA"/>
    <w:rsid w:val="00380438"/>
    <w:rsid w:val="0038051D"/>
    <w:rsid w:val="00380F86"/>
    <w:rsid w:val="00381263"/>
    <w:rsid w:val="00382403"/>
    <w:rsid w:val="003824AA"/>
    <w:rsid w:val="003825CA"/>
    <w:rsid w:val="00382986"/>
    <w:rsid w:val="00382AE8"/>
    <w:rsid w:val="00382F8B"/>
    <w:rsid w:val="003831A1"/>
    <w:rsid w:val="00383519"/>
    <w:rsid w:val="00383852"/>
    <w:rsid w:val="00383FF6"/>
    <w:rsid w:val="0038400F"/>
    <w:rsid w:val="00384ADF"/>
    <w:rsid w:val="00384EA1"/>
    <w:rsid w:val="00384FF4"/>
    <w:rsid w:val="0038559E"/>
    <w:rsid w:val="003855A3"/>
    <w:rsid w:val="003860F4"/>
    <w:rsid w:val="00386C3E"/>
    <w:rsid w:val="00387193"/>
    <w:rsid w:val="00387591"/>
    <w:rsid w:val="00390478"/>
    <w:rsid w:val="0039092B"/>
    <w:rsid w:val="00391039"/>
    <w:rsid w:val="003911FE"/>
    <w:rsid w:val="003912A1"/>
    <w:rsid w:val="00391842"/>
    <w:rsid w:val="00391B6B"/>
    <w:rsid w:val="00391D0B"/>
    <w:rsid w:val="0039205E"/>
    <w:rsid w:val="003927F1"/>
    <w:rsid w:val="00392CC0"/>
    <w:rsid w:val="00392F65"/>
    <w:rsid w:val="00392FF9"/>
    <w:rsid w:val="00393668"/>
    <w:rsid w:val="003938E3"/>
    <w:rsid w:val="00393C86"/>
    <w:rsid w:val="00393FAA"/>
    <w:rsid w:val="0039415F"/>
    <w:rsid w:val="003942C2"/>
    <w:rsid w:val="0039477E"/>
    <w:rsid w:val="00395423"/>
    <w:rsid w:val="003954A4"/>
    <w:rsid w:val="00395DD5"/>
    <w:rsid w:val="00396551"/>
    <w:rsid w:val="00396D03"/>
    <w:rsid w:val="00397044"/>
    <w:rsid w:val="003970D2"/>
    <w:rsid w:val="003972DF"/>
    <w:rsid w:val="003975FB"/>
    <w:rsid w:val="003978F8"/>
    <w:rsid w:val="003A023A"/>
    <w:rsid w:val="003A1006"/>
    <w:rsid w:val="003A1367"/>
    <w:rsid w:val="003A163E"/>
    <w:rsid w:val="003A1A2B"/>
    <w:rsid w:val="003A2BFF"/>
    <w:rsid w:val="003A2CD5"/>
    <w:rsid w:val="003A2FE3"/>
    <w:rsid w:val="003A3301"/>
    <w:rsid w:val="003A3ACA"/>
    <w:rsid w:val="003A3D27"/>
    <w:rsid w:val="003A3D8A"/>
    <w:rsid w:val="003A3E80"/>
    <w:rsid w:val="003A3F2F"/>
    <w:rsid w:val="003A414F"/>
    <w:rsid w:val="003A41CB"/>
    <w:rsid w:val="003A4666"/>
    <w:rsid w:val="003A4E80"/>
    <w:rsid w:val="003A4ED0"/>
    <w:rsid w:val="003A538F"/>
    <w:rsid w:val="003A5486"/>
    <w:rsid w:val="003A5963"/>
    <w:rsid w:val="003A5F8D"/>
    <w:rsid w:val="003A607D"/>
    <w:rsid w:val="003A6BBD"/>
    <w:rsid w:val="003A718D"/>
    <w:rsid w:val="003A726A"/>
    <w:rsid w:val="003A7302"/>
    <w:rsid w:val="003A7A52"/>
    <w:rsid w:val="003A7AFC"/>
    <w:rsid w:val="003A7D81"/>
    <w:rsid w:val="003A7D99"/>
    <w:rsid w:val="003A7E54"/>
    <w:rsid w:val="003A7E6D"/>
    <w:rsid w:val="003B02D1"/>
    <w:rsid w:val="003B0BB7"/>
    <w:rsid w:val="003B0FCB"/>
    <w:rsid w:val="003B1378"/>
    <w:rsid w:val="003B1381"/>
    <w:rsid w:val="003B139B"/>
    <w:rsid w:val="003B14C7"/>
    <w:rsid w:val="003B1994"/>
    <w:rsid w:val="003B1D62"/>
    <w:rsid w:val="003B1F39"/>
    <w:rsid w:val="003B1F47"/>
    <w:rsid w:val="003B23F9"/>
    <w:rsid w:val="003B2810"/>
    <w:rsid w:val="003B2908"/>
    <w:rsid w:val="003B2C2B"/>
    <w:rsid w:val="003B2E0D"/>
    <w:rsid w:val="003B2F4B"/>
    <w:rsid w:val="003B3190"/>
    <w:rsid w:val="003B351F"/>
    <w:rsid w:val="003B3A12"/>
    <w:rsid w:val="003B3E24"/>
    <w:rsid w:val="003B440C"/>
    <w:rsid w:val="003B443D"/>
    <w:rsid w:val="003B45CD"/>
    <w:rsid w:val="003B4750"/>
    <w:rsid w:val="003B4914"/>
    <w:rsid w:val="003B4AA5"/>
    <w:rsid w:val="003B4F75"/>
    <w:rsid w:val="003B509A"/>
    <w:rsid w:val="003B53BD"/>
    <w:rsid w:val="003B616E"/>
    <w:rsid w:val="003B6C97"/>
    <w:rsid w:val="003B6F81"/>
    <w:rsid w:val="003B71A1"/>
    <w:rsid w:val="003B74BE"/>
    <w:rsid w:val="003B75ED"/>
    <w:rsid w:val="003B7771"/>
    <w:rsid w:val="003B781C"/>
    <w:rsid w:val="003B7F8B"/>
    <w:rsid w:val="003C0A6C"/>
    <w:rsid w:val="003C1F69"/>
    <w:rsid w:val="003C25F9"/>
    <w:rsid w:val="003C2BDA"/>
    <w:rsid w:val="003C2C0D"/>
    <w:rsid w:val="003C2C66"/>
    <w:rsid w:val="003C300B"/>
    <w:rsid w:val="003C375E"/>
    <w:rsid w:val="003C39AC"/>
    <w:rsid w:val="003C3B00"/>
    <w:rsid w:val="003C3B57"/>
    <w:rsid w:val="003C3DBB"/>
    <w:rsid w:val="003C3F7A"/>
    <w:rsid w:val="003C4012"/>
    <w:rsid w:val="003C4808"/>
    <w:rsid w:val="003C4C80"/>
    <w:rsid w:val="003C52E1"/>
    <w:rsid w:val="003C5766"/>
    <w:rsid w:val="003C6705"/>
    <w:rsid w:val="003C7389"/>
    <w:rsid w:val="003C75D1"/>
    <w:rsid w:val="003C7903"/>
    <w:rsid w:val="003C79A2"/>
    <w:rsid w:val="003C7CB2"/>
    <w:rsid w:val="003C7D07"/>
    <w:rsid w:val="003C7E54"/>
    <w:rsid w:val="003C7F15"/>
    <w:rsid w:val="003D0B5F"/>
    <w:rsid w:val="003D15AF"/>
    <w:rsid w:val="003D17EA"/>
    <w:rsid w:val="003D1B95"/>
    <w:rsid w:val="003D1C9D"/>
    <w:rsid w:val="003D2373"/>
    <w:rsid w:val="003D244F"/>
    <w:rsid w:val="003D2615"/>
    <w:rsid w:val="003D2616"/>
    <w:rsid w:val="003D267B"/>
    <w:rsid w:val="003D2851"/>
    <w:rsid w:val="003D2ADC"/>
    <w:rsid w:val="003D2FC3"/>
    <w:rsid w:val="003D3329"/>
    <w:rsid w:val="003D3471"/>
    <w:rsid w:val="003D3DB8"/>
    <w:rsid w:val="003D3E51"/>
    <w:rsid w:val="003D3E83"/>
    <w:rsid w:val="003D3FBD"/>
    <w:rsid w:val="003D4029"/>
    <w:rsid w:val="003D4352"/>
    <w:rsid w:val="003D44EC"/>
    <w:rsid w:val="003D47F1"/>
    <w:rsid w:val="003D4BDF"/>
    <w:rsid w:val="003D4F8B"/>
    <w:rsid w:val="003D5293"/>
    <w:rsid w:val="003D5307"/>
    <w:rsid w:val="003D5BF0"/>
    <w:rsid w:val="003D5F32"/>
    <w:rsid w:val="003D6504"/>
    <w:rsid w:val="003D6672"/>
    <w:rsid w:val="003D66C9"/>
    <w:rsid w:val="003D6A13"/>
    <w:rsid w:val="003D6ADB"/>
    <w:rsid w:val="003D6C87"/>
    <w:rsid w:val="003D707C"/>
    <w:rsid w:val="003D70B4"/>
    <w:rsid w:val="003D70C8"/>
    <w:rsid w:val="003D728C"/>
    <w:rsid w:val="003D7D8B"/>
    <w:rsid w:val="003E07CC"/>
    <w:rsid w:val="003E07D5"/>
    <w:rsid w:val="003E0F81"/>
    <w:rsid w:val="003E139F"/>
    <w:rsid w:val="003E1B6C"/>
    <w:rsid w:val="003E1BAD"/>
    <w:rsid w:val="003E1F1B"/>
    <w:rsid w:val="003E240E"/>
    <w:rsid w:val="003E26E7"/>
    <w:rsid w:val="003E2D24"/>
    <w:rsid w:val="003E2FDD"/>
    <w:rsid w:val="003E2FEB"/>
    <w:rsid w:val="003E329B"/>
    <w:rsid w:val="003E3613"/>
    <w:rsid w:val="003E3B8B"/>
    <w:rsid w:val="003E3C6C"/>
    <w:rsid w:val="003E41CE"/>
    <w:rsid w:val="003E4581"/>
    <w:rsid w:val="003E4583"/>
    <w:rsid w:val="003E4645"/>
    <w:rsid w:val="003E4809"/>
    <w:rsid w:val="003E48F1"/>
    <w:rsid w:val="003E5011"/>
    <w:rsid w:val="003E5496"/>
    <w:rsid w:val="003E55A4"/>
    <w:rsid w:val="003E579C"/>
    <w:rsid w:val="003E6593"/>
    <w:rsid w:val="003E6FEB"/>
    <w:rsid w:val="003E7163"/>
    <w:rsid w:val="003E78FF"/>
    <w:rsid w:val="003E7911"/>
    <w:rsid w:val="003E794E"/>
    <w:rsid w:val="003E7A58"/>
    <w:rsid w:val="003F009A"/>
    <w:rsid w:val="003F06E2"/>
    <w:rsid w:val="003F0C2C"/>
    <w:rsid w:val="003F0C6C"/>
    <w:rsid w:val="003F12FB"/>
    <w:rsid w:val="003F1A32"/>
    <w:rsid w:val="003F1A90"/>
    <w:rsid w:val="003F1DFD"/>
    <w:rsid w:val="003F1ED4"/>
    <w:rsid w:val="003F273F"/>
    <w:rsid w:val="003F2C95"/>
    <w:rsid w:val="003F3345"/>
    <w:rsid w:val="003F3506"/>
    <w:rsid w:val="003F38A2"/>
    <w:rsid w:val="003F3A15"/>
    <w:rsid w:val="003F3A41"/>
    <w:rsid w:val="003F3FCF"/>
    <w:rsid w:val="003F40E4"/>
    <w:rsid w:val="003F449D"/>
    <w:rsid w:val="003F4A1D"/>
    <w:rsid w:val="003F4EEF"/>
    <w:rsid w:val="003F5080"/>
    <w:rsid w:val="003F5238"/>
    <w:rsid w:val="003F54BE"/>
    <w:rsid w:val="003F56B7"/>
    <w:rsid w:val="003F5894"/>
    <w:rsid w:val="003F5A35"/>
    <w:rsid w:val="003F5A41"/>
    <w:rsid w:val="003F603C"/>
    <w:rsid w:val="003F62D9"/>
    <w:rsid w:val="003F65C2"/>
    <w:rsid w:val="003F6637"/>
    <w:rsid w:val="003F6BDD"/>
    <w:rsid w:val="003F774D"/>
    <w:rsid w:val="003F782D"/>
    <w:rsid w:val="003F7C1A"/>
    <w:rsid w:val="003F7EFB"/>
    <w:rsid w:val="0040031D"/>
    <w:rsid w:val="004012A4"/>
    <w:rsid w:val="004015D8"/>
    <w:rsid w:val="00401654"/>
    <w:rsid w:val="00401AC2"/>
    <w:rsid w:val="00401BF0"/>
    <w:rsid w:val="004024A9"/>
    <w:rsid w:val="004028D1"/>
    <w:rsid w:val="0040292D"/>
    <w:rsid w:val="00402A47"/>
    <w:rsid w:val="00402CE5"/>
    <w:rsid w:val="00402D6E"/>
    <w:rsid w:val="00402EC0"/>
    <w:rsid w:val="0040304E"/>
    <w:rsid w:val="004030D9"/>
    <w:rsid w:val="0040337A"/>
    <w:rsid w:val="00403413"/>
    <w:rsid w:val="004034E3"/>
    <w:rsid w:val="004035F7"/>
    <w:rsid w:val="0040367F"/>
    <w:rsid w:val="00403C26"/>
    <w:rsid w:val="00403D9C"/>
    <w:rsid w:val="00403E7D"/>
    <w:rsid w:val="00403EE8"/>
    <w:rsid w:val="00404836"/>
    <w:rsid w:val="00404DEE"/>
    <w:rsid w:val="00405A58"/>
    <w:rsid w:val="00405B4F"/>
    <w:rsid w:val="00406878"/>
    <w:rsid w:val="00406CF0"/>
    <w:rsid w:val="00406FCB"/>
    <w:rsid w:val="00406FD8"/>
    <w:rsid w:val="0040743E"/>
    <w:rsid w:val="004074A8"/>
    <w:rsid w:val="00407552"/>
    <w:rsid w:val="0040777B"/>
    <w:rsid w:val="00407885"/>
    <w:rsid w:val="00407C35"/>
    <w:rsid w:val="00407DC9"/>
    <w:rsid w:val="004100F3"/>
    <w:rsid w:val="004104D3"/>
    <w:rsid w:val="0041273B"/>
    <w:rsid w:val="0041289D"/>
    <w:rsid w:val="0041321E"/>
    <w:rsid w:val="004134F6"/>
    <w:rsid w:val="00413E2F"/>
    <w:rsid w:val="00413E70"/>
    <w:rsid w:val="00414C7D"/>
    <w:rsid w:val="00414F4F"/>
    <w:rsid w:val="00415693"/>
    <w:rsid w:val="00415D09"/>
    <w:rsid w:val="00416180"/>
    <w:rsid w:val="00416661"/>
    <w:rsid w:val="00416FC0"/>
    <w:rsid w:val="00417039"/>
    <w:rsid w:val="00417333"/>
    <w:rsid w:val="004178B0"/>
    <w:rsid w:val="00417EBE"/>
    <w:rsid w:val="00420898"/>
    <w:rsid w:val="00420B89"/>
    <w:rsid w:val="004210A7"/>
    <w:rsid w:val="0042122D"/>
    <w:rsid w:val="0042161D"/>
    <w:rsid w:val="00423029"/>
    <w:rsid w:val="0042369A"/>
    <w:rsid w:val="0042386E"/>
    <w:rsid w:val="00423B2A"/>
    <w:rsid w:val="00423BC4"/>
    <w:rsid w:val="00423C48"/>
    <w:rsid w:val="00423F1F"/>
    <w:rsid w:val="0042404A"/>
    <w:rsid w:val="00424640"/>
    <w:rsid w:val="004247A7"/>
    <w:rsid w:val="004250D8"/>
    <w:rsid w:val="004253CE"/>
    <w:rsid w:val="0042583F"/>
    <w:rsid w:val="004258E3"/>
    <w:rsid w:val="0042596B"/>
    <w:rsid w:val="00425FE5"/>
    <w:rsid w:val="00426153"/>
    <w:rsid w:val="00426A9D"/>
    <w:rsid w:val="004302B1"/>
    <w:rsid w:val="00430302"/>
    <w:rsid w:val="004308B3"/>
    <w:rsid w:val="00430DC9"/>
    <w:rsid w:val="00431825"/>
    <w:rsid w:val="00431A25"/>
    <w:rsid w:val="00431B86"/>
    <w:rsid w:val="00431DC4"/>
    <w:rsid w:val="00431DDD"/>
    <w:rsid w:val="00431EDA"/>
    <w:rsid w:val="004328C7"/>
    <w:rsid w:val="0043293F"/>
    <w:rsid w:val="00433102"/>
    <w:rsid w:val="004335DB"/>
    <w:rsid w:val="00433BC1"/>
    <w:rsid w:val="00433F43"/>
    <w:rsid w:val="004342DF"/>
    <w:rsid w:val="004343B1"/>
    <w:rsid w:val="004344F2"/>
    <w:rsid w:val="00434E22"/>
    <w:rsid w:val="004355F7"/>
    <w:rsid w:val="004358C4"/>
    <w:rsid w:val="00435A8D"/>
    <w:rsid w:val="00436175"/>
    <w:rsid w:val="00436932"/>
    <w:rsid w:val="00437284"/>
    <w:rsid w:val="004372A4"/>
    <w:rsid w:val="00437842"/>
    <w:rsid w:val="00437C9B"/>
    <w:rsid w:val="0044145F"/>
    <w:rsid w:val="0044148B"/>
    <w:rsid w:val="004414FA"/>
    <w:rsid w:val="004419B3"/>
    <w:rsid w:val="0044218D"/>
    <w:rsid w:val="004424EC"/>
    <w:rsid w:val="00442673"/>
    <w:rsid w:val="004431A3"/>
    <w:rsid w:val="00443244"/>
    <w:rsid w:val="004435BE"/>
    <w:rsid w:val="00443746"/>
    <w:rsid w:val="00443C5D"/>
    <w:rsid w:val="00444BDD"/>
    <w:rsid w:val="00444D80"/>
    <w:rsid w:val="00445567"/>
    <w:rsid w:val="0044611A"/>
    <w:rsid w:val="00446283"/>
    <w:rsid w:val="00446B9A"/>
    <w:rsid w:val="00446FBE"/>
    <w:rsid w:val="00450066"/>
    <w:rsid w:val="0045019A"/>
    <w:rsid w:val="004502DD"/>
    <w:rsid w:val="0045034C"/>
    <w:rsid w:val="00450439"/>
    <w:rsid w:val="00450814"/>
    <w:rsid w:val="0045185B"/>
    <w:rsid w:val="00451D86"/>
    <w:rsid w:val="00451E4F"/>
    <w:rsid w:val="00451E7D"/>
    <w:rsid w:val="004521BF"/>
    <w:rsid w:val="00452294"/>
    <w:rsid w:val="00452568"/>
    <w:rsid w:val="00452ABC"/>
    <w:rsid w:val="00453399"/>
    <w:rsid w:val="0045376B"/>
    <w:rsid w:val="00453F03"/>
    <w:rsid w:val="004546C8"/>
    <w:rsid w:val="004547DD"/>
    <w:rsid w:val="00454A0B"/>
    <w:rsid w:val="00454ABA"/>
    <w:rsid w:val="00454D76"/>
    <w:rsid w:val="00454FDC"/>
    <w:rsid w:val="0045503E"/>
    <w:rsid w:val="00455070"/>
    <w:rsid w:val="004551B7"/>
    <w:rsid w:val="0045597E"/>
    <w:rsid w:val="00455994"/>
    <w:rsid w:val="00455F86"/>
    <w:rsid w:val="00455FB7"/>
    <w:rsid w:val="004563EC"/>
    <w:rsid w:val="00456AF1"/>
    <w:rsid w:val="00456F3C"/>
    <w:rsid w:val="00457691"/>
    <w:rsid w:val="00457704"/>
    <w:rsid w:val="00457963"/>
    <w:rsid w:val="0045796F"/>
    <w:rsid w:val="00457DD1"/>
    <w:rsid w:val="00460343"/>
    <w:rsid w:val="004604C4"/>
    <w:rsid w:val="00460B70"/>
    <w:rsid w:val="00460EB8"/>
    <w:rsid w:val="00461477"/>
    <w:rsid w:val="00461555"/>
    <w:rsid w:val="00461991"/>
    <w:rsid w:val="004619CE"/>
    <w:rsid w:val="004620C7"/>
    <w:rsid w:val="004621A2"/>
    <w:rsid w:val="004629EE"/>
    <w:rsid w:val="00463436"/>
    <w:rsid w:val="00463E1E"/>
    <w:rsid w:val="0046413C"/>
    <w:rsid w:val="00464551"/>
    <w:rsid w:val="004645E3"/>
    <w:rsid w:val="004646F8"/>
    <w:rsid w:val="00464A44"/>
    <w:rsid w:val="0046505F"/>
    <w:rsid w:val="00465844"/>
    <w:rsid w:val="004658A0"/>
    <w:rsid w:val="00465B57"/>
    <w:rsid w:val="00465EC7"/>
    <w:rsid w:val="00466199"/>
    <w:rsid w:val="004664F8"/>
    <w:rsid w:val="00466FDC"/>
    <w:rsid w:val="004670FB"/>
    <w:rsid w:val="00467448"/>
    <w:rsid w:val="00467459"/>
    <w:rsid w:val="00467742"/>
    <w:rsid w:val="00467BF7"/>
    <w:rsid w:val="00467CB2"/>
    <w:rsid w:val="0047031C"/>
    <w:rsid w:val="004705F9"/>
    <w:rsid w:val="00471446"/>
    <w:rsid w:val="00471E35"/>
    <w:rsid w:val="00472329"/>
    <w:rsid w:val="00472451"/>
    <w:rsid w:val="00472D79"/>
    <w:rsid w:val="00472EC8"/>
    <w:rsid w:val="00472F53"/>
    <w:rsid w:val="00473E66"/>
    <w:rsid w:val="00473E70"/>
    <w:rsid w:val="004744DC"/>
    <w:rsid w:val="00474821"/>
    <w:rsid w:val="00475145"/>
    <w:rsid w:val="0047517A"/>
    <w:rsid w:val="00475624"/>
    <w:rsid w:val="00475C60"/>
    <w:rsid w:val="00475F2F"/>
    <w:rsid w:val="00476141"/>
    <w:rsid w:val="0047632F"/>
    <w:rsid w:val="0047650F"/>
    <w:rsid w:val="00476935"/>
    <w:rsid w:val="00477444"/>
    <w:rsid w:val="004777FB"/>
    <w:rsid w:val="00477829"/>
    <w:rsid w:val="00477DEB"/>
    <w:rsid w:val="00477F00"/>
    <w:rsid w:val="00480CF6"/>
    <w:rsid w:val="00480DC6"/>
    <w:rsid w:val="00481674"/>
    <w:rsid w:val="00481819"/>
    <w:rsid w:val="00481A08"/>
    <w:rsid w:val="00482114"/>
    <w:rsid w:val="004822B8"/>
    <w:rsid w:val="0048263F"/>
    <w:rsid w:val="004827BE"/>
    <w:rsid w:val="00482A62"/>
    <w:rsid w:val="00482D14"/>
    <w:rsid w:val="00482D52"/>
    <w:rsid w:val="0048370C"/>
    <w:rsid w:val="00483D8C"/>
    <w:rsid w:val="00484BA9"/>
    <w:rsid w:val="00484C2E"/>
    <w:rsid w:val="00484F12"/>
    <w:rsid w:val="00484F7A"/>
    <w:rsid w:val="00485885"/>
    <w:rsid w:val="00485B38"/>
    <w:rsid w:val="004864A1"/>
    <w:rsid w:val="0048667B"/>
    <w:rsid w:val="00486DC7"/>
    <w:rsid w:val="004874B9"/>
    <w:rsid w:val="00487817"/>
    <w:rsid w:val="00487A04"/>
    <w:rsid w:val="00487B4F"/>
    <w:rsid w:val="00487C2C"/>
    <w:rsid w:val="004902CA"/>
    <w:rsid w:val="00490510"/>
    <w:rsid w:val="00490851"/>
    <w:rsid w:val="00490907"/>
    <w:rsid w:val="00490AF0"/>
    <w:rsid w:val="004910B2"/>
    <w:rsid w:val="004914FE"/>
    <w:rsid w:val="004916FA"/>
    <w:rsid w:val="004918EE"/>
    <w:rsid w:val="00491E54"/>
    <w:rsid w:val="00491E8C"/>
    <w:rsid w:val="0049215B"/>
    <w:rsid w:val="0049236C"/>
    <w:rsid w:val="00492DE1"/>
    <w:rsid w:val="004933DF"/>
    <w:rsid w:val="0049383B"/>
    <w:rsid w:val="00493B7B"/>
    <w:rsid w:val="00493F24"/>
    <w:rsid w:val="00494003"/>
    <w:rsid w:val="00494062"/>
    <w:rsid w:val="00494252"/>
    <w:rsid w:val="00494963"/>
    <w:rsid w:val="00494D37"/>
    <w:rsid w:val="00494F94"/>
    <w:rsid w:val="00495C62"/>
    <w:rsid w:val="00496320"/>
    <w:rsid w:val="004968A0"/>
    <w:rsid w:val="00496A45"/>
    <w:rsid w:val="0049762C"/>
    <w:rsid w:val="004978A6"/>
    <w:rsid w:val="00497A91"/>
    <w:rsid w:val="004A0D1C"/>
    <w:rsid w:val="004A0EB5"/>
    <w:rsid w:val="004A0F0B"/>
    <w:rsid w:val="004A1389"/>
    <w:rsid w:val="004A1C1F"/>
    <w:rsid w:val="004A2AD0"/>
    <w:rsid w:val="004A2BFE"/>
    <w:rsid w:val="004A3B03"/>
    <w:rsid w:val="004A46D7"/>
    <w:rsid w:val="004A4D43"/>
    <w:rsid w:val="004A529A"/>
    <w:rsid w:val="004A5A4E"/>
    <w:rsid w:val="004A6396"/>
    <w:rsid w:val="004A6BE4"/>
    <w:rsid w:val="004A6D7C"/>
    <w:rsid w:val="004A719F"/>
    <w:rsid w:val="004A731E"/>
    <w:rsid w:val="004A7370"/>
    <w:rsid w:val="004B045A"/>
    <w:rsid w:val="004B11DD"/>
    <w:rsid w:val="004B13A3"/>
    <w:rsid w:val="004B1B45"/>
    <w:rsid w:val="004B1E98"/>
    <w:rsid w:val="004B202C"/>
    <w:rsid w:val="004B244E"/>
    <w:rsid w:val="004B26FF"/>
    <w:rsid w:val="004B2721"/>
    <w:rsid w:val="004B2751"/>
    <w:rsid w:val="004B314F"/>
    <w:rsid w:val="004B3BCA"/>
    <w:rsid w:val="004B3EC8"/>
    <w:rsid w:val="004B40AB"/>
    <w:rsid w:val="004B45C9"/>
    <w:rsid w:val="004B491C"/>
    <w:rsid w:val="004B4CE1"/>
    <w:rsid w:val="004B4EE4"/>
    <w:rsid w:val="004B4F99"/>
    <w:rsid w:val="004B5875"/>
    <w:rsid w:val="004B5C37"/>
    <w:rsid w:val="004B6402"/>
    <w:rsid w:val="004B6542"/>
    <w:rsid w:val="004B66AE"/>
    <w:rsid w:val="004B6B6F"/>
    <w:rsid w:val="004B6D13"/>
    <w:rsid w:val="004B6F9A"/>
    <w:rsid w:val="004B75BB"/>
    <w:rsid w:val="004C00E9"/>
    <w:rsid w:val="004C031E"/>
    <w:rsid w:val="004C04E3"/>
    <w:rsid w:val="004C0ACA"/>
    <w:rsid w:val="004C0B17"/>
    <w:rsid w:val="004C0BDF"/>
    <w:rsid w:val="004C0C54"/>
    <w:rsid w:val="004C1090"/>
    <w:rsid w:val="004C118A"/>
    <w:rsid w:val="004C15A1"/>
    <w:rsid w:val="004C1763"/>
    <w:rsid w:val="004C197F"/>
    <w:rsid w:val="004C2263"/>
    <w:rsid w:val="004C22CE"/>
    <w:rsid w:val="004C270F"/>
    <w:rsid w:val="004C2DC0"/>
    <w:rsid w:val="004C2DF8"/>
    <w:rsid w:val="004C2EC4"/>
    <w:rsid w:val="004C300E"/>
    <w:rsid w:val="004C32F0"/>
    <w:rsid w:val="004C35D8"/>
    <w:rsid w:val="004C3D4D"/>
    <w:rsid w:val="004C3EBC"/>
    <w:rsid w:val="004C3FE3"/>
    <w:rsid w:val="004C406F"/>
    <w:rsid w:val="004C4259"/>
    <w:rsid w:val="004C4381"/>
    <w:rsid w:val="004C47E5"/>
    <w:rsid w:val="004C4F5E"/>
    <w:rsid w:val="004C5059"/>
    <w:rsid w:val="004C515E"/>
    <w:rsid w:val="004C615C"/>
    <w:rsid w:val="004C630B"/>
    <w:rsid w:val="004C6494"/>
    <w:rsid w:val="004C66EB"/>
    <w:rsid w:val="004C6BD5"/>
    <w:rsid w:val="004C6E0D"/>
    <w:rsid w:val="004C6E78"/>
    <w:rsid w:val="004C72DA"/>
    <w:rsid w:val="004C7962"/>
    <w:rsid w:val="004D0005"/>
    <w:rsid w:val="004D0712"/>
    <w:rsid w:val="004D085E"/>
    <w:rsid w:val="004D09C4"/>
    <w:rsid w:val="004D0A9B"/>
    <w:rsid w:val="004D0D2A"/>
    <w:rsid w:val="004D0E09"/>
    <w:rsid w:val="004D1439"/>
    <w:rsid w:val="004D17F8"/>
    <w:rsid w:val="004D18C0"/>
    <w:rsid w:val="004D1AC4"/>
    <w:rsid w:val="004D200A"/>
    <w:rsid w:val="004D34D6"/>
    <w:rsid w:val="004D36A6"/>
    <w:rsid w:val="004D3ACE"/>
    <w:rsid w:val="004D3CD3"/>
    <w:rsid w:val="004D3F12"/>
    <w:rsid w:val="004D4288"/>
    <w:rsid w:val="004D4894"/>
    <w:rsid w:val="004D4E1A"/>
    <w:rsid w:val="004D4E40"/>
    <w:rsid w:val="004D4FBD"/>
    <w:rsid w:val="004D5233"/>
    <w:rsid w:val="004D54FF"/>
    <w:rsid w:val="004D5562"/>
    <w:rsid w:val="004D5882"/>
    <w:rsid w:val="004D5B9E"/>
    <w:rsid w:val="004D5D7F"/>
    <w:rsid w:val="004D6105"/>
    <w:rsid w:val="004D6821"/>
    <w:rsid w:val="004D68E0"/>
    <w:rsid w:val="004D6FD8"/>
    <w:rsid w:val="004D72E6"/>
    <w:rsid w:val="004D74AA"/>
    <w:rsid w:val="004D78F4"/>
    <w:rsid w:val="004E01DF"/>
    <w:rsid w:val="004E0399"/>
    <w:rsid w:val="004E040E"/>
    <w:rsid w:val="004E04C6"/>
    <w:rsid w:val="004E08E2"/>
    <w:rsid w:val="004E0C0C"/>
    <w:rsid w:val="004E0E3E"/>
    <w:rsid w:val="004E0E85"/>
    <w:rsid w:val="004E123F"/>
    <w:rsid w:val="004E134A"/>
    <w:rsid w:val="004E16A3"/>
    <w:rsid w:val="004E18EE"/>
    <w:rsid w:val="004E1EB0"/>
    <w:rsid w:val="004E22A8"/>
    <w:rsid w:val="004E283A"/>
    <w:rsid w:val="004E2E7E"/>
    <w:rsid w:val="004E30E8"/>
    <w:rsid w:val="004E49CD"/>
    <w:rsid w:val="004E5050"/>
    <w:rsid w:val="004E5939"/>
    <w:rsid w:val="004E60F4"/>
    <w:rsid w:val="004E61F4"/>
    <w:rsid w:val="004E6C3A"/>
    <w:rsid w:val="004E6EDB"/>
    <w:rsid w:val="004E78B5"/>
    <w:rsid w:val="004E7F28"/>
    <w:rsid w:val="004F0101"/>
    <w:rsid w:val="004F03F3"/>
    <w:rsid w:val="004F0AE6"/>
    <w:rsid w:val="004F0FB3"/>
    <w:rsid w:val="004F1C43"/>
    <w:rsid w:val="004F1DDE"/>
    <w:rsid w:val="004F22E4"/>
    <w:rsid w:val="004F23BB"/>
    <w:rsid w:val="004F2B75"/>
    <w:rsid w:val="004F331E"/>
    <w:rsid w:val="004F4D7B"/>
    <w:rsid w:val="004F5F44"/>
    <w:rsid w:val="004F685B"/>
    <w:rsid w:val="004F6B4F"/>
    <w:rsid w:val="004F6B8D"/>
    <w:rsid w:val="004F6C90"/>
    <w:rsid w:val="004F722F"/>
    <w:rsid w:val="004F798A"/>
    <w:rsid w:val="004F7BAE"/>
    <w:rsid w:val="004F7ED1"/>
    <w:rsid w:val="00500401"/>
    <w:rsid w:val="0050070A"/>
    <w:rsid w:val="00500C6B"/>
    <w:rsid w:val="00500E46"/>
    <w:rsid w:val="00501FC0"/>
    <w:rsid w:val="0050214D"/>
    <w:rsid w:val="005021BD"/>
    <w:rsid w:val="00502E85"/>
    <w:rsid w:val="005038D0"/>
    <w:rsid w:val="00503F05"/>
    <w:rsid w:val="00504037"/>
    <w:rsid w:val="005040D3"/>
    <w:rsid w:val="005042D0"/>
    <w:rsid w:val="00504509"/>
    <w:rsid w:val="00504638"/>
    <w:rsid w:val="005047D7"/>
    <w:rsid w:val="00504E99"/>
    <w:rsid w:val="00505162"/>
    <w:rsid w:val="00505E4F"/>
    <w:rsid w:val="0050666A"/>
    <w:rsid w:val="00506813"/>
    <w:rsid w:val="00506852"/>
    <w:rsid w:val="00506945"/>
    <w:rsid w:val="00506B38"/>
    <w:rsid w:val="00507281"/>
    <w:rsid w:val="00507541"/>
    <w:rsid w:val="005077D2"/>
    <w:rsid w:val="00507966"/>
    <w:rsid w:val="00507B7B"/>
    <w:rsid w:val="00507F8E"/>
    <w:rsid w:val="005101B8"/>
    <w:rsid w:val="00510DB9"/>
    <w:rsid w:val="00510E09"/>
    <w:rsid w:val="00510F1E"/>
    <w:rsid w:val="005111B6"/>
    <w:rsid w:val="0051166C"/>
    <w:rsid w:val="00511AA8"/>
    <w:rsid w:val="00511DD3"/>
    <w:rsid w:val="00512482"/>
    <w:rsid w:val="005126E8"/>
    <w:rsid w:val="00512848"/>
    <w:rsid w:val="0051292F"/>
    <w:rsid w:val="00512E63"/>
    <w:rsid w:val="00513587"/>
    <w:rsid w:val="00513923"/>
    <w:rsid w:val="00513D22"/>
    <w:rsid w:val="00514716"/>
    <w:rsid w:val="005159D1"/>
    <w:rsid w:val="00515D50"/>
    <w:rsid w:val="00516153"/>
    <w:rsid w:val="005161C1"/>
    <w:rsid w:val="0051697E"/>
    <w:rsid w:val="00516C57"/>
    <w:rsid w:val="00516D1A"/>
    <w:rsid w:val="00516F59"/>
    <w:rsid w:val="00517156"/>
    <w:rsid w:val="005172CF"/>
    <w:rsid w:val="00517589"/>
    <w:rsid w:val="00520492"/>
    <w:rsid w:val="00520646"/>
    <w:rsid w:val="00520DD8"/>
    <w:rsid w:val="005215D5"/>
    <w:rsid w:val="0052232F"/>
    <w:rsid w:val="00522B5D"/>
    <w:rsid w:val="00522D70"/>
    <w:rsid w:val="00522DF3"/>
    <w:rsid w:val="00522EA6"/>
    <w:rsid w:val="00523560"/>
    <w:rsid w:val="0052383B"/>
    <w:rsid w:val="00523B05"/>
    <w:rsid w:val="00523BA9"/>
    <w:rsid w:val="005245AC"/>
    <w:rsid w:val="00524698"/>
    <w:rsid w:val="005246A7"/>
    <w:rsid w:val="005248E9"/>
    <w:rsid w:val="00524EFB"/>
    <w:rsid w:val="00525261"/>
    <w:rsid w:val="00525264"/>
    <w:rsid w:val="005254C7"/>
    <w:rsid w:val="005254D2"/>
    <w:rsid w:val="00525739"/>
    <w:rsid w:val="00526635"/>
    <w:rsid w:val="005269A1"/>
    <w:rsid w:val="00526C66"/>
    <w:rsid w:val="00526E41"/>
    <w:rsid w:val="00526FB4"/>
    <w:rsid w:val="00527141"/>
    <w:rsid w:val="0052734A"/>
    <w:rsid w:val="005277D0"/>
    <w:rsid w:val="00527C3E"/>
    <w:rsid w:val="00527CCB"/>
    <w:rsid w:val="00527D2E"/>
    <w:rsid w:val="00527FB5"/>
    <w:rsid w:val="00530250"/>
    <w:rsid w:val="005310D1"/>
    <w:rsid w:val="00531BE4"/>
    <w:rsid w:val="00531C6F"/>
    <w:rsid w:val="00532360"/>
    <w:rsid w:val="005326BB"/>
    <w:rsid w:val="0053274D"/>
    <w:rsid w:val="005327B9"/>
    <w:rsid w:val="00532FCD"/>
    <w:rsid w:val="00533A2A"/>
    <w:rsid w:val="00533F48"/>
    <w:rsid w:val="00533FB7"/>
    <w:rsid w:val="00534DA9"/>
    <w:rsid w:val="005355BA"/>
    <w:rsid w:val="005361C0"/>
    <w:rsid w:val="0053687A"/>
    <w:rsid w:val="005368B2"/>
    <w:rsid w:val="0053703D"/>
    <w:rsid w:val="005370D3"/>
    <w:rsid w:val="00537371"/>
    <w:rsid w:val="00537C89"/>
    <w:rsid w:val="005402F0"/>
    <w:rsid w:val="00540A92"/>
    <w:rsid w:val="00540F8C"/>
    <w:rsid w:val="00541204"/>
    <w:rsid w:val="005414EE"/>
    <w:rsid w:val="00541B24"/>
    <w:rsid w:val="0054213E"/>
    <w:rsid w:val="00542301"/>
    <w:rsid w:val="005423F5"/>
    <w:rsid w:val="00542DCB"/>
    <w:rsid w:val="00543087"/>
    <w:rsid w:val="00543DF9"/>
    <w:rsid w:val="005441F1"/>
    <w:rsid w:val="005444A8"/>
    <w:rsid w:val="00544D97"/>
    <w:rsid w:val="005452DC"/>
    <w:rsid w:val="00545800"/>
    <w:rsid w:val="00545C57"/>
    <w:rsid w:val="00546234"/>
    <w:rsid w:val="005464A9"/>
    <w:rsid w:val="00546BB4"/>
    <w:rsid w:val="00546E81"/>
    <w:rsid w:val="00546F35"/>
    <w:rsid w:val="005471ED"/>
    <w:rsid w:val="0054752B"/>
    <w:rsid w:val="005475AA"/>
    <w:rsid w:val="00547840"/>
    <w:rsid w:val="00547D0E"/>
    <w:rsid w:val="00550377"/>
    <w:rsid w:val="00550B64"/>
    <w:rsid w:val="00551248"/>
    <w:rsid w:val="005512E7"/>
    <w:rsid w:val="005516A4"/>
    <w:rsid w:val="00552511"/>
    <w:rsid w:val="0055260A"/>
    <w:rsid w:val="00552688"/>
    <w:rsid w:val="00552A50"/>
    <w:rsid w:val="00552E7A"/>
    <w:rsid w:val="00553017"/>
    <w:rsid w:val="0055345F"/>
    <w:rsid w:val="005542F9"/>
    <w:rsid w:val="00554A12"/>
    <w:rsid w:val="00554EA2"/>
    <w:rsid w:val="00555046"/>
    <w:rsid w:val="005551B3"/>
    <w:rsid w:val="00555230"/>
    <w:rsid w:val="00555BDA"/>
    <w:rsid w:val="00555C8C"/>
    <w:rsid w:val="005560C0"/>
    <w:rsid w:val="00556110"/>
    <w:rsid w:val="005561DE"/>
    <w:rsid w:val="005562A1"/>
    <w:rsid w:val="00556356"/>
    <w:rsid w:val="00556790"/>
    <w:rsid w:val="005567D1"/>
    <w:rsid w:val="00556EBA"/>
    <w:rsid w:val="005575BE"/>
    <w:rsid w:val="0055784D"/>
    <w:rsid w:val="00557CF6"/>
    <w:rsid w:val="005600E7"/>
    <w:rsid w:val="00560159"/>
    <w:rsid w:val="005601B8"/>
    <w:rsid w:val="005602D3"/>
    <w:rsid w:val="005606B8"/>
    <w:rsid w:val="00560B95"/>
    <w:rsid w:val="00561B79"/>
    <w:rsid w:val="00562927"/>
    <w:rsid w:val="00562AC9"/>
    <w:rsid w:val="00562C57"/>
    <w:rsid w:val="005633A5"/>
    <w:rsid w:val="005635A2"/>
    <w:rsid w:val="00564455"/>
    <w:rsid w:val="00564630"/>
    <w:rsid w:val="0056463E"/>
    <w:rsid w:val="00564D74"/>
    <w:rsid w:val="00565168"/>
    <w:rsid w:val="005654D3"/>
    <w:rsid w:val="005656E0"/>
    <w:rsid w:val="005664B7"/>
    <w:rsid w:val="005667F6"/>
    <w:rsid w:val="00566D07"/>
    <w:rsid w:val="00566D20"/>
    <w:rsid w:val="00566E04"/>
    <w:rsid w:val="00567520"/>
    <w:rsid w:val="00567537"/>
    <w:rsid w:val="00567685"/>
    <w:rsid w:val="00567F88"/>
    <w:rsid w:val="00570AF1"/>
    <w:rsid w:val="005712BD"/>
    <w:rsid w:val="00571321"/>
    <w:rsid w:val="00571335"/>
    <w:rsid w:val="00572248"/>
    <w:rsid w:val="00572E17"/>
    <w:rsid w:val="00573246"/>
    <w:rsid w:val="00573C8A"/>
    <w:rsid w:val="00573E71"/>
    <w:rsid w:val="0057409A"/>
    <w:rsid w:val="00574423"/>
    <w:rsid w:val="00574ACC"/>
    <w:rsid w:val="00574B82"/>
    <w:rsid w:val="005752D4"/>
    <w:rsid w:val="0057571F"/>
    <w:rsid w:val="005758B4"/>
    <w:rsid w:val="00575C0E"/>
    <w:rsid w:val="00575DAA"/>
    <w:rsid w:val="00577810"/>
    <w:rsid w:val="00577A46"/>
    <w:rsid w:val="00577E62"/>
    <w:rsid w:val="005808C1"/>
    <w:rsid w:val="00580D1B"/>
    <w:rsid w:val="00580DE4"/>
    <w:rsid w:val="005810C9"/>
    <w:rsid w:val="00581219"/>
    <w:rsid w:val="00581294"/>
    <w:rsid w:val="005815F2"/>
    <w:rsid w:val="0058182D"/>
    <w:rsid w:val="0058200D"/>
    <w:rsid w:val="005822D3"/>
    <w:rsid w:val="00582378"/>
    <w:rsid w:val="00582406"/>
    <w:rsid w:val="005824BF"/>
    <w:rsid w:val="00582570"/>
    <w:rsid w:val="00582B69"/>
    <w:rsid w:val="00582F97"/>
    <w:rsid w:val="00583341"/>
    <w:rsid w:val="005843D3"/>
    <w:rsid w:val="005849AB"/>
    <w:rsid w:val="00584C06"/>
    <w:rsid w:val="00584D45"/>
    <w:rsid w:val="00584F06"/>
    <w:rsid w:val="00585029"/>
    <w:rsid w:val="005850B2"/>
    <w:rsid w:val="005854FE"/>
    <w:rsid w:val="00586118"/>
    <w:rsid w:val="0058629F"/>
    <w:rsid w:val="005864D8"/>
    <w:rsid w:val="005904AB"/>
    <w:rsid w:val="00590987"/>
    <w:rsid w:val="00590AEE"/>
    <w:rsid w:val="00591195"/>
    <w:rsid w:val="0059130A"/>
    <w:rsid w:val="005916FB"/>
    <w:rsid w:val="00591A63"/>
    <w:rsid w:val="00591BB6"/>
    <w:rsid w:val="00592583"/>
    <w:rsid w:val="00592C65"/>
    <w:rsid w:val="00593334"/>
    <w:rsid w:val="00593360"/>
    <w:rsid w:val="005935F6"/>
    <w:rsid w:val="0059378B"/>
    <w:rsid w:val="00593EF8"/>
    <w:rsid w:val="0059433D"/>
    <w:rsid w:val="00594882"/>
    <w:rsid w:val="00594B88"/>
    <w:rsid w:val="00594EB5"/>
    <w:rsid w:val="0059548C"/>
    <w:rsid w:val="005956F6"/>
    <w:rsid w:val="0059583A"/>
    <w:rsid w:val="00595A22"/>
    <w:rsid w:val="00595D1D"/>
    <w:rsid w:val="0059620A"/>
    <w:rsid w:val="00596CF7"/>
    <w:rsid w:val="00596F6F"/>
    <w:rsid w:val="0059706F"/>
    <w:rsid w:val="00597959"/>
    <w:rsid w:val="005979AE"/>
    <w:rsid w:val="00597C60"/>
    <w:rsid w:val="005A018A"/>
    <w:rsid w:val="005A01ED"/>
    <w:rsid w:val="005A09FD"/>
    <w:rsid w:val="005A135A"/>
    <w:rsid w:val="005A187B"/>
    <w:rsid w:val="005A2B11"/>
    <w:rsid w:val="005A2FCF"/>
    <w:rsid w:val="005A309D"/>
    <w:rsid w:val="005A3440"/>
    <w:rsid w:val="005A39BD"/>
    <w:rsid w:val="005A3F17"/>
    <w:rsid w:val="005A423B"/>
    <w:rsid w:val="005A46E2"/>
    <w:rsid w:val="005A4BF6"/>
    <w:rsid w:val="005A4D62"/>
    <w:rsid w:val="005A5F68"/>
    <w:rsid w:val="005A6134"/>
    <w:rsid w:val="005A62D5"/>
    <w:rsid w:val="005A655C"/>
    <w:rsid w:val="005A67D7"/>
    <w:rsid w:val="005A6CE9"/>
    <w:rsid w:val="005A73B1"/>
    <w:rsid w:val="005A78CE"/>
    <w:rsid w:val="005A7F73"/>
    <w:rsid w:val="005B0EC7"/>
    <w:rsid w:val="005B1101"/>
    <w:rsid w:val="005B19BE"/>
    <w:rsid w:val="005B1D43"/>
    <w:rsid w:val="005B1E47"/>
    <w:rsid w:val="005B2690"/>
    <w:rsid w:val="005B2716"/>
    <w:rsid w:val="005B3853"/>
    <w:rsid w:val="005B386E"/>
    <w:rsid w:val="005B3936"/>
    <w:rsid w:val="005B3C40"/>
    <w:rsid w:val="005B47FA"/>
    <w:rsid w:val="005B4F90"/>
    <w:rsid w:val="005B5399"/>
    <w:rsid w:val="005B57DB"/>
    <w:rsid w:val="005B582B"/>
    <w:rsid w:val="005B587B"/>
    <w:rsid w:val="005B5DA0"/>
    <w:rsid w:val="005B5EAC"/>
    <w:rsid w:val="005B6358"/>
    <w:rsid w:val="005B6842"/>
    <w:rsid w:val="005B6B22"/>
    <w:rsid w:val="005B6D5E"/>
    <w:rsid w:val="005B6DB4"/>
    <w:rsid w:val="005B6F18"/>
    <w:rsid w:val="005B755B"/>
    <w:rsid w:val="005B79DD"/>
    <w:rsid w:val="005C04AB"/>
    <w:rsid w:val="005C04B9"/>
    <w:rsid w:val="005C0DAF"/>
    <w:rsid w:val="005C0ED0"/>
    <w:rsid w:val="005C0FE4"/>
    <w:rsid w:val="005C1711"/>
    <w:rsid w:val="005C1C2E"/>
    <w:rsid w:val="005C1E38"/>
    <w:rsid w:val="005C220B"/>
    <w:rsid w:val="005C2245"/>
    <w:rsid w:val="005C2327"/>
    <w:rsid w:val="005C243B"/>
    <w:rsid w:val="005C2664"/>
    <w:rsid w:val="005C35DF"/>
    <w:rsid w:val="005C3ACC"/>
    <w:rsid w:val="005C3AF2"/>
    <w:rsid w:val="005C3AFE"/>
    <w:rsid w:val="005C3D0D"/>
    <w:rsid w:val="005C3EF5"/>
    <w:rsid w:val="005C414A"/>
    <w:rsid w:val="005C41B2"/>
    <w:rsid w:val="005C4607"/>
    <w:rsid w:val="005C48BC"/>
    <w:rsid w:val="005C4996"/>
    <w:rsid w:val="005C4A6F"/>
    <w:rsid w:val="005C4AED"/>
    <w:rsid w:val="005C4B58"/>
    <w:rsid w:val="005C4BC7"/>
    <w:rsid w:val="005C5505"/>
    <w:rsid w:val="005C56E5"/>
    <w:rsid w:val="005C62F6"/>
    <w:rsid w:val="005C6364"/>
    <w:rsid w:val="005C63BC"/>
    <w:rsid w:val="005C63FF"/>
    <w:rsid w:val="005C663E"/>
    <w:rsid w:val="005C777F"/>
    <w:rsid w:val="005C78F7"/>
    <w:rsid w:val="005C7C4A"/>
    <w:rsid w:val="005D00F0"/>
    <w:rsid w:val="005D0130"/>
    <w:rsid w:val="005D0905"/>
    <w:rsid w:val="005D103B"/>
    <w:rsid w:val="005D1AC1"/>
    <w:rsid w:val="005D1C5B"/>
    <w:rsid w:val="005D21B8"/>
    <w:rsid w:val="005D25AD"/>
    <w:rsid w:val="005D2752"/>
    <w:rsid w:val="005D2B37"/>
    <w:rsid w:val="005D304E"/>
    <w:rsid w:val="005D3479"/>
    <w:rsid w:val="005D3BC3"/>
    <w:rsid w:val="005D3FDC"/>
    <w:rsid w:val="005D445B"/>
    <w:rsid w:val="005D547D"/>
    <w:rsid w:val="005D5A07"/>
    <w:rsid w:val="005D5F96"/>
    <w:rsid w:val="005D6178"/>
    <w:rsid w:val="005D65AD"/>
    <w:rsid w:val="005D6763"/>
    <w:rsid w:val="005D696D"/>
    <w:rsid w:val="005D72DA"/>
    <w:rsid w:val="005D745D"/>
    <w:rsid w:val="005D7C3C"/>
    <w:rsid w:val="005D7DAF"/>
    <w:rsid w:val="005D7F05"/>
    <w:rsid w:val="005E028F"/>
    <w:rsid w:val="005E0BCE"/>
    <w:rsid w:val="005E0D41"/>
    <w:rsid w:val="005E0E40"/>
    <w:rsid w:val="005E0EAB"/>
    <w:rsid w:val="005E2165"/>
    <w:rsid w:val="005E22F3"/>
    <w:rsid w:val="005E261D"/>
    <w:rsid w:val="005E2967"/>
    <w:rsid w:val="005E2E9F"/>
    <w:rsid w:val="005E380B"/>
    <w:rsid w:val="005E39DA"/>
    <w:rsid w:val="005E3C28"/>
    <w:rsid w:val="005E3F3A"/>
    <w:rsid w:val="005E455F"/>
    <w:rsid w:val="005E4EFE"/>
    <w:rsid w:val="005E504D"/>
    <w:rsid w:val="005E57C4"/>
    <w:rsid w:val="005E588A"/>
    <w:rsid w:val="005E5BEF"/>
    <w:rsid w:val="005E5BF7"/>
    <w:rsid w:val="005E6312"/>
    <w:rsid w:val="005E69D4"/>
    <w:rsid w:val="005E7A17"/>
    <w:rsid w:val="005E7A92"/>
    <w:rsid w:val="005E7E31"/>
    <w:rsid w:val="005F04E2"/>
    <w:rsid w:val="005F06D7"/>
    <w:rsid w:val="005F1564"/>
    <w:rsid w:val="005F15E0"/>
    <w:rsid w:val="005F1870"/>
    <w:rsid w:val="005F1B83"/>
    <w:rsid w:val="005F1D0A"/>
    <w:rsid w:val="005F2525"/>
    <w:rsid w:val="005F277D"/>
    <w:rsid w:val="005F2FD2"/>
    <w:rsid w:val="005F3328"/>
    <w:rsid w:val="005F375E"/>
    <w:rsid w:val="005F3ACF"/>
    <w:rsid w:val="005F3BFD"/>
    <w:rsid w:val="005F3FE3"/>
    <w:rsid w:val="005F3FF3"/>
    <w:rsid w:val="005F422E"/>
    <w:rsid w:val="005F4EE4"/>
    <w:rsid w:val="005F4F76"/>
    <w:rsid w:val="005F53A3"/>
    <w:rsid w:val="005F5747"/>
    <w:rsid w:val="005F586B"/>
    <w:rsid w:val="005F5B06"/>
    <w:rsid w:val="005F62A6"/>
    <w:rsid w:val="005F63B3"/>
    <w:rsid w:val="005F6D30"/>
    <w:rsid w:val="005F70A7"/>
    <w:rsid w:val="005F7B9D"/>
    <w:rsid w:val="00600B65"/>
    <w:rsid w:val="00600ED7"/>
    <w:rsid w:val="00601341"/>
    <w:rsid w:val="0060174C"/>
    <w:rsid w:val="00601925"/>
    <w:rsid w:val="00601BBD"/>
    <w:rsid w:val="006021BC"/>
    <w:rsid w:val="00602E21"/>
    <w:rsid w:val="0060315A"/>
    <w:rsid w:val="0060330F"/>
    <w:rsid w:val="0060342A"/>
    <w:rsid w:val="006035AB"/>
    <w:rsid w:val="0060365A"/>
    <w:rsid w:val="0060377B"/>
    <w:rsid w:val="0060390F"/>
    <w:rsid w:val="006039DD"/>
    <w:rsid w:val="00603A71"/>
    <w:rsid w:val="00603AFA"/>
    <w:rsid w:val="00603CE8"/>
    <w:rsid w:val="0060442D"/>
    <w:rsid w:val="0060470A"/>
    <w:rsid w:val="00604B4C"/>
    <w:rsid w:val="00605A92"/>
    <w:rsid w:val="00605E7B"/>
    <w:rsid w:val="00605ECF"/>
    <w:rsid w:val="0060612B"/>
    <w:rsid w:val="0060668A"/>
    <w:rsid w:val="006066F9"/>
    <w:rsid w:val="00607178"/>
    <w:rsid w:val="006079E4"/>
    <w:rsid w:val="00610636"/>
    <w:rsid w:val="00611218"/>
    <w:rsid w:val="006113DD"/>
    <w:rsid w:val="00611454"/>
    <w:rsid w:val="0061158B"/>
    <w:rsid w:val="006116F7"/>
    <w:rsid w:val="00611DB4"/>
    <w:rsid w:val="00611FF3"/>
    <w:rsid w:val="00612169"/>
    <w:rsid w:val="00612508"/>
    <w:rsid w:val="00612E2B"/>
    <w:rsid w:val="006131BC"/>
    <w:rsid w:val="006136A3"/>
    <w:rsid w:val="0061394B"/>
    <w:rsid w:val="00613D42"/>
    <w:rsid w:val="006147DB"/>
    <w:rsid w:val="006150AD"/>
    <w:rsid w:val="006150D1"/>
    <w:rsid w:val="0061535D"/>
    <w:rsid w:val="00615673"/>
    <w:rsid w:val="006161E5"/>
    <w:rsid w:val="00616561"/>
    <w:rsid w:val="006167EF"/>
    <w:rsid w:val="00616D97"/>
    <w:rsid w:val="00616D99"/>
    <w:rsid w:val="00617898"/>
    <w:rsid w:val="006179C0"/>
    <w:rsid w:val="00620776"/>
    <w:rsid w:val="006207FD"/>
    <w:rsid w:val="00620CEE"/>
    <w:rsid w:val="00620E74"/>
    <w:rsid w:val="00621576"/>
    <w:rsid w:val="00621677"/>
    <w:rsid w:val="00621875"/>
    <w:rsid w:val="0062189B"/>
    <w:rsid w:val="00621B39"/>
    <w:rsid w:val="00622CE8"/>
    <w:rsid w:val="00622D8F"/>
    <w:rsid w:val="00623492"/>
    <w:rsid w:val="00624360"/>
    <w:rsid w:val="006243BC"/>
    <w:rsid w:val="0062488E"/>
    <w:rsid w:val="006249EB"/>
    <w:rsid w:val="00624D6E"/>
    <w:rsid w:val="0062522A"/>
    <w:rsid w:val="00625512"/>
    <w:rsid w:val="00625BD1"/>
    <w:rsid w:val="00625EF4"/>
    <w:rsid w:val="00626215"/>
    <w:rsid w:val="00626974"/>
    <w:rsid w:val="006269DD"/>
    <w:rsid w:val="00626CE8"/>
    <w:rsid w:val="00626D57"/>
    <w:rsid w:val="00627D5F"/>
    <w:rsid w:val="00627DBB"/>
    <w:rsid w:val="00627EE0"/>
    <w:rsid w:val="00627FFD"/>
    <w:rsid w:val="006302C7"/>
    <w:rsid w:val="00630577"/>
    <w:rsid w:val="00630BB0"/>
    <w:rsid w:val="006310C1"/>
    <w:rsid w:val="0063136F"/>
    <w:rsid w:val="00631867"/>
    <w:rsid w:val="00631E3B"/>
    <w:rsid w:val="00632211"/>
    <w:rsid w:val="00632527"/>
    <w:rsid w:val="00632653"/>
    <w:rsid w:val="00632F36"/>
    <w:rsid w:val="00633486"/>
    <w:rsid w:val="006335A3"/>
    <w:rsid w:val="00633D18"/>
    <w:rsid w:val="00633DAD"/>
    <w:rsid w:val="00633FDC"/>
    <w:rsid w:val="00634208"/>
    <w:rsid w:val="006345A3"/>
    <w:rsid w:val="00634DC0"/>
    <w:rsid w:val="00634E34"/>
    <w:rsid w:val="006351E2"/>
    <w:rsid w:val="0063568C"/>
    <w:rsid w:val="00635C35"/>
    <w:rsid w:val="006364F7"/>
    <w:rsid w:val="0063652D"/>
    <w:rsid w:val="00636584"/>
    <w:rsid w:val="00636D6E"/>
    <w:rsid w:val="00636E15"/>
    <w:rsid w:val="006373FE"/>
    <w:rsid w:val="0063747A"/>
    <w:rsid w:val="0063799B"/>
    <w:rsid w:val="00637C68"/>
    <w:rsid w:val="00637E93"/>
    <w:rsid w:val="006404EF"/>
    <w:rsid w:val="00641ED0"/>
    <w:rsid w:val="0064251E"/>
    <w:rsid w:val="0064315E"/>
    <w:rsid w:val="00643D27"/>
    <w:rsid w:val="00644276"/>
    <w:rsid w:val="006443F6"/>
    <w:rsid w:val="006449B2"/>
    <w:rsid w:val="00644A84"/>
    <w:rsid w:val="00644C01"/>
    <w:rsid w:val="00644F09"/>
    <w:rsid w:val="006451D0"/>
    <w:rsid w:val="006452A9"/>
    <w:rsid w:val="00645613"/>
    <w:rsid w:val="00646CB2"/>
    <w:rsid w:val="00647093"/>
    <w:rsid w:val="006471EC"/>
    <w:rsid w:val="006473C2"/>
    <w:rsid w:val="00647490"/>
    <w:rsid w:val="00647F32"/>
    <w:rsid w:val="0065012A"/>
    <w:rsid w:val="006502C2"/>
    <w:rsid w:val="006503DF"/>
    <w:rsid w:val="00650535"/>
    <w:rsid w:val="006507EE"/>
    <w:rsid w:val="00650AEC"/>
    <w:rsid w:val="00650F8A"/>
    <w:rsid w:val="006510E4"/>
    <w:rsid w:val="0065182B"/>
    <w:rsid w:val="006518F1"/>
    <w:rsid w:val="00651B19"/>
    <w:rsid w:val="00651B80"/>
    <w:rsid w:val="00651F4D"/>
    <w:rsid w:val="0065203B"/>
    <w:rsid w:val="00652B82"/>
    <w:rsid w:val="00653187"/>
    <w:rsid w:val="00653BC0"/>
    <w:rsid w:val="00653BF3"/>
    <w:rsid w:val="00654BFF"/>
    <w:rsid w:val="00654C22"/>
    <w:rsid w:val="0065552F"/>
    <w:rsid w:val="006558F0"/>
    <w:rsid w:val="006572F0"/>
    <w:rsid w:val="0065751D"/>
    <w:rsid w:val="006577B4"/>
    <w:rsid w:val="006579BD"/>
    <w:rsid w:val="0066034F"/>
    <w:rsid w:val="00660447"/>
    <w:rsid w:val="0066072A"/>
    <w:rsid w:val="006617DF"/>
    <w:rsid w:val="0066190E"/>
    <w:rsid w:val="00662398"/>
    <w:rsid w:val="006624D3"/>
    <w:rsid w:val="00663073"/>
    <w:rsid w:val="00663394"/>
    <w:rsid w:val="006633BF"/>
    <w:rsid w:val="006636E2"/>
    <w:rsid w:val="00663CDF"/>
    <w:rsid w:val="00663F30"/>
    <w:rsid w:val="00663F50"/>
    <w:rsid w:val="00663FD9"/>
    <w:rsid w:val="00664075"/>
    <w:rsid w:val="006641E5"/>
    <w:rsid w:val="00664787"/>
    <w:rsid w:val="00664B8C"/>
    <w:rsid w:val="00664BF5"/>
    <w:rsid w:val="00664ECC"/>
    <w:rsid w:val="00665B44"/>
    <w:rsid w:val="006663D6"/>
    <w:rsid w:val="00666A21"/>
    <w:rsid w:val="00667604"/>
    <w:rsid w:val="00667922"/>
    <w:rsid w:val="006711BC"/>
    <w:rsid w:val="00671562"/>
    <w:rsid w:val="00672AD5"/>
    <w:rsid w:val="00672D5E"/>
    <w:rsid w:val="00672DBA"/>
    <w:rsid w:val="00672F1B"/>
    <w:rsid w:val="006730D3"/>
    <w:rsid w:val="006732E9"/>
    <w:rsid w:val="00673383"/>
    <w:rsid w:val="006745E5"/>
    <w:rsid w:val="0067478C"/>
    <w:rsid w:val="0067513B"/>
    <w:rsid w:val="006751DD"/>
    <w:rsid w:val="006754A7"/>
    <w:rsid w:val="006757AD"/>
    <w:rsid w:val="00675A42"/>
    <w:rsid w:val="00676072"/>
    <w:rsid w:val="006763FF"/>
    <w:rsid w:val="00676908"/>
    <w:rsid w:val="00676F0E"/>
    <w:rsid w:val="00677127"/>
    <w:rsid w:val="00677476"/>
    <w:rsid w:val="0067757B"/>
    <w:rsid w:val="00677AAC"/>
    <w:rsid w:val="00677CF9"/>
    <w:rsid w:val="00677F40"/>
    <w:rsid w:val="00677F5C"/>
    <w:rsid w:val="0068029D"/>
    <w:rsid w:val="00680680"/>
    <w:rsid w:val="00681328"/>
    <w:rsid w:val="00681577"/>
    <w:rsid w:val="00682270"/>
    <w:rsid w:val="00682403"/>
    <w:rsid w:val="006826F9"/>
    <w:rsid w:val="006828B9"/>
    <w:rsid w:val="00682EE2"/>
    <w:rsid w:val="00682F16"/>
    <w:rsid w:val="0068348A"/>
    <w:rsid w:val="006838F2"/>
    <w:rsid w:val="00683FB4"/>
    <w:rsid w:val="00684862"/>
    <w:rsid w:val="00684A9C"/>
    <w:rsid w:val="00685CEE"/>
    <w:rsid w:val="00685D3D"/>
    <w:rsid w:val="006863B0"/>
    <w:rsid w:val="0068704C"/>
    <w:rsid w:val="006878B8"/>
    <w:rsid w:val="00687E54"/>
    <w:rsid w:val="006905D1"/>
    <w:rsid w:val="006907DD"/>
    <w:rsid w:val="00691348"/>
    <w:rsid w:val="00691E31"/>
    <w:rsid w:val="00691F19"/>
    <w:rsid w:val="00691F77"/>
    <w:rsid w:val="006920A9"/>
    <w:rsid w:val="00692C67"/>
    <w:rsid w:val="00693035"/>
    <w:rsid w:val="006933DC"/>
    <w:rsid w:val="006944F3"/>
    <w:rsid w:val="00694B69"/>
    <w:rsid w:val="00694D4B"/>
    <w:rsid w:val="00694F35"/>
    <w:rsid w:val="00695568"/>
    <w:rsid w:val="00695B49"/>
    <w:rsid w:val="00696267"/>
    <w:rsid w:val="00696415"/>
    <w:rsid w:val="00696658"/>
    <w:rsid w:val="006A03AC"/>
    <w:rsid w:val="006A09EE"/>
    <w:rsid w:val="006A0EE1"/>
    <w:rsid w:val="006A1215"/>
    <w:rsid w:val="006A1719"/>
    <w:rsid w:val="006A2189"/>
    <w:rsid w:val="006A2255"/>
    <w:rsid w:val="006A24E1"/>
    <w:rsid w:val="006A2559"/>
    <w:rsid w:val="006A26F0"/>
    <w:rsid w:val="006A30ED"/>
    <w:rsid w:val="006A381E"/>
    <w:rsid w:val="006A384C"/>
    <w:rsid w:val="006A3D28"/>
    <w:rsid w:val="006A5151"/>
    <w:rsid w:val="006A5667"/>
    <w:rsid w:val="006A5BBB"/>
    <w:rsid w:val="006A5BE5"/>
    <w:rsid w:val="006A6097"/>
    <w:rsid w:val="006A60EE"/>
    <w:rsid w:val="006A60F2"/>
    <w:rsid w:val="006A653D"/>
    <w:rsid w:val="006A69CB"/>
    <w:rsid w:val="006A6ACD"/>
    <w:rsid w:val="006A6C71"/>
    <w:rsid w:val="006A6CFE"/>
    <w:rsid w:val="006A71FE"/>
    <w:rsid w:val="006A741E"/>
    <w:rsid w:val="006A7448"/>
    <w:rsid w:val="006A7E92"/>
    <w:rsid w:val="006B0408"/>
    <w:rsid w:val="006B07EC"/>
    <w:rsid w:val="006B135D"/>
    <w:rsid w:val="006B17C7"/>
    <w:rsid w:val="006B1823"/>
    <w:rsid w:val="006B190F"/>
    <w:rsid w:val="006B286A"/>
    <w:rsid w:val="006B2967"/>
    <w:rsid w:val="006B36BE"/>
    <w:rsid w:val="006B3FD4"/>
    <w:rsid w:val="006B45FC"/>
    <w:rsid w:val="006B45FE"/>
    <w:rsid w:val="006B4761"/>
    <w:rsid w:val="006B4ABA"/>
    <w:rsid w:val="006B4CED"/>
    <w:rsid w:val="006B511E"/>
    <w:rsid w:val="006B5643"/>
    <w:rsid w:val="006B5AB6"/>
    <w:rsid w:val="006B5CC5"/>
    <w:rsid w:val="006B5E90"/>
    <w:rsid w:val="006B609A"/>
    <w:rsid w:val="006B6A6F"/>
    <w:rsid w:val="006B6AE6"/>
    <w:rsid w:val="006B7342"/>
    <w:rsid w:val="006B76E9"/>
    <w:rsid w:val="006B772C"/>
    <w:rsid w:val="006B7CA3"/>
    <w:rsid w:val="006B7EDD"/>
    <w:rsid w:val="006C09AB"/>
    <w:rsid w:val="006C0AAE"/>
    <w:rsid w:val="006C160C"/>
    <w:rsid w:val="006C1639"/>
    <w:rsid w:val="006C1693"/>
    <w:rsid w:val="006C16F4"/>
    <w:rsid w:val="006C17F8"/>
    <w:rsid w:val="006C1C0A"/>
    <w:rsid w:val="006C287F"/>
    <w:rsid w:val="006C294C"/>
    <w:rsid w:val="006C3139"/>
    <w:rsid w:val="006C384B"/>
    <w:rsid w:val="006C4011"/>
    <w:rsid w:val="006C44D4"/>
    <w:rsid w:val="006C4B3E"/>
    <w:rsid w:val="006C520D"/>
    <w:rsid w:val="006C5FC0"/>
    <w:rsid w:val="006C647F"/>
    <w:rsid w:val="006C6EBD"/>
    <w:rsid w:val="006C6F24"/>
    <w:rsid w:val="006C6F48"/>
    <w:rsid w:val="006C7559"/>
    <w:rsid w:val="006C778A"/>
    <w:rsid w:val="006C79EF"/>
    <w:rsid w:val="006C7ACC"/>
    <w:rsid w:val="006D020E"/>
    <w:rsid w:val="006D08FE"/>
    <w:rsid w:val="006D0F0A"/>
    <w:rsid w:val="006D1319"/>
    <w:rsid w:val="006D147C"/>
    <w:rsid w:val="006D1D76"/>
    <w:rsid w:val="006D2576"/>
    <w:rsid w:val="006D2896"/>
    <w:rsid w:val="006D2DED"/>
    <w:rsid w:val="006D32F0"/>
    <w:rsid w:val="006D35DB"/>
    <w:rsid w:val="006D36D8"/>
    <w:rsid w:val="006D47C6"/>
    <w:rsid w:val="006D4826"/>
    <w:rsid w:val="006D4DC7"/>
    <w:rsid w:val="006D4E07"/>
    <w:rsid w:val="006D51BE"/>
    <w:rsid w:val="006D5A90"/>
    <w:rsid w:val="006D5D44"/>
    <w:rsid w:val="006D6231"/>
    <w:rsid w:val="006D62E7"/>
    <w:rsid w:val="006D6837"/>
    <w:rsid w:val="006D6962"/>
    <w:rsid w:val="006D6EA3"/>
    <w:rsid w:val="006D76E6"/>
    <w:rsid w:val="006D7ABD"/>
    <w:rsid w:val="006E0511"/>
    <w:rsid w:val="006E0FAB"/>
    <w:rsid w:val="006E10F1"/>
    <w:rsid w:val="006E2399"/>
    <w:rsid w:val="006E372B"/>
    <w:rsid w:val="006E37C1"/>
    <w:rsid w:val="006E3E8F"/>
    <w:rsid w:val="006E3EAE"/>
    <w:rsid w:val="006E4162"/>
    <w:rsid w:val="006E42A6"/>
    <w:rsid w:val="006E4469"/>
    <w:rsid w:val="006E4D5D"/>
    <w:rsid w:val="006E5601"/>
    <w:rsid w:val="006E5D53"/>
    <w:rsid w:val="006E6B6B"/>
    <w:rsid w:val="006E6D63"/>
    <w:rsid w:val="006E79CC"/>
    <w:rsid w:val="006F04BD"/>
    <w:rsid w:val="006F0F0D"/>
    <w:rsid w:val="006F1035"/>
    <w:rsid w:val="006F1569"/>
    <w:rsid w:val="006F1DED"/>
    <w:rsid w:val="006F2759"/>
    <w:rsid w:val="006F2BBF"/>
    <w:rsid w:val="006F2D33"/>
    <w:rsid w:val="006F2D7A"/>
    <w:rsid w:val="006F365C"/>
    <w:rsid w:val="006F3F43"/>
    <w:rsid w:val="006F4220"/>
    <w:rsid w:val="006F45E3"/>
    <w:rsid w:val="006F4E2D"/>
    <w:rsid w:val="006F5455"/>
    <w:rsid w:val="006F57B5"/>
    <w:rsid w:val="006F7104"/>
    <w:rsid w:val="006F73FC"/>
    <w:rsid w:val="00700C46"/>
    <w:rsid w:val="00700EF1"/>
    <w:rsid w:val="00701020"/>
    <w:rsid w:val="007011CA"/>
    <w:rsid w:val="007011DA"/>
    <w:rsid w:val="00701265"/>
    <w:rsid w:val="007015DE"/>
    <w:rsid w:val="00701AFC"/>
    <w:rsid w:val="0070250F"/>
    <w:rsid w:val="00703563"/>
    <w:rsid w:val="007039E6"/>
    <w:rsid w:val="00703C9D"/>
    <w:rsid w:val="00703CB5"/>
    <w:rsid w:val="00703CE8"/>
    <w:rsid w:val="00704100"/>
    <w:rsid w:val="00704737"/>
    <w:rsid w:val="00704829"/>
    <w:rsid w:val="00704B34"/>
    <w:rsid w:val="00704BF9"/>
    <w:rsid w:val="00704C1B"/>
    <w:rsid w:val="007059EA"/>
    <w:rsid w:val="00705AF0"/>
    <w:rsid w:val="00705C86"/>
    <w:rsid w:val="00705D34"/>
    <w:rsid w:val="00706078"/>
    <w:rsid w:val="00706311"/>
    <w:rsid w:val="0070638A"/>
    <w:rsid w:val="007066EA"/>
    <w:rsid w:val="00706A44"/>
    <w:rsid w:val="0070704C"/>
    <w:rsid w:val="00707211"/>
    <w:rsid w:val="0070750B"/>
    <w:rsid w:val="007076E9"/>
    <w:rsid w:val="0071015D"/>
    <w:rsid w:val="0071046D"/>
    <w:rsid w:val="00710906"/>
    <w:rsid w:val="0071117A"/>
    <w:rsid w:val="007113ED"/>
    <w:rsid w:val="0071197C"/>
    <w:rsid w:val="00711A5B"/>
    <w:rsid w:val="00711FFA"/>
    <w:rsid w:val="00712157"/>
    <w:rsid w:val="00712178"/>
    <w:rsid w:val="00712433"/>
    <w:rsid w:val="00712E01"/>
    <w:rsid w:val="0071398B"/>
    <w:rsid w:val="00713AB4"/>
    <w:rsid w:val="00713AF0"/>
    <w:rsid w:val="0071412A"/>
    <w:rsid w:val="00714312"/>
    <w:rsid w:val="0071443C"/>
    <w:rsid w:val="00715639"/>
    <w:rsid w:val="0071564C"/>
    <w:rsid w:val="00715BA5"/>
    <w:rsid w:val="00715EF0"/>
    <w:rsid w:val="00716BD7"/>
    <w:rsid w:val="0071721E"/>
    <w:rsid w:val="0071746E"/>
    <w:rsid w:val="00717478"/>
    <w:rsid w:val="00717536"/>
    <w:rsid w:val="0071774E"/>
    <w:rsid w:val="00717C27"/>
    <w:rsid w:val="007200F0"/>
    <w:rsid w:val="0072014C"/>
    <w:rsid w:val="00720717"/>
    <w:rsid w:val="007209A3"/>
    <w:rsid w:val="00720A98"/>
    <w:rsid w:val="00720D11"/>
    <w:rsid w:val="00720DA8"/>
    <w:rsid w:val="007215EB"/>
    <w:rsid w:val="00721BBA"/>
    <w:rsid w:val="00722270"/>
    <w:rsid w:val="00722328"/>
    <w:rsid w:val="00722361"/>
    <w:rsid w:val="0072236A"/>
    <w:rsid w:val="0072239D"/>
    <w:rsid w:val="00722B54"/>
    <w:rsid w:val="00723A1D"/>
    <w:rsid w:val="00723C2C"/>
    <w:rsid w:val="00724648"/>
    <w:rsid w:val="0072482A"/>
    <w:rsid w:val="0072483E"/>
    <w:rsid w:val="00724E16"/>
    <w:rsid w:val="00724E6E"/>
    <w:rsid w:val="007257E3"/>
    <w:rsid w:val="007259A4"/>
    <w:rsid w:val="00726003"/>
    <w:rsid w:val="0072606B"/>
    <w:rsid w:val="0072612C"/>
    <w:rsid w:val="00726C77"/>
    <w:rsid w:val="007272EE"/>
    <w:rsid w:val="007272F6"/>
    <w:rsid w:val="00727575"/>
    <w:rsid w:val="00727F09"/>
    <w:rsid w:val="00730E56"/>
    <w:rsid w:val="0073108A"/>
    <w:rsid w:val="007317BC"/>
    <w:rsid w:val="00731937"/>
    <w:rsid w:val="00732288"/>
    <w:rsid w:val="00732488"/>
    <w:rsid w:val="0073249E"/>
    <w:rsid w:val="00732AD8"/>
    <w:rsid w:val="00733991"/>
    <w:rsid w:val="00733E00"/>
    <w:rsid w:val="00733E3B"/>
    <w:rsid w:val="0073459D"/>
    <w:rsid w:val="00734E3B"/>
    <w:rsid w:val="0073580F"/>
    <w:rsid w:val="00735961"/>
    <w:rsid w:val="00735FBD"/>
    <w:rsid w:val="0073626E"/>
    <w:rsid w:val="00736611"/>
    <w:rsid w:val="0073663C"/>
    <w:rsid w:val="0073689E"/>
    <w:rsid w:val="00737258"/>
    <w:rsid w:val="00737305"/>
    <w:rsid w:val="007373EF"/>
    <w:rsid w:val="00737D35"/>
    <w:rsid w:val="00737F14"/>
    <w:rsid w:val="007403F2"/>
    <w:rsid w:val="007408B0"/>
    <w:rsid w:val="007416AC"/>
    <w:rsid w:val="007417BA"/>
    <w:rsid w:val="00742EC9"/>
    <w:rsid w:val="0074341C"/>
    <w:rsid w:val="00744138"/>
    <w:rsid w:val="0074435F"/>
    <w:rsid w:val="0074452C"/>
    <w:rsid w:val="00744814"/>
    <w:rsid w:val="00744AB9"/>
    <w:rsid w:val="00744B7D"/>
    <w:rsid w:val="00744C30"/>
    <w:rsid w:val="00745468"/>
    <w:rsid w:val="00745894"/>
    <w:rsid w:val="00745EC7"/>
    <w:rsid w:val="00746B8B"/>
    <w:rsid w:val="00747075"/>
    <w:rsid w:val="007475B7"/>
    <w:rsid w:val="00747643"/>
    <w:rsid w:val="007477CD"/>
    <w:rsid w:val="00747A55"/>
    <w:rsid w:val="00747A86"/>
    <w:rsid w:val="00747C49"/>
    <w:rsid w:val="007503C3"/>
    <w:rsid w:val="0075047B"/>
    <w:rsid w:val="00750773"/>
    <w:rsid w:val="00750EAA"/>
    <w:rsid w:val="0075101B"/>
    <w:rsid w:val="007510EB"/>
    <w:rsid w:val="007511DC"/>
    <w:rsid w:val="00751412"/>
    <w:rsid w:val="00751956"/>
    <w:rsid w:val="007519A9"/>
    <w:rsid w:val="0075204B"/>
    <w:rsid w:val="00752317"/>
    <w:rsid w:val="007527F0"/>
    <w:rsid w:val="0075327D"/>
    <w:rsid w:val="00753922"/>
    <w:rsid w:val="007539B7"/>
    <w:rsid w:val="00753BF1"/>
    <w:rsid w:val="00753CBF"/>
    <w:rsid w:val="00753DAC"/>
    <w:rsid w:val="00753E3C"/>
    <w:rsid w:val="00754134"/>
    <w:rsid w:val="0075520D"/>
    <w:rsid w:val="00755452"/>
    <w:rsid w:val="00755715"/>
    <w:rsid w:val="00755B3F"/>
    <w:rsid w:val="00756029"/>
    <w:rsid w:val="0075649A"/>
    <w:rsid w:val="00756864"/>
    <w:rsid w:val="00757336"/>
    <w:rsid w:val="00757B1F"/>
    <w:rsid w:val="00757C36"/>
    <w:rsid w:val="007606B6"/>
    <w:rsid w:val="00760C03"/>
    <w:rsid w:val="00760D0A"/>
    <w:rsid w:val="00760DB2"/>
    <w:rsid w:val="0076106D"/>
    <w:rsid w:val="00762184"/>
    <w:rsid w:val="00762550"/>
    <w:rsid w:val="00762A63"/>
    <w:rsid w:val="00762BBD"/>
    <w:rsid w:val="0076310D"/>
    <w:rsid w:val="0076340E"/>
    <w:rsid w:val="007635D1"/>
    <w:rsid w:val="00763A0A"/>
    <w:rsid w:val="00764251"/>
    <w:rsid w:val="00764347"/>
    <w:rsid w:val="00764D97"/>
    <w:rsid w:val="00764F6B"/>
    <w:rsid w:val="00765219"/>
    <w:rsid w:val="00765249"/>
    <w:rsid w:val="00765A07"/>
    <w:rsid w:val="00765A41"/>
    <w:rsid w:val="00765B96"/>
    <w:rsid w:val="007661B9"/>
    <w:rsid w:val="007662C4"/>
    <w:rsid w:val="007663EC"/>
    <w:rsid w:val="00766D74"/>
    <w:rsid w:val="0076701C"/>
    <w:rsid w:val="00767503"/>
    <w:rsid w:val="0076778E"/>
    <w:rsid w:val="007677D5"/>
    <w:rsid w:val="00767815"/>
    <w:rsid w:val="00770096"/>
    <w:rsid w:val="007706BC"/>
    <w:rsid w:val="007707A0"/>
    <w:rsid w:val="00770B7B"/>
    <w:rsid w:val="00770C42"/>
    <w:rsid w:val="00770D3F"/>
    <w:rsid w:val="0077107F"/>
    <w:rsid w:val="00771F5B"/>
    <w:rsid w:val="0077217A"/>
    <w:rsid w:val="0077257E"/>
    <w:rsid w:val="00772DF7"/>
    <w:rsid w:val="00772F18"/>
    <w:rsid w:val="007731BA"/>
    <w:rsid w:val="00773CA8"/>
    <w:rsid w:val="00774522"/>
    <w:rsid w:val="00775B73"/>
    <w:rsid w:val="00775F65"/>
    <w:rsid w:val="0077612A"/>
    <w:rsid w:val="00776142"/>
    <w:rsid w:val="00776692"/>
    <w:rsid w:val="00776CAB"/>
    <w:rsid w:val="00776D0E"/>
    <w:rsid w:val="007770A0"/>
    <w:rsid w:val="0077730C"/>
    <w:rsid w:val="00777355"/>
    <w:rsid w:val="00780469"/>
    <w:rsid w:val="007805E9"/>
    <w:rsid w:val="00780783"/>
    <w:rsid w:val="00781276"/>
    <w:rsid w:val="00781783"/>
    <w:rsid w:val="0078194C"/>
    <w:rsid w:val="0078194F"/>
    <w:rsid w:val="00781974"/>
    <w:rsid w:val="00781B63"/>
    <w:rsid w:val="0078260C"/>
    <w:rsid w:val="00782993"/>
    <w:rsid w:val="00782A2E"/>
    <w:rsid w:val="00782E31"/>
    <w:rsid w:val="007837DE"/>
    <w:rsid w:val="007837E1"/>
    <w:rsid w:val="00783ECD"/>
    <w:rsid w:val="00783FF2"/>
    <w:rsid w:val="0078461F"/>
    <w:rsid w:val="00784B0F"/>
    <w:rsid w:val="00784C03"/>
    <w:rsid w:val="00784E93"/>
    <w:rsid w:val="00784EDF"/>
    <w:rsid w:val="00784F4D"/>
    <w:rsid w:val="0078514A"/>
    <w:rsid w:val="00786A3A"/>
    <w:rsid w:val="00786BB2"/>
    <w:rsid w:val="00786D56"/>
    <w:rsid w:val="007870E2"/>
    <w:rsid w:val="00787561"/>
    <w:rsid w:val="00787767"/>
    <w:rsid w:val="00787B12"/>
    <w:rsid w:val="00787BEB"/>
    <w:rsid w:val="00787D27"/>
    <w:rsid w:val="007905D4"/>
    <w:rsid w:val="007909A5"/>
    <w:rsid w:val="00790AC4"/>
    <w:rsid w:val="00790C49"/>
    <w:rsid w:val="00790D30"/>
    <w:rsid w:val="00791833"/>
    <w:rsid w:val="00791C4C"/>
    <w:rsid w:val="0079208F"/>
    <w:rsid w:val="007928DD"/>
    <w:rsid w:val="00792A4F"/>
    <w:rsid w:val="00792AB0"/>
    <w:rsid w:val="00792AB2"/>
    <w:rsid w:val="00792D28"/>
    <w:rsid w:val="00793391"/>
    <w:rsid w:val="007934ED"/>
    <w:rsid w:val="00793BE2"/>
    <w:rsid w:val="00794E3B"/>
    <w:rsid w:val="007953C8"/>
    <w:rsid w:val="00795A77"/>
    <w:rsid w:val="0079673D"/>
    <w:rsid w:val="007967C5"/>
    <w:rsid w:val="00797573"/>
    <w:rsid w:val="00797622"/>
    <w:rsid w:val="00797FE6"/>
    <w:rsid w:val="007A038E"/>
    <w:rsid w:val="007A1626"/>
    <w:rsid w:val="007A1981"/>
    <w:rsid w:val="007A1C6A"/>
    <w:rsid w:val="007A2199"/>
    <w:rsid w:val="007A2523"/>
    <w:rsid w:val="007A42F5"/>
    <w:rsid w:val="007A461C"/>
    <w:rsid w:val="007A49F4"/>
    <w:rsid w:val="007A5338"/>
    <w:rsid w:val="007A55C4"/>
    <w:rsid w:val="007A56AC"/>
    <w:rsid w:val="007A69E1"/>
    <w:rsid w:val="007A6D26"/>
    <w:rsid w:val="007A7318"/>
    <w:rsid w:val="007A74BE"/>
    <w:rsid w:val="007B0119"/>
    <w:rsid w:val="007B1032"/>
    <w:rsid w:val="007B1070"/>
    <w:rsid w:val="007B122C"/>
    <w:rsid w:val="007B2048"/>
    <w:rsid w:val="007B2530"/>
    <w:rsid w:val="007B3300"/>
    <w:rsid w:val="007B3693"/>
    <w:rsid w:val="007B382E"/>
    <w:rsid w:val="007B47D3"/>
    <w:rsid w:val="007B4BB0"/>
    <w:rsid w:val="007B50F9"/>
    <w:rsid w:val="007B5697"/>
    <w:rsid w:val="007B56D8"/>
    <w:rsid w:val="007B658E"/>
    <w:rsid w:val="007B690E"/>
    <w:rsid w:val="007B6990"/>
    <w:rsid w:val="007B7125"/>
    <w:rsid w:val="007B71B3"/>
    <w:rsid w:val="007B724E"/>
    <w:rsid w:val="007B727E"/>
    <w:rsid w:val="007B73A1"/>
    <w:rsid w:val="007B7608"/>
    <w:rsid w:val="007B7959"/>
    <w:rsid w:val="007B7983"/>
    <w:rsid w:val="007C0C50"/>
    <w:rsid w:val="007C0D90"/>
    <w:rsid w:val="007C0DAC"/>
    <w:rsid w:val="007C1CB0"/>
    <w:rsid w:val="007C22E7"/>
    <w:rsid w:val="007C3DEB"/>
    <w:rsid w:val="007C427D"/>
    <w:rsid w:val="007C42C1"/>
    <w:rsid w:val="007C4C0E"/>
    <w:rsid w:val="007C4F27"/>
    <w:rsid w:val="007C5053"/>
    <w:rsid w:val="007C6774"/>
    <w:rsid w:val="007C6ADF"/>
    <w:rsid w:val="007C6D10"/>
    <w:rsid w:val="007C6E51"/>
    <w:rsid w:val="007C71CA"/>
    <w:rsid w:val="007C7D6F"/>
    <w:rsid w:val="007C7E3C"/>
    <w:rsid w:val="007D0014"/>
    <w:rsid w:val="007D051A"/>
    <w:rsid w:val="007D053C"/>
    <w:rsid w:val="007D14B6"/>
    <w:rsid w:val="007D16C6"/>
    <w:rsid w:val="007D1B73"/>
    <w:rsid w:val="007D1FF8"/>
    <w:rsid w:val="007D22B1"/>
    <w:rsid w:val="007D329A"/>
    <w:rsid w:val="007D33D3"/>
    <w:rsid w:val="007D3514"/>
    <w:rsid w:val="007D365E"/>
    <w:rsid w:val="007D3BDF"/>
    <w:rsid w:val="007D3E13"/>
    <w:rsid w:val="007D3E52"/>
    <w:rsid w:val="007D4310"/>
    <w:rsid w:val="007D521E"/>
    <w:rsid w:val="007D524D"/>
    <w:rsid w:val="007D548F"/>
    <w:rsid w:val="007D57D9"/>
    <w:rsid w:val="007D58FA"/>
    <w:rsid w:val="007D5954"/>
    <w:rsid w:val="007D59C0"/>
    <w:rsid w:val="007D59C9"/>
    <w:rsid w:val="007D59F2"/>
    <w:rsid w:val="007D6B92"/>
    <w:rsid w:val="007D79DF"/>
    <w:rsid w:val="007D7BA9"/>
    <w:rsid w:val="007E051F"/>
    <w:rsid w:val="007E06BE"/>
    <w:rsid w:val="007E06EA"/>
    <w:rsid w:val="007E07DB"/>
    <w:rsid w:val="007E0CF1"/>
    <w:rsid w:val="007E1663"/>
    <w:rsid w:val="007E16E5"/>
    <w:rsid w:val="007E19A6"/>
    <w:rsid w:val="007E19AD"/>
    <w:rsid w:val="007E19E9"/>
    <w:rsid w:val="007E1B12"/>
    <w:rsid w:val="007E2754"/>
    <w:rsid w:val="007E2AD0"/>
    <w:rsid w:val="007E2CF9"/>
    <w:rsid w:val="007E36B0"/>
    <w:rsid w:val="007E36C5"/>
    <w:rsid w:val="007E375A"/>
    <w:rsid w:val="007E3D4B"/>
    <w:rsid w:val="007E3F57"/>
    <w:rsid w:val="007E40EE"/>
    <w:rsid w:val="007E42E2"/>
    <w:rsid w:val="007E4559"/>
    <w:rsid w:val="007E4AF8"/>
    <w:rsid w:val="007E5872"/>
    <w:rsid w:val="007E5889"/>
    <w:rsid w:val="007E5B4E"/>
    <w:rsid w:val="007E5FBA"/>
    <w:rsid w:val="007E6221"/>
    <w:rsid w:val="007E631E"/>
    <w:rsid w:val="007E694C"/>
    <w:rsid w:val="007E712A"/>
    <w:rsid w:val="007E7171"/>
    <w:rsid w:val="007F02A9"/>
    <w:rsid w:val="007F09B0"/>
    <w:rsid w:val="007F09E2"/>
    <w:rsid w:val="007F0EA1"/>
    <w:rsid w:val="007F12FF"/>
    <w:rsid w:val="007F1481"/>
    <w:rsid w:val="007F1526"/>
    <w:rsid w:val="007F17A8"/>
    <w:rsid w:val="007F17D1"/>
    <w:rsid w:val="007F187B"/>
    <w:rsid w:val="007F1A74"/>
    <w:rsid w:val="007F27F2"/>
    <w:rsid w:val="007F2A51"/>
    <w:rsid w:val="007F2AD9"/>
    <w:rsid w:val="007F30EA"/>
    <w:rsid w:val="007F360E"/>
    <w:rsid w:val="007F4C8C"/>
    <w:rsid w:val="007F574B"/>
    <w:rsid w:val="007F597D"/>
    <w:rsid w:val="007F5C90"/>
    <w:rsid w:val="007F61A0"/>
    <w:rsid w:val="007F62CF"/>
    <w:rsid w:val="007F62EB"/>
    <w:rsid w:val="007F67FC"/>
    <w:rsid w:val="007F6922"/>
    <w:rsid w:val="007F6DBC"/>
    <w:rsid w:val="007F6E06"/>
    <w:rsid w:val="007F6FBE"/>
    <w:rsid w:val="007F7562"/>
    <w:rsid w:val="007F7A94"/>
    <w:rsid w:val="0080016F"/>
    <w:rsid w:val="00800203"/>
    <w:rsid w:val="00800809"/>
    <w:rsid w:val="008009C3"/>
    <w:rsid w:val="00800DA3"/>
    <w:rsid w:val="00801064"/>
    <w:rsid w:val="008016C9"/>
    <w:rsid w:val="00801DBE"/>
    <w:rsid w:val="0080253D"/>
    <w:rsid w:val="008025A5"/>
    <w:rsid w:val="00802AE5"/>
    <w:rsid w:val="00802BF7"/>
    <w:rsid w:val="0080306D"/>
    <w:rsid w:val="0080341C"/>
    <w:rsid w:val="00803778"/>
    <w:rsid w:val="00803CD7"/>
    <w:rsid w:val="0080460E"/>
    <w:rsid w:val="00804C70"/>
    <w:rsid w:val="00804E32"/>
    <w:rsid w:val="00805223"/>
    <w:rsid w:val="00805BCE"/>
    <w:rsid w:val="00806002"/>
    <w:rsid w:val="00806094"/>
    <w:rsid w:val="008060A1"/>
    <w:rsid w:val="0080720B"/>
    <w:rsid w:val="0080723E"/>
    <w:rsid w:val="00807484"/>
    <w:rsid w:val="008078A9"/>
    <w:rsid w:val="00807CFB"/>
    <w:rsid w:val="008104DD"/>
    <w:rsid w:val="00810747"/>
    <w:rsid w:val="00810AAA"/>
    <w:rsid w:val="00810B00"/>
    <w:rsid w:val="00810DF4"/>
    <w:rsid w:val="0081135E"/>
    <w:rsid w:val="008119BE"/>
    <w:rsid w:val="00811CA1"/>
    <w:rsid w:val="00812114"/>
    <w:rsid w:val="008122A0"/>
    <w:rsid w:val="00812738"/>
    <w:rsid w:val="00812E03"/>
    <w:rsid w:val="0081324A"/>
    <w:rsid w:val="008133DD"/>
    <w:rsid w:val="008134B5"/>
    <w:rsid w:val="00813777"/>
    <w:rsid w:val="008138C9"/>
    <w:rsid w:val="008139D2"/>
    <w:rsid w:val="00813E89"/>
    <w:rsid w:val="00814045"/>
    <w:rsid w:val="008140C0"/>
    <w:rsid w:val="00814349"/>
    <w:rsid w:val="008145A3"/>
    <w:rsid w:val="008145DD"/>
    <w:rsid w:val="0081508A"/>
    <w:rsid w:val="00816079"/>
    <w:rsid w:val="00816960"/>
    <w:rsid w:val="00817252"/>
    <w:rsid w:val="00817379"/>
    <w:rsid w:val="008173AB"/>
    <w:rsid w:val="008177C6"/>
    <w:rsid w:val="008178F1"/>
    <w:rsid w:val="00817B01"/>
    <w:rsid w:val="0082004B"/>
    <w:rsid w:val="008200E1"/>
    <w:rsid w:val="0082015C"/>
    <w:rsid w:val="0082050D"/>
    <w:rsid w:val="008213AA"/>
    <w:rsid w:val="008214AD"/>
    <w:rsid w:val="00821C4C"/>
    <w:rsid w:val="00822323"/>
    <w:rsid w:val="00822806"/>
    <w:rsid w:val="00822DE5"/>
    <w:rsid w:val="008233C4"/>
    <w:rsid w:val="00823408"/>
    <w:rsid w:val="0082411F"/>
    <w:rsid w:val="008242FE"/>
    <w:rsid w:val="0082441B"/>
    <w:rsid w:val="0082453F"/>
    <w:rsid w:val="00824B95"/>
    <w:rsid w:val="00824C66"/>
    <w:rsid w:val="00824E09"/>
    <w:rsid w:val="008252F1"/>
    <w:rsid w:val="00825949"/>
    <w:rsid w:val="00825B8B"/>
    <w:rsid w:val="008263F2"/>
    <w:rsid w:val="00826B73"/>
    <w:rsid w:val="008279C6"/>
    <w:rsid w:val="008303F6"/>
    <w:rsid w:val="00830908"/>
    <w:rsid w:val="00830A76"/>
    <w:rsid w:val="00830EF1"/>
    <w:rsid w:val="008310EA"/>
    <w:rsid w:val="00831133"/>
    <w:rsid w:val="008311D4"/>
    <w:rsid w:val="00831C65"/>
    <w:rsid w:val="00831D26"/>
    <w:rsid w:val="00831DAE"/>
    <w:rsid w:val="008323E6"/>
    <w:rsid w:val="00832567"/>
    <w:rsid w:val="008332E6"/>
    <w:rsid w:val="0083332F"/>
    <w:rsid w:val="00833640"/>
    <w:rsid w:val="008338F1"/>
    <w:rsid w:val="00833BE5"/>
    <w:rsid w:val="00833F28"/>
    <w:rsid w:val="008343EF"/>
    <w:rsid w:val="008346EA"/>
    <w:rsid w:val="00834C64"/>
    <w:rsid w:val="00834EE1"/>
    <w:rsid w:val="00834FE0"/>
    <w:rsid w:val="00835590"/>
    <w:rsid w:val="00835C6A"/>
    <w:rsid w:val="00836163"/>
    <w:rsid w:val="00836E3F"/>
    <w:rsid w:val="00836EE3"/>
    <w:rsid w:val="00837199"/>
    <w:rsid w:val="00837E9A"/>
    <w:rsid w:val="00837F11"/>
    <w:rsid w:val="008400FD"/>
    <w:rsid w:val="0084060A"/>
    <w:rsid w:val="00840F2D"/>
    <w:rsid w:val="00841002"/>
    <w:rsid w:val="00841A45"/>
    <w:rsid w:val="00841B2A"/>
    <w:rsid w:val="00841FC3"/>
    <w:rsid w:val="00842607"/>
    <w:rsid w:val="00842BA7"/>
    <w:rsid w:val="0084356C"/>
    <w:rsid w:val="0084370C"/>
    <w:rsid w:val="008446F4"/>
    <w:rsid w:val="00844962"/>
    <w:rsid w:val="00844AAB"/>
    <w:rsid w:val="00845036"/>
    <w:rsid w:val="00845683"/>
    <w:rsid w:val="0084586E"/>
    <w:rsid w:val="0084597A"/>
    <w:rsid w:val="00845EF8"/>
    <w:rsid w:val="00845F92"/>
    <w:rsid w:val="008465F0"/>
    <w:rsid w:val="008468B6"/>
    <w:rsid w:val="008473E4"/>
    <w:rsid w:val="008474D0"/>
    <w:rsid w:val="00850902"/>
    <w:rsid w:val="00851B44"/>
    <w:rsid w:val="0085219D"/>
    <w:rsid w:val="00852238"/>
    <w:rsid w:val="00852497"/>
    <w:rsid w:val="00852871"/>
    <w:rsid w:val="00852D2C"/>
    <w:rsid w:val="00853F2C"/>
    <w:rsid w:val="00854560"/>
    <w:rsid w:val="008548F8"/>
    <w:rsid w:val="00856923"/>
    <w:rsid w:val="00857ADB"/>
    <w:rsid w:val="00860DDF"/>
    <w:rsid w:val="00860F00"/>
    <w:rsid w:val="0086172F"/>
    <w:rsid w:val="0086196A"/>
    <w:rsid w:val="00861EA4"/>
    <w:rsid w:val="008625C9"/>
    <w:rsid w:val="008626FB"/>
    <w:rsid w:val="0086275A"/>
    <w:rsid w:val="00862BC8"/>
    <w:rsid w:val="00863045"/>
    <w:rsid w:val="008630B6"/>
    <w:rsid w:val="00863162"/>
    <w:rsid w:val="00864296"/>
    <w:rsid w:val="00864874"/>
    <w:rsid w:val="0086499C"/>
    <w:rsid w:val="00864D16"/>
    <w:rsid w:val="00864E92"/>
    <w:rsid w:val="00864EA1"/>
    <w:rsid w:val="00864EF0"/>
    <w:rsid w:val="00865589"/>
    <w:rsid w:val="0086570D"/>
    <w:rsid w:val="00865D0F"/>
    <w:rsid w:val="00866199"/>
    <w:rsid w:val="00866568"/>
    <w:rsid w:val="0086685A"/>
    <w:rsid w:val="0086709B"/>
    <w:rsid w:val="00867337"/>
    <w:rsid w:val="00867850"/>
    <w:rsid w:val="0086785A"/>
    <w:rsid w:val="00867BC6"/>
    <w:rsid w:val="00867CE4"/>
    <w:rsid w:val="00867D73"/>
    <w:rsid w:val="0087004D"/>
    <w:rsid w:val="00870214"/>
    <w:rsid w:val="008703CC"/>
    <w:rsid w:val="00870A00"/>
    <w:rsid w:val="00870B88"/>
    <w:rsid w:val="00871671"/>
    <w:rsid w:val="008717E0"/>
    <w:rsid w:val="008719A5"/>
    <w:rsid w:val="00871E4B"/>
    <w:rsid w:val="008725EE"/>
    <w:rsid w:val="00872DD7"/>
    <w:rsid w:val="008731D5"/>
    <w:rsid w:val="00873815"/>
    <w:rsid w:val="00873F94"/>
    <w:rsid w:val="00873FA6"/>
    <w:rsid w:val="008740BF"/>
    <w:rsid w:val="0087468B"/>
    <w:rsid w:val="008747B5"/>
    <w:rsid w:val="00874CBF"/>
    <w:rsid w:val="008755F1"/>
    <w:rsid w:val="0087595C"/>
    <w:rsid w:val="008760C3"/>
    <w:rsid w:val="0087627C"/>
    <w:rsid w:val="00876557"/>
    <w:rsid w:val="008766FB"/>
    <w:rsid w:val="0087677C"/>
    <w:rsid w:val="008770E6"/>
    <w:rsid w:val="008802B7"/>
    <w:rsid w:val="00880A84"/>
    <w:rsid w:val="00880E20"/>
    <w:rsid w:val="00880E76"/>
    <w:rsid w:val="00881290"/>
    <w:rsid w:val="00881710"/>
    <w:rsid w:val="00881B71"/>
    <w:rsid w:val="00882165"/>
    <w:rsid w:val="0088292D"/>
    <w:rsid w:val="00882E2A"/>
    <w:rsid w:val="00883662"/>
    <w:rsid w:val="00883FAF"/>
    <w:rsid w:val="00884148"/>
    <w:rsid w:val="00884822"/>
    <w:rsid w:val="00884AFD"/>
    <w:rsid w:val="00884F8F"/>
    <w:rsid w:val="0088571B"/>
    <w:rsid w:val="008857B7"/>
    <w:rsid w:val="00886113"/>
    <w:rsid w:val="008862EE"/>
    <w:rsid w:val="008878E9"/>
    <w:rsid w:val="0088791E"/>
    <w:rsid w:val="00890263"/>
    <w:rsid w:val="00890288"/>
    <w:rsid w:val="008908C9"/>
    <w:rsid w:val="008920BD"/>
    <w:rsid w:val="008920EF"/>
    <w:rsid w:val="00892153"/>
    <w:rsid w:val="008921CA"/>
    <w:rsid w:val="00892BDE"/>
    <w:rsid w:val="00893404"/>
    <w:rsid w:val="0089375F"/>
    <w:rsid w:val="008939DB"/>
    <w:rsid w:val="00893A66"/>
    <w:rsid w:val="00893EE2"/>
    <w:rsid w:val="00894DB9"/>
    <w:rsid w:val="0089506E"/>
    <w:rsid w:val="008950BA"/>
    <w:rsid w:val="008951F3"/>
    <w:rsid w:val="00895297"/>
    <w:rsid w:val="00895538"/>
    <w:rsid w:val="008956F3"/>
    <w:rsid w:val="008957CC"/>
    <w:rsid w:val="0089594C"/>
    <w:rsid w:val="0089732D"/>
    <w:rsid w:val="0089750C"/>
    <w:rsid w:val="0089760C"/>
    <w:rsid w:val="008977FC"/>
    <w:rsid w:val="00897A82"/>
    <w:rsid w:val="00897CCD"/>
    <w:rsid w:val="008A005F"/>
    <w:rsid w:val="008A0667"/>
    <w:rsid w:val="008A0727"/>
    <w:rsid w:val="008A0940"/>
    <w:rsid w:val="008A0ACC"/>
    <w:rsid w:val="008A11F1"/>
    <w:rsid w:val="008A17B6"/>
    <w:rsid w:val="008A17BE"/>
    <w:rsid w:val="008A17C5"/>
    <w:rsid w:val="008A19B9"/>
    <w:rsid w:val="008A1AAA"/>
    <w:rsid w:val="008A1C91"/>
    <w:rsid w:val="008A20D3"/>
    <w:rsid w:val="008A25E0"/>
    <w:rsid w:val="008A27F2"/>
    <w:rsid w:val="008A2A6C"/>
    <w:rsid w:val="008A2A93"/>
    <w:rsid w:val="008A36FA"/>
    <w:rsid w:val="008A39E5"/>
    <w:rsid w:val="008A45C3"/>
    <w:rsid w:val="008A45F2"/>
    <w:rsid w:val="008A4906"/>
    <w:rsid w:val="008A4B37"/>
    <w:rsid w:val="008A4D5B"/>
    <w:rsid w:val="008A5442"/>
    <w:rsid w:val="008A57CD"/>
    <w:rsid w:val="008A64E0"/>
    <w:rsid w:val="008A6607"/>
    <w:rsid w:val="008A6620"/>
    <w:rsid w:val="008A6743"/>
    <w:rsid w:val="008A67A7"/>
    <w:rsid w:val="008A697F"/>
    <w:rsid w:val="008A6B90"/>
    <w:rsid w:val="008A7EC1"/>
    <w:rsid w:val="008A7F46"/>
    <w:rsid w:val="008B017B"/>
    <w:rsid w:val="008B0729"/>
    <w:rsid w:val="008B0769"/>
    <w:rsid w:val="008B0A37"/>
    <w:rsid w:val="008B0B77"/>
    <w:rsid w:val="008B0D87"/>
    <w:rsid w:val="008B0F45"/>
    <w:rsid w:val="008B10A3"/>
    <w:rsid w:val="008B2535"/>
    <w:rsid w:val="008B25EA"/>
    <w:rsid w:val="008B26A7"/>
    <w:rsid w:val="008B2950"/>
    <w:rsid w:val="008B2A20"/>
    <w:rsid w:val="008B2BB5"/>
    <w:rsid w:val="008B3D29"/>
    <w:rsid w:val="008B3E1B"/>
    <w:rsid w:val="008B46A4"/>
    <w:rsid w:val="008B4C76"/>
    <w:rsid w:val="008B5061"/>
    <w:rsid w:val="008B568C"/>
    <w:rsid w:val="008B5A2F"/>
    <w:rsid w:val="008B5C27"/>
    <w:rsid w:val="008B61F2"/>
    <w:rsid w:val="008B6722"/>
    <w:rsid w:val="008B6856"/>
    <w:rsid w:val="008B769A"/>
    <w:rsid w:val="008B7873"/>
    <w:rsid w:val="008C0125"/>
    <w:rsid w:val="008C0473"/>
    <w:rsid w:val="008C0519"/>
    <w:rsid w:val="008C0B78"/>
    <w:rsid w:val="008C19DB"/>
    <w:rsid w:val="008C1F19"/>
    <w:rsid w:val="008C1F4B"/>
    <w:rsid w:val="008C1F5F"/>
    <w:rsid w:val="008C2473"/>
    <w:rsid w:val="008C2509"/>
    <w:rsid w:val="008C2659"/>
    <w:rsid w:val="008C28A9"/>
    <w:rsid w:val="008C2929"/>
    <w:rsid w:val="008C29E4"/>
    <w:rsid w:val="008C2D57"/>
    <w:rsid w:val="008C307C"/>
    <w:rsid w:val="008C33FE"/>
    <w:rsid w:val="008C361D"/>
    <w:rsid w:val="008C36C5"/>
    <w:rsid w:val="008C3946"/>
    <w:rsid w:val="008C442F"/>
    <w:rsid w:val="008C45A5"/>
    <w:rsid w:val="008C49E2"/>
    <w:rsid w:val="008C4EBF"/>
    <w:rsid w:val="008C4EDA"/>
    <w:rsid w:val="008C5469"/>
    <w:rsid w:val="008C5640"/>
    <w:rsid w:val="008C57B4"/>
    <w:rsid w:val="008C5CAF"/>
    <w:rsid w:val="008C6003"/>
    <w:rsid w:val="008C639E"/>
    <w:rsid w:val="008C677A"/>
    <w:rsid w:val="008C6CC7"/>
    <w:rsid w:val="008C6D20"/>
    <w:rsid w:val="008C764D"/>
    <w:rsid w:val="008D047A"/>
    <w:rsid w:val="008D080C"/>
    <w:rsid w:val="008D0B4D"/>
    <w:rsid w:val="008D0B5B"/>
    <w:rsid w:val="008D118E"/>
    <w:rsid w:val="008D16A8"/>
    <w:rsid w:val="008D1C40"/>
    <w:rsid w:val="008D200B"/>
    <w:rsid w:val="008D2475"/>
    <w:rsid w:val="008D24BC"/>
    <w:rsid w:val="008D2989"/>
    <w:rsid w:val="008D29D9"/>
    <w:rsid w:val="008D2A7D"/>
    <w:rsid w:val="008D2B7D"/>
    <w:rsid w:val="008D2D24"/>
    <w:rsid w:val="008D3806"/>
    <w:rsid w:val="008D38B7"/>
    <w:rsid w:val="008D3CCE"/>
    <w:rsid w:val="008D3D1F"/>
    <w:rsid w:val="008D3F70"/>
    <w:rsid w:val="008D4274"/>
    <w:rsid w:val="008D4B4E"/>
    <w:rsid w:val="008D4FC9"/>
    <w:rsid w:val="008D53CB"/>
    <w:rsid w:val="008D5739"/>
    <w:rsid w:val="008D594B"/>
    <w:rsid w:val="008D5CC9"/>
    <w:rsid w:val="008D5D50"/>
    <w:rsid w:val="008D5E62"/>
    <w:rsid w:val="008D6086"/>
    <w:rsid w:val="008D6372"/>
    <w:rsid w:val="008D6637"/>
    <w:rsid w:val="008D6CEE"/>
    <w:rsid w:val="008D7496"/>
    <w:rsid w:val="008D75F5"/>
    <w:rsid w:val="008E03A9"/>
    <w:rsid w:val="008E051A"/>
    <w:rsid w:val="008E0652"/>
    <w:rsid w:val="008E0899"/>
    <w:rsid w:val="008E0AAD"/>
    <w:rsid w:val="008E0F04"/>
    <w:rsid w:val="008E14C9"/>
    <w:rsid w:val="008E1714"/>
    <w:rsid w:val="008E1A05"/>
    <w:rsid w:val="008E232F"/>
    <w:rsid w:val="008E23EA"/>
    <w:rsid w:val="008E290D"/>
    <w:rsid w:val="008E35F1"/>
    <w:rsid w:val="008E387A"/>
    <w:rsid w:val="008E3B77"/>
    <w:rsid w:val="008E3C92"/>
    <w:rsid w:val="008E3CC9"/>
    <w:rsid w:val="008E48F7"/>
    <w:rsid w:val="008E4978"/>
    <w:rsid w:val="008E4B5F"/>
    <w:rsid w:val="008E4BCA"/>
    <w:rsid w:val="008E4F7E"/>
    <w:rsid w:val="008E5341"/>
    <w:rsid w:val="008E5BB2"/>
    <w:rsid w:val="008E5F74"/>
    <w:rsid w:val="008E685D"/>
    <w:rsid w:val="008E6956"/>
    <w:rsid w:val="008E723C"/>
    <w:rsid w:val="008E7A60"/>
    <w:rsid w:val="008E7E41"/>
    <w:rsid w:val="008E7E66"/>
    <w:rsid w:val="008F0549"/>
    <w:rsid w:val="008F0BFD"/>
    <w:rsid w:val="008F1240"/>
    <w:rsid w:val="008F1919"/>
    <w:rsid w:val="008F26B4"/>
    <w:rsid w:val="008F2B26"/>
    <w:rsid w:val="008F2BA9"/>
    <w:rsid w:val="008F2EF1"/>
    <w:rsid w:val="008F3169"/>
    <w:rsid w:val="008F3670"/>
    <w:rsid w:val="008F37F3"/>
    <w:rsid w:val="008F3C43"/>
    <w:rsid w:val="008F3EFC"/>
    <w:rsid w:val="008F4072"/>
    <w:rsid w:val="008F4234"/>
    <w:rsid w:val="008F50C1"/>
    <w:rsid w:val="008F52F3"/>
    <w:rsid w:val="008F5572"/>
    <w:rsid w:val="008F5B19"/>
    <w:rsid w:val="008F67A4"/>
    <w:rsid w:val="008F744E"/>
    <w:rsid w:val="008F7E45"/>
    <w:rsid w:val="008F7FD8"/>
    <w:rsid w:val="00900192"/>
    <w:rsid w:val="0090037C"/>
    <w:rsid w:val="009003F9"/>
    <w:rsid w:val="009006D6"/>
    <w:rsid w:val="0090091F"/>
    <w:rsid w:val="00900C0C"/>
    <w:rsid w:val="00900C26"/>
    <w:rsid w:val="0090123D"/>
    <w:rsid w:val="0090133C"/>
    <w:rsid w:val="00902000"/>
    <w:rsid w:val="00902450"/>
    <w:rsid w:val="009024DD"/>
    <w:rsid w:val="00902C3A"/>
    <w:rsid w:val="00904320"/>
    <w:rsid w:val="009048FB"/>
    <w:rsid w:val="00904CCD"/>
    <w:rsid w:val="00905656"/>
    <w:rsid w:val="00905CFE"/>
    <w:rsid w:val="0090606F"/>
    <w:rsid w:val="00906DA2"/>
    <w:rsid w:val="00907A00"/>
    <w:rsid w:val="00907E07"/>
    <w:rsid w:val="0091029D"/>
    <w:rsid w:val="00910361"/>
    <w:rsid w:val="0091073A"/>
    <w:rsid w:val="009107D9"/>
    <w:rsid w:val="00910879"/>
    <w:rsid w:val="00911A4F"/>
    <w:rsid w:val="00911B91"/>
    <w:rsid w:val="009124B7"/>
    <w:rsid w:val="00912521"/>
    <w:rsid w:val="0091269C"/>
    <w:rsid w:val="009128A3"/>
    <w:rsid w:val="00912AAD"/>
    <w:rsid w:val="0091646A"/>
    <w:rsid w:val="009178E0"/>
    <w:rsid w:val="00920056"/>
    <w:rsid w:val="0092062A"/>
    <w:rsid w:val="009206C4"/>
    <w:rsid w:val="009207FE"/>
    <w:rsid w:val="00920BC4"/>
    <w:rsid w:val="00921115"/>
    <w:rsid w:val="0092111C"/>
    <w:rsid w:val="00921438"/>
    <w:rsid w:val="00922885"/>
    <w:rsid w:val="00922B50"/>
    <w:rsid w:val="009232A1"/>
    <w:rsid w:val="009232A6"/>
    <w:rsid w:val="00923382"/>
    <w:rsid w:val="0092346E"/>
    <w:rsid w:val="00923FF1"/>
    <w:rsid w:val="009249A3"/>
    <w:rsid w:val="00924FD2"/>
    <w:rsid w:val="00925104"/>
    <w:rsid w:val="0092562A"/>
    <w:rsid w:val="00925769"/>
    <w:rsid w:val="00925C3E"/>
    <w:rsid w:val="0092604A"/>
    <w:rsid w:val="00926203"/>
    <w:rsid w:val="00926A51"/>
    <w:rsid w:val="00926B51"/>
    <w:rsid w:val="00926F12"/>
    <w:rsid w:val="0093040F"/>
    <w:rsid w:val="0093042D"/>
    <w:rsid w:val="00930BE0"/>
    <w:rsid w:val="00930D39"/>
    <w:rsid w:val="00931527"/>
    <w:rsid w:val="00931547"/>
    <w:rsid w:val="009315BF"/>
    <w:rsid w:val="00931B7E"/>
    <w:rsid w:val="00932723"/>
    <w:rsid w:val="00932741"/>
    <w:rsid w:val="0093292E"/>
    <w:rsid w:val="00933175"/>
    <w:rsid w:val="009337AC"/>
    <w:rsid w:val="0093393D"/>
    <w:rsid w:val="00933BBE"/>
    <w:rsid w:val="00934196"/>
    <w:rsid w:val="00934249"/>
    <w:rsid w:val="00934608"/>
    <w:rsid w:val="00934BC0"/>
    <w:rsid w:val="00935226"/>
    <w:rsid w:val="0093560C"/>
    <w:rsid w:val="009356DE"/>
    <w:rsid w:val="00935A3E"/>
    <w:rsid w:val="009364B3"/>
    <w:rsid w:val="00936AC0"/>
    <w:rsid w:val="0093702E"/>
    <w:rsid w:val="00937D19"/>
    <w:rsid w:val="00937E5E"/>
    <w:rsid w:val="00940A90"/>
    <w:rsid w:val="00940B9C"/>
    <w:rsid w:val="00940E6E"/>
    <w:rsid w:val="0094145B"/>
    <w:rsid w:val="00941561"/>
    <w:rsid w:val="009416C5"/>
    <w:rsid w:val="009416ED"/>
    <w:rsid w:val="00941A88"/>
    <w:rsid w:val="00942134"/>
    <w:rsid w:val="00942168"/>
    <w:rsid w:val="0094289B"/>
    <w:rsid w:val="009435EC"/>
    <w:rsid w:val="00943D1A"/>
    <w:rsid w:val="00943D76"/>
    <w:rsid w:val="009440D8"/>
    <w:rsid w:val="0094453E"/>
    <w:rsid w:val="009445B6"/>
    <w:rsid w:val="00944648"/>
    <w:rsid w:val="009446B4"/>
    <w:rsid w:val="00944779"/>
    <w:rsid w:val="00945CD2"/>
    <w:rsid w:val="00945EB7"/>
    <w:rsid w:val="0094658C"/>
    <w:rsid w:val="009468CE"/>
    <w:rsid w:val="0094698A"/>
    <w:rsid w:val="00946BA3"/>
    <w:rsid w:val="00947086"/>
    <w:rsid w:val="00947363"/>
    <w:rsid w:val="00947583"/>
    <w:rsid w:val="009507FC"/>
    <w:rsid w:val="00951261"/>
    <w:rsid w:val="0095166B"/>
    <w:rsid w:val="00951814"/>
    <w:rsid w:val="009518F4"/>
    <w:rsid w:val="009519F7"/>
    <w:rsid w:val="00952061"/>
    <w:rsid w:val="0095276B"/>
    <w:rsid w:val="00952E05"/>
    <w:rsid w:val="00952E11"/>
    <w:rsid w:val="00952E13"/>
    <w:rsid w:val="00953333"/>
    <w:rsid w:val="00953555"/>
    <w:rsid w:val="0095392F"/>
    <w:rsid w:val="00953957"/>
    <w:rsid w:val="00953A35"/>
    <w:rsid w:val="00954A17"/>
    <w:rsid w:val="00955003"/>
    <w:rsid w:val="0095505F"/>
    <w:rsid w:val="00955D69"/>
    <w:rsid w:val="00955F6B"/>
    <w:rsid w:val="00956500"/>
    <w:rsid w:val="009567A3"/>
    <w:rsid w:val="00956805"/>
    <w:rsid w:val="00956E42"/>
    <w:rsid w:val="0095784E"/>
    <w:rsid w:val="00957A29"/>
    <w:rsid w:val="00957E54"/>
    <w:rsid w:val="00957E5D"/>
    <w:rsid w:val="00960535"/>
    <w:rsid w:val="00961B6E"/>
    <w:rsid w:val="00961EB2"/>
    <w:rsid w:val="009620C5"/>
    <w:rsid w:val="00962A16"/>
    <w:rsid w:val="0096373E"/>
    <w:rsid w:val="00963BDC"/>
    <w:rsid w:val="00963CC7"/>
    <w:rsid w:val="00964240"/>
    <w:rsid w:val="0096446E"/>
    <w:rsid w:val="00964840"/>
    <w:rsid w:val="00964BBF"/>
    <w:rsid w:val="0096530D"/>
    <w:rsid w:val="009655E2"/>
    <w:rsid w:val="00965BA2"/>
    <w:rsid w:val="00965D47"/>
    <w:rsid w:val="00965DE7"/>
    <w:rsid w:val="00965F30"/>
    <w:rsid w:val="00965F68"/>
    <w:rsid w:val="0096705F"/>
    <w:rsid w:val="00967367"/>
    <w:rsid w:val="00967408"/>
    <w:rsid w:val="00967519"/>
    <w:rsid w:val="00967C88"/>
    <w:rsid w:val="00967F08"/>
    <w:rsid w:val="00970009"/>
    <w:rsid w:val="0097013A"/>
    <w:rsid w:val="00970331"/>
    <w:rsid w:val="009705DF"/>
    <w:rsid w:val="00970795"/>
    <w:rsid w:val="0097097C"/>
    <w:rsid w:val="00970BDD"/>
    <w:rsid w:val="00971623"/>
    <w:rsid w:val="00971624"/>
    <w:rsid w:val="00971763"/>
    <w:rsid w:val="00971887"/>
    <w:rsid w:val="009719C6"/>
    <w:rsid w:val="0097206A"/>
    <w:rsid w:val="0097248E"/>
    <w:rsid w:val="00973218"/>
    <w:rsid w:val="009735E7"/>
    <w:rsid w:val="00973752"/>
    <w:rsid w:val="00973919"/>
    <w:rsid w:val="0097397C"/>
    <w:rsid w:val="00973EB7"/>
    <w:rsid w:val="009745AF"/>
    <w:rsid w:val="00974DD7"/>
    <w:rsid w:val="00974F0C"/>
    <w:rsid w:val="00975319"/>
    <w:rsid w:val="0097574C"/>
    <w:rsid w:val="00975C86"/>
    <w:rsid w:val="0097651A"/>
    <w:rsid w:val="00976820"/>
    <w:rsid w:val="00976C5B"/>
    <w:rsid w:val="00976E1A"/>
    <w:rsid w:val="00976F3E"/>
    <w:rsid w:val="00977381"/>
    <w:rsid w:val="009773C9"/>
    <w:rsid w:val="00977806"/>
    <w:rsid w:val="00977AB7"/>
    <w:rsid w:val="00977BDA"/>
    <w:rsid w:val="00977F6F"/>
    <w:rsid w:val="00980559"/>
    <w:rsid w:val="00980B72"/>
    <w:rsid w:val="009818D5"/>
    <w:rsid w:val="00981BAD"/>
    <w:rsid w:val="00981D9B"/>
    <w:rsid w:val="00982DA1"/>
    <w:rsid w:val="00983248"/>
    <w:rsid w:val="009832DC"/>
    <w:rsid w:val="00983A78"/>
    <w:rsid w:val="009840C0"/>
    <w:rsid w:val="00984322"/>
    <w:rsid w:val="009848DE"/>
    <w:rsid w:val="009851D5"/>
    <w:rsid w:val="00985CB5"/>
    <w:rsid w:val="00986098"/>
    <w:rsid w:val="0098621E"/>
    <w:rsid w:val="00986864"/>
    <w:rsid w:val="009868B4"/>
    <w:rsid w:val="00986BE0"/>
    <w:rsid w:val="00987E1F"/>
    <w:rsid w:val="00990289"/>
    <w:rsid w:val="00990A50"/>
    <w:rsid w:val="00990D01"/>
    <w:rsid w:val="00990EE2"/>
    <w:rsid w:val="00991BF6"/>
    <w:rsid w:val="00992F9F"/>
    <w:rsid w:val="00993594"/>
    <w:rsid w:val="0099386D"/>
    <w:rsid w:val="00993D33"/>
    <w:rsid w:val="00993E4A"/>
    <w:rsid w:val="00993EF6"/>
    <w:rsid w:val="0099409A"/>
    <w:rsid w:val="0099468D"/>
    <w:rsid w:val="00994E74"/>
    <w:rsid w:val="009951CA"/>
    <w:rsid w:val="009959D5"/>
    <w:rsid w:val="00995E1C"/>
    <w:rsid w:val="009966AB"/>
    <w:rsid w:val="00997288"/>
    <w:rsid w:val="0099749D"/>
    <w:rsid w:val="009A00EF"/>
    <w:rsid w:val="009A06E2"/>
    <w:rsid w:val="009A083C"/>
    <w:rsid w:val="009A144F"/>
    <w:rsid w:val="009A1B63"/>
    <w:rsid w:val="009A1F4F"/>
    <w:rsid w:val="009A2A60"/>
    <w:rsid w:val="009A2C7E"/>
    <w:rsid w:val="009A2F78"/>
    <w:rsid w:val="009A370B"/>
    <w:rsid w:val="009A3D84"/>
    <w:rsid w:val="009A483B"/>
    <w:rsid w:val="009A48AC"/>
    <w:rsid w:val="009A4913"/>
    <w:rsid w:val="009A4954"/>
    <w:rsid w:val="009A5206"/>
    <w:rsid w:val="009A5287"/>
    <w:rsid w:val="009A5A0E"/>
    <w:rsid w:val="009A5B03"/>
    <w:rsid w:val="009A670D"/>
    <w:rsid w:val="009A6C9F"/>
    <w:rsid w:val="009A7497"/>
    <w:rsid w:val="009A757C"/>
    <w:rsid w:val="009A7701"/>
    <w:rsid w:val="009A78D4"/>
    <w:rsid w:val="009A7ABE"/>
    <w:rsid w:val="009B018D"/>
    <w:rsid w:val="009B0FBD"/>
    <w:rsid w:val="009B1397"/>
    <w:rsid w:val="009B1430"/>
    <w:rsid w:val="009B14A2"/>
    <w:rsid w:val="009B225A"/>
    <w:rsid w:val="009B235C"/>
    <w:rsid w:val="009B25D0"/>
    <w:rsid w:val="009B268E"/>
    <w:rsid w:val="009B3259"/>
    <w:rsid w:val="009B3540"/>
    <w:rsid w:val="009B3B6E"/>
    <w:rsid w:val="009B43B2"/>
    <w:rsid w:val="009B44AB"/>
    <w:rsid w:val="009B4D31"/>
    <w:rsid w:val="009B4FD1"/>
    <w:rsid w:val="009B7099"/>
    <w:rsid w:val="009B780D"/>
    <w:rsid w:val="009C00D2"/>
    <w:rsid w:val="009C016A"/>
    <w:rsid w:val="009C01E9"/>
    <w:rsid w:val="009C0266"/>
    <w:rsid w:val="009C0365"/>
    <w:rsid w:val="009C058E"/>
    <w:rsid w:val="009C0B48"/>
    <w:rsid w:val="009C0D44"/>
    <w:rsid w:val="009C0DA8"/>
    <w:rsid w:val="009C1135"/>
    <w:rsid w:val="009C24D6"/>
    <w:rsid w:val="009C27D3"/>
    <w:rsid w:val="009C2FE5"/>
    <w:rsid w:val="009C3064"/>
    <w:rsid w:val="009C33A3"/>
    <w:rsid w:val="009C36F8"/>
    <w:rsid w:val="009C4263"/>
    <w:rsid w:val="009C46F8"/>
    <w:rsid w:val="009C4885"/>
    <w:rsid w:val="009C48D5"/>
    <w:rsid w:val="009C4CF2"/>
    <w:rsid w:val="009C4D53"/>
    <w:rsid w:val="009C5229"/>
    <w:rsid w:val="009C52D0"/>
    <w:rsid w:val="009C5BB5"/>
    <w:rsid w:val="009C6B5A"/>
    <w:rsid w:val="009C7274"/>
    <w:rsid w:val="009C732D"/>
    <w:rsid w:val="009C73C5"/>
    <w:rsid w:val="009C76BC"/>
    <w:rsid w:val="009C79FA"/>
    <w:rsid w:val="009C7BFA"/>
    <w:rsid w:val="009C7E16"/>
    <w:rsid w:val="009D01DD"/>
    <w:rsid w:val="009D0B1C"/>
    <w:rsid w:val="009D0DAF"/>
    <w:rsid w:val="009D11B3"/>
    <w:rsid w:val="009D11C1"/>
    <w:rsid w:val="009D1337"/>
    <w:rsid w:val="009D13E5"/>
    <w:rsid w:val="009D162E"/>
    <w:rsid w:val="009D1828"/>
    <w:rsid w:val="009D1D76"/>
    <w:rsid w:val="009D20E5"/>
    <w:rsid w:val="009D21FE"/>
    <w:rsid w:val="009D246B"/>
    <w:rsid w:val="009D2787"/>
    <w:rsid w:val="009D2B29"/>
    <w:rsid w:val="009D3777"/>
    <w:rsid w:val="009D4496"/>
    <w:rsid w:val="009D4706"/>
    <w:rsid w:val="009D4F6B"/>
    <w:rsid w:val="009D5092"/>
    <w:rsid w:val="009D524F"/>
    <w:rsid w:val="009D615A"/>
    <w:rsid w:val="009D65EF"/>
    <w:rsid w:val="009D665E"/>
    <w:rsid w:val="009D7116"/>
    <w:rsid w:val="009D7596"/>
    <w:rsid w:val="009D795B"/>
    <w:rsid w:val="009D7DD5"/>
    <w:rsid w:val="009E0460"/>
    <w:rsid w:val="009E0D21"/>
    <w:rsid w:val="009E0E84"/>
    <w:rsid w:val="009E1397"/>
    <w:rsid w:val="009E149D"/>
    <w:rsid w:val="009E1A8E"/>
    <w:rsid w:val="009E1C3A"/>
    <w:rsid w:val="009E1CD5"/>
    <w:rsid w:val="009E21DC"/>
    <w:rsid w:val="009E220A"/>
    <w:rsid w:val="009E248A"/>
    <w:rsid w:val="009E25A2"/>
    <w:rsid w:val="009E2BC0"/>
    <w:rsid w:val="009E2D0B"/>
    <w:rsid w:val="009E2E34"/>
    <w:rsid w:val="009E2EA2"/>
    <w:rsid w:val="009E323C"/>
    <w:rsid w:val="009E3268"/>
    <w:rsid w:val="009E3419"/>
    <w:rsid w:val="009E3DEF"/>
    <w:rsid w:val="009E3F63"/>
    <w:rsid w:val="009E4719"/>
    <w:rsid w:val="009E51E9"/>
    <w:rsid w:val="009E52B3"/>
    <w:rsid w:val="009E530D"/>
    <w:rsid w:val="009E560A"/>
    <w:rsid w:val="009E5920"/>
    <w:rsid w:val="009E5F2D"/>
    <w:rsid w:val="009E6437"/>
    <w:rsid w:val="009E6553"/>
    <w:rsid w:val="009E65F8"/>
    <w:rsid w:val="009E6F06"/>
    <w:rsid w:val="009E7348"/>
    <w:rsid w:val="009F0AF6"/>
    <w:rsid w:val="009F0C6B"/>
    <w:rsid w:val="009F139F"/>
    <w:rsid w:val="009F190F"/>
    <w:rsid w:val="009F1F1B"/>
    <w:rsid w:val="009F2537"/>
    <w:rsid w:val="009F2557"/>
    <w:rsid w:val="009F28C7"/>
    <w:rsid w:val="009F293F"/>
    <w:rsid w:val="009F2C00"/>
    <w:rsid w:val="009F37AF"/>
    <w:rsid w:val="009F3863"/>
    <w:rsid w:val="009F4236"/>
    <w:rsid w:val="009F4541"/>
    <w:rsid w:val="009F47A5"/>
    <w:rsid w:val="009F5E66"/>
    <w:rsid w:val="009F6066"/>
    <w:rsid w:val="009F6867"/>
    <w:rsid w:val="009F6B03"/>
    <w:rsid w:val="009F7C74"/>
    <w:rsid w:val="009F7EE6"/>
    <w:rsid w:val="009F7F58"/>
    <w:rsid w:val="00A00D8C"/>
    <w:rsid w:val="00A00E85"/>
    <w:rsid w:val="00A010A7"/>
    <w:rsid w:val="00A0122C"/>
    <w:rsid w:val="00A02596"/>
    <w:rsid w:val="00A02C54"/>
    <w:rsid w:val="00A034DF"/>
    <w:rsid w:val="00A036D3"/>
    <w:rsid w:val="00A037E2"/>
    <w:rsid w:val="00A03DC3"/>
    <w:rsid w:val="00A03F26"/>
    <w:rsid w:val="00A040E5"/>
    <w:rsid w:val="00A04169"/>
    <w:rsid w:val="00A04D4D"/>
    <w:rsid w:val="00A053A6"/>
    <w:rsid w:val="00A0549C"/>
    <w:rsid w:val="00A05B0B"/>
    <w:rsid w:val="00A05C8F"/>
    <w:rsid w:val="00A0688C"/>
    <w:rsid w:val="00A073EE"/>
    <w:rsid w:val="00A079CB"/>
    <w:rsid w:val="00A07AE2"/>
    <w:rsid w:val="00A07CED"/>
    <w:rsid w:val="00A1015C"/>
    <w:rsid w:val="00A101FF"/>
    <w:rsid w:val="00A10499"/>
    <w:rsid w:val="00A1198A"/>
    <w:rsid w:val="00A11D08"/>
    <w:rsid w:val="00A12005"/>
    <w:rsid w:val="00A120E9"/>
    <w:rsid w:val="00A127AC"/>
    <w:rsid w:val="00A12E40"/>
    <w:rsid w:val="00A132BA"/>
    <w:rsid w:val="00A13342"/>
    <w:rsid w:val="00A13BA1"/>
    <w:rsid w:val="00A141BD"/>
    <w:rsid w:val="00A1443E"/>
    <w:rsid w:val="00A1473C"/>
    <w:rsid w:val="00A14787"/>
    <w:rsid w:val="00A14905"/>
    <w:rsid w:val="00A153F4"/>
    <w:rsid w:val="00A1573D"/>
    <w:rsid w:val="00A15865"/>
    <w:rsid w:val="00A158EC"/>
    <w:rsid w:val="00A15D91"/>
    <w:rsid w:val="00A163FA"/>
    <w:rsid w:val="00A1649E"/>
    <w:rsid w:val="00A17157"/>
    <w:rsid w:val="00A17843"/>
    <w:rsid w:val="00A17E07"/>
    <w:rsid w:val="00A17FE3"/>
    <w:rsid w:val="00A20D7A"/>
    <w:rsid w:val="00A2153F"/>
    <w:rsid w:val="00A215CB"/>
    <w:rsid w:val="00A21AD3"/>
    <w:rsid w:val="00A2237D"/>
    <w:rsid w:val="00A228C8"/>
    <w:rsid w:val="00A22B60"/>
    <w:rsid w:val="00A23511"/>
    <w:rsid w:val="00A237D9"/>
    <w:rsid w:val="00A239FB"/>
    <w:rsid w:val="00A23A5B"/>
    <w:rsid w:val="00A2408E"/>
    <w:rsid w:val="00A246B1"/>
    <w:rsid w:val="00A24728"/>
    <w:rsid w:val="00A24A9A"/>
    <w:rsid w:val="00A255C6"/>
    <w:rsid w:val="00A2565C"/>
    <w:rsid w:val="00A2568B"/>
    <w:rsid w:val="00A25BF8"/>
    <w:rsid w:val="00A26585"/>
    <w:rsid w:val="00A2669F"/>
    <w:rsid w:val="00A26835"/>
    <w:rsid w:val="00A26AD0"/>
    <w:rsid w:val="00A271D4"/>
    <w:rsid w:val="00A27277"/>
    <w:rsid w:val="00A272A7"/>
    <w:rsid w:val="00A272DB"/>
    <w:rsid w:val="00A279CE"/>
    <w:rsid w:val="00A30443"/>
    <w:rsid w:val="00A30ADC"/>
    <w:rsid w:val="00A30C5B"/>
    <w:rsid w:val="00A30EE8"/>
    <w:rsid w:val="00A31B57"/>
    <w:rsid w:val="00A31EBF"/>
    <w:rsid w:val="00A32329"/>
    <w:rsid w:val="00A3240E"/>
    <w:rsid w:val="00A32440"/>
    <w:rsid w:val="00A32C09"/>
    <w:rsid w:val="00A32C7E"/>
    <w:rsid w:val="00A32F5E"/>
    <w:rsid w:val="00A332B6"/>
    <w:rsid w:val="00A33520"/>
    <w:rsid w:val="00A337AC"/>
    <w:rsid w:val="00A33BD4"/>
    <w:rsid w:val="00A33BE3"/>
    <w:rsid w:val="00A3495A"/>
    <w:rsid w:val="00A34CD9"/>
    <w:rsid w:val="00A35D0A"/>
    <w:rsid w:val="00A35E80"/>
    <w:rsid w:val="00A3606E"/>
    <w:rsid w:val="00A3686C"/>
    <w:rsid w:val="00A368AC"/>
    <w:rsid w:val="00A3753E"/>
    <w:rsid w:val="00A37C4B"/>
    <w:rsid w:val="00A37E45"/>
    <w:rsid w:val="00A405F5"/>
    <w:rsid w:val="00A40903"/>
    <w:rsid w:val="00A40962"/>
    <w:rsid w:val="00A40B61"/>
    <w:rsid w:val="00A41381"/>
    <w:rsid w:val="00A41F76"/>
    <w:rsid w:val="00A4217E"/>
    <w:rsid w:val="00A42977"/>
    <w:rsid w:val="00A42A19"/>
    <w:rsid w:val="00A42B29"/>
    <w:rsid w:val="00A43BBA"/>
    <w:rsid w:val="00A43D59"/>
    <w:rsid w:val="00A4477C"/>
    <w:rsid w:val="00A44CC5"/>
    <w:rsid w:val="00A451A2"/>
    <w:rsid w:val="00A453EA"/>
    <w:rsid w:val="00A455E4"/>
    <w:rsid w:val="00A45760"/>
    <w:rsid w:val="00A457D1"/>
    <w:rsid w:val="00A45CEF"/>
    <w:rsid w:val="00A46131"/>
    <w:rsid w:val="00A46F6D"/>
    <w:rsid w:val="00A46FFA"/>
    <w:rsid w:val="00A477D9"/>
    <w:rsid w:val="00A47B03"/>
    <w:rsid w:val="00A47B05"/>
    <w:rsid w:val="00A47C36"/>
    <w:rsid w:val="00A47EA4"/>
    <w:rsid w:val="00A507F3"/>
    <w:rsid w:val="00A50B76"/>
    <w:rsid w:val="00A5115A"/>
    <w:rsid w:val="00A512B0"/>
    <w:rsid w:val="00A516B8"/>
    <w:rsid w:val="00A51A13"/>
    <w:rsid w:val="00A51AFB"/>
    <w:rsid w:val="00A51E51"/>
    <w:rsid w:val="00A527F3"/>
    <w:rsid w:val="00A52B9C"/>
    <w:rsid w:val="00A531EF"/>
    <w:rsid w:val="00A5373F"/>
    <w:rsid w:val="00A53A8E"/>
    <w:rsid w:val="00A5478A"/>
    <w:rsid w:val="00A547B3"/>
    <w:rsid w:val="00A547B7"/>
    <w:rsid w:val="00A54B6B"/>
    <w:rsid w:val="00A54DF6"/>
    <w:rsid w:val="00A55142"/>
    <w:rsid w:val="00A55AF8"/>
    <w:rsid w:val="00A55E03"/>
    <w:rsid w:val="00A57B8D"/>
    <w:rsid w:val="00A57E2C"/>
    <w:rsid w:val="00A6002D"/>
    <w:rsid w:val="00A60E14"/>
    <w:rsid w:val="00A610B7"/>
    <w:rsid w:val="00A61A2B"/>
    <w:rsid w:val="00A61F97"/>
    <w:rsid w:val="00A6211F"/>
    <w:rsid w:val="00A62238"/>
    <w:rsid w:val="00A62629"/>
    <w:rsid w:val="00A626BE"/>
    <w:rsid w:val="00A6297E"/>
    <w:rsid w:val="00A62989"/>
    <w:rsid w:val="00A62B9E"/>
    <w:rsid w:val="00A62BB2"/>
    <w:rsid w:val="00A62E5F"/>
    <w:rsid w:val="00A63094"/>
    <w:rsid w:val="00A6309D"/>
    <w:rsid w:val="00A63C38"/>
    <w:rsid w:val="00A63E22"/>
    <w:rsid w:val="00A6462D"/>
    <w:rsid w:val="00A647E4"/>
    <w:rsid w:val="00A648A0"/>
    <w:rsid w:val="00A64FB8"/>
    <w:rsid w:val="00A6554F"/>
    <w:rsid w:val="00A65B67"/>
    <w:rsid w:val="00A65C5B"/>
    <w:rsid w:val="00A65D97"/>
    <w:rsid w:val="00A65DC1"/>
    <w:rsid w:val="00A66E6B"/>
    <w:rsid w:val="00A675B4"/>
    <w:rsid w:val="00A677D1"/>
    <w:rsid w:val="00A67A2C"/>
    <w:rsid w:val="00A67B88"/>
    <w:rsid w:val="00A7015B"/>
    <w:rsid w:val="00A703D8"/>
    <w:rsid w:val="00A704C2"/>
    <w:rsid w:val="00A705C4"/>
    <w:rsid w:val="00A70ABE"/>
    <w:rsid w:val="00A70AE6"/>
    <w:rsid w:val="00A70B12"/>
    <w:rsid w:val="00A71895"/>
    <w:rsid w:val="00A71939"/>
    <w:rsid w:val="00A71C29"/>
    <w:rsid w:val="00A71CE5"/>
    <w:rsid w:val="00A71D1D"/>
    <w:rsid w:val="00A71D5A"/>
    <w:rsid w:val="00A71F9A"/>
    <w:rsid w:val="00A7257B"/>
    <w:rsid w:val="00A727FE"/>
    <w:rsid w:val="00A72A50"/>
    <w:rsid w:val="00A72DC2"/>
    <w:rsid w:val="00A72E56"/>
    <w:rsid w:val="00A734A2"/>
    <w:rsid w:val="00A73A1B"/>
    <w:rsid w:val="00A73D14"/>
    <w:rsid w:val="00A73F7E"/>
    <w:rsid w:val="00A746FD"/>
    <w:rsid w:val="00A74828"/>
    <w:rsid w:val="00A7514B"/>
    <w:rsid w:val="00A756E4"/>
    <w:rsid w:val="00A75729"/>
    <w:rsid w:val="00A7585A"/>
    <w:rsid w:val="00A7595C"/>
    <w:rsid w:val="00A75A2F"/>
    <w:rsid w:val="00A75A8B"/>
    <w:rsid w:val="00A75B80"/>
    <w:rsid w:val="00A75E13"/>
    <w:rsid w:val="00A76776"/>
    <w:rsid w:val="00A769E9"/>
    <w:rsid w:val="00A76A1C"/>
    <w:rsid w:val="00A76AC3"/>
    <w:rsid w:val="00A76FBE"/>
    <w:rsid w:val="00A770F0"/>
    <w:rsid w:val="00A778B6"/>
    <w:rsid w:val="00A779D7"/>
    <w:rsid w:val="00A77DBE"/>
    <w:rsid w:val="00A814D4"/>
    <w:rsid w:val="00A81686"/>
    <w:rsid w:val="00A81897"/>
    <w:rsid w:val="00A8218D"/>
    <w:rsid w:val="00A82495"/>
    <w:rsid w:val="00A82567"/>
    <w:rsid w:val="00A826AE"/>
    <w:rsid w:val="00A82DC0"/>
    <w:rsid w:val="00A8334C"/>
    <w:rsid w:val="00A834E9"/>
    <w:rsid w:val="00A835C8"/>
    <w:rsid w:val="00A84025"/>
    <w:rsid w:val="00A8424F"/>
    <w:rsid w:val="00A85011"/>
    <w:rsid w:val="00A85731"/>
    <w:rsid w:val="00A86169"/>
    <w:rsid w:val="00A8653B"/>
    <w:rsid w:val="00A8679F"/>
    <w:rsid w:val="00A868BA"/>
    <w:rsid w:val="00A86C5B"/>
    <w:rsid w:val="00A86F0E"/>
    <w:rsid w:val="00A87838"/>
    <w:rsid w:val="00A878F9"/>
    <w:rsid w:val="00A87921"/>
    <w:rsid w:val="00A8797E"/>
    <w:rsid w:val="00A90070"/>
    <w:rsid w:val="00A90568"/>
    <w:rsid w:val="00A9151A"/>
    <w:rsid w:val="00A91763"/>
    <w:rsid w:val="00A91B04"/>
    <w:rsid w:val="00A920A0"/>
    <w:rsid w:val="00A92C02"/>
    <w:rsid w:val="00A92E09"/>
    <w:rsid w:val="00A934FE"/>
    <w:rsid w:val="00A935BE"/>
    <w:rsid w:val="00A93722"/>
    <w:rsid w:val="00A93761"/>
    <w:rsid w:val="00A93B52"/>
    <w:rsid w:val="00A93C4D"/>
    <w:rsid w:val="00A93E07"/>
    <w:rsid w:val="00A94064"/>
    <w:rsid w:val="00A946F1"/>
    <w:rsid w:val="00A94789"/>
    <w:rsid w:val="00A949BB"/>
    <w:rsid w:val="00A958D5"/>
    <w:rsid w:val="00A95EDB"/>
    <w:rsid w:val="00A95EFD"/>
    <w:rsid w:val="00A95F86"/>
    <w:rsid w:val="00A9679B"/>
    <w:rsid w:val="00A96887"/>
    <w:rsid w:val="00A978FE"/>
    <w:rsid w:val="00A97EF3"/>
    <w:rsid w:val="00A97FA8"/>
    <w:rsid w:val="00AA00D5"/>
    <w:rsid w:val="00AA014F"/>
    <w:rsid w:val="00AA057F"/>
    <w:rsid w:val="00AA0DDC"/>
    <w:rsid w:val="00AA11F7"/>
    <w:rsid w:val="00AA13D8"/>
    <w:rsid w:val="00AA150B"/>
    <w:rsid w:val="00AA1910"/>
    <w:rsid w:val="00AA1F6F"/>
    <w:rsid w:val="00AA2106"/>
    <w:rsid w:val="00AA22F1"/>
    <w:rsid w:val="00AA252D"/>
    <w:rsid w:val="00AA2855"/>
    <w:rsid w:val="00AA318A"/>
    <w:rsid w:val="00AA3825"/>
    <w:rsid w:val="00AA3A8A"/>
    <w:rsid w:val="00AA3A91"/>
    <w:rsid w:val="00AA3C73"/>
    <w:rsid w:val="00AA3D0E"/>
    <w:rsid w:val="00AA3E74"/>
    <w:rsid w:val="00AA40DE"/>
    <w:rsid w:val="00AA40E2"/>
    <w:rsid w:val="00AA420A"/>
    <w:rsid w:val="00AA46EC"/>
    <w:rsid w:val="00AA4724"/>
    <w:rsid w:val="00AA60F4"/>
    <w:rsid w:val="00AA670E"/>
    <w:rsid w:val="00AA676A"/>
    <w:rsid w:val="00AA6F21"/>
    <w:rsid w:val="00AA7BCB"/>
    <w:rsid w:val="00AB04C1"/>
    <w:rsid w:val="00AB054F"/>
    <w:rsid w:val="00AB08D7"/>
    <w:rsid w:val="00AB1035"/>
    <w:rsid w:val="00AB2548"/>
    <w:rsid w:val="00AB272F"/>
    <w:rsid w:val="00AB2DEB"/>
    <w:rsid w:val="00AB36A1"/>
    <w:rsid w:val="00AB3E65"/>
    <w:rsid w:val="00AB40B1"/>
    <w:rsid w:val="00AB5EBF"/>
    <w:rsid w:val="00AB6F6D"/>
    <w:rsid w:val="00AB6FAF"/>
    <w:rsid w:val="00AB7CAB"/>
    <w:rsid w:val="00AB7DDC"/>
    <w:rsid w:val="00AB7ED7"/>
    <w:rsid w:val="00AC001C"/>
    <w:rsid w:val="00AC02FA"/>
    <w:rsid w:val="00AC0E8E"/>
    <w:rsid w:val="00AC1415"/>
    <w:rsid w:val="00AC1933"/>
    <w:rsid w:val="00AC195D"/>
    <w:rsid w:val="00AC2338"/>
    <w:rsid w:val="00AC277F"/>
    <w:rsid w:val="00AC3179"/>
    <w:rsid w:val="00AC44CE"/>
    <w:rsid w:val="00AC4CD9"/>
    <w:rsid w:val="00AC5CB1"/>
    <w:rsid w:val="00AC5D35"/>
    <w:rsid w:val="00AC6A9B"/>
    <w:rsid w:val="00AC6D79"/>
    <w:rsid w:val="00AC6ED0"/>
    <w:rsid w:val="00AC70EF"/>
    <w:rsid w:val="00AC79FC"/>
    <w:rsid w:val="00AD034B"/>
    <w:rsid w:val="00AD03B8"/>
    <w:rsid w:val="00AD04E2"/>
    <w:rsid w:val="00AD1047"/>
    <w:rsid w:val="00AD12AB"/>
    <w:rsid w:val="00AD14B6"/>
    <w:rsid w:val="00AD1B5F"/>
    <w:rsid w:val="00AD1C8A"/>
    <w:rsid w:val="00AD1FD7"/>
    <w:rsid w:val="00AD22DC"/>
    <w:rsid w:val="00AD28F7"/>
    <w:rsid w:val="00AD2B58"/>
    <w:rsid w:val="00AD2BC0"/>
    <w:rsid w:val="00AD2CD6"/>
    <w:rsid w:val="00AD2D7F"/>
    <w:rsid w:val="00AD3168"/>
    <w:rsid w:val="00AD3322"/>
    <w:rsid w:val="00AD3333"/>
    <w:rsid w:val="00AD3CD9"/>
    <w:rsid w:val="00AD4311"/>
    <w:rsid w:val="00AD4B66"/>
    <w:rsid w:val="00AD4D57"/>
    <w:rsid w:val="00AD5122"/>
    <w:rsid w:val="00AD5316"/>
    <w:rsid w:val="00AD57A8"/>
    <w:rsid w:val="00AD5953"/>
    <w:rsid w:val="00AD5CEB"/>
    <w:rsid w:val="00AD5F11"/>
    <w:rsid w:val="00AD65F8"/>
    <w:rsid w:val="00AD7026"/>
    <w:rsid w:val="00AD7B85"/>
    <w:rsid w:val="00AD7B8D"/>
    <w:rsid w:val="00AD7B9F"/>
    <w:rsid w:val="00AE021D"/>
    <w:rsid w:val="00AE035A"/>
    <w:rsid w:val="00AE0775"/>
    <w:rsid w:val="00AE0C14"/>
    <w:rsid w:val="00AE0C6D"/>
    <w:rsid w:val="00AE1158"/>
    <w:rsid w:val="00AE11DB"/>
    <w:rsid w:val="00AE11FA"/>
    <w:rsid w:val="00AE14B1"/>
    <w:rsid w:val="00AE1838"/>
    <w:rsid w:val="00AE1A6B"/>
    <w:rsid w:val="00AE1DAD"/>
    <w:rsid w:val="00AE25F9"/>
    <w:rsid w:val="00AE2736"/>
    <w:rsid w:val="00AE28BD"/>
    <w:rsid w:val="00AE3C87"/>
    <w:rsid w:val="00AE3D8A"/>
    <w:rsid w:val="00AE4048"/>
    <w:rsid w:val="00AE42A5"/>
    <w:rsid w:val="00AE459E"/>
    <w:rsid w:val="00AE4668"/>
    <w:rsid w:val="00AE47AB"/>
    <w:rsid w:val="00AE4ABE"/>
    <w:rsid w:val="00AE4B9D"/>
    <w:rsid w:val="00AE4D23"/>
    <w:rsid w:val="00AE5749"/>
    <w:rsid w:val="00AE599C"/>
    <w:rsid w:val="00AE5BE7"/>
    <w:rsid w:val="00AE65CC"/>
    <w:rsid w:val="00AE65CE"/>
    <w:rsid w:val="00AE6FD4"/>
    <w:rsid w:val="00AE6FDF"/>
    <w:rsid w:val="00AE74DF"/>
    <w:rsid w:val="00AE752E"/>
    <w:rsid w:val="00AE76C0"/>
    <w:rsid w:val="00AE79B1"/>
    <w:rsid w:val="00AE7D4D"/>
    <w:rsid w:val="00AF0621"/>
    <w:rsid w:val="00AF0EC6"/>
    <w:rsid w:val="00AF191B"/>
    <w:rsid w:val="00AF1C1D"/>
    <w:rsid w:val="00AF1E3A"/>
    <w:rsid w:val="00AF1F43"/>
    <w:rsid w:val="00AF28CA"/>
    <w:rsid w:val="00AF2A4B"/>
    <w:rsid w:val="00AF2B4E"/>
    <w:rsid w:val="00AF2CEA"/>
    <w:rsid w:val="00AF2FFD"/>
    <w:rsid w:val="00AF3062"/>
    <w:rsid w:val="00AF3544"/>
    <w:rsid w:val="00AF3D25"/>
    <w:rsid w:val="00AF3DD9"/>
    <w:rsid w:val="00AF533B"/>
    <w:rsid w:val="00AF5E9C"/>
    <w:rsid w:val="00AF5F7A"/>
    <w:rsid w:val="00AF62A1"/>
    <w:rsid w:val="00AF62B7"/>
    <w:rsid w:val="00AF637C"/>
    <w:rsid w:val="00AF683F"/>
    <w:rsid w:val="00AF6A4A"/>
    <w:rsid w:val="00AF6DBF"/>
    <w:rsid w:val="00AF7A19"/>
    <w:rsid w:val="00AF7AB9"/>
    <w:rsid w:val="00AF7FD7"/>
    <w:rsid w:val="00B004A4"/>
    <w:rsid w:val="00B004D6"/>
    <w:rsid w:val="00B008AC"/>
    <w:rsid w:val="00B00B91"/>
    <w:rsid w:val="00B00BC0"/>
    <w:rsid w:val="00B00DA6"/>
    <w:rsid w:val="00B010A1"/>
    <w:rsid w:val="00B01269"/>
    <w:rsid w:val="00B0144E"/>
    <w:rsid w:val="00B01604"/>
    <w:rsid w:val="00B01B58"/>
    <w:rsid w:val="00B01D12"/>
    <w:rsid w:val="00B0257E"/>
    <w:rsid w:val="00B028D6"/>
    <w:rsid w:val="00B028FC"/>
    <w:rsid w:val="00B02E35"/>
    <w:rsid w:val="00B03701"/>
    <w:rsid w:val="00B0441A"/>
    <w:rsid w:val="00B04DFB"/>
    <w:rsid w:val="00B05733"/>
    <w:rsid w:val="00B05CDD"/>
    <w:rsid w:val="00B06077"/>
    <w:rsid w:val="00B0627D"/>
    <w:rsid w:val="00B0680D"/>
    <w:rsid w:val="00B073D0"/>
    <w:rsid w:val="00B074A6"/>
    <w:rsid w:val="00B0752E"/>
    <w:rsid w:val="00B1022E"/>
    <w:rsid w:val="00B10726"/>
    <w:rsid w:val="00B10D56"/>
    <w:rsid w:val="00B1111A"/>
    <w:rsid w:val="00B11156"/>
    <w:rsid w:val="00B11237"/>
    <w:rsid w:val="00B11A35"/>
    <w:rsid w:val="00B11F4C"/>
    <w:rsid w:val="00B11F80"/>
    <w:rsid w:val="00B124F1"/>
    <w:rsid w:val="00B12E28"/>
    <w:rsid w:val="00B12F14"/>
    <w:rsid w:val="00B13BF1"/>
    <w:rsid w:val="00B13EE9"/>
    <w:rsid w:val="00B14264"/>
    <w:rsid w:val="00B14624"/>
    <w:rsid w:val="00B1479E"/>
    <w:rsid w:val="00B148F3"/>
    <w:rsid w:val="00B149D2"/>
    <w:rsid w:val="00B15095"/>
    <w:rsid w:val="00B151CD"/>
    <w:rsid w:val="00B15274"/>
    <w:rsid w:val="00B1529B"/>
    <w:rsid w:val="00B15554"/>
    <w:rsid w:val="00B15C4B"/>
    <w:rsid w:val="00B15FB4"/>
    <w:rsid w:val="00B16395"/>
    <w:rsid w:val="00B16C3E"/>
    <w:rsid w:val="00B16D88"/>
    <w:rsid w:val="00B16DF3"/>
    <w:rsid w:val="00B16E6E"/>
    <w:rsid w:val="00B16EA5"/>
    <w:rsid w:val="00B1709C"/>
    <w:rsid w:val="00B171C9"/>
    <w:rsid w:val="00B17388"/>
    <w:rsid w:val="00B174E2"/>
    <w:rsid w:val="00B177D2"/>
    <w:rsid w:val="00B177EB"/>
    <w:rsid w:val="00B17A38"/>
    <w:rsid w:val="00B202A1"/>
    <w:rsid w:val="00B20C24"/>
    <w:rsid w:val="00B2135B"/>
    <w:rsid w:val="00B213F2"/>
    <w:rsid w:val="00B2166E"/>
    <w:rsid w:val="00B216F0"/>
    <w:rsid w:val="00B21904"/>
    <w:rsid w:val="00B21935"/>
    <w:rsid w:val="00B21BF7"/>
    <w:rsid w:val="00B21D08"/>
    <w:rsid w:val="00B22C00"/>
    <w:rsid w:val="00B23C36"/>
    <w:rsid w:val="00B23E59"/>
    <w:rsid w:val="00B23EDC"/>
    <w:rsid w:val="00B2433C"/>
    <w:rsid w:val="00B2436B"/>
    <w:rsid w:val="00B244E9"/>
    <w:rsid w:val="00B246D4"/>
    <w:rsid w:val="00B24745"/>
    <w:rsid w:val="00B24BF8"/>
    <w:rsid w:val="00B24FFD"/>
    <w:rsid w:val="00B25528"/>
    <w:rsid w:val="00B255C9"/>
    <w:rsid w:val="00B255F1"/>
    <w:rsid w:val="00B26237"/>
    <w:rsid w:val="00B26438"/>
    <w:rsid w:val="00B264AC"/>
    <w:rsid w:val="00B26540"/>
    <w:rsid w:val="00B269AD"/>
    <w:rsid w:val="00B269AF"/>
    <w:rsid w:val="00B26D2C"/>
    <w:rsid w:val="00B270A5"/>
    <w:rsid w:val="00B27363"/>
    <w:rsid w:val="00B27C5E"/>
    <w:rsid w:val="00B27FF6"/>
    <w:rsid w:val="00B307B8"/>
    <w:rsid w:val="00B308CF"/>
    <w:rsid w:val="00B30AC9"/>
    <w:rsid w:val="00B30C90"/>
    <w:rsid w:val="00B31095"/>
    <w:rsid w:val="00B316A1"/>
    <w:rsid w:val="00B3309A"/>
    <w:rsid w:val="00B33876"/>
    <w:rsid w:val="00B33953"/>
    <w:rsid w:val="00B33C62"/>
    <w:rsid w:val="00B346A6"/>
    <w:rsid w:val="00B34F72"/>
    <w:rsid w:val="00B34FDA"/>
    <w:rsid w:val="00B35182"/>
    <w:rsid w:val="00B351FE"/>
    <w:rsid w:val="00B35B06"/>
    <w:rsid w:val="00B35CF8"/>
    <w:rsid w:val="00B360A8"/>
    <w:rsid w:val="00B36966"/>
    <w:rsid w:val="00B36C2A"/>
    <w:rsid w:val="00B36E26"/>
    <w:rsid w:val="00B3776C"/>
    <w:rsid w:val="00B37969"/>
    <w:rsid w:val="00B407D2"/>
    <w:rsid w:val="00B40A91"/>
    <w:rsid w:val="00B40B02"/>
    <w:rsid w:val="00B40FEB"/>
    <w:rsid w:val="00B41DA9"/>
    <w:rsid w:val="00B41DBD"/>
    <w:rsid w:val="00B4269D"/>
    <w:rsid w:val="00B4280D"/>
    <w:rsid w:val="00B42B0A"/>
    <w:rsid w:val="00B42E96"/>
    <w:rsid w:val="00B430AA"/>
    <w:rsid w:val="00B43659"/>
    <w:rsid w:val="00B4398B"/>
    <w:rsid w:val="00B439BF"/>
    <w:rsid w:val="00B43E97"/>
    <w:rsid w:val="00B43FF7"/>
    <w:rsid w:val="00B44287"/>
    <w:rsid w:val="00B44645"/>
    <w:rsid w:val="00B44A2F"/>
    <w:rsid w:val="00B44C9B"/>
    <w:rsid w:val="00B45285"/>
    <w:rsid w:val="00B45879"/>
    <w:rsid w:val="00B45C53"/>
    <w:rsid w:val="00B4601B"/>
    <w:rsid w:val="00B461E3"/>
    <w:rsid w:val="00B467CB"/>
    <w:rsid w:val="00B4729B"/>
    <w:rsid w:val="00B4753B"/>
    <w:rsid w:val="00B47957"/>
    <w:rsid w:val="00B501EC"/>
    <w:rsid w:val="00B504E1"/>
    <w:rsid w:val="00B504F4"/>
    <w:rsid w:val="00B50832"/>
    <w:rsid w:val="00B50B42"/>
    <w:rsid w:val="00B50D09"/>
    <w:rsid w:val="00B50E2F"/>
    <w:rsid w:val="00B50E50"/>
    <w:rsid w:val="00B51026"/>
    <w:rsid w:val="00B51201"/>
    <w:rsid w:val="00B51989"/>
    <w:rsid w:val="00B51C50"/>
    <w:rsid w:val="00B51E7B"/>
    <w:rsid w:val="00B5265C"/>
    <w:rsid w:val="00B5276C"/>
    <w:rsid w:val="00B527AB"/>
    <w:rsid w:val="00B52A44"/>
    <w:rsid w:val="00B52FF9"/>
    <w:rsid w:val="00B531EB"/>
    <w:rsid w:val="00B53D1E"/>
    <w:rsid w:val="00B540BC"/>
    <w:rsid w:val="00B54228"/>
    <w:rsid w:val="00B542E1"/>
    <w:rsid w:val="00B543C4"/>
    <w:rsid w:val="00B545FD"/>
    <w:rsid w:val="00B548A1"/>
    <w:rsid w:val="00B54DEE"/>
    <w:rsid w:val="00B55026"/>
    <w:rsid w:val="00B55357"/>
    <w:rsid w:val="00B55832"/>
    <w:rsid w:val="00B55A2A"/>
    <w:rsid w:val="00B55C15"/>
    <w:rsid w:val="00B55D99"/>
    <w:rsid w:val="00B562E9"/>
    <w:rsid w:val="00B5674F"/>
    <w:rsid w:val="00B56C0C"/>
    <w:rsid w:val="00B57252"/>
    <w:rsid w:val="00B57880"/>
    <w:rsid w:val="00B57980"/>
    <w:rsid w:val="00B57D74"/>
    <w:rsid w:val="00B60235"/>
    <w:rsid w:val="00B6038C"/>
    <w:rsid w:val="00B609C0"/>
    <w:rsid w:val="00B60BD5"/>
    <w:rsid w:val="00B60C9E"/>
    <w:rsid w:val="00B60D7A"/>
    <w:rsid w:val="00B60E17"/>
    <w:rsid w:val="00B612D2"/>
    <w:rsid w:val="00B617FF"/>
    <w:rsid w:val="00B620F0"/>
    <w:rsid w:val="00B63EF2"/>
    <w:rsid w:val="00B64019"/>
    <w:rsid w:val="00B64055"/>
    <w:rsid w:val="00B64AC2"/>
    <w:rsid w:val="00B64D7E"/>
    <w:rsid w:val="00B64EE5"/>
    <w:rsid w:val="00B64F42"/>
    <w:rsid w:val="00B65809"/>
    <w:rsid w:val="00B65AAD"/>
    <w:rsid w:val="00B65B3F"/>
    <w:rsid w:val="00B65B86"/>
    <w:rsid w:val="00B6675A"/>
    <w:rsid w:val="00B66B79"/>
    <w:rsid w:val="00B67084"/>
    <w:rsid w:val="00B673B3"/>
    <w:rsid w:val="00B67462"/>
    <w:rsid w:val="00B67544"/>
    <w:rsid w:val="00B6778A"/>
    <w:rsid w:val="00B67A49"/>
    <w:rsid w:val="00B67E6A"/>
    <w:rsid w:val="00B67FCA"/>
    <w:rsid w:val="00B70B15"/>
    <w:rsid w:val="00B70CF9"/>
    <w:rsid w:val="00B70E6E"/>
    <w:rsid w:val="00B713CB"/>
    <w:rsid w:val="00B71488"/>
    <w:rsid w:val="00B7170C"/>
    <w:rsid w:val="00B71976"/>
    <w:rsid w:val="00B71DF0"/>
    <w:rsid w:val="00B71E54"/>
    <w:rsid w:val="00B7215D"/>
    <w:rsid w:val="00B72CAA"/>
    <w:rsid w:val="00B731A1"/>
    <w:rsid w:val="00B735C5"/>
    <w:rsid w:val="00B73A8F"/>
    <w:rsid w:val="00B74549"/>
    <w:rsid w:val="00B747CE"/>
    <w:rsid w:val="00B747CF"/>
    <w:rsid w:val="00B74E66"/>
    <w:rsid w:val="00B75205"/>
    <w:rsid w:val="00B753DE"/>
    <w:rsid w:val="00B75970"/>
    <w:rsid w:val="00B75B13"/>
    <w:rsid w:val="00B766B1"/>
    <w:rsid w:val="00B77292"/>
    <w:rsid w:val="00B7745A"/>
    <w:rsid w:val="00B77496"/>
    <w:rsid w:val="00B803CA"/>
    <w:rsid w:val="00B80833"/>
    <w:rsid w:val="00B80A33"/>
    <w:rsid w:val="00B80CAA"/>
    <w:rsid w:val="00B80D66"/>
    <w:rsid w:val="00B80DBC"/>
    <w:rsid w:val="00B81250"/>
    <w:rsid w:val="00B8166D"/>
    <w:rsid w:val="00B81A75"/>
    <w:rsid w:val="00B82655"/>
    <w:rsid w:val="00B82921"/>
    <w:rsid w:val="00B83616"/>
    <w:rsid w:val="00B8373D"/>
    <w:rsid w:val="00B83753"/>
    <w:rsid w:val="00B84168"/>
    <w:rsid w:val="00B84411"/>
    <w:rsid w:val="00B84C25"/>
    <w:rsid w:val="00B84D4A"/>
    <w:rsid w:val="00B84D6E"/>
    <w:rsid w:val="00B84EA1"/>
    <w:rsid w:val="00B84FDB"/>
    <w:rsid w:val="00B8564B"/>
    <w:rsid w:val="00B85D6C"/>
    <w:rsid w:val="00B85DB0"/>
    <w:rsid w:val="00B861B8"/>
    <w:rsid w:val="00B86BEE"/>
    <w:rsid w:val="00B876E2"/>
    <w:rsid w:val="00B87E92"/>
    <w:rsid w:val="00B90103"/>
    <w:rsid w:val="00B90DD4"/>
    <w:rsid w:val="00B91320"/>
    <w:rsid w:val="00B913EC"/>
    <w:rsid w:val="00B91935"/>
    <w:rsid w:val="00B91E02"/>
    <w:rsid w:val="00B91EBE"/>
    <w:rsid w:val="00B92034"/>
    <w:rsid w:val="00B92352"/>
    <w:rsid w:val="00B92768"/>
    <w:rsid w:val="00B92D7D"/>
    <w:rsid w:val="00B9359A"/>
    <w:rsid w:val="00B93B66"/>
    <w:rsid w:val="00B93DAB"/>
    <w:rsid w:val="00B9428F"/>
    <w:rsid w:val="00B943E8"/>
    <w:rsid w:val="00B946A9"/>
    <w:rsid w:val="00B949C5"/>
    <w:rsid w:val="00B94BA6"/>
    <w:rsid w:val="00B96507"/>
    <w:rsid w:val="00B9680C"/>
    <w:rsid w:val="00B96973"/>
    <w:rsid w:val="00B96F1F"/>
    <w:rsid w:val="00B9707C"/>
    <w:rsid w:val="00B977DF"/>
    <w:rsid w:val="00BA0F53"/>
    <w:rsid w:val="00BA1296"/>
    <w:rsid w:val="00BA134F"/>
    <w:rsid w:val="00BA1355"/>
    <w:rsid w:val="00BA17D0"/>
    <w:rsid w:val="00BA1A93"/>
    <w:rsid w:val="00BA2006"/>
    <w:rsid w:val="00BA2314"/>
    <w:rsid w:val="00BA262F"/>
    <w:rsid w:val="00BA2645"/>
    <w:rsid w:val="00BA41ED"/>
    <w:rsid w:val="00BA4380"/>
    <w:rsid w:val="00BA4E30"/>
    <w:rsid w:val="00BA4ED5"/>
    <w:rsid w:val="00BA5E9D"/>
    <w:rsid w:val="00BA6465"/>
    <w:rsid w:val="00BA64BE"/>
    <w:rsid w:val="00BA6FFF"/>
    <w:rsid w:val="00BA7064"/>
    <w:rsid w:val="00BA711F"/>
    <w:rsid w:val="00BA735A"/>
    <w:rsid w:val="00BA77B4"/>
    <w:rsid w:val="00BB063D"/>
    <w:rsid w:val="00BB07AE"/>
    <w:rsid w:val="00BB0A53"/>
    <w:rsid w:val="00BB0ADD"/>
    <w:rsid w:val="00BB1583"/>
    <w:rsid w:val="00BB1600"/>
    <w:rsid w:val="00BB1AE0"/>
    <w:rsid w:val="00BB1B2F"/>
    <w:rsid w:val="00BB29FC"/>
    <w:rsid w:val="00BB30D7"/>
    <w:rsid w:val="00BB3A2F"/>
    <w:rsid w:val="00BB3C36"/>
    <w:rsid w:val="00BB476E"/>
    <w:rsid w:val="00BB47FC"/>
    <w:rsid w:val="00BB539A"/>
    <w:rsid w:val="00BB5A08"/>
    <w:rsid w:val="00BB619C"/>
    <w:rsid w:val="00BB7362"/>
    <w:rsid w:val="00BB75D1"/>
    <w:rsid w:val="00BB7839"/>
    <w:rsid w:val="00BB7854"/>
    <w:rsid w:val="00BB78B1"/>
    <w:rsid w:val="00BB7E78"/>
    <w:rsid w:val="00BC0369"/>
    <w:rsid w:val="00BC0923"/>
    <w:rsid w:val="00BC162F"/>
    <w:rsid w:val="00BC17CA"/>
    <w:rsid w:val="00BC1B43"/>
    <w:rsid w:val="00BC2025"/>
    <w:rsid w:val="00BC2269"/>
    <w:rsid w:val="00BC24DC"/>
    <w:rsid w:val="00BC2BF6"/>
    <w:rsid w:val="00BC34BB"/>
    <w:rsid w:val="00BC3662"/>
    <w:rsid w:val="00BC3913"/>
    <w:rsid w:val="00BC3A68"/>
    <w:rsid w:val="00BC3C75"/>
    <w:rsid w:val="00BC3F64"/>
    <w:rsid w:val="00BC4007"/>
    <w:rsid w:val="00BC4237"/>
    <w:rsid w:val="00BC4CEB"/>
    <w:rsid w:val="00BC52B4"/>
    <w:rsid w:val="00BC5397"/>
    <w:rsid w:val="00BC53DE"/>
    <w:rsid w:val="00BC5D22"/>
    <w:rsid w:val="00BC6292"/>
    <w:rsid w:val="00BC674F"/>
    <w:rsid w:val="00BC69FC"/>
    <w:rsid w:val="00BC6D91"/>
    <w:rsid w:val="00BC747B"/>
    <w:rsid w:val="00BC78D8"/>
    <w:rsid w:val="00BC79F3"/>
    <w:rsid w:val="00BD054B"/>
    <w:rsid w:val="00BD0A9D"/>
    <w:rsid w:val="00BD0B62"/>
    <w:rsid w:val="00BD0E93"/>
    <w:rsid w:val="00BD0FF8"/>
    <w:rsid w:val="00BD13C6"/>
    <w:rsid w:val="00BD165F"/>
    <w:rsid w:val="00BD17E8"/>
    <w:rsid w:val="00BD1E9F"/>
    <w:rsid w:val="00BD24D3"/>
    <w:rsid w:val="00BD2700"/>
    <w:rsid w:val="00BD3600"/>
    <w:rsid w:val="00BD4DEA"/>
    <w:rsid w:val="00BD4F9E"/>
    <w:rsid w:val="00BD5ACC"/>
    <w:rsid w:val="00BD5C00"/>
    <w:rsid w:val="00BD5CC0"/>
    <w:rsid w:val="00BD5CD4"/>
    <w:rsid w:val="00BD5E02"/>
    <w:rsid w:val="00BD6FB6"/>
    <w:rsid w:val="00BD7372"/>
    <w:rsid w:val="00BD76DA"/>
    <w:rsid w:val="00BD7CB8"/>
    <w:rsid w:val="00BD7D0F"/>
    <w:rsid w:val="00BE0737"/>
    <w:rsid w:val="00BE0D93"/>
    <w:rsid w:val="00BE174A"/>
    <w:rsid w:val="00BE1C9B"/>
    <w:rsid w:val="00BE1F20"/>
    <w:rsid w:val="00BE2975"/>
    <w:rsid w:val="00BE2DC7"/>
    <w:rsid w:val="00BE3035"/>
    <w:rsid w:val="00BE3409"/>
    <w:rsid w:val="00BE3A8C"/>
    <w:rsid w:val="00BE3BB6"/>
    <w:rsid w:val="00BE40D2"/>
    <w:rsid w:val="00BE44EF"/>
    <w:rsid w:val="00BE489A"/>
    <w:rsid w:val="00BE4AAF"/>
    <w:rsid w:val="00BE4CE4"/>
    <w:rsid w:val="00BE5658"/>
    <w:rsid w:val="00BE584B"/>
    <w:rsid w:val="00BE5933"/>
    <w:rsid w:val="00BE5E33"/>
    <w:rsid w:val="00BE6704"/>
    <w:rsid w:val="00BE686E"/>
    <w:rsid w:val="00BE68A7"/>
    <w:rsid w:val="00BF0BFA"/>
    <w:rsid w:val="00BF0FFF"/>
    <w:rsid w:val="00BF1214"/>
    <w:rsid w:val="00BF1830"/>
    <w:rsid w:val="00BF1A83"/>
    <w:rsid w:val="00BF20FF"/>
    <w:rsid w:val="00BF2E66"/>
    <w:rsid w:val="00BF3107"/>
    <w:rsid w:val="00BF34D8"/>
    <w:rsid w:val="00BF4925"/>
    <w:rsid w:val="00BF5219"/>
    <w:rsid w:val="00BF5539"/>
    <w:rsid w:val="00BF56F0"/>
    <w:rsid w:val="00BF5829"/>
    <w:rsid w:val="00BF63B2"/>
    <w:rsid w:val="00BF6B7F"/>
    <w:rsid w:val="00BF7037"/>
    <w:rsid w:val="00BF7304"/>
    <w:rsid w:val="00BF7E14"/>
    <w:rsid w:val="00C00CCF"/>
    <w:rsid w:val="00C01BCA"/>
    <w:rsid w:val="00C01CFD"/>
    <w:rsid w:val="00C02D5F"/>
    <w:rsid w:val="00C02F28"/>
    <w:rsid w:val="00C03087"/>
    <w:rsid w:val="00C033E1"/>
    <w:rsid w:val="00C03C68"/>
    <w:rsid w:val="00C04CEA"/>
    <w:rsid w:val="00C04D8A"/>
    <w:rsid w:val="00C0589C"/>
    <w:rsid w:val="00C05B3B"/>
    <w:rsid w:val="00C05BE4"/>
    <w:rsid w:val="00C05C9F"/>
    <w:rsid w:val="00C06464"/>
    <w:rsid w:val="00C06814"/>
    <w:rsid w:val="00C06B22"/>
    <w:rsid w:val="00C06BE8"/>
    <w:rsid w:val="00C0785B"/>
    <w:rsid w:val="00C07B43"/>
    <w:rsid w:val="00C10010"/>
    <w:rsid w:val="00C10A17"/>
    <w:rsid w:val="00C11805"/>
    <w:rsid w:val="00C123B4"/>
    <w:rsid w:val="00C126C3"/>
    <w:rsid w:val="00C12DF5"/>
    <w:rsid w:val="00C1326F"/>
    <w:rsid w:val="00C134A4"/>
    <w:rsid w:val="00C13D98"/>
    <w:rsid w:val="00C14125"/>
    <w:rsid w:val="00C1443C"/>
    <w:rsid w:val="00C15265"/>
    <w:rsid w:val="00C15406"/>
    <w:rsid w:val="00C154AA"/>
    <w:rsid w:val="00C156F4"/>
    <w:rsid w:val="00C15C6A"/>
    <w:rsid w:val="00C15ECF"/>
    <w:rsid w:val="00C162DB"/>
    <w:rsid w:val="00C17013"/>
    <w:rsid w:val="00C17045"/>
    <w:rsid w:val="00C17E53"/>
    <w:rsid w:val="00C201A8"/>
    <w:rsid w:val="00C20DFF"/>
    <w:rsid w:val="00C213EE"/>
    <w:rsid w:val="00C21F08"/>
    <w:rsid w:val="00C21F86"/>
    <w:rsid w:val="00C228B5"/>
    <w:rsid w:val="00C229E0"/>
    <w:rsid w:val="00C22D43"/>
    <w:rsid w:val="00C23779"/>
    <w:rsid w:val="00C23914"/>
    <w:rsid w:val="00C2398B"/>
    <w:rsid w:val="00C239AC"/>
    <w:rsid w:val="00C239E1"/>
    <w:rsid w:val="00C24DB4"/>
    <w:rsid w:val="00C25209"/>
    <w:rsid w:val="00C25313"/>
    <w:rsid w:val="00C25B3E"/>
    <w:rsid w:val="00C25EC4"/>
    <w:rsid w:val="00C263F1"/>
    <w:rsid w:val="00C26F31"/>
    <w:rsid w:val="00C2763D"/>
    <w:rsid w:val="00C27679"/>
    <w:rsid w:val="00C27750"/>
    <w:rsid w:val="00C27804"/>
    <w:rsid w:val="00C303B3"/>
    <w:rsid w:val="00C304BF"/>
    <w:rsid w:val="00C306F6"/>
    <w:rsid w:val="00C31760"/>
    <w:rsid w:val="00C322C5"/>
    <w:rsid w:val="00C3253E"/>
    <w:rsid w:val="00C32994"/>
    <w:rsid w:val="00C32A5C"/>
    <w:rsid w:val="00C32F62"/>
    <w:rsid w:val="00C33112"/>
    <w:rsid w:val="00C3395D"/>
    <w:rsid w:val="00C339C7"/>
    <w:rsid w:val="00C339DA"/>
    <w:rsid w:val="00C34819"/>
    <w:rsid w:val="00C35145"/>
    <w:rsid w:val="00C3790E"/>
    <w:rsid w:val="00C37DCF"/>
    <w:rsid w:val="00C40695"/>
    <w:rsid w:val="00C40850"/>
    <w:rsid w:val="00C41448"/>
    <w:rsid w:val="00C416CA"/>
    <w:rsid w:val="00C41E93"/>
    <w:rsid w:val="00C4264B"/>
    <w:rsid w:val="00C42A4B"/>
    <w:rsid w:val="00C42F8F"/>
    <w:rsid w:val="00C43883"/>
    <w:rsid w:val="00C448B7"/>
    <w:rsid w:val="00C44908"/>
    <w:rsid w:val="00C44CF4"/>
    <w:rsid w:val="00C450B6"/>
    <w:rsid w:val="00C45621"/>
    <w:rsid w:val="00C45E20"/>
    <w:rsid w:val="00C4641A"/>
    <w:rsid w:val="00C4736A"/>
    <w:rsid w:val="00C4752A"/>
    <w:rsid w:val="00C475F4"/>
    <w:rsid w:val="00C4780E"/>
    <w:rsid w:val="00C47E51"/>
    <w:rsid w:val="00C502D3"/>
    <w:rsid w:val="00C50409"/>
    <w:rsid w:val="00C50C02"/>
    <w:rsid w:val="00C519CF"/>
    <w:rsid w:val="00C51E88"/>
    <w:rsid w:val="00C528DD"/>
    <w:rsid w:val="00C53E10"/>
    <w:rsid w:val="00C53E5B"/>
    <w:rsid w:val="00C5482D"/>
    <w:rsid w:val="00C54AF2"/>
    <w:rsid w:val="00C54D6F"/>
    <w:rsid w:val="00C55251"/>
    <w:rsid w:val="00C55389"/>
    <w:rsid w:val="00C554B5"/>
    <w:rsid w:val="00C555C0"/>
    <w:rsid w:val="00C5572F"/>
    <w:rsid w:val="00C5579F"/>
    <w:rsid w:val="00C5582B"/>
    <w:rsid w:val="00C55C65"/>
    <w:rsid w:val="00C55E9B"/>
    <w:rsid w:val="00C56143"/>
    <w:rsid w:val="00C566AF"/>
    <w:rsid w:val="00C56966"/>
    <w:rsid w:val="00C56A00"/>
    <w:rsid w:val="00C56C4F"/>
    <w:rsid w:val="00C57817"/>
    <w:rsid w:val="00C5797E"/>
    <w:rsid w:val="00C57A78"/>
    <w:rsid w:val="00C6041E"/>
    <w:rsid w:val="00C6084A"/>
    <w:rsid w:val="00C6176C"/>
    <w:rsid w:val="00C618D4"/>
    <w:rsid w:val="00C624EE"/>
    <w:rsid w:val="00C6274E"/>
    <w:rsid w:val="00C62B91"/>
    <w:rsid w:val="00C62C3A"/>
    <w:rsid w:val="00C62E12"/>
    <w:rsid w:val="00C631B2"/>
    <w:rsid w:val="00C63954"/>
    <w:rsid w:val="00C6395E"/>
    <w:rsid w:val="00C63AFE"/>
    <w:rsid w:val="00C64608"/>
    <w:rsid w:val="00C648F9"/>
    <w:rsid w:val="00C64A4E"/>
    <w:rsid w:val="00C64DF6"/>
    <w:rsid w:val="00C64E9D"/>
    <w:rsid w:val="00C65A13"/>
    <w:rsid w:val="00C65F8D"/>
    <w:rsid w:val="00C65FEC"/>
    <w:rsid w:val="00C66A20"/>
    <w:rsid w:val="00C67C64"/>
    <w:rsid w:val="00C67CBC"/>
    <w:rsid w:val="00C67D6C"/>
    <w:rsid w:val="00C67F2E"/>
    <w:rsid w:val="00C706C8"/>
    <w:rsid w:val="00C70AF1"/>
    <w:rsid w:val="00C70D07"/>
    <w:rsid w:val="00C70F76"/>
    <w:rsid w:val="00C711E5"/>
    <w:rsid w:val="00C71541"/>
    <w:rsid w:val="00C71F58"/>
    <w:rsid w:val="00C725CF"/>
    <w:rsid w:val="00C72815"/>
    <w:rsid w:val="00C72A0D"/>
    <w:rsid w:val="00C72CDA"/>
    <w:rsid w:val="00C72DD5"/>
    <w:rsid w:val="00C73257"/>
    <w:rsid w:val="00C734F3"/>
    <w:rsid w:val="00C73504"/>
    <w:rsid w:val="00C737B8"/>
    <w:rsid w:val="00C74005"/>
    <w:rsid w:val="00C74225"/>
    <w:rsid w:val="00C743EE"/>
    <w:rsid w:val="00C74D46"/>
    <w:rsid w:val="00C74E50"/>
    <w:rsid w:val="00C74F51"/>
    <w:rsid w:val="00C756D1"/>
    <w:rsid w:val="00C75F5C"/>
    <w:rsid w:val="00C761D8"/>
    <w:rsid w:val="00C7636A"/>
    <w:rsid w:val="00C76552"/>
    <w:rsid w:val="00C765FB"/>
    <w:rsid w:val="00C76973"/>
    <w:rsid w:val="00C769F2"/>
    <w:rsid w:val="00C76A9B"/>
    <w:rsid w:val="00C7709E"/>
    <w:rsid w:val="00C77233"/>
    <w:rsid w:val="00C77306"/>
    <w:rsid w:val="00C778DA"/>
    <w:rsid w:val="00C8043D"/>
    <w:rsid w:val="00C8046F"/>
    <w:rsid w:val="00C806F4"/>
    <w:rsid w:val="00C80953"/>
    <w:rsid w:val="00C80A2A"/>
    <w:rsid w:val="00C81037"/>
    <w:rsid w:val="00C8159E"/>
    <w:rsid w:val="00C81A70"/>
    <w:rsid w:val="00C82035"/>
    <w:rsid w:val="00C8273C"/>
    <w:rsid w:val="00C82B38"/>
    <w:rsid w:val="00C82BE1"/>
    <w:rsid w:val="00C82D8F"/>
    <w:rsid w:val="00C82E65"/>
    <w:rsid w:val="00C82FED"/>
    <w:rsid w:val="00C833AA"/>
    <w:rsid w:val="00C83643"/>
    <w:rsid w:val="00C8397E"/>
    <w:rsid w:val="00C843CD"/>
    <w:rsid w:val="00C84519"/>
    <w:rsid w:val="00C847FA"/>
    <w:rsid w:val="00C85621"/>
    <w:rsid w:val="00C8610A"/>
    <w:rsid w:val="00C8647A"/>
    <w:rsid w:val="00C86516"/>
    <w:rsid w:val="00C86B61"/>
    <w:rsid w:val="00C8761C"/>
    <w:rsid w:val="00C8777C"/>
    <w:rsid w:val="00C9067B"/>
    <w:rsid w:val="00C90890"/>
    <w:rsid w:val="00C90B1C"/>
    <w:rsid w:val="00C914FC"/>
    <w:rsid w:val="00C91A42"/>
    <w:rsid w:val="00C91CBF"/>
    <w:rsid w:val="00C92DA5"/>
    <w:rsid w:val="00C92EF7"/>
    <w:rsid w:val="00C93F94"/>
    <w:rsid w:val="00C943FD"/>
    <w:rsid w:val="00C94844"/>
    <w:rsid w:val="00C94F89"/>
    <w:rsid w:val="00C959FD"/>
    <w:rsid w:val="00C95C35"/>
    <w:rsid w:val="00C95F6C"/>
    <w:rsid w:val="00C962B4"/>
    <w:rsid w:val="00C9689B"/>
    <w:rsid w:val="00C96C0F"/>
    <w:rsid w:val="00C96FF1"/>
    <w:rsid w:val="00C97831"/>
    <w:rsid w:val="00CA0381"/>
    <w:rsid w:val="00CA0629"/>
    <w:rsid w:val="00CA0F03"/>
    <w:rsid w:val="00CA0F67"/>
    <w:rsid w:val="00CA0FD6"/>
    <w:rsid w:val="00CA16F5"/>
    <w:rsid w:val="00CA1BF5"/>
    <w:rsid w:val="00CA1FAB"/>
    <w:rsid w:val="00CA23CB"/>
    <w:rsid w:val="00CA2E68"/>
    <w:rsid w:val="00CA3040"/>
    <w:rsid w:val="00CA30B7"/>
    <w:rsid w:val="00CA36F2"/>
    <w:rsid w:val="00CA3C54"/>
    <w:rsid w:val="00CA3C6F"/>
    <w:rsid w:val="00CA46E7"/>
    <w:rsid w:val="00CA4B34"/>
    <w:rsid w:val="00CA558D"/>
    <w:rsid w:val="00CA65E4"/>
    <w:rsid w:val="00CA6762"/>
    <w:rsid w:val="00CA6782"/>
    <w:rsid w:val="00CA6786"/>
    <w:rsid w:val="00CA6AFF"/>
    <w:rsid w:val="00CA71AE"/>
    <w:rsid w:val="00CA74E0"/>
    <w:rsid w:val="00CA7B39"/>
    <w:rsid w:val="00CB0DE0"/>
    <w:rsid w:val="00CB12E7"/>
    <w:rsid w:val="00CB137B"/>
    <w:rsid w:val="00CB138B"/>
    <w:rsid w:val="00CB1891"/>
    <w:rsid w:val="00CB1B71"/>
    <w:rsid w:val="00CB2C16"/>
    <w:rsid w:val="00CB2F0A"/>
    <w:rsid w:val="00CB3761"/>
    <w:rsid w:val="00CB3929"/>
    <w:rsid w:val="00CB3A31"/>
    <w:rsid w:val="00CB3F1F"/>
    <w:rsid w:val="00CB4046"/>
    <w:rsid w:val="00CB4871"/>
    <w:rsid w:val="00CB55FF"/>
    <w:rsid w:val="00CB5926"/>
    <w:rsid w:val="00CB651F"/>
    <w:rsid w:val="00CB6803"/>
    <w:rsid w:val="00CB6B6E"/>
    <w:rsid w:val="00CB6DDF"/>
    <w:rsid w:val="00CB6E35"/>
    <w:rsid w:val="00CC0170"/>
    <w:rsid w:val="00CC01C5"/>
    <w:rsid w:val="00CC02F2"/>
    <w:rsid w:val="00CC0A34"/>
    <w:rsid w:val="00CC0F51"/>
    <w:rsid w:val="00CC116F"/>
    <w:rsid w:val="00CC1518"/>
    <w:rsid w:val="00CC1E24"/>
    <w:rsid w:val="00CC2156"/>
    <w:rsid w:val="00CC24DE"/>
    <w:rsid w:val="00CC2AE7"/>
    <w:rsid w:val="00CC30BC"/>
    <w:rsid w:val="00CC3607"/>
    <w:rsid w:val="00CC3C40"/>
    <w:rsid w:val="00CC3D6F"/>
    <w:rsid w:val="00CC4726"/>
    <w:rsid w:val="00CC4B9E"/>
    <w:rsid w:val="00CC4BB1"/>
    <w:rsid w:val="00CC4BC2"/>
    <w:rsid w:val="00CC52CD"/>
    <w:rsid w:val="00CC545D"/>
    <w:rsid w:val="00CC5633"/>
    <w:rsid w:val="00CC57C6"/>
    <w:rsid w:val="00CC5E63"/>
    <w:rsid w:val="00CC6299"/>
    <w:rsid w:val="00CC633E"/>
    <w:rsid w:val="00CC660F"/>
    <w:rsid w:val="00CC6734"/>
    <w:rsid w:val="00CC6A6C"/>
    <w:rsid w:val="00CC6B42"/>
    <w:rsid w:val="00CC70A2"/>
    <w:rsid w:val="00CC70BD"/>
    <w:rsid w:val="00CC7CC6"/>
    <w:rsid w:val="00CD083E"/>
    <w:rsid w:val="00CD1992"/>
    <w:rsid w:val="00CD1B2E"/>
    <w:rsid w:val="00CD204C"/>
    <w:rsid w:val="00CD2BF8"/>
    <w:rsid w:val="00CD3149"/>
    <w:rsid w:val="00CD379F"/>
    <w:rsid w:val="00CD38A7"/>
    <w:rsid w:val="00CD3943"/>
    <w:rsid w:val="00CD4A52"/>
    <w:rsid w:val="00CD4AF4"/>
    <w:rsid w:val="00CD54C2"/>
    <w:rsid w:val="00CD5588"/>
    <w:rsid w:val="00CD59F8"/>
    <w:rsid w:val="00CD5BB5"/>
    <w:rsid w:val="00CD5E76"/>
    <w:rsid w:val="00CD603B"/>
    <w:rsid w:val="00CD6538"/>
    <w:rsid w:val="00CD6758"/>
    <w:rsid w:val="00CD73C1"/>
    <w:rsid w:val="00CD7B73"/>
    <w:rsid w:val="00CD7E51"/>
    <w:rsid w:val="00CD7ED1"/>
    <w:rsid w:val="00CE0671"/>
    <w:rsid w:val="00CE0686"/>
    <w:rsid w:val="00CE0C94"/>
    <w:rsid w:val="00CE0D4D"/>
    <w:rsid w:val="00CE0FE7"/>
    <w:rsid w:val="00CE156E"/>
    <w:rsid w:val="00CE16CB"/>
    <w:rsid w:val="00CE1A39"/>
    <w:rsid w:val="00CE1ED6"/>
    <w:rsid w:val="00CE1F0E"/>
    <w:rsid w:val="00CE2BB8"/>
    <w:rsid w:val="00CE3143"/>
    <w:rsid w:val="00CE3756"/>
    <w:rsid w:val="00CE3DFD"/>
    <w:rsid w:val="00CE3EFE"/>
    <w:rsid w:val="00CE48C8"/>
    <w:rsid w:val="00CE4C6C"/>
    <w:rsid w:val="00CE4DC6"/>
    <w:rsid w:val="00CE52C2"/>
    <w:rsid w:val="00CE62C3"/>
    <w:rsid w:val="00CE6749"/>
    <w:rsid w:val="00CE69FE"/>
    <w:rsid w:val="00CE6FD8"/>
    <w:rsid w:val="00CE700D"/>
    <w:rsid w:val="00CE723E"/>
    <w:rsid w:val="00CE739B"/>
    <w:rsid w:val="00CE73D9"/>
    <w:rsid w:val="00CE73FF"/>
    <w:rsid w:val="00CE7486"/>
    <w:rsid w:val="00CE755F"/>
    <w:rsid w:val="00CE776A"/>
    <w:rsid w:val="00CF0763"/>
    <w:rsid w:val="00CF0B77"/>
    <w:rsid w:val="00CF0BD9"/>
    <w:rsid w:val="00CF0D7A"/>
    <w:rsid w:val="00CF0E28"/>
    <w:rsid w:val="00CF0E50"/>
    <w:rsid w:val="00CF1575"/>
    <w:rsid w:val="00CF16A8"/>
    <w:rsid w:val="00CF1E78"/>
    <w:rsid w:val="00CF1EC9"/>
    <w:rsid w:val="00CF2003"/>
    <w:rsid w:val="00CF24B4"/>
    <w:rsid w:val="00CF29CE"/>
    <w:rsid w:val="00CF2AC9"/>
    <w:rsid w:val="00CF3020"/>
    <w:rsid w:val="00CF328D"/>
    <w:rsid w:val="00CF346F"/>
    <w:rsid w:val="00CF3B13"/>
    <w:rsid w:val="00CF4175"/>
    <w:rsid w:val="00CF4CC5"/>
    <w:rsid w:val="00CF4D45"/>
    <w:rsid w:val="00CF4E87"/>
    <w:rsid w:val="00CF4F72"/>
    <w:rsid w:val="00CF58FE"/>
    <w:rsid w:val="00CF5F17"/>
    <w:rsid w:val="00CF62B7"/>
    <w:rsid w:val="00CF661A"/>
    <w:rsid w:val="00CF6991"/>
    <w:rsid w:val="00CF6A35"/>
    <w:rsid w:val="00CF6A86"/>
    <w:rsid w:val="00CF6AC1"/>
    <w:rsid w:val="00CF7633"/>
    <w:rsid w:val="00CF7BB2"/>
    <w:rsid w:val="00CF7DA3"/>
    <w:rsid w:val="00D008A2"/>
    <w:rsid w:val="00D00941"/>
    <w:rsid w:val="00D01661"/>
    <w:rsid w:val="00D01870"/>
    <w:rsid w:val="00D01970"/>
    <w:rsid w:val="00D01C5E"/>
    <w:rsid w:val="00D01FA6"/>
    <w:rsid w:val="00D0206E"/>
    <w:rsid w:val="00D0210F"/>
    <w:rsid w:val="00D02319"/>
    <w:rsid w:val="00D02D95"/>
    <w:rsid w:val="00D03FC6"/>
    <w:rsid w:val="00D03FD6"/>
    <w:rsid w:val="00D04112"/>
    <w:rsid w:val="00D049BD"/>
    <w:rsid w:val="00D04C65"/>
    <w:rsid w:val="00D05011"/>
    <w:rsid w:val="00D050DF"/>
    <w:rsid w:val="00D05169"/>
    <w:rsid w:val="00D0567A"/>
    <w:rsid w:val="00D05FFE"/>
    <w:rsid w:val="00D06726"/>
    <w:rsid w:val="00D07203"/>
    <w:rsid w:val="00D07257"/>
    <w:rsid w:val="00D07C3C"/>
    <w:rsid w:val="00D10060"/>
    <w:rsid w:val="00D10308"/>
    <w:rsid w:val="00D10CCF"/>
    <w:rsid w:val="00D10D04"/>
    <w:rsid w:val="00D110F3"/>
    <w:rsid w:val="00D1111A"/>
    <w:rsid w:val="00D11481"/>
    <w:rsid w:val="00D11532"/>
    <w:rsid w:val="00D129C7"/>
    <w:rsid w:val="00D12C2A"/>
    <w:rsid w:val="00D13137"/>
    <w:rsid w:val="00D13148"/>
    <w:rsid w:val="00D13553"/>
    <w:rsid w:val="00D137CE"/>
    <w:rsid w:val="00D13804"/>
    <w:rsid w:val="00D13B54"/>
    <w:rsid w:val="00D13BC8"/>
    <w:rsid w:val="00D13C1B"/>
    <w:rsid w:val="00D1432E"/>
    <w:rsid w:val="00D145FF"/>
    <w:rsid w:val="00D14819"/>
    <w:rsid w:val="00D148B8"/>
    <w:rsid w:val="00D14E65"/>
    <w:rsid w:val="00D15025"/>
    <w:rsid w:val="00D1513A"/>
    <w:rsid w:val="00D15152"/>
    <w:rsid w:val="00D15798"/>
    <w:rsid w:val="00D15CD2"/>
    <w:rsid w:val="00D16C5B"/>
    <w:rsid w:val="00D17349"/>
    <w:rsid w:val="00D17BEF"/>
    <w:rsid w:val="00D2065B"/>
    <w:rsid w:val="00D20671"/>
    <w:rsid w:val="00D207AB"/>
    <w:rsid w:val="00D215DE"/>
    <w:rsid w:val="00D21666"/>
    <w:rsid w:val="00D2215C"/>
    <w:rsid w:val="00D22E4F"/>
    <w:rsid w:val="00D2321D"/>
    <w:rsid w:val="00D2329D"/>
    <w:rsid w:val="00D23787"/>
    <w:rsid w:val="00D23902"/>
    <w:rsid w:val="00D2427A"/>
    <w:rsid w:val="00D2455E"/>
    <w:rsid w:val="00D24E04"/>
    <w:rsid w:val="00D25402"/>
    <w:rsid w:val="00D2559F"/>
    <w:rsid w:val="00D2579A"/>
    <w:rsid w:val="00D2641C"/>
    <w:rsid w:val="00D26E53"/>
    <w:rsid w:val="00D272B2"/>
    <w:rsid w:val="00D27959"/>
    <w:rsid w:val="00D27CE2"/>
    <w:rsid w:val="00D27DAD"/>
    <w:rsid w:val="00D306EC"/>
    <w:rsid w:val="00D30E9E"/>
    <w:rsid w:val="00D30FA8"/>
    <w:rsid w:val="00D3164B"/>
    <w:rsid w:val="00D32127"/>
    <w:rsid w:val="00D32150"/>
    <w:rsid w:val="00D32450"/>
    <w:rsid w:val="00D3295B"/>
    <w:rsid w:val="00D333B0"/>
    <w:rsid w:val="00D33449"/>
    <w:rsid w:val="00D33C1D"/>
    <w:rsid w:val="00D33D06"/>
    <w:rsid w:val="00D33F48"/>
    <w:rsid w:val="00D34291"/>
    <w:rsid w:val="00D3430C"/>
    <w:rsid w:val="00D345BA"/>
    <w:rsid w:val="00D345C3"/>
    <w:rsid w:val="00D3463A"/>
    <w:rsid w:val="00D3499F"/>
    <w:rsid w:val="00D35BC8"/>
    <w:rsid w:val="00D35D13"/>
    <w:rsid w:val="00D35D20"/>
    <w:rsid w:val="00D36357"/>
    <w:rsid w:val="00D3648D"/>
    <w:rsid w:val="00D3669C"/>
    <w:rsid w:val="00D37594"/>
    <w:rsid w:val="00D378C5"/>
    <w:rsid w:val="00D40166"/>
    <w:rsid w:val="00D40700"/>
    <w:rsid w:val="00D407E4"/>
    <w:rsid w:val="00D409EB"/>
    <w:rsid w:val="00D40A74"/>
    <w:rsid w:val="00D40CC2"/>
    <w:rsid w:val="00D40D70"/>
    <w:rsid w:val="00D40EE1"/>
    <w:rsid w:val="00D40F59"/>
    <w:rsid w:val="00D412BC"/>
    <w:rsid w:val="00D42DB8"/>
    <w:rsid w:val="00D42EB2"/>
    <w:rsid w:val="00D43732"/>
    <w:rsid w:val="00D437EF"/>
    <w:rsid w:val="00D43C03"/>
    <w:rsid w:val="00D43D10"/>
    <w:rsid w:val="00D441D5"/>
    <w:rsid w:val="00D445A5"/>
    <w:rsid w:val="00D449FE"/>
    <w:rsid w:val="00D44C9F"/>
    <w:rsid w:val="00D453E6"/>
    <w:rsid w:val="00D45D5A"/>
    <w:rsid w:val="00D4710B"/>
    <w:rsid w:val="00D515FC"/>
    <w:rsid w:val="00D5184A"/>
    <w:rsid w:val="00D51E2C"/>
    <w:rsid w:val="00D52050"/>
    <w:rsid w:val="00D52B34"/>
    <w:rsid w:val="00D52BCF"/>
    <w:rsid w:val="00D52DA6"/>
    <w:rsid w:val="00D531B1"/>
    <w:rsid w:val="00D53480"/>
    <w:rsid w:val="00D53BEF"/>
    <w:rsid w:val="00D53DD3"/>
    <w:rsid w:val="00D53F06"/>
    <w:rsid w:val="00D54085"/>
    <w:rsid w:val="00D54108"/>
    <w:rsid w:val="00D54391"/>
    <w:rsid w:val="00D54B92"/>
    <w:rsid w:val="00D55048"/>
    <w:rsid w:val="00D5563D"/>
    <w:rsid w:val="00D55CCD"/>
    <w:rsid w:val="00D55F60"/>
    <w:rsid w:val="00D56B57"/>
    <w:rsid w:val="00D56B9A"/>
    <w:rsid w:val="00D570AD"/>
    <w:rsid w:val="00D57128"/>
    <w:rsid w:val="00D5772F"/>
    <w:rsid w:val="00D57969"/>
    <w:rsid w:val="00D57A14"/>
    <w:rsid w:val="00D57DDF"/>
    <w:rsid w:val="00D601DB"/>
    <w:rsid w:val="00D60604"/>
    <w:rsid w:val="00D6060D"/>
    <w:rsid w:val="00D61822"/>
    <w:rsid w:val="00D61B1C"/>
    <w:rsid w:val="00D61FAE"/>
    <w:rsid w:val="00D6253D"/>
    <w:rsid w:val="00D62853"/>
    <w:rsid w:val="00D6289B"/>
    <w:rsid w:val="00D6315B"/>
    <w:rsid w:val="00D633A1"/>
    <w:rsid w:val="00D6385A"/>
    <w:rsid w:val="00D6390E"/>
    <w:rsid w:val="00D63C21"/>
    <w:rsid w:val="00D64948"/>
    <w:rsid w:val="00D6499B"/>
    <w:rsid w:val="00D64ADC"/>
    <w:rsid w:val="00D65351"/>
    <w:rsid w:val="00D6547E"/>
    <w:rsid w:val="00D65E37"/>
    <w:rsid w:val="00D6600F"/>
    <w:rsid w:val="00D66682"/>
    <w:rsid w:val="00D6680B"/>
    <w:rsid w:val="00D66ADF"/>
    <w:rsid w:val="00D6768F"/>
    <w:rsid w:val="00D708FC"/>
    <w:rsid w:val="00D7099C"/>
    <w:rsid w:val="00D709F8"/>
    <w:rsid w:val="00D71229"/>
    <w:rsid w:val="00D719F8"/>
    <w:rsid w:val="00D71A89"/>
    <w:rsid w:val="00D725F5"/>
    <w:rsid w:val="00D72672"/>
    <w:rsid w:val="00D7293C"/>
    <w:rsid w:val="00D72C5B"/>
    <w:rsid w:val="00D72DAB"/>
    <w:rsid w:val="00D735F1"/>
    <w:rsid w:val="00D741BC"/>
    <w:rsid w:val="00D7425B"/>
    <w:rsid w:val="00D74842"/>
    <w:rsid w:val="00D7521D"/>
    <w:rsid w:val="00D754D5"/>
    <w:rsid w:val="00D75AB1"/>
    <w:rsid w:val="00D778C5"/>
    <w:rsid w:val="00D77D6F"/>
    <w:rsid w:val="00D801A0"/>
    <w:rsid w:val="00D80517"/>
    <w:rsid w:val="00D80C7B"/>
    <w:rsid w:val="00D811CF"/>
    <w:rsid w:val="00D813D4"/>
    <w:rsid w:val="00D81BAF"/>
    <w:rsid w:val="00D83473"/>
    <w:rsid w:val="00D834AE"/>
    <w:rsid w:val="00D83545"/>
    <w:rsid w:val="00D83736"/>
    <w:rsid w:val="00D8387E"/>
    <w:rsid w:val="00D84555"/>
    <w:rsid w:val="00D84696"/>
    <w:rsid w:val="00D847FF"/>
    <w:rsid w:val="00D84950"/>
    <w:rsid w:val="00D84975"/>
    <w:rsid w:val="00D85088"/>
    <w:rsid w:val="00D85B09"/>
    <w:rsid w:val="00D86202"/>
    <w:rsid w:val="00D864DD"/>
    <w:rsid w:val="00D866A5"/>
    <w:rsid w:val="00D86759"/>
    <w:rsid w:val="00D870B7"/>
    <w:rsid w:val="00D87DF9"/>
    <w:rsid w:val="00D87E90"/>
    <w:rsid w:val="00D87EA7"/>
    <w:rsid w:val="00D902AB"/>
    <w:rsid w:val="00D90594"/>
    <w:rsid w:val="00D9145B"/>
    <w:rsid w:val="00D91B1C"/>
    <w:rsid w:val="00D91D02"/>
    <w:rsid w:val="00D92103"/>
    <w:rsid w:val="00D92630"/>
    <w:rsid w:val="00D9302E"/>
    <w:rsid w:val="00D931D8"/>
    <w:rsid w:val="00D93430"/>
    <w:rsid w:val="00D93687"/>
    <w:rsid w:val="00D94560"/>
    <w:rsid w:val="00D94B21"/>
    <w:rsid w:val="00D94BD2"/>
    <w:rsid w:val="00D94D40"/>
    <w:rsid w:val="00D94E65"/>
    <w:rsid w:val="00D95483"/>
    <w:rsid w:val="00D956BD"/>
    <w:rsid w:val="00D95834"/>
    <w:rsid w:val="00D95AD4"/>
    <w:rsid w:val="00D95BF2"/>
    <w:rsid w:val="00D95DEA"/>
    <w:rsid w:val="00D95EA5"/>
    <w:rsid w:val="00D96829"/>
    <w:rsid w:val="00D96B71"/>
    <w:rsid w:val="00D970D3"/>
    <w:rsid w:val="00D972E3"/>
    <w:rsid w:val="00D973D2"/>
    <w:rsid w:val="00D9747C"/>
    <w:rsid w:val="00D9759D"/>
    <w:rsid w:val="00D97B80"/>
    <w:rsid w:val="00D97BBC"/>
    <w:rsid w:val="00D97F67"/>
    <w:rsid w:val="00DA0443"/>
    <w:rsid w:val="00DA0665"/>
    <w:rsid w:val="00DA0696"/>
    <w:rsid w:val="00DA06FE"/>
    <w:rsid w:val="00DA0AC9"/>
    <w:rsid w:val="00DA0C39"/>
    <w:rsid w:val="00DA12CE"/>
    <w:rsid w:val="00DA132B"/>
    <w:rsid w:val="00DA1968"/>
    <w:rsid w:val="00DA19A1"/>
    <w:rsid w:val="00DA260B"/>
    <w:rsid w:val="00DA2736"/>
    <w:rsid w:val="00DA2B03"/>
    <w:rsid w:val="00DA2C35"/>
    <w:rsid w:val="00DA3248"/>
    <w:rsid w:val="00DA5132"/>
    <w:rsid w:val="00DA523B"/>
    <w:rsid w:val="00DA589A"/>
    <w:rsid w:val="00DA5B4E"/>
    <w:rsid w:val="00DA63B5"/>
    <w:rsid w:val="00DA69AE"/>
    <w:rsid w:val="00DA6B1C"/>
    <w:rsid w:val="00DB02F7"/>
    <w:rsid w:val="00DB0EEF"/>
    <w:rsid w:val="00DB0FF8"/>
    <w:rsid w:val="00DB100F"/>
    <w:rsid w:val="00DB1CCB"/>
    <w:rsid w:val="00DB25B6"/>
    <w:rsid w:val="00DB2660"/>
    <w:rsid w:val="00DB2A3E"/>
    <w:rsid w:val="00DB2D74"/>
    <w:rsid w:val="00DB2E2B"/>
    <w:rsid w:val="00DB2EDD"/>
    <w:rsid w:val="00DB323A"/>
    <w:rsid w:val="00DB39D6"/>
    <w:rsid w:val="00DB3BD1"/>
    <w:rsid w:val="00DB3C19"/>
    <w:rsid w:val="00DB3D1C"/>
    <w:rsid w:val="00DB3D59"/>
    <w:rsid w:val="00DB3D78"/>
    <w:rsid w:val="00DB4070"/>
    <w:rsid w:val="00DB431B"/>
    <w:rsid w:val="00DB4333"/>
    <w:rsid w:val="00DB4619"/>
    <w:rsid w:val="00DB4E65"/>
    <w:rsid w:val="00DB5046"/>
    <w:rsid w:val="00DB506A"/>
    <w:rsid w:val="00DB5112"/>
    <w:rsid w:val="00DB53E0"/>
    <w:rsid w:val="00DB61AD"/>
    <w:rsid w:val="00DB677C"/>
    <w:rsid w:val="00DB70F5"/>
    <w:rsid w:val="00DB7D08"/>
    <w:rsid w:val="00DC00DC"/>
    <w:rsid w:val="00DC0D52"/>
    <w:rsid w:val="00DC0FDC"/>
    <w:rsid w:val="00DC1410"/>
    <w:rsid w:val="00DC1556"/>
    <w:rsid w:val="00DC15F6"/>
    <w:rsid w:val="00DC1FF1"/>
    <w:rsid w:val="00DC2DAE"/>
    <w:rsid w:val="00DC2DF5"/>
    <w:rsid w:val="00DC2EB5"/>
    <w:rsid w:val="00DC348A"/>
    <w:rsid w:val="00DC3793"/>
    <w:rsid w:val="00DC37C4"/>
    <w:rsid w:val="00DC3887"/>
    <w:rsid w:val="00DC44FB"/>
    <w:rsid w:val="00DC4B24"/>
    <w:rsid w:val="00DC52CC"/>
    <w:rsid w:val="00DC540E"/>
    <w:rsid w:val="00DC580D"/>
    <w:rsid w:val="00DC5A27"/>
    <w:rsid w:val="00DC5E23"/>
    <w:rsid w:val="00DC6130"/>
    <w:rsid w:val="00DC6B63"/>
    <w:rsid w:val="00DC7408"/>
    <w:rsid w:val="00DC7A6C"/>
    <w:rsid w:val="00DC7C68"/>
    <w:rsid w:val="00DC7EA8"/>
    <w:rsid w:val="00DD044B"/>
    <w:rsid w:val="00DD05D1"/>
    <w:rsid w:val="00DD06F2"/>
    <w:rsid w:val="00DD136B"/>
    <w:rsid w:val="00DD156E"/>
    <w:rsid w:val="00DD16A5"/>
    <w:rsid w:val="00DD18F9"/>
    <w:rsid w:val="00DD19F5"/>
    <w:rsid w:val="00DD2468"/>
    <w:rsid w:val="00DD24D2"/>
    <w:rsid w:val="00DD2587"/>
    <w:rsid w:val="00DD25DA"/>
    <w:rsid w:val="00DD283E"/>
    <w:rsid w:val="00DD2C2C"/>
    <w:rsid w:val="00DD2C71"/>
    <w:rsid w:val="00DD31A2"/>
    <w:rsid w:val="00DD389B"/>
    <w:rsid w:val="00DD3951"/>
    <w:rsid w:val="00DD3FEB"/>
    <w:rsid w:val="00DD495D"/>
    <w:rsid w:val="00DD4F03"/>
    <w:rsid w:val="00DD6100"/>
    <w:rsid w:val="00DD64C4"/>
    <w:rsid w:val="00DD684C"/>
    <w:rsid w:val="00DD6E56"/>
    <w:rsid w:val="00DD6F88"/>
    <w:rsid w:val="00DD7311"/>
    <w:rsid w:val="00DD74BB"/>
    <w:rsid w:val="00DD791E"/>
    <w:rsid w:val="00DD7C06"/>
    <w:rsid w:val="00DD7C99"/>
    <w:rsid w:val="00DD7D99"/>
    <w:rsid w:val="00DD7FB2"/>
    <w:rsid w:val="00DE07BF"/>
    <w:rsid w:val="00DE0931"/>
    <w:rsid w:val="00DE0BB5"/>
    <w:rsid w:val="00DE0F3F"/>
    <w:rsid w:val="00DE10BE"/>
    <w:rsid w:val="00DE11E1"/>
    <w:rsid w:val="00DE123D"/>
    <w:rsid w:val="00DE1E8B"/>
    <w:rsid w:val="00DE236C"/>
    <w:rsid w:val="00DE28A4"/>
    <w:rsid w:val="00DE2A72"/>
    <w:rsid w:val="00DE2ACB"/>
    <w:rsid w:val="00DE2F7C"/>
    <w:rsid w:val="00DE33D8"/>
    <w:rsid w:val="00DE3403"/>
    <w:rsid w:val="00DE3C95"/>
    <w:rsid w:val="00DE3E27"/>
    <w:rsid w:val="00DE4070"/>
    <w:rsid w:val="00DE44C8"/>
    <w:rsid w:val="00DE5DAE"/>
    <w:rsid w:val="00DE5EE9"/>
    <w:rsid w:val="00DE5EEB"/>
    <w:rsid w:val="00DE60A6"/>
    <w:rsid w:val="00DE657F"/>
    <w:rsid w:val="00DE691B"/>
    <w:rsid w:val="00DE6A15"/>
    <w:rsid w:val="00DE6C67"/>
    <w:rsid w:val="00DE6F2F"/>
    <w:rsid w:val="00DE6F48"/>
    <w:rsid w:val="00DE72A8"/>
    <w:rsid w:val="00DE7DFB"/>
    <w:rsid w:val="00DF0A0D"/>
    <w:rsid w:val="00DF0FD5"/>
    <w:rsid w:val="00DF108C"/>
    <w:rsid w:val="00DF11D6"/>
    <w:rsid w:val="00DF16EE"/>
    <w:rsid w:val="00DF1EC7"/>
    <w:rsid w:val="00DF2056"/>
    <w:rsid w:val="00DF23FB"/>
    <w:rsid w:val="00DF2537"/>
    <w:rsid w:val="00DF2654"/>
    <w:rsid w:val="00DF2BBF"/>
    <w:rsid w:val="00DF306A"/>
    <w:rsid w:val="00DF313A"/>
    <w:rsid w:val="00DF3196"/>
    <w:rsid w:val="00DF347C"/>
    <w:rsid w:val="00DF39C3"/>
    <w:rsid w:val="00DF3CCC"/>
    <w:rsid w:val="00DF3DD0"/>
    <w:rsid w:val="00DF3E32"/>
    <w:rsid w:val="00DF4045"/>
    <w:rsid w:val="00DF404C"/>
    <w:rsid w:val="00DF495D"/>
    <w:rsid w:val="00DF4F38"/>
    <w:rsid w:val="00DF4F52"/>
    <w:rsid w:val="00DF56C4"/>
    <w:rsid w:val="00DF5913"/>
    <w:rsid w:val="00DF5D8D"/>
    <w:rsid w:val="00DF6397"/>
    <w:rsid w:val="00DF67B7"/>
    <w:rsid w:val="00DF68C7"/>
    <w:rsid w:val="00DF6CD0"/>
    <w:rsid w:val="00DF6D3F"/>
    <w:rsid w:val="00DF6FB1"/>
    <w:rsid w:val="00DF6FB9"/>
    <w:rsid w:val="00DF789E"/>
    <w:rsid w:val="00DF7BA5"/>
    <w:rsid w:val="00DF7D2A"/>
    <w:rsid w:val="00DF7DE3"/>
    <w:rsid w:val="00E00488"/>
    <w:rsid w:val="00E006D4"/>
    <w:rsid w:val="00E009CB"/>
    <w:rsid w:val="00E00D3E"/>
    <w:rsid w:val="00E01A6B"/>
    <w:rsid w:val="00E01C42"/>
    <w:rsid w:val="00E01EB7"/>
    <w:rsid w:val="00E01F75"/>
    <w:rsid w:val="00E0334E"/>
    <w:rsid w:val="00E03FE1"/>
    <w:rsid w:val="00E04BF5"/>
    <w:rsid w:val="00E04DE5"/>
    <w:rsid w:val="00E05291"/>
    <w:rsid w:val="00E05305"/>
    <w:rsid w:val="00E0568A"/>
    <w:rsid w:val="00E05826"/>
    <w:rsid w:val="00E05BB7"/>
    <w:rsid w:val="00E05C58"/>
    <w:rsid w:val="00E05CB2"/>
    <w:rsid w:val="00E05FF4"/>
    <w:rsid w:val="00E06A21"/>
    <w:rsid w:val="00E06A34"/>
    <w:rsid w:val="00E06BFB"/>
    <w:rsid w:val="00E06F07"/>
    <w:rsid w:val="00E0721F"/>
    <w:rsid w:val="00E07242"/>
    <w:rsid w:val="00E07557"/>
    <w:rsid w:val="00E075E3"/>
    <w:rsid w:val="00E07835"/>
    <w:rsid w:val="00E079AF"/>
    <w:rsid w:val="00E07E07"/>
    <w:rsid w:val="00E1000D"/>
    <w:rsid w:val="00E105E6"/>
    <w:rsid w:val="00E110FC"/>
    <w:rsid w:val="00E11416"/>
    <w:rsid w:val="00E11662"/>
    <w:rsid w:val="00E11CC1"/>
    <w:rsid w:val="00E11CD4"/>
    <w:rsid w:val="00E12775"/>
    <w:rsid w:val="00E12937"/>
    <w:rsid w:val="00E12987"/>
    <w:rsid w:val="00E12E90"/>
    <w:rsid w:val="00E13151"/>
    <w:rsid w:val="00E137F2"/>
    <w:rsid w:val="00E13A68"/>
    <w:rsid w:val="00E13E43"/>
    <w:rsid w:val="00E14E35"/>
    <w:rsid w:val="00E151BB"/>
    <w:rsid w:val="00E15632"/>
    <w:rsid w:val="00E163FC"/>
    <w:rsid w:val="00E1672F"/>
    <w:rsid w:val="00E168F0"/>
    <w:rsid w:val="00E1778B"/>
    <w:rsid w:val="00E177BC"/>
    <w:rsid w:val="00E17CD8"/>
    <w:rsid w:val="00E20745"/>
    <w:rsid w:val="00E2109E"/>
    <w:rsid w:val="00E218B1"/>
    <w:rsid w:val="00E21E66"/>
    <w:rsid w:val="00E22302"/>
    <w:rsid w:val="00E226C8"/>
    <w:rsid w:val="00E227EB"/>
    <w:rsid w:val="00E22AFE"/>
    <w:rsid w:val="00E22EC2"/>
    <w:rsid w:val="00E22EF5"/>
    <w:rsid w:val="00E2352F"/>
    <w:rsid w:val="00E23AF1"/>
    <w:rsid w:val="00E23CB1"/>
    <w:rsid w:val="00E23CBD"/>
    <w:rsid w:val="00E2439C"/>
    <w:rsid w:val="00E24501"/>
    <w:rsid w:val="00E24885"/>
    <w:rsid w:val="00E24CF0"/>
    <w:rsid w:val="00E24DD8"/>
    <w:rsid w:val="00E24E18"/>
    <w:rsid w:val="00E2501F"/>
    <w:rsid w:val="00E254C4"/>
    <w:rsid w:val="00E25B75"/>
    <w:rsid w:val="00E25CB7"/>
    <w:rsid w:val="00E26215"/>
    <w:rsid w:val="00E26401"/>
    <w:rsid w:val="00E26402"/>
    <w:rsid w:val="00E2655D"/>
    <w:rsid w:val="00E26D52"/>
    <w:rsid w:val="00E27089"/>
    <w:rsid w:val="00E27C73"/>
    <w:rsid w:val="00E303A0"/>
    <w:rsid w:val="00E30A56"/>
    <w:rsid w:val="00E313AE"/>
    <w:rsid w:val="00E316D8"/>
    <w:rsid w:val="00E31B62"/>
    <w:rsid w:val="00E31F77"/>
    <w:rsid w:val="00E31F91"/>
    <w:rsid w:val="00E320EE"/>
    <w:rsid w:val="00E32788"/>
    <w:rsid w:val="00E32E09"/>
    <w:rsid w:val="00E32E67"/>
    <w:rsid w:val="00E32E84"/>
    <w:rsid w:val="00E330D7"/>
    <w:rsid w:val="00E3313D"/>
    <w:rsid w:val="00E33E05"/>
    <w:rsid w:val="00E33E6A"/>
    <w:rsid w:val="00E35308"/>
    <w:rsid w:val="00E35BAD"/>
    <w:rsid w:val="00E36130"/>
    <w:rsid w:val="00E3649B"/>
    <w:rsid w:val="00E3699C"/>
    <w:rsid w:val="00E369E5"/>
    <w:rsid w:val="00E36A79"/>
    <w:rsid w:val="00E36C40"/>
    <w:rsid w:val="00E376C6"/>
    <w:rsid w:val="00E37D35"/>
    <w:rsid w:val="00E406F8"/>
    <w:rsid w:val="00E40750"/>
    <w:rsid w:val="00E40FD0"/>
    <w:rsid w:val="00E41993"/>
    <w:rsid w:val="00E41C57"/>
    <w:rsid w:val="00E41D0F"/>
    <w:rsid w:val="00E43165"/>
    <w:rsid w:val="00E4336A"/>
    <w:rsid w:val="00E434E5"/>
    <w:rsid w:val="00E43A97"/>
    <w:rsid w:val="00E43ADB"/>
    <w:rsid w:val="00E43CC1"/>
    <w:rsid w:val="00E44477"/>
    <w:rsid w:val="00E44586"/>
    <w:rsid w:val="00E44AD5"/>
    <w:rsid w:val="00E44D87"/>
    <w:rsid w:val="00E44F49"/>
    <w:rsid w:val="00E45866"/>
    <w:rsid w:val="00E45DDA"/>
    <w:rsid w:val="00E45EA0"/>
    <w:rsid w:val="00E45FB1"/>
    <w:rsid w:val="00E4675C"/>
    <w:rsid w:val="00E46B1A"/>
    <w:rsid w:val="00E470F3"/>
    <w:rsid w:val="00E4770F"/>
    <w:rsid w:val="00E47CE4"/>
    <w:rsid w:val="00E47CF6"/>
    <w:rsid w:val="00E50287"/>
    <w:rsid w:val="00E50E19"/>
    <w:rsid w:val="00E514E3"/>
    <w:rsid w:val="00E5234E"/>
    <w:rsid w:val="00E52443"/>
    <w:rsid w:val="00E525AA"/>
    <w:rsid w:val="00E52DAA"/>
    <w:rsid w:val="00E52E88"/>
    <w:rsid w:val="00E53819"/>
    <w:rsid w:val="00E53BCD"/>
    <w:rsid w:val="00E5409A"/>
    <w:rsid w:val="00E54D85"/>
    <w:rsid w:val="00E55321"/>
    <w:rsid w:val="00E562A7"/>
    <w:rsid w:val="00E56B40"/>
    <w:rsid w:val="00E56BDB"/>
    <w:rsid w:val="00E56FAD"/>
    <w:rsid w:val="00E578E2"/>
    <w:rsid w:val="00E60423"/>
    <w:rsid w:val="00E605E5"/>
    <w:rsid w:val="00E60635"/>
    <w:rsid w:val="00E6189A"/>
    <w:rsid w:val="00E61AEC"/>
    <w:rsid w:val="00E61AF3"/>
    <w:rsid w:val="00E61D3B"/>
    <w:rsid w:val="00E62246"/>
    <w:rsid w:val="00E62624"/>
    <w:rsid w:val="00E62690"/>
    <w:rsid w:val="00E62FF1"/>
    <w:rsid w:val="00E6380E"/>
    <w:rsid w:val="00E63D14"/>
    <w:rsid w:val="00E6462C"/>
    <w:rsid w:val="00E649C4"/>
    <w:rsid w:val="00E64A11"/>
    <w:rsid w:val="00E64DCE"/>
    <w:rsid w:val="00E64EAB"/>
    <w:rsid w:val="00E65977"/>
    <w:rsid w:val="00E65AED"/>
    <w:rsid w:val="00E65D1E"/>
    <w:rsid w:val="00E667CC"/>
    <w:rsid w:val="00E66A4B"/>
    <w:rsid w:val="00E66B33"/>
    <w:rsid w:val="00E66C97"/>
    <w:rsid w:val="00E66DDE"/>
    <w:rsid w:val="00E671AC"/>
    <w:rsid w:val="00E672A6"/>
    <w:rsid w:val="00E672CD"/>
    <w:rsid w:val="00E675FB"/>
    <w:rsid w:val="00E7013C"/>
    <w:rsid w:val="00E7040C"/>
    <w:rsid w:val="00E70430"/>
    <w:rsid w:val="00E70453"/>
    <w:rsid w:val="00E704CD"/>
    <w:rsid w:val="00E71398"/>
    <w:rsid w:val="00E7259A"/>
    <w:rsid w:val="00E72695"/>
    <w:rsid w:val="00E72A03"/>
    <w:rsid w:val="00E72A2E"/>
    <w:rsid w:val="00E7400C"/>
    <w:rsid w:val="00E74352"/>
    <w:rsid w:val="00E745E9"/>
    <w:rsid w:val="00E74644"/>
    <w:rsid w:val="00E749E2"/>
    <w:rsid w:val="00E75213"/>
    <w:rsid w:val="00E75952"/>
    <w:rsid w:val="00E75955"/>
    <w:rsid w:val="00E75969"/>
    <w:rsid w:val="00E75D04"/>
    <w:rsid w:val="00E75FF2"/>
    <w:rsid w:val="00E76492"/>
    <w:rsid w:val="00E7685C"/>
    <w:rsid w:val="00E76D85"/>
    <w:rsid w:val="00E76FFE"/>
    <w:rsid w:val="00E7705E"/>
    <w:rsid w:val="00E778CA"/>
    <w:rsid w:val="00E80B65"/>
    <w:rsid w:val="00E80F3E"/>
    <w:rsid w:val="00E8110A"/>
    <w:rsid w:val="00E811A2"/>
    <w:rsid w:val="00E814BA"/>
    <w:rsid w:val="00E824AE"/>
    <w:rsid w:val="00E8280C"/>
    <w:rsid w:val="00E82A2A"/>
    <w:rsid w:val="00E82AA9"/>
    <w:rsid w:val="00E8384D"/>
    <w:rsid w:val="00E855C0"/>
    <w:rsid w:val="00E856EF"/>
    <w:rsid w:val="00E85C51"/>
    <w:rsid w:val="00E8627F"/>
    <w:rsid w:val="00E87723"/>
    <w:rsid w:val="00E879DA"/>
    <w:rsid w:val="00E90825"/>
    <w:rsid w:val="00E90A9D"/>
    <w:rsid w:val="00E9181B"/>
    <w:rsid w:val="00E91F3D"/>
    <w:rsid w:val="00E92864"/>
    <w:rsid w:val="00E92AEF"/>
    <w:rsid w:val="00E92FBE"/>
    <w:rsid w:val="00E9318E"/>
    <w:rsid w:val="00E9353B"/>
    <w:rsid w:val="00E93ACA"/>
    <w:rsid w:val="00E93BB9"/>
    <w:rsid w:val="00E93ECC"/>
    <w:rsid w:val="00E94CE2"/>
    <w:rsid w:val="00E953E8"/>
    <w:rsid w:val="00E955AC"/>
    <w:rsid w:val="00E95CA1"/>
    <w:rsid w:val="00E96ACF"/>
    <w:rsid w:val="00E96B66"/>
    <w:rsid w:val="00E96EAA"/>
    <w:rsid w:val="00E96F9D"/>
    <w:rsid w:val="00E972E0"/>
    <w:rsid w:val="00E97A74"/>
    <w:rsid w:val="00EA007E"/>
    <w:rsid w:val="00EA00F9"/>
    <w:rsid w:val="00EA0725"/>
    <w:rsid w:val="00EA0780"/>
    <w:rsid w:val="00EA0E51"/>
    <w:rsid w:val="00EA116F"/>
    <w:rsid w:val="00EA1228"/>
    <w:rsid w:val="00EA1366"/>
    <w:rsid w:val="00EA1567"/>
    <w:rsid w:val="00EA15C1"/>
    <w:rsid w:val="00EA1FF3"/>
    <w:rsid w:val="00EA2193"/>
    <w:rsid w:val="00EA2529"/>
    <w:rsid w:val="00EA2637"/>
    <w:rsid w:val="00EA2963"/>
    <w:rsid w:val="00EA31B3"/>
    <w:rsid w:val="00EA329B"/>
    <w:rsid w:val="00EA3385"/>
    <w:rsid w:val="00EA3C4C"/>
    <w:rsid w:val="00EA408D"/>
    <w:rsid w:val="00EA5284"/>
    <w:rsid w:val="00EA5FA1"/>
    <w:rsid w:val="00EA6B6D"/>
    <w:rsid w:val="00EA7095"/>
    <w:rsid w:val="00EB0C05"/>
    <w:rsid w:val="00EB138A"/>
    <w:rsid w:val="00EB149F"/>
    <w:rsid w:val="00EB15A2"/>
    <w:rsid w:val="00EB1929"/>
    <w:rsid w:val="00EB1C36"/>
    <w:rsid w:val="00EB2037"/>
    <w:rsid w:val="00EB20B4"/>
    <w:rsid w:val="00EB271C"/>
    <w:rsid w:val="00EB2B4C"/>
    <w:rsid w:val="00EB2D14"/>
    <w:rsid w:val="00EB2FAE"/>
    <w:rsid w:val="00EB3889"/>
    <w:rsid w:val="00EB3CF6"/>
    <w:rsid w:val="00EB45CE"/>
    <w:rsid w:val="00EB46A3"/>
    <w:rsid w:val="00EB507B"/>
    <w:rsid w:val="00EB510F"/>
    <w:rsid w:val="00EB55A7"/>
    <w:rsid w:val="00EB58EC"/>
    <w:rsid w:val="00EB591A"/>
    <w:rsid w:val="00EB5A3D"/>
    <w:rsid w:val="00EB611E"/>
    <w:rsid w:val="00EB6741"/>
    <w:rsid w:val="00EB6FF5"/>
    <w:rsid w:val="00EB7629"/>
    <w:rsid w:val="00EB7759"/>
    <w:rsid w:val="00EB7DA0"/>
    <w:rsid w:val="00EB7EF0"/>
    <w:rsid w:val="00EC00C8"/>
    <w:rsid w:val="00EC0304"/>
    <w:rsid w:val="00EC092D"/>
    <w:rsid w:val="00EC134F"/>
    <w:rsid w:val="00EC16B9"/>
    <w:rsid w:val="00EC21A7"/>
    <w:rsid w:val="00EC234E"/>
    <w:rsid w:val="00EC245D"/>
    <w:rsid w:val="00EC292F"/>
    <w:rsid w:val="00EC2FB8"/>
    <w:rsid w:val="00EC3129"/>
    <w:rsid w:val="00EC3CF8"/>
    <w:rsid w:val="00EC3D68"/>
    <w:rsid w:val="00EC4216"/>
    <w:rsid w:val="00EC439D"/>
    <w:rsid w:val="00EC488D"/>
    <w:rsid w:val="00EC49A0"/>
    <w:rsid w:val="00EC4B19"/>
    <w:rsid w:val="00EC591E"/>
    <w:rsid w:val="00EC594C"/>
    <w:rsid w:val="00EC5F73"/>
    <w:rsid w:val="00EC5FA3"/>
    <w:rsid w:val="00EC6106"/>
    <w:rsid w:val="00EC6244"/>
    <w:rsid w:val="00EC662D"/>
    <w:rsid w:val="00EC662F"/>
    <w:rsid w:val="00EC6CDA"/>
    <w:rsid w:val="00EC6FC9"/>
    <w:rsid w:val="00EC71A9"/>
    <w:rsid w:val="00EC7206"/>
    <w:rsid w:val="00EC7B57"/>
    <w:rsid w:val="00EC7C51"/>
    <w:rsid w:val="00ED067F"/>
    <w:rsid w:val="00ED06B7"/>
    <w:rsid w:val="00ED087A"/>
    <w:rsid w:val="00ED12CD"/>
    <w:rsid w:val="00ED1443"/>
    <w:rsid w:val="00ED2AC7"/>
    <w:rsid w:val="00ED2CC8"/>
    <w:rsid w:val="00ED30A0"/>
    <w:rsid w:val="00ED326C"/>
    <w:rsid w:val="00ED33A1"/>
    <w:rsid w:val="00ED39A2"/>
    <w:rsid w:val="00ED47A2"/>
    <w:rsid w:val="00ED4CF4"/>
    <w:rsid w:val="00ED513F"/>
    <w:rsid w:val="00ED56F5"/>
    <w:rsid w:val="00ED5724"/>
    <w:rsid w:val="00ED588D"/>
    <w:rsid w:val="00ED599F"/>
    <w:rsid w:val="00ED5C01"/>
    <w:rsid w:val="00ED5DD9"/>
    <w:rsid w:val="00ED6179"/>
    <w:rsid w:val="00ED64BD"/>
    <w:rsid w:val="00ED67F4"/>
    <w:rsid w:val="00ED6A3D"/>
    <w:rsid w:val="00ED6CBF"/>
    <w:rsid w:val="00ED6D8F"/>
    <w:rsid w:val="00ED7485"/>
    <w:rsid w:val="00ED76B2"/>
    <w:rsid w:val="00ED7AAE"/>
    <w:rsid w:val="00ED7B8A"/>
    <w:rsid w:val="00ED7DAB"/>
    <w:rsid w:val="00EE082F"/>
    <w:rsid w:val="00EE11D2"/>
    <w:rsid w:val="00EE1449"/>
    <w:rsid w:val="00EE19C8"/>
    <w:rsid w:val="00EE1C27"/>
    <w:rsid w:val="00EE22DE"/>
    <w:rsid w:val="00EE3456"/>
    <w:rsid w:val="00EE36A3"/>
    <w:rsid w:val="00EE3842"/>
    <w:rsid w:val="00EE3D5C"/>
    <w:rsid w:val="00EE3E7F"/>
    <w:rsid w:val="00EE4581"/>
    <w:rsid w:val="00EE45E7"/>
    <w:rsid w:val="00EE47B3"/>
    <w:rsid w:val="00EE521D"/>
    <w:rsid w:val="00EE59CC"/>
    <w:rsid w:val="00EE5C5B"/>
    <w:rsid w:val="00EE6313"/>
    <w:rsid w:val="00EE6632"/>
    <w:rsid w:val="00EE6D27"/>
    <w:rsid w:val="00EE72A8"/>
    <w:rsid w:val="00EE79D3"/>
    <w:rsid w:val="00EE7BE6"/>
    <w:rsid w:val="00EF05F4"/>
    <w:rsid w:val="00EF08BD"/>
    <w:rsid w:val="00EF134F"/>
    <w:rsid w:val="00EF1B03"/>
    <w:rsid w:val="00EF1B07"/>
    <w:rsid w:val="00EF208C"/>
    <w:rsid w:val="00EF21C7"/>
    <w:rsid w:val="00EF2922"/>
    <w:rsid w:val="00EF2C83"/>
    <w:rsid w:val="00EF2DB4"/>
    <w:rsid w:val="00EF2E32"/>
    <w:rsid w:val="00EF2EB6"/>
    <w:rsid w:val="00EF32AC"/>
    <w:rsid w:val="00EF38B5"/>
    <w:rsid w:val="00EF3AA0"/>
    <w:rsid w:val="00EF3CAA"/>
    <w:rsid w:val="00EF4449"/>
    <w:rsid w:val="00EF49D2"/>
    <w:rsid w:val="00EF4DE3"/>
    <w:rsid w:val="00EF4E32"/>
    <w:rsid w:val="00EF521E"/>
    <w:rsid w:val="00EF635B"/>
    <w:rsid w:val="00EF6780"/>
    <w:rsid w:val="00EF6BC5"/>
    <w:rsid w:val="00EF6C37"/>
    <w:rsid w:val="00EF6C5D"/>
    <w:rsid w:val="00EF71EE"/>
    <w:rsid w:val="00EF7543"/>
    <w:rsid w:val="00EF7760"/>
    <w:rsid w:val="00EF7804"/>
    <w:rsid w:val="00EF7932"/>
    <w:rsid w:val="00EF7A56"/>
    <w:rsid w:val="00EF7E6E"/>
    <w:rsid w:val="00F002BA"/>
    <w:rsid w:val="00F00345"/>
    <w:rsid w:val="00F00C2C"/>
    <w:rsid w:val="00F01255"/>
    <w:rsid w:val="00F015CC"/>
    <w:rsid w:val="00F01C62"/>
    <w:rsid w:val="00F01FC2"/>
    <w:rsid w:val="00F020B8"/>
    <w:rsid w:val="00F02341"/>
    <w:rsid w:val="00F02CF2"/>
    <w:rsid w:val="00F03016"/>
    <w:rsid w:val="00F03463"/>
    <w:rsid w:val="00F048AE"/>
    <w:rsid w:val="00F04EF2"/>
    <w:rsid w:val="00F0602C"/>
    <w:rsid w:val="00F0617F"/>
    <w:rsid w:val="00F063DD"/>
    <w:rsid w:val="00F0680F"/>
    <w:rsid w:val="00F06AA4"/>
    <w:rsid w:val="00F07954"/>
    <w:rsid w:val="00F07C08"/>
    <w:rsid w:val="00F07DF7"/>
    <w:rsid w:val="00F07FCB"/>
    <w:rsid w:val="00F116FC"/>
    <w:rsid w:val="00F117C2"/>
    <w:rsid w:val="00F11885"/>
    <w:rsid w:val="00F11C88"/>
    <w:rsid w:val="00F121AE"/>
    <w:rsid w:val="00F12536"/>
    <w:rsid w:val="00F12CCF"/>
    <w:rsid w:val="00F12CD9"/>
    <w:rsid w:val="00F12D62"/>
    <w:rsid w:val="00F13794"/>
    <w:rsid w:val="00F138E7"/>
    <w:rsid w:val="00F14B21"/>
    <w:rsid w:val="00F14EA6"/>
    <w:rsid w:val="00F14F09"/>
    <w:rsid w:val="00F1545F"/>
    <w:rsid w:val="00F15502"/>
    <w:rsid w:val="00F15C40"/>
    <w:rsid w:val="00F161C4"/>
    <w:rsid w:val="00F16871"/>
    <w:rsid w:val="00F17078"/>
    <w:rsid w:val="00F17081"/>
    <w:rsid w:val="00F17568"/>
    <w:rsid w:val="00F20994"/>
    <w:rsid w:val="00F20D23"/>
    <w:rsid w:val="00F220D5"/>
    <w:rsid w:val="00F220F0"/>
    <w:rsid w:val="00F221B8"/>
    <w:rsid w:val="00F22301"/>
    <w:rsid w:val="00F22CB2"/>
    <w:rsid w:val="00F22FAF"/>
    <w:rsid w:val="00F23578"/>
    <w:rsid w:val="00F23C86"/>
    <w:rsid w:val="00F243E5"/>
    <w:rsid w:val="00F244FA"/>
    <w:rsid w:val="00F24CA9"/>
    <w:rsid w:val="00F2501C"/>
    <w:rsid w:val="00F255F0"/>
    <w:rsid w:val="00F255FB"/>
    <w:rsid w:val="00F25B82"/>
    <w:rsid w:val="00F263F0"/>
    <w:rsid w:val="00F26E98"/>
    <w:rsid w:val="00F2723B"/>
    <w:rsid w:val="00F27577"/>
    <w:rsid w:val="00F276EF"/>
    <w:rsid w:val="00F27A50"/>
    <w:rsid w:val="00F302F6"/>
    <w:rsid w:val="00F30848"/>
    <w:rsid w:val="00F31568"/>
    <w:rsid w:val="00F31664"/>
    <w:rsid w:val="00F31755"/>
    <w:rsid w:val="00F31B49"/>
    <w:rsid w:val="00F32D4C"/>
    <w:rsid w:val="00F32D8A"/>
    <w:rsid w:val="00F3336D"/>
    <w:rsid w:val="00F3367D"/>
    <w:rsid w:val="00F33891"/>
    <w:rsid w:val="00F33ABC"/>
    <w:rsid w:val="00F33D7A"/>
    <w:rsid w:val="00F3470F"/>
    <w:rsid w:val="00F35094"/>
    <w:rsid w:val="00F3513C"/>
    <w:rsid w:val="00F3542B"/>
    <w:rsid w:val="00F35494"/>
    <w:rsid w:val="00F356E6"/>
    <w:rsid w:val="00F3573D"/>
    <w:rsid w:val="00F359B0"/>
    <w:rsid w:val="00F359F3"/>
    <w:rsid w:val="00F3676B"/>
    <w:rsid w:val="00F367B5"/>
    <w:rsid w:val="00F36C5A"/>
    <w:rsid w:val="00F36FDF"/>
    <w:rsid w:val="00F37606"/>
    <w:rsid w:val="00F378CA"/>
    <w:rsid w:val="00F37AB7"/>
    <w:rsid w:val="00F37BFA"/>
    <w:rsid w:val="00F40326"/>
    <w:rsid w:val="00F412A9"/>
    <w:rsid w:val="00F41513"/>
    <w:rsid w:val="00F41930"/>
    <w:rsid w:val="00F41AE7"/>
    <w:rsid w:val="00F41C1B"/>
    <w:rsid w:val="00F42031"/>
    <w:rsid w:val="00F42509"/>
    <w:rsid w:val="00F42931"/>
    <w:rsid w:val="00F436D8"/>
    <w:rsid w:val="00F44309"/>
    <w:rsid w:val="00F446AF"/>
    <w:rsid w:val="00F450B4"/>
    <w:rsid w:val="00F45823"/>
    <w:rsid w:val="00F45C0A"/>
    <w:rsid w:val="00F45C2B"/>
    <w:rsid w:val="00F45E8B"/>
    <w:rsid w:val="00F462E1"/>
    <w:rsid w:val="00F46454"/>
    <w:rsid w:val="00F465AB"/>
    <w:rsid w:val="00F469D4"/>
    <w:rsid w:val="00F46B9B"/>
    <w:rsid w:val="00F473D7"/>
    <w:rsid w:val="00F474C5"/>
    <w:rsid w:val="00F478A7"/>
    <w:rsid w:val="00F47A38"/>
    <w:rsid w:val="00F47CC6"/>
    <w:rsid w:val="00F5000C"/>
    <w:rsid w:val="00F50614"/>
    <w:rsid w:val="00F508DD"/>
    <w:rsid w:val="00F510EB"/>
    <w:rsid w:val="00F51641"/>
    <w:rsid w:val="00F52364"/>
    <w:rsid w:val="00F523E9"/>
    <w:rsid w:val="00F52705"/>
    <w:rsid w:val="00F52A01"/>
    <w:rsid w:val="00F52AE4"/>
    <w:rsid w:val="00F52D26"/>
    <w:rsid w:val="00F53AB5"/>
    <w:rsid w:val="00F53CCF"/>
    <w:rsid w:val="00F53E3E"/>
    <w:rsid w:val="00F53F40"/>
    <w:rsid w:val="00F543CB"/>
    <w:rsid w:val="00F549BC"/>
    <w:rsid w:val="00F54A26"/>
    <w:rsid w:val="00F555C1"/>
    <w:rsid w:val="00F5656E"/>
    <w:rsid w:val="00F565B0"/>
    <w:rsid w:val="00F5664C"/>
    <w:rsid w:val="00F56C05"/>
    <w:rsid w:val="00F57D76"/>
    <w:rsid w:val="00F60142"/>
    <w:rsid w:val="00F60712"/>
    <w:rsid w:val="00F60BB5"/>
    <w:rsid w:val="00F60E6F"/>
    <w:rsid w:val="00F60E74"/>
    <w:rsid w:val="00F61B1D"/>
    <w:rsid w:val="00F62565"/>
    <w:rsid w:val="00F625B2"/>
    <w:rsid w:val="00F628EA"/>
    <w:rsid w:val="00F62CA5"/>
    <w:rsid w:val="00F62CF9"/>
    <w:rsid w:val="00F62DC2"/>
    <w:rsid w:val="00F636BD"/>
    <w:rsid w:val="00F636EC"/>
    <w:rsid w:val="00F6380F"/>
    <w:rsid w:val="00F63905"/>
    <w:rsid w:val="00F6444D"/>
    <w:rsid w:val="00F64690"/>
    <w:rsid w:val="00F64C11"/>
    <w:rsid w:val="00F65323"/>
    <w:rsid w:val="00F6575F"/>
    <w:rsid w:val="00F66AE6"/>
    <w:rsid w:val="00F66CF5"/>
    <w:rsid w:val="00F673B1"/>
    <w:rsid w:val="00F67A0C"/>
    <w:rsid w:val="00F67FA3"/>
    <w:rsid w:val="00F7002B"/>
    <w:rsid w:val="00F7059A"/>
    <w:rsid w:val="00F70F0E"/>
    <w:rsid w:val="00F71114"/>
    <w:rsid w:val="00F7124C"/>
    <w:rsid w:val="00F71745"/>
    <w:rsid w:val="00F71E7A"/>
    <w:rsid w:val="00F720DA"/>
    <w:rsid w:val="00F7211B"/>
    <w:rsid w:val="00F72889"/>
    <w:rsid w:val="00F72D7A"/>
    <w:rsid w:val="00F730C1"/>
    <w:rsid w:val="00F73525"/>
    <w:rsid w:val="00F73BC9"/>
    <w:rsid w:val="00F73E69"/>
    <w:rsid w:val="00F73ED3"/>
    <w:rsid w:val="00F740B7"/>
    <w:rsid w:val="00F7445D"/>
    <w:rsid w:val="00F74AF4"/>
    <w:rsid w:val="00F74C9C"/>
    <w:rsid w:val="00F752F9"/>
    <w:rsid w:val="00F75A91"/>
    <w:rsid w:val="00F7619D"/>
    <w:rsid w:val="00F765AC"/>
    <w:rsid w:val="00F769CB"/>
    <w:rsid w:val="00F76A30"/>
    <w:rsid w:val="00F76DD6"/>
    <w:rsid w:val="00F76FCE"/>
    <w:rsid w:val="00F77AA5"/>
    <w:rsid w:val="00F801DF"/>
    <w:rsid w:val="00F80B47"/>
    <w:rsid w:val="00F80E86"/>
    <w:rsid w:val="00F81778"/>
    <w:rsid w:val="00F81C49"/>
    <w:rsid w:val="00F81C81"/>
    <w:rsid w:val="00F81F59"/>
    <w:rsid w:val="00F81F5F"/>
    <w:rsid w:val="00F8220F"/>
    <w:rsid w:val="00F822C5"/>
    <w:rsid w:val="00F824E0"/>
    <w:rsid w:val="00F83256"/>
    <w:rsid w:val="00F8348F"/>
    <w:rsid w:val="00F83668"/>
    <w:rsid w:val="00F836F3"/>
    <w:rsid w:val="00F83BB6"/>
    <w:rsid w:val="00F83E66"/>
    <w:rsid w:val="00F84207"/>
    <w:rsid w:val="00F84AE7"/>
    <w:rsid w:val="00F851D0"/>
    <w:rsid w:val="00F851EF"/>
    <w:rsid w:val="00F85DA4"/>
    <w:rsid w:val="00F86448"/>
    <w:rsid w:val="00F868A4"/>
    <w:rsid w:val="00F869E8"/>
    <w:rsid w:val="00F86A53"/>
    <w:rsid w:val="00F874AD"/>
    <w:rsid w:val="00F87595"/>
    <w:rsid w:val="00F87600"/>
    <w:rsid w:val="00F878E1"/>
    <w:rsid w:val="00F91AC1"/>
    <w:rsid w:val="00F91AED"/>
    <w:rsid w:val="00F9211B"/>
    <w:rsid w:val="00F9224D"/>
    <w:rsid w:val="00F92490"/>
    <w:rsid w:val="00F930A6"/>
    <w:rsid w:val="00F931C0"/>
    <w:rsid w:val="00F9333C"/>
    <w:rsid w:val="00F934B9"/>
    <w:rsid w:val="00F93948"/>
    <w:rsid w:val="00F93D1E"/>
    <w:rsid w:val="00F94026"/>
    <w:rsid w:val="00F9492D"/>
    <w:rsid w:val="00F94979"/>
    <w:rsid w:val="00F9513B"/>
    <w:rsid w:val="00F951C9"/>
    <w:rsid w:val="00F9531F"/>
    <w:rsid w:val="00F9536B"/>
    <w:rsid w:val="00F953F7"/>
    <w:rsid w:val="00F960F4"/>
    <w:rsid w:val="00F9624B"/>
    <w:rsid w:val="00F966D2"/>
    <w:rsid w:val="00F96C8D"/>
    <w:rsid w:val="00F96FAD"/>
    <w:rsid w:val="00F979C1"/>
    <w:rsid w:val="00F97BDF"/>
    <w:rsid w:val="00F97BFE"/>
    <w:rsid w:val="00F97E37"/>
    <w:rsid w:val="00F97FBB"/>
    <w:rsid w:val="00FA0C35"/>
    <w:rsid w:val="00FA0DFD"/>
    <w:rsid w:val="00FA10C8"/>
    <w:rsid w:val="00FA137D"/>
    <w:rsid w:val="00FA13ED"/>
    <w:rsid w:val="00FA1AD8"/>
    <w:rsid w:val="00FA28F7"/>
    <w:rsid w:val="00FA3EB8"/>
    <w:rsid w:val="00FA3F60"/>
    <w:rsid w:val="00FA4029"/>
    <w:rsid w:val="00FA4242"/>
    <w:rsid w:val="00FA4605"/>
    <w:rsid w:val="00FA4E7E"/>
    <w:rsid w:val="00FA4F87"/>
    <w:rsid w:val="00FA52E1"/>
    <w:rsid w:val="00FA5702"/>
    <w:rsid w:val="00FA5ADB"/>
    <w:rsid w:val="00FA5FF8"/>
    <w:rsid w:val="00FA6246"/>
    <w:rsid w:val="00FA7010"/>
    <w:rsid w:val="00FA7886"/>
    <w:rsid w:val="00FB054C"/>
    <w:rsid w:val="00FB0840"/>
    <w:rsid w:val="00FB0905"/>
    <w:rsid w:val="00FB0B60"/>
    <w:rsid w:val="00FB0D9F"/>
    <w:rsid w:val="00FB2155"/>
    <w:rsid w:val="00FB33BA"/>
    <w:rsid w:val="00FB3959"/>
    <w:rsid w:val="00FB3F27"/>
    <w:rsid w:val="00FB3FD2"/>
    <w:rsid w:val="00FB41C7"/>
    <w:rsid w:val="00FB42BE"/>
    <w:rsid w:val="00FB495D"/>
    <w:rsid w:val="00FB4B75"/>
    <w:rsid w:val="00FB5502"/>
    <w:rsid w:val="00FB551B"/>
    <w:rsid w:val="00FB595F"/>
    <w:rsid w:val="00FB6092"/>
    <w:rsid w:val="00FB67E8"/>
    <w:rsid w:val="00FB6ADC"/>
    <w:rsid w:val="00FB6CC5"/>
    <w:rsid w:val="00FB7131"/>
    <w:rsid w:val="00FB722F"/>
    <w:rsid w:val="00FB7293"/>
    <w:rsid w:val="00FB7307"/>
    <w:rsid w:val="00FB7315"/>
    <w:rsid w:val="00FB751E"/>
    <w:rsid w:val="00FB76E5"/>
    <w:rsid w:val="00FB7A10"/>
    <w:rsid w:val="00FB7BDB"/>
    <w:rsid w:val="00FB7FFD"/>
    <w:rsid w:val="00FC003B"/>
    <w:rsid w:val="00FC01B2"/>
    <w:rsid w:val="00FC0368"/>
    <w:rsid w:val="00FC08BA"/>
    <w:rsid w:val="00FC1115"/>
    <w:rsid w:val="00FC1A83"/>
    <w:rsid w:val="00FC1B96"/>
    <w:rsid w:val="00FC1EC1"/>
    <w:rsid w:val="00FC213C"/>
    <w:rsid w:val="00FC3632"/>
    <w:rsid w:val="00FC3688"/>
    <w:rsid w:val="00FC4224"/>
    <w:rsid w:val="00FC434E"/>
    <w:rsid w:val="00FC5C7E"/>
    <w:rsid w:val="00FC656A"/>
    <w:rsid w:val="00FC65E9"/>
    <w:rsid w:val="00FC66A8"/>
    <w:rsid w:val="00FC66E4"/>
    <w:rsid w:val="00FC6CE3"/>
    <w:rsid w:val="00FC6FE9"/>
    <w:rsid w:val="00FC702F"/>
    <w:rsid w:val="00FC7AB8"/>
    <w:rsid w:val="00FC7E20"/>
    <w:rsid w:val="00FD02E0"/>
    <w:rsid w:val="00FD02E8"/>
    <w:rsid w:val="00FD0EC0"/>
    <w:rsid w:val="00FD1288"/>
    <w:rsid w:val="00FD177D"/>
    <w:rsid w:val="00FD1C28"/>
    <w:rsid w:val="00FD2158"/>
    <w:rsid w:val="00FD2666"/>
    <w:rsid w:val="00FD2C3F"/>
    <w:rsid w:val="00FD2CFB"/>
    <w:rsid w:val="00FD30A3"/>
    <w:rsid w:val="00FD32C6"/>
    <w:rsid w:val="00FD3546"/>
    <w:rsid w:val="00FD3706"/>
    <w:rsid w:val="00FD38E2"/>
    <w:rsid w:val="00FD3A98"/>
    <w:rsid w:val="00FD4021"/>
    <w:rsid w:val="00FD4385"/>
    <w:rsid w:val="00FD4CF8"/>
    <w:rsid w:val="00FD520D"/>
    <w:rsid w:val="00FD52A0"/>
    <w:rsid w:val="00FD55B5"/>
    <w:rsid w:val="00FD583D"/>
    <w:rsid w:val="00FD5DF7"/>
    <w:rsid w:val="00FD64C4"/>
    <w:rsid w:val="00FD6A00"/>
    <w:rsid w:val="00FD6AD9"/>
    <w:rsid w:val="00FD6F7B"/>
    <w:rsid w:val="00FD6F7E"/>
    <w:rsid w:val="00FD7088"/>
    <w:rsid w:val="00FD7C8D"/>
    <w:rsid w:val="00FE012A"/>
    <w:rsid w:val="00FE0304"/>
    <w:rsid w:val="00FE0DAF"/>
    <w:rsid w:val="00FE158A"/>
    <w:rsid w:val="00FE15E0"/>
    <w:rsid w:val="00FE19EE"/>
    <w:rsid w:val="00FE19F9"/>
    <w:rsid w:val="00FE2029"/>
    <w:rsid w:val="00FE21C1"/>
    <w:rsid w:val="00FE28E4"/>
    <w:rsid w:val="00FE2D0D"/>
    <w:rsid w:val="00FE2F05"/>
    <w:rsid w:val="00FE34F4"/>
    <w:rsid w:val="00FE3648"/>
    <w:rsid w:val="00FE3C47"/>
    <w:rsid w:val="00FE43A5"/>
    <w:rsid w:val="00FE4A08"/>
    <w:rsid w:val="00FE4BA0"/>
    <w:rsid w:val="00FE4FAC"/>
    <w:rsid w:val="00FE525B"/>
    <w:rsid w:val="00FE5915"/>
    <w:rsid w:val="00FE5D67"/>
    <w:rsid w:val="00FE6714"/>
    <w:rsid w:val="00FE67E3"/>
    <w:rsid w:val="00FE6A61"/>
    <w:rsid w:val="00FE6C75"/>
    <w:rsid w:val="00FE7339"/>
    <w:rsid w:val="00FE743E"/>
    <w:rsid w:val="00FE7768"/>
    <w:rsid w:val="00FE7C70"/>
    <w:rsid w:val="00FF002A"/>
    <w:rsid w:val="00FF05ED"/>
    <w:rsid w:val="00FF07D9"/>
    <w:rsid w:val="00FF09C3"/>
    <w:rsid w:val="00FF0A7C"/>
    <w:rsid w:val="00FF0B8C"/>
    <w:rsid w:val="00FF0E0E"/>
    <w:rsid w:val="00FF1407"/>
    <w:rsid w:val="00FF158A"/>
    <w:rsid w:val="00FF2BEA"/>
    <w:rsid w:val="00FF2E49"/>
    <w:rsid w:val="00FF2F5E"/>
    <w:rsid w:val="00FF3963"/>
    <w:rsid w:val="00FF3AFF"/>
    <w:rsid w:val="00FF3C92"/>
    <w:rsid w:val="00FF4206"/>
    <w:rsid w:val="00FF4667"/>
    <w:rsid w:val="00FF48F8"/>
    <w:rsid w:val="00FF4C74"/>
    <w:rsid w:val="00FF50CF"/>
    <w:rsid w:val="00FF5298"/>
    <w:rsid w:val="00FF532B"/>
    <w:rsid w:val="00FF579E"/>
    <w:rsid w:val="00FF68FB"/>
    <w:rsid w:val="00FF6CAE"/>
    <w:rsid w:val="00FF6CF9"/>
    <w:rsid w:val="00FF6D3E"/>
    <w:rsid w:val="00FF737E"/>
    <w:rsid w:val="00FF783D"/>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B4DE0"/>
  <w15:docId w15:val="{C094D64F-A5FA-498C-A2B2-9A3A29AE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before="200" w:after="200" w:line="26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iPriority="99"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iPriority="3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27D"/>
    <w:pPr>
      <w:spacing w:before="0" w:after="120" w:line="240" w:lineRule="auto"/>
    </w:pPr>
  </w:style>
  <w:style w:type="paragraph" w:styleId="Heading1">
    <w:name w:val="heading 1"/>
    <w:basedOn w:val="Normal"/>
    <w:next w:val="BodyText"/>
    <w:link w:val="Heading1Char"/>
    <w:qFormat/>
    <w:rsid w:val="00B84168"/>
    <w:pPr>
      <w:keepNext/>
      <w:numPr>
        <w:numId w:val="13"/>
      </w:numPr>
      <w:spacing w:before="300" w:after="180" w:line="390" w:lineRule="atLeast"/>
      <w:outlineLvl w:val="0"/>
    </w:pPr>
    <w:rPr>
      <w:rFonts w:asciiTheme="majorHAnsi" w:eastAsiaTheme="majorEastAsia" w:hAnsiTheme="majorHAnsi" w:cstheme="majorBidi"/>
      <w:b/>
      <w:bCs/>
      <w:color w:val="3D7EDB" w:themeColor="accent1"/>
      <w:sz w:val="32"/>
      <w:szCs w:val="40"/>
    </w:rPr>
  </w:style>
  <w:style w:type="paragraph" w:styleId="Heading2">
    <w:name w:val="heading 2"/>
    <w:basedOn w:val="Normal"/>
    <w:next w:val="BodyText"/>
    <w:link w:val="Heading2Char"/>
    <w:qFormat/>
    <w:rsid w:val="008252F1"/>
    <w:pPr>
      <w:keepNext/>
      <w:keepLines/>
      <w:numPr>
        <w:ilvl w:val="1"/>
        <w:numId w:val="13"/>
      </w:numPr>
      <w:spacing w:before="240" w:after="180" w:line="310" w:lineRule="atLeast"/>
      <w:outlineLvl w:val="1"/>
    </w:pPr>
    <w:rPr>
      <w:rFonts w:asciiTheme="majorHAnsi" w:eastAsiaTheme="majorEastAsia" w:hAnsiTheme="majorHAnsi" w:cstheme="majorBidi"/>
      <w:b/>
      <w:bCs/>
      <w:color w:val="3D7EDB" w:themeColor="accent1"/>
      <w:sz w:val="24"/>
      <w:szCs w:val="24"/>
    </w:rPr>
  </w:style>
  <w:style w:type="paragraph" w:styleId="Heading3">
    <w:name w:val="heading 3"/>
    <w:basedOn w:val="Normal"/>
    <w:next w:val="BodyText"/>
    <w:link w:val="Heading3Char"/>
    <w:qFormat/>
    <w:rsid w:val="008B2535"/>
    <w:pPr>
      <w:keepNext/>
      <w:keepLines/>
      <w:spacing w:before="240" w:after="180" w:line="290" w:lineRule="atLeast"/>
      <w:outlineLvl w:val="2"/>
    </w:pPr>
    <w:rPr>
      <w:rFonts w:asciiTheme="majorHAnsi" w:eastAsiaTheme="majorEastAsia" w:hAnsiTheme="majorHAnsi" w:cstheme="majorBidi"/>
      <w:b/>
      <w:bCs/>
      <w:color w:val="3D7EDB" w:themeColor="accent1"/>
      <w:sz w:val="24"/>
    </w:rPr>
  </w:style>
  <w:style w:type="paragraph" w:styleId="Heading4">
    <w:name w:val="heading 4"/>
    <w:basedOn w:val="Normal"/>
    <w:next w:val="Normal"/>
    <w:link w:val="Heading4Char"/>
    <w:qFormat/>
    <w:rsid w:val="00B84168"/>
    <w:pPr>
      <w:keepNext/>
      <w:keepLines/>
      <w:spacing w:before="240" w:after="180"/>
      <w:outlineLvl w:val="3"/>
    </w:pPr>
    <w:rPr>
      <w:rFonts w:asciiTheme="majorHAnsi" w:eastAsiaTheme="majorEastAsia" w:hAnsiTheme="majorHAnsi" w:cstheme="majorBidi"/>
      <w:b/>
      <w:bCs/>
      <w:iCs/>
      <w:color w:val="3D7EDB" w:themeColor="accent1"/>
      <w:sz w:val="21"/>
    </w:rPr>
  </w:style>
  <w:style w:type="paragraph" w:styleId="Heading5">
    <w:name w:val="heading 5"/>
    <w:basedOn w:val="Normal"/>
    <w:next w:val="Normal"/>
    <w:link w:val="Heading5Char"/>
    <w:qFormat/>
    <w:rsid w:val="00B84168"/>
    <w:pPr>
      <w:keepNext/>
      <w:keepLines/>
      <w:tabs>
        <w:tab w:val="left" w:pos="794"/>
      </w:tabs>
      <w:spacing w:before="240" w:after="180"/>
      <w:outlineLvl w:val="4"/>
    </w:pPr>
    <w:rPr>
      <w:rFonts w:asciiTheme="majorHAnsi" w:eastAsiaTheme="majorEastAsia" w:hAnsiTheme="majorHAnsi" w:cstheme="majorBidi"/>
      <w:b/>
      <w:color w:val="0F204B" w:themeColor="text2"/>
    </w:rPr>
  </w:style>
  <w:style w:type="paragraph" w:styleId="Heading6">
    <w:name w:val="heading 6"/>
    <w:basedOn w:val="Normal"/>
    <w:next w:val="Normal"/>
    <w:link w:val="Heading6Char"/>
    <w:semiHidden/>
    <w:qFormat/>
    <w:rsid w:val="00E05291"/>
    <w:pPr>
      <w:keepNext/>
      <w:keepLines/>
      <w:spacing w:before="250" w:after="40"/>
      <w:outlineLvl w:val="5"/>
    </w:pPr>
    <w:rPr>
      <w:rFonts w:asciiTheme="majorHAnsi" w:eastAsiaTheme="majorEastAsia" w:hAnsiTheme="majorHAnsi" w:cstheme="majorBidi"/>
      <w:i/>
      <w:iCs/>
      <w:color w:val="7FD5C5" w:themeColor="accent3"/>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outlineLvl w:val="7"/>
    </w:pPr>
    <w:rPr>
      <w:rFonts w:asciiTheme="majorHAnsi" w:eastAsiaTheme="majorEastAsia" w:hAnsiTheme="majorHAnsi" w:cs="Arial"/>
      <w:caps/>
      <w:color w:val="0F204B"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5578D"/>
  </w:style>
  <w:style w:type="character" w:customStyle="1" w:styleId="BodyTextChar">
    <w:name w:val="Body Text Char"/>
    <w:basedOn w:val="DefaultParagraphFont"/>
    <w:link w:val="BodyText"/>
    <w:rsid w:val="00E13151"/>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59"/>
    <w:rsid w:val="007953C8"/>
    <w:pPr>
      <w:spacing w:after="0"/>
    </w:pPr>
    <w:rPr>
      <w:bCs/>
      <w:color w:val="3D7EDB" w:themeColor="accent1"/>
      <w:sz w:val="16"/>
    </w:rPr>
  </w:style>
  <w:style w:type="character" w:customStyle="1" w:styleId="FooterChar">
    <w:name w:val="Footer Char"/>
    <w:basedOn w:val="DefaultParagraphFont"/>
    <w:link w:val="Footer"/>
    <w:uiPriority w:val="59"/>
    <w:rsid w:val="007953C8"/>
    <w:rPr>
      <w:bCs/>
      <w:color w:val="3D7EDB" w:themeColor="accent1"/>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59"/>
    <w:rsid w:val="00B72CAA"/>
    <w:pPr>
      <w:tabs>
        <w:tab w:val="left" w:pos="1860"/>
        <w:tab w:val="left" w:pos="2730"/>
      </w:tabs>
      <w:spacing w:after="0"/>
    </w:pPr>
    <w:rPr>
      <w:lang w:val="en-US"/>
    </w:rPr>
  </w:style>
  <w:style w:type="character" w:customStyle="1" w:styleId="HeaderChar">
    <w:name w:val="Header Char"/>
    <w:basedOn w:val="DefaultParagraphFont"/>
    <w:link w:val="Header"/>
    <w:uiPriority w:val="59"/>
    <w:rsid w:val="00146441"/>
    <w:rPr>
      <w:lang w:val="en-US"/>
    </w:rPr>
  </w:style>
  <w:style w:type="character" w:customStyle="1" w:styleId="Heading1Char">
    <w:name w:val="Heading 1 Char"/>
    <w:basedOn w:val="DefaultParagraphFont"/>
    <w:link w:val="Heading1"/>
    <w:rsid w:val="00B84168"/>
    <w:rPr>
      <w:rFonts w:asciiTheme="majorHAnsi" w:eastAsiaTheme="majorEastAsia" w:hAnsiTheme="majorHAnsi" w:cstheme="majorBidi"/>
      <w:b/>
      <w:bCs/>
      <w:color w:val="3D7EDB" w:themeColor="accent1"/>
      <w:sz w:val="32"/>
      <w:szCs w:val="40"/>
    </w:rPr>
  </w:style>
  <w:style w:type="character" w:customStyle="1" w:styleId="Heading2Char">
    <w:name w:val="Heading 2 Char"/>
    <w:basedOn w:val="DefaultParagraphFont"/>
    <w:link w:val="Heading2"/>
    <w:rsid w:val="008252F1"/>
    <w:rPr>
      <w:rFonts w:asciiTheme="majorHAnsi" w:eastAsiaTheme="majorEastAsia" w:hAnsiTheme="majorHAnsi" w:cstheme="majorBidi"/>
      <w:b/>
      <w:bCs/>
      <w:color w:val="3D7EDB" w:themeColor="accent1"/>
      <w:sz w:val="24"/>
      <w:szCs w:val="24"/>
    </w:rPr>
  </w:style>
  <w:style w:type="character" w:customStyle="1" w:styleId="Heading3Char">
    <w:name w:val="Heading 3 Char"/>
    <w:basedOn w:val="DefaultParagraphFont"/>
    <w:link w:val="Heading3"/>
    <w:rsid w:val="009A7ABE"/>
    <w:rPr>
      <w:rFonts w:asciiTheme="majorHAnsi" w:eastAsiaTheme="majorEastAsia" w:hAnsiTheme="majorHAnsi" w:cstheme="majorBidi"/>
      <w:b/>
      <w:bCs/>
      <w:color w:val="3D7EDB" w:themeColor="accent1"/>
      <w:sz w:val="24"/>
    </w:rPr>
  </w:style>
  <w:style w:type="character" w:customStyle="1" w:styleId="Heading4Char">
    <w:name w:val="Heading 4 Char"/>
    <w:basedOn w:val="DefaultParagraphFont"/>
    <w:link w:val="Heading4"/>
    <w:rsid w:val="00B84168"/>
    <w:rPr>
      <w:rFonts w:asciiTheme="majorHAnsi" w:eastAsiaTheme="majorEastAsia" w:hAnsiTheme="majorHAnsi" w:cstheme="majorBidi"/>
      <w:b/>
      <w:bCs/>
      <w:iCs/>
      <w:color w:val="3D7EDB" w:themeColor="accent1"/>
      <w:sz w:val="21"/>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0F204B"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3D7EDB" w:themeColor="hyperlink"/>
      <w:u w:val="single"/>
    </w:rPr>
  </w:style>
  <w:style w:type="character" w:styleId="FollowedHyperlink">
    <w:name w:val="FollowedHyperlink"/>
    <w:basedOn w:val="DefaultParagraphFont"/>
    <w:uiPriority w:val="59"/>
    <w:rsid w:val="0058629F"/>
    <w:rPr>
      <w:color w:val="7030A0"/>
      <w:u w:val="single"/>
    </w:rPr>
  </w:style>
  <w:style w:type="paragraph" w:styleId="ListBullet">
    <w:name w:val="List Bullet"/>
    <w:basedOn w:val="BodyText"/>
    <w:uiPriority w:val="1"/>
    <w:qFormat/>
    <w:rsid w:val="00677F5C"/>
    <w:pPr>
      <w:numPr>
        <w:numId w:val="8"/>
      </w:numPr>
      <w:spacing w:before="60" w:after="60"/>
    </w:pPr>
  </w:style>
  <w:style w:type="paragraph" w:styleId="ListBullet2">
    <w:name w:val="List Bullet 2"/>
    <w:basedOn w:val="ListBullet"/>
    <w:uiPriority w:val="1"/>
    <w:qFormat/>
    <w:rsid w:val="00DE33D8"/>
    <w:pPr>
      <w:numPr>
        <w:ilvl w:val="1"/>
      </w:numPr>
    </w:pPr>
  </w:style>
  <w:style w:type="paragraph" w:styleId="ListBullet3">
    <w:name w:val="List Bullet 3"/>
    <w:basedOn w:val="ListBullet2"/>
    <w:uiPriority w:val="1"/>
    <w:qFormat/>
    <w:rsid w:val="0058629F"/>
    <w:pPr>
      <w:numPr>
        <w:ilvl w:val="2"/>
      </w:numPr>
    </w:pPr>
  </w:style>
  <w:style w:type="paragraph" w:styleId="ListContinue">
    <w:name w:val="List Continue"/>
    <w:basedOn w:val="BodyText"/>
    <w:qFormat/>
    <w:rsid w:val="007F27F2"/>
    <w:pPr>
      <w:spacing w:before="60" w:after="60"/>
      <w:ind w:left="340"/>
    </w:pPr>
  </w:style>
  <w:style w:type="paragraph" w:styleId="ListNumber">
    <w:name w:val="List Number"/>
    <w:basedOn w:val="Normal"/>
    <w:qFormat/>
    <w:rsid w:val="007F27F2"/>
    <w:pPr>
      <w:numPr>
        <w:numId w:val="15"/>
      </w:numPr>
      <w:spacing w:before="120" w:after="60"/>
    </w:pPr>
    <w:rPr>
      <w:rFonts w:eastAsia="MS ??"/>
      <w:b/>
    </w:rPr>
  </w:style>
  <w:style w:type="paragraph" w:styleId="ListNumber2">
    <w:name w:val="List Number 2"/>
    <w:basedOn w:val="ListNumber"/>
    <w:qFormat/>
    <w:rsid w:val="007F27F2"/>
    <w:pPr>
      <w:numPr>
        <w:ilvl w:val="1"/>
      </w:numPr>
      <w:spacing w:before="60"/>
    </w:pPr>
    <w:rPr>
      <w:b w:val="0"/>
    </w:r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OC5">
    <w:name w:val="toc 5"/>
    <w:basedOn w:val="Normal"/>
    <w:next w:val="Normal"/>
    <w:autoRedefine/>
    <w:uiPriority w:val="39"/>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paragraph" w:styleId="ListContinue2">
    <w:name w:val="List Continue 2"/>
    <w:basedOn w:val="ListContinue"/>
    <w:qFormat/>
    <w:rsid w:val="00677F5C"/>
    <w:pPr>
      <w:ind w:left="680"/>
    </w:pPr>
  </w:style>
  <w:style w:type="paragraph" w:styleId="ListContinue3">
    <w:name w:val="List Continue 3"/>
    <w:basedOn w:val="ListContinue2"/>
    <w:qFormat/>
    <w:rsid w:val="00EE1449"/>
    <w:pPr>
      <w:ind w:left="1021"/>
    </w:pPr>
  </w:style>
  <w:style w:type="paragraph" w:styleId="NoSpacing">
    <w:name w:val="No Spacing"/>
    <w:basedOn w:val="Normal"/>
    <w:link w:val="NoSpacingChar"/>
    <w:qFormat/>
    <w:rsid w:val="00104C22"/>
    <w:pPr>
      <w:spacing w:after="0"/>
    </w:pPr>
  </w:style>
  <w:style w:type="paragraph" w:styleId="Date">
    <w:name w:val="Date"/>
    <w:basedOn w:val="Normal"/>
    <w:next w:val="Normal"/>
    <w:link w:val="DateChar"/>
    <w:uiPriority w:val="99"/>
    <w:rsid w:val="006D47C6"/>
    <w:pPr>
      <w:spacing w:before="240"/>
    </w:pPr>
    <w:rPr>
      <w:b/>
      <w:color w:val="3D7EDB" w:themeColor="accent1"/>
      <w:sz w:val="28"/>
      <w:szCs w:val="28"/>
    </w:rPr>
  </w:style>
  <w:style w:type="character" w:customStyle="1" w:styleId="DateChar">
    <w:name w:val="Date Char"/>
    <w:basedOn w:val="DefaultParagraphFont"/>
    <w:link w:val="Date"/>
    <w:uiPriority w:val="99"/>
    <w:rsid w:val="00146441"/>
    <w:rPr>
      <w:b/>
      <w:color w:val="3D7EDB" w:themeColor="accent1"/>
      <w:sz w:val="28"/>
      <w:szCs w:val="28"/>
    </w:rPr>
  </w:style>
  <w:style w:type="paragraph" w:customStyle="1" w:styleId="TableofFiguresHeading">
    <w:name w:val="Table of Figures Heading"/>
    <w:basedOn w:val="Normal"/>
    <w:uiPriority w:val="99"/>
    <w:semiHidden/>
    <w:rsid w:val="0058629F"/>
    <w:pPr>
      <w:spacing w:before="240"/>
    </w:pPr>
    <w:rPr>
      <w:b/>
      <w:bCs/>
      <w:noProof/>
    </w:rPr>
  </w:style>
  <w:style w:type="character" w:customStyle="1" w:styleId="Heading5Char">
    <w:name w:val="Heading 5 Char"/>
    <w:basedOn w:val="DefaultParagraphFont"/>
    <w:link w:val="Heading5"/>
    <w:rsid w:val="00B84168"/>
    <w:rPr>
      <w:rFonts w:asciiTheme="majorHAnsi" w:eastAsiaTheme="majorEastAsia" w:hAnsiTheme="majorHAnsi" w:cstheme="majorBidi"/>
      <w:b/>
      <w:color w:val="0F204B" w:themeColor="text2"/>
    </w:rPr>
  </w:style>
  <w:style w:type="character" w:customStyle="1" w:styleId="Heading6Char">
    <w:name w:val="Heading 6 Char"/>
    <w:basedOn w:val="DefaultParagraphFont"/>
    <w:link w:val="Heading6"/>
    <w:semiHidden/>
    <w:rsid w:val="00E05291"/>
    <w:rPr>
      <w:rFonts w:asciiTheme="majorHAnsi" w:eastAsiaTheme="majorEastAsia" w:hAnsiTheme="majorHAnsi" w:cstheme="majorBidi"/>
      <w:i/>
      <w:iCs/>
      <w:color w:val="7FD5C5" w:themeColor="accent3"/>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paragraph" w:customStyle="1" w:styleId="ListAlpha">
    <w:name w:val="List Alpha"/>
    <w:basedOn w:val="Normal"/>
    <w:qFormat/>
    <w:rsid w:val="00677F5C"/>
    <w:pPr>
      <w:numPr>
        <w:numId w:val="5"/>
      </w:numPr>
      <w:spacing w:after="100"/>
    </w:pPr>
  </w:style>
  <w:style w:type="table" w:styleId="PlainTable2">
    <w:name w:val="Plain Table 2"/>
    <w:basedOn w:val="TableNormal"/>
    <w:uiPriority w:val="42"/>
    <w:rsid w:val="0058629F"/>
    <w:pPr>
      <w:spacing w:line="240" w:lineRule="exact"/>
    </w:p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qFormat/>
    <w:rsid w:val="00EE45E7"/>
    <w:pPr>
      <w:pageBreakBefore/>
      <w:spacing w:after="480" w:line="390" w:lineRule="atLeast"/>
    </w:pPr>
    <w:rPr>
      <w:rFonts w:asciiTheme="majorHAnsi" w:hAnsiTheme="majorHAnsi" w:cs="Arial"/>
      <w:b/>
      <w:bCs/>
      <w:color w:val="3D7EDB" w:themeColor="accent1"/>
      <w:spacing w:val="-2"/>
      <w:sz w:val="32"/>
    </w:rPr>
  </w:style>
  <w:style w:type="paragraph" w:styleId="TOC1">
    <w:name w:val="toc 1"/>
    <w:basedOn w:val="Normal"/>
    <w:next w:val="Normal"/>
    <w:link w:val="TOC1Char"/>
    <w:autoRedefine/>
    <w:uiPriority w:val="39"/>
    <w:rsid w:val="002A0EA0"/>
    <w:pPr>
      <w:pBdr>
        <w:bottom w:val="single" w:sz="4" w:space="1" w:color="0F204B" w:themeColor="text2"/>
        <w:between w:val="single" w:sz="4" w:space="1" w:color="0F204B" w:themeColor="text2"/>
      </w:pBdr>
      <w:tabs>
        <w:tab w:val="left" w:pos="426"/>
        <w:tab w:val="right" w:pos="9639"/>
      </w:tabs>
      <w:spacing w:before="240" w:line="292" w:lineRule="atLeast"/>
      <w:contextualSpacing/>
    </w:pPr>
    <w:rPr>
      <w:b/>
      <w:noProof/>
      <w:color w:val="0F204B" w:themeColor="text2"/>
      <w:szCs w:val="18"/>
    </w:rPr>
  </w:style>
  <w:style w:type="paragraph" w:styleId="TOC2">
    <w:name w:val="toc 2"/>
    <w:basedOn w:val="Normal"/>
    <w:next w:val="Normal"/>
    <w:autoRedefine/>
    <w:uiPriority w:val="39"/>
    <w:rsid w:val="002526A5"/>
    <w:pPr>
      <w:pBdr>
        <w:bottom w:val="single" w:sz="4" w:space="1" w:color="F5F9FD" w:themeColor="background2"/>
      </w:pBdr>
      <w:tabs>
        <w:tab w:val="left" w:pos="426"/>
        <w:tab w:val="right" w:pos="9639"/>
      </w:tabs>
      <w:spacing w:before="60" w:after="60" w:line="292" w:lineRule="atLeast"/>
      <w:ind w:right="567"/>
    </w:pPr>
    <w:rPr>
      <w:rFonts w:eastAsiaTheme="minorEastAsia" w:cstheme="minorBidi"/>
      <w:bCs/>
      <w:noProof/>
      <w:color w:val="0F204B" w:themeColor="accent6"/>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styleId="FootnoteText">
    <w:name w:val="footnote text"/>
    <w:basedOn w:val="Normal"/>
    <w:link w:val="FootnoteTextChar"/>
    <w:uiPriority w:val="2"/>
    <w:rsid w:val="009719C6"/>
    <w:pPr>
      <w:keepLines/>
      <w:tabs>
        <w:tab w:val="left" w:pos="170"/>
      </w:tabs>
      <w:spacing w:before="90" w:after="0" w:line="210" w:lineRule="atLeast"/>
      <w:ind w:left="170" w:hanging="170"/>
    </w:pPr>
    <w:rPr>
      <w:sz w:val="17"/>
    </w:rPr>
  </w:style>
  <w:style w:type="character" w:styleId="FootnoteReference">
    <w:name w:val="footnote reference"/>
    <w:basedOn w:val="DefaultParagraphFont"/>
    <w:uiPriority w:val="99"/>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8E5F7" w:themeFill="accent1" w:themeFillTint="33"/>
    </w:tcPr>
    <w:tblStylePr w:type="firstRow">
      <w:rPr>
        <w:b/>
        <w:bCs/>
      </w:rPr>
      <w:tblPr/>
      <w:tcPr>
        <w:shd w:val="clear" w:color="auto" w:fill="B1CBF0" w:themeFill="accent1" w:themeFillTint="66"/>
      </w:tcPr>
    </w:tblStylePr>
    <w:tblStylePr w:type="lastRow">
      <w:rPr>
        <w:b/>
        <w:bCs/>
        <w:color w:val="000000" w:themeColor="text1"/>
      </w:rPr>
      <w:tblPr/>
      <w:tcPr>
        <w:shd w:val="clear" w:color="auto" w:fill="B1CBF0" w:themeFill="accent1" w:themeFillTint="66"/>
      </w:tcPr>
    </w:tblStylePr>
    <w:tblStylePr w:type="firstCol">
      <w:rPr>
        <w:color w:val="FFFFFF" w:themeColor="background1"/>
      </w:rPr>
      <w:tblPr/>
      <w:tcPr>
        <w:shd w:val="clear" w:color="auto" w:fill="205BB0" w:themeFill="accent1" w:themeFillShade="BF"/>
      </w:tcPr>
    </w:tblStylePr>
    <w:tblStylePr w:type="lastCol">
      <w:rPr>
        <w:color w:val="FFFFFF" w:themeColor="background1"/>
      </w:rPr>
      <w:tblPr/>
      <w:tcPr>
        <w:shd w:val="clear" w:color="auto" w:fill="205BB0" w:themeFill="accent1" w:themeFillShade="BF"/>
      </w:tcPr>
    </w:tblStylePr>
    <w:tblStylePr w:type="band1Vert">
      <w:tblPr/>
      <w:tcPr>
        <w:shd w:val="clear" w:color="auto" w:fill="9EBEED" w:themeFill="accent1" w:themeFillTint="7F"/>
      </w:tcPr>
    </w:tblStylePr>
    <w:tblStylePr w:type="band1Horz">
      <w:tblPr/>
      <w:tcPr>
        <w:shd w:val="clear" w:color="auto" w:fill="9EBEED"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3F5FA" w:themeFill="accent2" w:themeFillTint="33"/>
    </w:tcPr>
    <w:tblStylePr w:type="firstRow">
      <w:rPr>
        <w:b/>
        <w:bCs/>
      </w:rPr>
      <w:tblPr/>
      <w:tcPr>
        <w:shd w:val="clear" w:color="auto" w:fill="C7ECF6" w:themeFill="accent2" w:themeFillTint="66"/>
      </w:tcPr>
    </w:tblStylePr>
    <w:tblStylePr w:type="lastRow">
      <w:rPr>
        <w:b/>
        <w:bCs/>
        <w:color w:val="000000" w:themeColor="text1"/>
      </w:rPr>
      <w:tblPr/>
      <w:tcPr>
        <w:shd w:val="clear" w:color="auto" w:fill="C7ECF6" w:themeFill="accent2" w:themeFillTint="66"/>
      </w:tcPr>
    </w:tblStylePr>
    <w:tblStylePr w:type="firstCol">
      <w:rPr>
        <w:color w:val="FFFFFF" w:themeColor="background1"/>
      </w:rPr>
      <w:tblPr/>
      <w:tcPr>
        <w:shd w:val="clear" w:color="auto" w:fill="27B7DE" w:themeFill="accent2" w:themeFillShade="BF"/>
      </w:tcPr>
    </w:tblStylePr>
    <w:tblStylePr w:type="lastCol">
      <w:rPr>
        <w:color w:val="FFFFFF" w:themeColor="background1"/>
      </w:rPr>
      <w:tblPr/>
      <w:tcPr>
        <w:shd w:val="clear" w:color="auto" w:fill="27B7DE" w:themeFill="accent2" w:themeFillShade="BF"/>
      </w:tcPr>
    </w:tblStylePr>
    <w:tblStylePr w:type="band1Vert">
      <w:tblPr/>
      <w:tcPr>
        <w:shd w:val="clear" w:color="auto" w:fill="B9E7F4" w:themeFill="accent2" w:themeFillTint="7F"/>
      </w:tcPr>
    </w:tblStylePr>
    <w:tblStylePr w:type="band1Horz">
      <w:tblPr/>
      <w:tcPr>
        <w:shd w:val="clear" w:color="auto" w:fill="B9E7F4"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5F6F3" w:themeFill="accent3" w:themeFillTint="33"/>
    </w:tcPr>
    <w:tblStylePr w:type="firstRow">
      <w:rPr>
        <w:b/>
        <w:bCs/>
      </w:rPr>
      <w:tblPr/>
      <w:tcPr>
        <w:shd w:val="clear" w:color="auto" w:fill="CBEEE7" w:themeFill="accent3" w:themeFillTint="66"/>
      </w:tcPr>
    </w:tblStylePr>
    <w:tblStylePr w:type="lastRow">
      <w:rPr>
        <w:b/>
        <w:bCs/>
        <w:color w:val="000000" w:themeColor="text1"/>
      </w:rPr>
      <w:tblPr/>
      <w:tcPr>
        <w:shd w:val="clear" w:color="auto" w:fill="CBEEE7" w:themeFill="accent3" w:themeFillTint="66"/>
      </w:tcPr>
    </w:tblStylePr>
    <w:tblStylePr w:type="firstCol">
      <w:rPr>
        <w:color w:val="FFFFFF" w:themeColor="background1"/>
      </w:rPr>
      <w:tblPr/>
      <w:tcPr>
        <w:shd w:val="clear" w:color="auto" w:fill="3FBFA7" w:themeFill="accent3" w:themeFillShade="BF"/>
      </w:tcPr>
    </w:tblStylePr>
    <w:tblStylePr w:type="lastCol">
      <w:rPr>
        <w:color w:val="FFFFFF" w:themeColor="background1"/>
      </w:rPr>
      <w:tblPr/>
      <w:tcPr>
        <w:shd w:val="clear" w:color="auto" w:fill="3FBFA7" w:themeFill="accent3" w:themeFillShade="BF"/>
      </w:tcPr>
    </w:tblStylePr>
    <w:tblStylePr w:type="band1Vert">
      <w:tblPr/>
      <w:tcPr>
        <w:shd w:val="clear" w:color="auto" w:fill="BFEAE2" w:themeFill="accent3" w:themeFillTint="7F"/>
      </w:tcPr>
    </w:tblStylePr>
    <w:tblStylePr w:type="band1Horz">
      <w:tblPr/>
      <w:tcPr>
        <w:shd w:val="clear" w:color="auto" w:fill="BFEAE2"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EF6E3" w:themeFill="accent4" w:themeFillTint="33"/>
    </w:tcPr>
    <w:tblStylePr w:type="firstRow">
      <w:rPr>
        <w:b/>
        <w:bCs/>
      </w:rPr>
      <w:tblPr/>
      <w:tcPr>
        <w:shd w:val="clear" w:color="auto" w:fill="FDEDC7" w:themeFill="accent4" w:themeFillTint="66"/>
      </w:tcPr>
    </w:tblStylePr>
    <w:tblStylePr w:type="lastRow">
      <w:rPr>
        <w:b/>
        <w:bCs/>
        <w:color w:val="000000" w:themeColor="text1"/>
      </w:rPr>
      <w:tblPr/>
      <w:tcPr>
        <w:shd w:val="clear" w:color="auto" w:fill="FDEDC7" w:themeFill="accent4" w:themeFillTint="66"/>
      </w:tcPr>
    </w:tblStylePr>
    <w:tblStylePr w:type="firstCol">
      <w:rPr>
        <w:color w:val="FFFFFF" w:themeColor="background1"/>
      </w:rPr>
      <w:tblPr/>
      <w:tcPr>
        <w:shd w:val="clear" w:color="auto" w:fill="F8B71B" w:themeFill="accent4" w:themeFillShade="BF"/>
      </w:tcPr>
    </w:tblStylePr>
    <w:tblStylePr w:type="lastCol">
      <w:rPr>
        <w:color w:val="FFFFFF" w:themeColor="background1"/>
      </w:rPr>
      <w:tblPr/>
      <w:tcPr>
        <w:shd w:val="clear" w:color="auto" w:fill="F8B71B" w:themeFill="accent4" w:themeFillShade="BF"/>
      </w:tcPr>
    </w:tblStylePr>
    <w:tblStylePr w:type="band1Vert">
      <w:tblPr/>
      <w:tcPr>
        <w:shd w:val="clear" w:color="auto" w:fill="FDE9BA" w:themeFill="accent4" w:themeFillTint="7F"/>
      </w:tcPr>
    </w:tblStylePr>
    <w:tblStylePr w:type="band1Horz">
      <w:tblPr/>
      <w:tcPr>
        <w:shd w:val="clear" w:color="auto" w:fill="FDE9BA"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BEBE7" w:themeFill="accent5" w:themeFillTint="33"/>
    </w:tcPr>
    <w:tblStylePr w:type="firstRow">
      <w:rPr>
        <w:b/>
        <w:bCs/>
      </w:rPr>
      <w:tblPr/>
      <w:tcPr>
        <w:shd w:val="clear" w:color="auto" w:fill="F7D8CF" w:themeFill="accent5" w:themeFillTint="66"/>
      </w:tcPr>
    </w:tblStylePr>
    <w:tblStylePr w:type="lastRow">
      <w:rPr>
        <w:b/>
        <w:bCs/>
        <w:color w:val="000000" w:themeColor="text1"/>
      </w:rPr>
      <w:tblPr/>
      <w:tcPr>
        <w:shd w:val="clear" w:color="auto" w:fill="F7D8CF" w:themeFill="accent5" w:themeFillTint="66"/>
      </w:tcPr>
    </w:tblStylePr>
    <w:tblStylePr w:type="firstCol">
      <w:rPr>
        <w:color w:val="FFFFFF" w:themeColor="background1"/>
      </w:rPr>
      <w:tblPr/>
      <w:tcPr>
        <w:shd w:val="clear" w:color="auto" w:fill="DD5E38" w:themeFill="accent5" w:themeFillShade="BF"/>
      </w:tcPr>
    </w:tblStylePr>
    <w:tblStylePr w:type="lastCol">
      <w:rPr>
        <w:color w:val="FFFFFF" w:themeColor="background1"/>
      </w:rPr>
      <w:tblPr/>
      <w:tcPr>
        <w:shd w:val="clear" w:color="auto" w:fill="DD5E38" w:themeFill="accent5" w:themeFillShade="BF"/>
      </w:tcPr>
    </w:tblStylePr>
    <w:tblStylePr w:type="band1Vert">
      <w:tblPr/>
      <w:tcPr>
        <w:shd w:val="clear" w:color="auto" w:fill="F5CFC4" w:themeFill="accent5" w:themeFillTint="7F"/>
      </w:tcPr>
    </w:tblStylePr>
    <w:tblStylePr w:type="band1Horz">
      <w:tblPr/>
      <w:tcPr>
        <w:shd w:val="clear" w:color="auto" w:fill="F5CFC4"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9C8F1" w:themeFill="accent6" w:themeFillTint="33"/>
    </w:tcPr>
    <w:tblStylePr w:type="firstRow">
      <w:rPr>
        <w:b/>
        <w:bCs/>
      </w:rPr>
      <w:tblPr/>
      <w:tcPr>
        <w:shd w:val="clear" w:color="auto" w:fill="7392E3" w:themeFill="accent6" w:themeFillTint="66"/>
      </w:tcPr>
    </w:tblStylePr>
    <w:tblStylePr w:type="lastRow">
      <w:rPr>
        <w:b/>
        <w:bCs/>
        <w:color w:val="000000" w:themeColor="text1"/>
      </w:rPr>
      <w:tblPr/>
      <w:tcPr>
        <w:shd w:val="clear" w:color="auto" w:fill="7392E3" w:themeFill="accent6" w:themeFillTint="66"/>
      </w:tcPr>
    </w:tblStylePr>
    <w:tblStylePr w:type="firstCol">
      <w:rPr>
        <w:color w:val="FFFFFF" w:themeColor="background1"/>
      </w:rPr>
      <w:tblPr/>
      <w:tcPr>
        <w:shd w:val="clear" w:color="auto" w:fill="0B1738" w:themeFill="accent6" w:themeFillShade="BF"/>
      </w:tcPr>
    </w:tblStylePr>
    <w:tblStylePr w:type="lastCol">
      <w:rPr>
        <w:color w:val="FFFFFF" w:themeColor="background1"/>
      </w:rPr>
      <w:tblPr/>
      <w:tcPr>
        <w:shd w:val="clear" w:color="auto" w:fill="0B1738" w:themeFill="accent6" w:themeFillShade="BF"/>
      </w:tcPr>
    </w:tblStylePr>
    <w:tblStylePr w:type="band1Vert">
      <w:tblPr/>
      <w:tcPr>
        <w:shd w:val="clear" w:color="auto" w:fill="5077DC" w:themeFill="accent6" w:themeFillTint="7F"/>
      </w:tcPr>
    </w:tblStylePr>
    <w:tblStylePr w:type="band1Horz">
      <w:tblPr/>
      <w:tcPr>
        <w:shd w:val="clear" w:color="auto" w:fill="5077DC"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BCE0" w:themeFill="accent2" w:themeFillShade="CC"/>
      </w:tcPr>
    </w:tblStylePr>
    <w:tblStylePr w:type="lastRow">
      <w:rPr>
        <w:b/>
        <w:bCs/>
        <w:color w:val="37BC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EBF2FB" w:themeFill="accent1" w:themeFillTint="19"/>
    </w:tcPr>
    <w:tblStylePr w:type="firstRow">
      <w:rPr>
        <w:b/>
        <w:bCs/>
        <w:color w:val="FFFFFF" w:themeColor="background1"/>
      </w:rPr>
      <w:tblPr/>
      <w:tcPr>
        <w:tcBorders>
          <w:bottom w:val="single" w:sz="12" w:space="0" w:color="FFFFFF" w:themeColor="background1"/>
        </w:tcBorders>
        <w:shd w:val="clear" w:color="auto" w:fill="37BCE0" w:themeFill="accent2" w:themeFillShade="CC"/>
      </w:tcPr>
    </w:tblStylePr>
    <w:tblStylePr w:type="lastRow">
      <w:rPr>
        <w:b/>
        <w:bCs/>
        <w:color w:val="37BC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EF6" w:themeFill="accent1" w:themeFillTint="3F"/>
      </w:tcPr>
    </w:tblStylePr>
    <w:tblStylePr w:type="band1Horz">
      <w:tblPr/>
      <w:tcPr>
        <w:shd w:val="clear" w:color="auto" w:fill="D8E5F7"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F1FAFD" w:themeFill="accent2" w:themeFillTint="19"/>
    </w:tcPr>
    <w:tblStylePr w:type="firstRow">
      <w:rPr>
        <w:b/>
        <w:bCs/>
        <w:color w:val="FFFFFF" w:themeColor="background1"/>
      </w:rPr>
      <w:tblPr/>
      <w:tcPr>
        <w:tcBorders>
          <w:bottom w:val="single" w:sz="12" w:space="0" w:color="FFFFFF" w:themeColor="background1"/>
        </w:tcBorders>
        <w:shd w:val="clear" w:color="auto" w:fill="37BCE0" w:themeFill="accent2" w:themeFillShade="CC"/>
      </w:tcPr>
    </w:tblStylePr>
    <w:tblStylePr w:type="lastRow">
      <w:rPr>
        <w:b/>
        <w:bCs/>
        <w:color w:val="37BC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3F9" w:themeFill="accent2" w:themeFillTint="3F"/>
      </w:tcPr>
    </w:tblStylePr>
    <w:tblStylePr w:type="band1Horz">
      <w:tblPr/>
      <w:tcPr>
        <w:shd w:val="clear" w:color="auto" w:fill="E3F5FA"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2FBF9" w:themeFill="accent3" w:themeFillTint="19"/>
    </w:tcPr>
    <w:tblStylePr w:type="firstRow">
      <w:rPr>
        <w:b/>
        <w:bCs/>
        <w:color w:val="FFFFFF" w:themeColor="background1"/>
      </w:rPr>
      <w:tblPr/>
      <w:tcPr>
        <w:tcBorders>
          <w:bottom w:val="single" w:sz="12" w:space="0" w:color="FFFFFF" w:themeColor="background1"/>
        </w:tcBorders>
        <w:shd w:val="clear" w:color="auto" w:fill="F9BD2E" w:themeFill="accent4" w:themeFillShade="CC"/>
      </w:tcPr>
    </w:tblStylePr>
    <w:tblStylePr w:type="lastRow">
      <w:rPr>
        <w:b/>
        <w:bCs/>
        <w:color w:val="F9BD2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4F0" w:themeFill="accent3" w:themeFillTint="3F"/>
      </w:tcPr>
    </w:tblStylePr>
    <w:tblStylePr w:type="band1Horz">
      <w:tblPr/>
      <w:tcPr>
        <w:shd w:val="clear" w:color="auto" w:fill="E5F6F3"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EFAF1" w:themeFill="accent4" w:themeFillTint="19"/>
    </w:tcPr>
    <w:tblStylePr w:type="firstRow">
      <w:rPr>
        <w:b/>
        <w:bCs/>
        <w:color w:val="FFFFFF" w:themeColor="background1"/>
      </w:rPr>
      <w:tblPr/>
      <w:tcPr>
        <w:tcBorders>
          <w:bottom w:val="single" w:sz="12" w:space="0" w:color="FFFFFF" w:themeColor="background1"/>
        </w:tcBorders>
        <w:shd w:val="clear" w:color="auto" w:fill="4BC4AD" w:themeFill="accent3" w:themeFillShade="CC"/>
      </w:tcPr>
    </w:tblStylePr>
    <w:tblStylePr w:type="lastRow">
      <w:rPr>
        <w:b/>
        <w:bCs/>
        <w:color w:val="4BC4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DC" w:themeFill="accent4" w:themeFillTint="3F"/>
      </w:tcPr>
    </w:tblStylePr>
    <w:tblStylePr w:type="band1Horz">
      <w:tblPr/>
      <w:tcPr>
        <w:shd w:val="clear" w:color="auto" w:fill="FEF6E3"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FDF5F3" w:themeFill="accent5" w:themeFillTint="19"/>
    </w:tcPr>
    <w:tblStylePr w:type="firstRow">
      <w:rPr>
        <w:b/>
        <w:bCs/>
        <w:color w:val="FFFFFF" w:themeColor="background1"/>
      </w:rPr>
      <w:tblPr/>
      <w:tcPr>
        <w:tcBorders>
          <w:bottom w:val="single" w:sz="12" w:space="0" w:color="FFFFFF" w:themeColor="background1"/>
        </w:tcBorders>
        <w:shd w:val="clear" w:color="auto" w:fill="0C193C" w:themeFill="accent6" w:themeFillShade="CC"/>
      </w:tcPr>
    </w:tblStylePr>
    <w:tblStylePr w:type="lastRow">
      <w:rPr>
        <w:b/>
        <w:bCs/>
        <w:color w:val="0C193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7E1" w:themeFill="accent5" w:themeFillTint="3F"/>
      </w:tcPr>
    </w:tblStylePr>
    <w:tblStylePr w:type="band1Horz">
      <w:tblPr/>
      <w:tcPr>
        <w:shd w:val="clear" w:color="auto" w:fill="FBEBE7"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DCE4F8" w:themeFill="accent6" w:themeFillTint="19"/>
    </w:tcPr>
    <w:tblStylePr w:type="firstRow">
      <w:rPr>
        <w:b/>
        <w:bCs/>
        <w:color w:val="FFFFFF" w:themeColor="background1"/>
      </w:rPr>
      <w:tblPr/>
      <w:tcPr>
        <w:tcBorders>
          <w:bottom w:val="single" w:sz="12" w:space="0" w:color="FFFFFF" w:themeColor="background1"/>
        </w:tcBorders>
        <w:shd w:val="clear" w:color="auto" w:fill="E06C49" w:themeFill="accent5" w:themeFillShade="CC"/>
      </w:tcPr>
    </w:tblStylePr>
    <w:tblStylePr w:type="lastRow">
      <w:rPr>
        <w:b/>
        <w:bCs/>
        <w:color w:val="E06C4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BBED" w:themeFill="accent6" w:themeFillTint="3F"/>
      </w:tcPr>
    </w:tblStylePr>
    <w:tblStylePr w:type="band1Horz">
      <w:tblPr/>
      <w:tcPr>
        <w:shd w:val="clear" w:color="auto" w:fill="B9C8F1"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74D1E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4D1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74D1EA" w:themeColor="accent2"/>
        <w:left w:val="single" w:sz="4" w:space="0" w:color="3D7EDB" w:themeColor="accent1"/>
        <w:bottom w:val="single" w:sz="4" w:space="0" w:color="3D7EDB" w:themeColor="accent1"/>
        <w:right w:val="single" w:sz="4" w:space="0" w:color="3D7EDB" w:themeColor="accent1"/>
        <w:insideH w:val="single" w:sz="4" w:space="0" w:color="FFFFFF" w:themeColor="background1"/>
        <w:insideV w:val="single" w:sz="4" w:space="0" w:color="FFFFFF" w:themeColor="background1"/>
      </w:tblBorders>
    </w:tblPr>
    <w:tcPr>
      <w:shd w:val="clear" w:color="auto" w:fill="EBF2FB" w:themeFill="accent1" w:themeFillTint="19"/>
    </w:tcPr>
    <w:tblStylePr w:type="firstRow">
      <w:rPr>
        <w:b/>
        <w:bCs/>
      </w:rPr>
      <w:tblPr/>
      <w:tcPr>
        <w:tcBorders>
          <w:top w:val="nil"/>
          <w:left w:val="nil"/>
          <w:bottom w:val="single" w:sz="24" w:space="0" w:color="74D1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498D" w:themeFill="accent1" w:themeFillShade="99"/>
      </w:tcPr>
    </w:tblStylePr>
    <w:tblStylePr w:type="firstCol">
      <w:rPr>
        <w:color w:val="FFFFFF" w:themeColor="background1"/>
      </w:rPr>
      <w:tblPr/>
      <w:tcPr>
        <w:tcBorders>
          <w:top w:val="nil"/>
          <w:left w:val="nil"/>
          <w:bottom w:val="nil"/>
          <w:right w:val="nil"/>
          <w:insideH w:val="single" w:sz="4" w:space="0" w:color="1A498D" w:themeColor="accent1" w:themeShade="99"/>
          <w:insideV w:val="nil"/>
        </w:tcBorders>
        <w:shd w:val="clear" w:color="auto" w:fill="1A498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498D" w:themeFill="accent1" w:themeFillShade="99"/>
      </w:tcPr>
    </w:tblStylePr>
    <w:tblStylePr w:type="band1Vert">
      <w:tblPr/>
      <w:tcPr>
        <w:shd w:val="clear" w:color="auto" w:fill="B1CBF0" w:themeFill="accent1" w:themeFillTint="66"/>
      </w:tcPr>
    </w:tblStylePr>
    <w:tblStylePr w:type="band1Horz">
      <w:tblPr/>
      <w:tcPr>
        <w:shd w:val="clear" w:color="auto" w:fill="9EBEE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74D1EA" w:themeColor="accent2"/>
        <w:left w:val="single" w:sz="4" w:space="0" w:color="74D1EA" w:themeColor="accent2"/>
        <w:bottom w:val="single" w:sz="4" w:space="0" w:color="74D1EA" w:themeColor="accent2"/>
        <w:right w:val="single" w:sz="4" w:space="0" w:color="74D1EA" w:themeColor="accent2"/>
        <w:insideH w:val="single" w:sz="4" w:space="0" w:color="FFFFFF" w:themeColor="background1"/>
        <w:insideV w:val="single" w:sz="4" w:space="0" w:color="FFFFFF" w:themeColor="background1"/>
      </w:tblBorders>
    </w:tblPr>
    <w:tcPr>
      <w:shd w:val="clear" w:color="auto" w:fill="F1FAFD" w:themeFill="accent2" w:themeFillTint="19"/>
    </w:tcPr>
    <w:tblStylePr w:type="firstRow">
      <w:rPr>
        <w:b/>
        <w:bCs/>
      </w:rPr>
      <w:tblPr/>
      <w:tcPr>
        <w:tcBorders>
          <w:top w:val="nil"/>
          <w:left w:val="nil"/>
          <w:bottom w:val="single" w:sz="24" w:space="0" w:color="74D1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94B6" w:themeFill="accent2" w:themeFillShade="99"/>
      </w:tcPr>
    </w:tblStylePr>
    <w:tblStylePr w:type="firstCol">
      <w:rPr>
        <w:color w:val="FFFFFF" w:themeColor="background1"/>
      </w:rPr>
      <w:tblPr/>
      <w:tcPr>
        <w:tcBorders>
          <w:top w:val="nil"/>
          <w:left w:val="nil"/>
          <w:bottom w:val="nil"/>
          <w:right w:val="nil"/>
          <w:insideH w:val="single" w:sz="4" w:space="0" w:color="1B94B6" w:themeColor="accent2" w:themeShade="99"/>
          <w:insideV w:val="nil"/>
        </w:tcBorders>
        <w:shd w:val="clear" w:color="auto" w:fill="1B94B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94B6" w:themeFill="accent2" w:themeFillShade="99"/>
      </w:tcPr>
    </w:tblStylePr>
    <w:tblStylePr w:type="band1Vert">
      <w:tblPr/>
      <w:tcPr>
        <w:shd w:val="clear" w:color="auto" w:fill="C7ECF6" w:themeFill="accent2" w:themeFillTint="66"/>
      </w:tcPr>
    </w:tblStylePr>
    <w:tblStylePr w:type="band1Horz">
      <w:tblPr/>
      <w:tcPr>
        <w:shd w:val="clear" w:color="auto" w:fill="B9E7F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FBD476" w:themeColor="accent4"/>
        <w:left w:val="single" w:sz="4" w:space="0" w:color="7FD5C5" w:themeColor="accent3"/>
        <w:bottom w:val="single" w:sz="4" w:space="0" w:color="7FD5C5" w:themeColor="accent3"/>
        <w:right w:val="single" w:sz="4" w:space="0" w:color="7FD5C5" w:themeColor="accent3"/>
        <w:insideH w:val="single" w:sz="4" w:space="0" w:color="FFFFFF" w:themeColor="background1"/>
        <w:insideV w:val="single" w:sz="4" w:space="0" w:color="FFFFFF" w:themeColor="background1"/>
      </w:tblBorders>
    </w:tblPr>
    <w:tcPr>
      <w:shd w:val="clear" w:color="auto" w:fill="F2FBF9" w:themeFill="accent3" w:themeFillTint="19"/>
    </w:tcPr>
    <w:tblStylePr w:type="firstRow">
      <w:rPr>
        <w:b/>
        <w:bCs/>
      </w:rPr>
      <w:tblPr/>
      <w:tcPr>
        <w:tcBorders>
          <w:top w:val="nil"/>
          <w:left w:val="nil"/>
          <w:bottom w:val="single" w:sz="24" w:space="0" w:color="FBD4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986" w:themeFill="accent3" w:themeFillShade="99"/>
      </w:tcPr>
    </w:tblStylePr>
    <w:tblStylePr w:type="firstCol">
      <w:rPr>
        <w:color w:val="FFFFFF" w:themeColor="background1"/>
      </w:rPr>
      <w:tblPr/>
      <w:tcPr>
        <w:tcBorders>
          <w:top w:val="nil"/>
          <w:left w:val="nil"/>
          <w:bottom w:val="nil"/>
          <w:right w:val="nil"/>
          <w:insideH w:val="single" w:sz="4" w:space="0" w:color="329986" w:themeColor="accent3" w:themeShade="99"/>
          <w:insideV w:val="nil"/>
        </w:tcBorders>
        <w:shd w:val="clear" w:color="auto" w:fill="32998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29986" w:themeFill="accent3" w:themeFillShade="99"/>
      </w:tcPr>
    </w:tblStylePr>
    <w:tblStylePr w:type="band1Vert">
      <w:tblPr/>
      <w:tcPr>
        <w:shd w:val="clear" w:color="auto" w:fill="CBEEE7" w:themeFill="accent3" w:themeFillTint="66"/>
      </w:tcPr>
    </w:tblStylePr>
    <w:tblStylePr w:type="band1Horz">
      <w:tblPr/>
      <w:tcPr>
        <w:shd w:val="clear" w:color="auto" w:fill="BFEAE2"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7FD5C5" w:themeColor="accent3"/>
        <w:left w:val="single" w:sz="4" w:space="0" w:color="FBD476" w:themeColor="accent4"/>
        <w:bottom w:val="single" w:sz="4" w:space="0" w:color="FBD476" w:themeColor="accent4"/>
        <w:right w:val="single" w:sz="4" w:space="0" w:color="FBD476" w:themeColor="accent4"/>
        <w:insideH w:val="single" w:sz="4" w:space="0" w:color="FFFFFF" w:themeColor="background1"/>
        <w:insideV w:val="single" w:sz="4" w:space="0" w:color="FFFFFF" w:themeColor="background1"/>
      </w:tblBorders>
    </w:tblPr>
    <w:tcPr>
      <w:shd w:val="clear" w:color="auto" w:fill="FEFAF1" w:themeFill="accent4" w:themeFillTint="19"/>
    </w:tcPr>
    <w:tblStylePr w:type="firstRow">
      <w:rPr>
        <w:b/>
        <w:bCs/>
      </w:rPr>
      <w:tblPr/>
      <w:tcPr>
        <w:tcBorders>
          <w:top w:val="nil"/>
          <w:left w:val="nil"/>
          <w:bottom w:val="single" w:sz="24" w:space="0" w:color="7FD5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79906" w:themeFill="accent4" w:themeFillShade="99"/>
      </w:tcPr>
    </w:tblStylePr>
    <w:tblStylePr w:type="firstCol">
      <w:rPr>
        <w:color w:val="FFFFFF" w:themeColor="background1"/>
      </w:rPr>
      <w:tblPr/>
      <w:tcPr>
        <w:tcBorders>
          <w:top w:val="nil"/>
          <w:left w:val="nil"/>
          <w:bottom w:val="nil"/>
          <w:right w:val="nil"/>
          <w:insideH w:val="single" w:sz="4" w:space="0" w:color="D79906" w:themeColor="accent4" w:themeShade="99"/>
          <w:insideV w:val="nil"/>
        </w:tcBorders>
        <w:shd w:val="clear" w:color="auto" w:fill="D799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79906" w:themeFill="accent4" w:themeFillShade="99"/>
      </w:tcPr>
    </w:tblStylePr>
    <w:tblStylePr w:type="band1Vert">
      <w:tblPr/>
      <w:tcPr>
        <w:shd w:val="clear" w:color="auto" w:fill="FDEDC7" w:themeFill="accent4" w:themeFillTint="66"/>
      </w:tcPr>
    </w:tblStylePr>
    <w:tblStylePr w:type="band1Horz">
      <w:tblPr/>
      <w:tcPr>
        <w:shd w:val="clear" w:color="auto" w:fill="FDE9B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0F204B" w:themeColor="accent6"/>
        <w:left w:val="single" w:sz="4" w:space="0" w:color="EBA089" w:themeColor="accent5"/>
        <w:bottom w:val="single" w:sz="4" w:space="0" w:color="EBA089" w:themeColor="accent5"/>
        <w:right w:val="single" w:sz="4" w:space="0" w:color="EBA089" w:themeColor="accent5"/>
        <w:insideH w:val="single" w:sz="4" w:space="0" w:color="FFFFFF" w:themeColor="background1"/>
        <w:insideV w:val="single" w:sz="4" w:space="0" w:color="FFFFFF" w:themeColor="background1"/>
      </w:tblBorders>
    </w:tblPr>
    <w:tcPr>
      <w:shd w:val="clear" w:color="auto" w:fill="FDF5F3" w:themeFill="accent5" w:themeFillTint="19"/>
    </w:tcPr>
    <w:tblStylePr w:type="firstRow">
      <w:rPr>
        <w:b/>
        <w:bCs/>
      </w:rPr>
      <w:tblPr/>
      <w:tcPr>
        <w:tcBorders>
          <w:top w:val="nil"/>
          <w:left w:val="nil"/>
          <w:bottom w:val="single" w:sz="24" w:space="0" w:color="0F20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4520" w:themeFill="accent5" w:themeFillShade="99"/>
      </w:tcPr>
    </w:tblStylePr>
    <w:tblStylePr w:type="firstCol">
      <w:rPr>
        <w:color w:val="FFFFFF" w:themeColor="background1"/>
      </w:rPr>
      <w:tblPr/>
      <w:tcPr>
        <w:tcBorders>
          <w:top w:val="nil"/>
          <w:left w:val="nil"/>
          <w:bottom w:val="nil"/>
          <w:right w:val="nil"/>
          <w:insideH w:val="single" w:sz="4" w:space="0" w:color="BE4520" w:themeColor="accent5" w:themeShade="99"/>
          <w:insideV w:val="nil"/>
        </w:tcBorders>
        <w:shd w:val="clear" w:color="auto" w:fill="BE45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E4520" w:themeFill="accent5" w:themeFillShade="99"/>
      </w:tcPr>
    </w:tblStylePr>
    <w:tblStylePr w:type="band1Vert">
      <w:tblPr/>
      <w:tcPr>
        <w:shd w:val="clear" w:color="auto" w:fill="F7D8CF" w:themeFill="accent5" w:themeFillTint="66"/>
      </w:tcPr>
    </w:tblStylePr>
    <w:tblStylePr w:type="band1Horz">
      <w:tblPr/>
      <w:tcPr>
        <w:shd w:val="clear" w:color="auto" w:fill="F5CF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EBA089" w:themeColor="accent5"/>
        <w:left w:val="single" w:sz="4" w:space="0" w:color="0F204B" w:themeColor="accent6"/>
        <w:bottom w:val="single" w:sz="4" w:space="0" w:color="0F204B" w:themeColor="accent6"/>
        <w:right w:val="single" w:sz="4" w:space="0" w:color="0F204B" w:themeColor="accent6"/>
        <w:insideH w:val="single" w:sz="4" w:space="0" w:color="FFFFFF" w:themeColor="background1"/>
        <w:insideV w:val="single" w:sz="4" w:space="0" w:color="FFFFFF" w:themeColor="background1"/>
      </w:tblBorders>
    </w:tblPr>
    <w:tcPr>
      <w:shd w:val="clear" w:color="auto" w:fill="DCE4F8" w:themeFill="accent6" w:themeFillTint="19"/>
    </w:tcPr>
    <w:tblStylePr w:type="firstRow">
      <w:rPr>
        <w:b/>
        <w:bCs/>
      </w:rPr>
      <w:tblPr/>
      <w:tcPr>
        <w:tcBorders>
          <w:top w:val="nil"/>
          <w:left w:val="nil"/>
          <w:bottom w:val="single" w:sz="24" w:space="0" w:color="EBA08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32D" w:themeFill="accent6" w:themeFillShade="99"/>
      </w:tcPr>
    </w:tblStylePr>
    <w:tblStylePr w:type="firstCol">
      <w:rPr>
        <w:color w:val="FFFFFF" w:themeColor="background1"/>
      </w:rPr>
      <w:tblPr/>
      <w:tcPr>
        <w:tcBorders>
          <w:top w:val="nil"/>
          <w:left w:val="nil"/>
          <w:bottom w:val="nil"/>
          <w:right w:val="nil"/>
          <w:insideH w:val="single" w:sz="4" w:space="0" w:color="09132D" w:themeColor="accent6" w:themeShade="99"/>
          <w:insideV w:val="nil"/>
        </w:tcBorders>
        <w:shd w:val="clear" w:color="auto" w:fill="0913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132D" w:themeFill="accent6" w:themeFillShade="99"/>
      </w:tcPr>
    </w:tblStylePr>
    <w:tblStylePr w:type="band1Vert">
      <w:tblPr/>
      <w:tcPr>
        <w:shd w:val="clear" w:color="auto" w:fill="7392E3" w:themeFill="accent6" w:themeFillTint="66"/>
      </w:tcPr>
    </w:tblStylePr>
    <w:tblStylePr w:type="band1Horz">
      <w:tblPr/>
      <w:tcPr>
        <w:shd w:val="clear" w:color="auto" w:fill="5077D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3D7ED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3C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05BB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05BB0" w:themeFill="accent1" w:themeFillShade="BF"/>
      </w:tcPr>
    </w:tblStylePr>
    <w:tblStylePr w:type="band1Vert">
      <w:tblPr/>
      <w:tcPr>
        <w:tcBorders>
          <w:top w:val="nil"/>
          <w:left w:val="nil"/>
          <w:bottom w:val="nil"/>
          <w:right w:val="nil"/>
          <w:insideH w:val="nil"/>
          <w:insideV w:val="nil"/>
        </w:tcBorders>
        <w:shd w:val="clear" w:color="auto" w:fill="205BB0" w:themeFill="accent1" w:themeFillShade="BF"/>
      </w:tcPr>
    </w:tblStylePr>
    <w:tblStylePr w:type="band1Horz">
      <w:tblPr/>
      <w:tcPr>
        <w:tcBorders>
          <w:top w:val="nil"/>
          <w:left w:val="nil"/>
          <w:bottom w:val="nil"/>
          <w:right w:val="nil"/>
          <w:insideH w:val="nil"/>
          <w:insideV w:val="nil"/>
        </w:tcBorders>
        <w:shd w:val="clear" w:color="auto" w:fill="205BB0"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74D1E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7B9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B7D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B7DE" w:themeFill="accent2" w:themeFillShade="BF"/>
      </w:tcPr>
    </w:tblStylePr>
    <w:tblStylePr w:type="band1Vert">
      <w:tblPr/>
      <w:tcPr>
        <w:tcBorders>
          <w:top w:val="nil"/>
          <w:left w:val="nil"/>
          <w:bottom w:val="nil"/>
          <w:right w:val="nil"/>
          <w:insideH w:val="nil"/>
          <w:insideV w:val="nil"/>
        </w:tcBorders>
        <w:shd w:val="clear" w:color="auto" w:fill="27B7DE" w:themeFill="accent2" w:themeFillShade="BF"/>
      </w:tcPr>
    </w:tblStylePr>
    <w:tblStylePr w:type="band1Horz">
      <w:tblPr/>
      <w:tcPr>
        <w:tcBorders>
          <w:top w:val="nil"/>
          <w:left w:val="nil"/>
          <w:bottom w:val="nil"/>
          <w:right w:val="nil"/>
          <w:insideH w:val="nil"/>
          <w:insideV w:val="nil"/>
        </w:tcBorders>
        <w:shd w:val="clear" w:color="auto" w:fill="27B7DE"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7FD5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7F6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FBFA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FBFA7" w:themeFill="accent3" w:themeFillShade="BF"/>
      </w:tcPr>
    </w:tblStylePr>
    <w:tblStylePr w:type="band1Vert">
      <w:tblPr/>
      <w:tcPr>
        <w:tcBorders>
          <w:top w:val="nil"/>
          <w:left w:val="nil"/>
          <w:bottom w:val="nil"/>
          <w:right w:val="nil"/>
          <w:insideH w:val="nil"/>
          <w:insideV w:val="nil"/>
        </w:tcBorders>
        <w:shd w:val="clear" w:color="auto" w:fill="3FBFA7" w:themeFill="accent3" w:themeFillShade="BF"/>
      </w:tcPr>
    </w:tblStylePr>
    <w:tblStylePr w:type="band1Horz">
      <w:tblPr/>
      <w:tcPr>
        <w:tcBorders>
          <w:top w:val="nil"/>
          <w:left w:val="nil"/>
          <w:bottom w:val="nil"/>
          <w:right w:val="nil"/>
          <w:insideH w:val="nil"/>
          <w:insideV w:val="nil"/>
        </w:tcBorders>
        <w:shd w:val="clear" w:color="auto" w:fill="3FBFA7"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FBD4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27F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8B7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8B71B" w:themeFill="accent4" w:themeFillShade="BF"/>
      </w:tcPr>
    </w:tblStylePr>
    <w:tblStylePr w:type="band1Vert">
      <w:tblPr/>
      <w:tcPr>
        <w:tcBorders>
          <w:top w:val="nil"/>
          <w:left w:val="nil"/>
          <w:bottom w:val="nil"/>
          <w:right w:val="nil"/>
          <w:insideH w:val="nil"/>
          <w:insideV w:val="nil"/>
        </w:tcBorders>
        <w:shd w:val="clear" w:color="auto" w:fill="F8B71B" w:themeFill="accent4" w:themeFillShade="BF"/>
      </w:tcPr>
    </w:tblStylePr>
    <w:tblStylePr w:type="band1Horz">
      <w:tblPr/>
      <w:tcPr>
        <w:tcBorders>
          <w:top w:val="nil"/>
          <w:left w:val="nil"/>
          <w:bottom w:val="nil"/>
          <w:right w:val="nil"/>
          <w:insideH w:val="nil"/>
          <w:insideV w:val="nil"/>
        </w:tcBorders>
        <w:shd w:val="clear" w:color="auto" w:fill="F8B71B"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EBA08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391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D5E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D5E38" w:themeFill="accent5" w:themeFillShade="BF"/>
      </w:tcPr>
    </w:tblStylePr>
    <w:tblStylePr w:type="band1Vert">
      <w:tblPr/>
      <w:tcPr>
        <w:tcBorders>
          <w:top w:val="nil"/>
          <w:left w:val="nil"/>
          <w:bottom w:val="nil"/>
          <w:right w:val="nil"/>
          <w:insideH w:val="nil"/>
          <w:insideV w:val="nil"/>
        </w:tcBorders>
        <w:shd w:val="clear" w:color="auto" w:fill="DD5E38" w:themeFill="accent5" w:themeFillShade="BF"/>
      </w:tcPr>
    </w:tblStylePr>
    <w:tblStylePr w:type="band1Horz">
      <w:tblPr/>
      <w:tcPr>
        <w:tcBorders>
          <w:top w:val="nil"/>
          <w:left w:val="nil"/>
          <w:bottom w:val="nil"/>
          <w:right w:val="nil"/>
          <w:insideH w:val="nil"/>
          <w:insideV w:val="nil"/>
        </w:tcBorders>
        <w:shd w:val="clear" w:color="auto" w:fill="DD5E38"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0F20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F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1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1738" w:themeFill="accent6" w:themeFillShade="BF"/>
      </w:tcPr>
    </w:tblStylePr>
    <w:tblStylePr w:type="band1Vert">
      <w:tblPr/>
      <w:tcPr>
        <w:tcBorders>
          <w:top w:val="nil"/>
          <w:left w:val="nil"/>
          <w:bottom w:val="nil"/>
          <w:right w:val="nil"/>
          <w:insideH w:val="nil"/>
          <w:insideV w:val="nil"/>
        </w:tcBorders>
        <w:shd w:val="clear" w:color="auto" w:fill="0B1738" w:themeFill="accent6" w:themeFillShade="BF"/>
      </w:tcPr>
    </w:tblStylePr>
    <w:tblStylePr w:type="band1Horz">
      <w:tblPr/>
      <w:tcPr>
        <w:tcBorders>
          <w:top w:val="nil"/>
          <w:left w:val="nil"/>
          <w:bottom w:val="nil"/>
          <w:right w:val="nil"/>
          <w:insideH w:val="nil"/>
          <w:insideV w:val="nil"/>
        </w:tcBorders>
        <w:shd w:val="clear" w:color="auto" w:fill="0B1738" w:themeFill="accent6" w:themeFillShade="BF"/>
      </w:tcPr>
    </w:tblStylePr>
  </w:style>
  <w:style w:type="table" w:styleId="GridTable1Light">
    <w:name w:val="Grid Table 1 Light"/>
    <w:basedOn w:val="TableNormal"/>
    <w:uiPriority w:val="46"/>
    <w:rsid w:val="005862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8629F"/>
    <w:pPr>
      <w:spacing w:line="240" w:lineRule="auto"/>
    </w:pPr>
    <w:tblPr>
      <w:tblStyleRowBandSize w:val="1"/>
      <w:tblStyleColBandSize w:val="1"/>
      <w:tblBorders>
        <w:top w:val="single" w:sz="4" w:space="0" w:color="B1CBF0" w:themeColor="accent1" w:themeTint="66"/>
        <w:left w:val="single" w:sz="4" w:space="0" w:color="B1CBF0" w:themeColor="accent1" w:themeTint="66"/>
        <w:bottom w:val="single" w:sz="4" w:space="0" w:color="B1CBF0" w:themeColor="accent1" w:themeTint="66"/>
        <w:right w:val="single" w:sz="4" w:space="0" w:color="B1CBF0" w:themeColor="accent1" w:themeTint="66"/>
        <w:insideH w:val="single" w:sz="4" w:space="0" w:color="B1CBF0" w:themeColor="accent1" w:themeTint="66"/>
        <w:insideV w:val="single" w:sz="4" w:space="0" w:color="B1CBF0" w:themeColor="accent1" w:themeTint="66"/>
      </w:tblBorders>
    </w:tblPr>
    <w:tblStylePr w:type="firstRow">
      <w:rPr>
        <w:b/>
        <w:bCs/>
      </w:rPr>
      <w:tblPr/>
      <w:tcPr>
        <w:tcBorders>
          <w:bottom w:val="single" w:sz="12" w:space="0" w:color="8AB1E9" w:themeColor="accent1" w:themeTint="99"/>
        </w:tcBorders>
      </w:tcPr>
    </w:tblStylePr>
    <w:tblStylePr w:type="lastRow">
      <w:rPr>
        <w:b/>
        <w:bCs/>
      </w:rPr>
      <w:tblPr/>
      <w:tcPr>
        <w:tcBorders>
          <w:top w:val="double" w:sz="2" w:space="0" w:color="8AB1E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8629F"/>
    <w:pPr>
      <w:spacing w:line="240" w:lineRule="auto"/>
    </w:pPr>
    <w:tblPr>
      <w:tblStyleRowBandSize w:val="1"/>
      <w:tblStyleColBandSize w:val="1"/>
      <w:tblBorders>
        <w:top w:val="single" w:sz="4" w:space="0" w:color="C7ECF6" w:themeColor="accent2" w:themeTint="66"/>
        <w:left w:val="single" w:sz="4" w:space="0" w:color="C7ECF6" w:themeColor="accent2" w:themeTint="66"/>
        <w:bottom w:val="single" w:sz="4" w:space="0" w:color="C7ECF6" w:themeColor="accent2" w:themeTint="66"/>
        <w:right w:val="single" w:sz="4" w:space="0" w:color="C7ECF6" w:themeColor="accent2" w:themeTint="66"/>
        <w:insideH w:val="single" w:sz="4" w:space="0" w:color="C7ECF6" w:themeColor="accent2" w:themeTint="66"/>
        <w:insideV w:val="single" w:sz="4" w:space="0" w:color="C7ECF6" w:themeColor="accent2" w:themeTint="66"/>
      </w:tblBorders>
    </w:tblPr>
    <w:tblStylePr w:type="firstRow">
      <w:rPr>
        <w:b/>
        <w:bCs/>
      </w:rPr>
      <w:tblPr/>
      <w:tcPr>
        <w:tcBorders>
          <w:bottom w:val="single" w:sz="12" w:space="0" w:color="ABE3F2" w:themeColor="accent2" w:themeTint="99"/>
        </w:tcBorders>
      </w:tcPr>
    </w:tblStylePr>
    <w:tblStylePr w:type="lastRow">
      <w:rPr>
        <w:b/>
        <w:bCs/>
      </w:rPr>
      <w:tblPr/>
      <w:tcPr>
        <w:tcBorders>
          <w:top w:val="double" w:sz="2" w:space="0" w:color="ABE3F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8629F"/>
    <w:pPr>
      <w:spacing w:line="240" w:lineRule="auto"/>
    </w:pPr>
    <w:tblPr>
      <w:tblStyleRowBandSize w:val="1"/>
      <w:tblStyleColBandSize w:val="1"/>
      <w:tblBorders>
        <w:top w:val="single" w:sz="4" w:space="0" w:color="CBEEE7" w:themeColor="accent3" w:themeTint="66"/>
        <w:left w:val="single" w:sz="4" w:space="0" w:color="CBEEE7" w:themeColor="accent3" w:themeTint="66"/>
        <w:bottom w:val="single" w:sz="4" w:space="0" w:color="CBEEE7" w:themeColor="accent3" w:themeTint="66"/>
        <w:right w:val="single" w:sz="4" w:space="0" w:color="CBEEE7" w:themeColor="accent3" w:themeTint="66"/>
        <w:insideH w:val="single" w:sz="4" w:space="0" w:color="CBEEE7" w:themeColor="accent3" w:themeTint="66"/>
        <w:insideV w:val="single" w:sz="4" w:space="0" w:color="CBEEE7" w:themeColor="accent3" w:themeTint="66"/>
      </w:tblBorders>
    </w:tblPr>
    <w:tblStylePr w:type="firstRow">
      <w:rPr>
        <w:b/>
        <w:bCs/>
      </w:rPr>
      <w:tblPr/>
      <w:tcPr>
        <w:tcBorders>
          <w:bottom w:val="single" w:sz="12" w:space="0" w:color="B2E5DC" w:themeColor="accent3" w:themeTint="99"/>
        </w:tcBorders>
      </w:tcPr>
    </w:tblStylePr>
    <w:tblStylePr w:type="lastRow">
      <w:rPr>
        <w:b/>
        <w:bCs/>
      </w:rPr>
      <w:tblPr/>
      <w:tcPr>
        <w:tcBorders>
          <w:top w:val="double" w:sz="2" w:space="0" w:color="B2E5D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8629F"/>
    <w:pPr>
      <w:spacing w:line="240" w:lineRule="auto"/>
    </w:pPr>
    <w:tblPr>
      <w:tblStyleRowBandSize w:val="1"/>
      <w:tblStyleColBandSize w:val="1"/>
      <w:tblBorders>
        <w:top w:val="single" w:sz="4" w:space="0" w:color="FDEDC7" w:themeColor="accent4" w:themeTint="66"/>
        <w:left w:val="single" w:sz="4" w:space="0" w:color="FDEDC7" w:themeColor="accent4" w:themeTint="66"/>
        <w:bottom w:val="single" w:sz="4" w:space="0" w:color="FDEDC7" w:themeColor="accent4" w:themeTint="66"/>
        <w:right w:val="single" w:sz="4" w:space="0" w:color="FDEDC7" w:themeColor="accent4" w:themeTint="66"/>
        <w:insideH w:val="single" w:sz="4" w:space="0" w:color="FDEDC7" w:themeColor="accent4" w:themeTint="66"/>
        <w:insideV w:val="single" w:sz="4" w:space="0" w:color="FDEDC7" w:themeColor="accent4" w:themeTint="66"/>
      </w:tblBorders>
    </w:tblPr>
    <w:tblStylePr w:type="firstRow">
      <w:rPr>
        <w:b/>
        <w:bCs/>
      </w:rPr>
      <w:tblPr/>
      <w:tcPr>
        <w:tcBorders>
          <w:bottom w:val="single" w:sz="12" w:space="0" w:color="FCE5AC" w:themeColor="accent4" w:themeTint="99"/>
        </w:tcBorders>
      </w:tcPr>
    </w:tblStylePr>
    <w:tblStylePr w:type="lastRow">
      <w:rPr>
        <w:b/>
        <w:bCs/>
      </w:rPr>
      <w:tblPr/>
      <w:tcPr>
        <w:tcBorders>
          <w:top w:val="double" w:sz="2" w:space="0" w:color="FCE5A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8629F"/>
    <w:pPr>
      <w:spacing w:line="240" w:lineRule="auto"/>
    </w:pPr>
    <w:tblPr>
      <w:tblStyleRowBandSize w:val="1"/>
      <w:tblStyleColBandSize w:val="1"/>
      <w:tblBorders>
        <w:top w:val="single" w:sz="4" w:space="0" w:color="F7D8CF" w:themeColor="accent5" w:themeTint="66"/>
        <w:left w:val="single" w:sz="4" w:space="0" w:color="F7D8CF" w:themeColor="accent5" w:themeTint="66"/>
        <w:bottom w:val="single" w:sz="4" w:space="0" w:color="F7D8CF" w:themeColor="accent5" w:themeTint="66"/>
        <w:right w:val="single" w:sz="4" w:space="0" w:color="F7D8CF" w:themeColor="accent5" w:themeTint="66"/>
        <w:insideH w:val="single" w:sz="4" w:space="0" w:color="F7D8CF" w:themeColor="accent5" w:themeTint="66"/>
        <w:insideV w:val="single" w:sz="4" w:space="0" w:color="F7D8CF" w:themeColor="accent5" w:themeTint="66"/>
      </w:tblBorders>
    </w:tblPr>
    <w:tblStylePr w:type="firstRow">
      <w:rPr>
        <w:b/>
        <w:bCs/>
      </w:rPr>
      <w:tblPr/>
      <w:tcPr>
        <w:tcBorders>
          <w:bottom w:val="single" w:sz="12" w:space="0" w:color="F3C5B8" w:themeColor="accent5" w:themeTint="99"/>
        </w:tcBorders>
      </w:tcPr>
    </w:tblStylePr>
    <w:tblStylePr w:type="lastRow">
      <w:rPr>
        <w:b/>
        <w:bCs/>
      </w:rPr>
      <w:tblPr/>
      <w:tcPr>
        <w:tcBorders>
          <w:top w:val="double" w:sz="2" w:space="0" w:color="F3C5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8629F"/>
    <w:pPr>
      <w:spacing w:line="240" w:lineRule="auto"/>
    </w:pPr>
    <w:tblPr>
      <w:tblStyleRowBandSize w:val="1"/>
      <w:tblStyleColBandSize w:val="1"/>
      <w:tblBorders>
        <w:top w:val="single" w:sz="4" w:space="0" w:color="7392E3" w:themeColor="accent6" w:themeTint="66"/>
        <w:left w:val="single" w:sz="4" w:space="0" w:color="7392E3" w:themeColor="accent6" w:themeTint="66"/>
        <w:bottom w:val="single" w:sz="4" w:space="0" w:color="7392E3" w:themeColor="accent6" w:themeTint="66"/>
        <w:right w:val="single" w:sz="4" w:space="0" w:color="7392E3" w:themeColor="accent6" w:themeTint="66"/>
        <w:insideH w:val="single" w:sz="4" w:space="0" w:color="7392E3" w:themeColor="accent6" w:themeTint="66"/>
        <w:insideV w:val="single" w:sz="4" w:space="0" w:color="7392E3" w:themeColor="accent6" w:themeTint="66"/>
      </w:tblBorders>
    </w:tblPr>
    <w:tblStylePr w:type="firstRow">
      <w:rPr>
        <w:b/>
        <w:bCs/>
      </w:rPr>
      <w:tblPr/>
      <w:tcPr>
        <w:tcBorders>
          <w:bottom w:val="single" w:sz="12" w:space="0" w:color="2D5CD5" w:themeColor="accent6" w:themeTint="99"/>
        </w:tcBorders>
      </w:tcPr>
    </w:tblStylePr>
    <w:tblStylePr w:type="lastRow">
      <w:rPr>
        <w:b/>
        <w:bCs/>
      </w:rPr>
      <w:tblPr/>
      <w:tcPr>
        <w:tcBorders>
          <w:top w:val="double" w:sz="2" w:space="0" w:color="2D5CD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862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8629F"/>
    <w:pPr>
      <w:spacing w:line="240" w:lineRule="auto"/>
    </w:pPr>
    <w:tblPr>
      <w:tblStyleRowBandSize w:val="1"/>
      <w:tblStyleColBandSize w:val="1"/>
      <w:tblBorders>
        <w:top w:val="single" w:sz="2" w:space="0" w:color="8AB1E9" w:themeColor="accent1" w:themeTint="99"/>
        <w:bottom w:val="single" w:sz="2" w:space="0" w:color="8AB1E9" w:themeColor="accent1" w:themeTint="99"/>
        <w:insideH w:val="single" w:sz="2" w:space="0" w:color="8AB1E9" w:themeColor="accent1" w:themeTint="99"/>
        <w:insideV w:val="single" w:sz="2" w:space="0" w:color="8AB1E9" w:themeColor="accent1" w:themeTint="99"/>
      </w:tblBorders>
    </w:tblPr>
    <w:tblStylePr w:type="firstRow">
      <w:rPr>
        <w:b/>
        <w:bCs/>
      </w:rPr>
      <w:tblPr/>
      <w:tcPr>
        <w:tcBorders>
          <w:top w:val="nil"/>
          <w:bottom w:val="single" w:sz="12" w:space="0" w:color="8AB1E9" w:themeColor="accent1" w:themeTint="99"/>
          <w:insideH w:val="nil"/>
          <w:insideV w:val="nil"/>
        </w:tcBorders>
        <w:shd w:val="clear" w:color="auto" w:fill="FFFFFF" w:themeFill="background1"/>
      </w:tcPr>
    </w:tblStylePr>
    <w:tblStylePr w:type="lastRow">
      <w:rPr>
        <w:b/>
        <w:bCs/>
      </w:rPr>
      <w:tblPr/>
      <w:tcPr>
        <w:tcBorders>
          <w:top w:val="double" w:sz="2" w:space="0" w:color="8AB1E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GridTable2-Accent2">
    <w:name w:val="Grid Table 2 Accent 2"/>
    <w:basedOn w:val="TableNormal"/>
    <w:uiPriority w:val="47"/>
    <w:rsid w:val="0058629F"/>
    <w:pPr>
      <w:spacing w:line="240" w:lineRule="auto"/>
    </w:pPr>
    <w:tblPr>
      <w:tblStyleRowBandSize w:val="1"/>
      <w:tblStyleColBandSize w:val="1"/>
      <w:tblBorders>
        <w:top w:val="single" w:sz="2" w:space="0" w:color="ABE3F2" w:themeColor="accent2" w:themeTint="99"/>
        <w:bottom w:val="single" w:sz="2" w:space="0" w:color="ABE3F2" w:themeColor="accent2" w:themeTint="99"/>
        <w:insideH w:val="single" w:sz="2" w:space="0" w:color="ABE3F2" w:themeColor="accent2" w:themeTint="99"/>
        <w:insideV w:val="single" w:sz="2" w:space="0" w:color="ABE3F2" w:themeColor="accent2" w:themeTint="99"/>
      </w:tblBorders>
    </w:tblPr>
    <w:tblStylePr w:type="firstRow">
      <w:rPr>
        <w:b/>
        <w:bCs/>
      </w:rPr>
      <w:tblPr/>
      <w:tcPr>
        <w:tcBorders>
          <w:top w:val="nil"/>
          <w:bottom w:val="single" w:sz="12" w:space="0" w:color="ABE3F2" w:themeColor="accent2" w:themeTint="99"/>
          <w:insideH w:val="nil"/>
          <w:insideV w:val="nil"/>
        </w:tcBorders>
        <w:shd w:val="clear" w:color="auto" w:fill="FFFFFF" w:themeFill="background1"/>
      </w:tcPr>
    </w:tblStylePr>
    <w:tblStylePr w:type="lastRow">
      <w:rPr>
        <w:b/>
        <w:bCs/>
      </w:rPr>
      <w:tblPr/>
      <w:tcPr>
        <w:tcBorders>
          <w:top w:val="double" w:sz="2" w:space="0" w:color="ABE3F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GridTable2-Accent3">
    <w:name w:val="Grid Table 2 Accent 3"/>
    <w:basedOn w:val="TableNormal"/>
    <w:uiPriority w:val="47"/>
    <w:rsid w:val="0058629F"/>
    <w:pPr>
      <w:spacing w:line="240" w:lineRule="auto"/>
    </w:pPr>
    <w:tblPr>
      <w:tblStyleRowBandSize w:val="1"/>
      <w:tblStyleColBandSize w:val="1"/>
      <w:tblBorders>
        <w:top w:val="single" w:sz="2" w:space="0" w:color="B2E5DC" w:themeColor="accent3" w:themeTint="99"/>
        <w:bottom w:val="single" w:sz="2" w:space="0" w:color="B2E5DC" w:themeColor="accent3" w:themeTint="99"/>
        <w:insideH w:val="single" w:sz="2" w:space="0" w:color="B2E5DC" w:themeColor="accent3" w:themeTint="99"/>
        <w:insideV w:val="single" w:sz="2" w:space="0" w:color="B2E5DC" w:themeColor="accent3" w:themeTint="99"/>
      </w:tblBorders>
    </w:tblPr>
    <w:tblStylePr w:type="firstRow">
      <w:rPr>
        <w:b/>
        <w:bCs/>
      </w:rPr>
      <w:tblPr/>
      <w:tcPr>
        <w:tcBorders>
          <w:top w:val="nil"/>
          <w:bottom w:val="single" w:sz="12" w:space="0" w:color="B2E5DC" w:themeColor="accent3" w:themeTint="99"/>
          <w:insideH w:val="nil"/>
          <w:insideV w:val="nil"/>
        </w:tcBorders>
        <w:shd w:val="clear" w:color="auto" w:fill="FFFFFF" w:themeFill="background1"/>
      </w:tcPr>
    </w:tblStylePr>
    <w:tblStylePr w:type="lastRow">
      <w:rPr>
        <w:b/>
        <w:bCs/>
      </w:rPr>
      <w:tblPr/>
      <w:tcPr>
        <w:tcBorders>
          <w:top w:val="double" w:sz="2" w:space="0" w:color="B2E5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GridTable2-Accent4">
    <w:name w:val="Grid Table 2 Accent 4"/>
    <w:basedOn w:val="TableNormal"/>
    <w:uiPriority w:val="47"/>
    <w:rsid w:val="0058629F"/>
    <w:pPr>
      <w:spacing w:line="240" w:lineRule="auto"/>
    </w:pPr>
    <w:tblPr>
      <w:tblStyleRowBandSize w:val="1"/>
      <w:tblStyleColBandSize w:val="1"/>
      <w:tblBorders>
        <w:top w:val="single" w:sz="2" w:space="0" w:color="FCE5AC" w:themeColor="accent4" w:themeTint="99"/>
        <w:bottom w:val="single" w:sz="2" w:space="0" w:color="FCE5AC" w:themeColor="accent4" w:themeTint="99"/>
        <w:insideH w:val="single" w:sz="2" w:space="0" w:color="FCE5AC" w:themeColor="accent4" w:themeTint="99"/>
        <w:insideV w:val="single" w:sz="2" w:space="0" w:color="FCE5AC" w:themeColor="accent4" w:themeTint="99"/>
      </w:tblBorders>
    </w:tblPr>
    <w:tblStylePr w:type="firstRow">
      <w:rPr>
        <w:b/>
        <w:bCs/>
      </w:rPr>
      <w:tblPr/>
      <w:tcPr>
        <w:tcBorders>
          <w:top w:val="nil"/>
          <w:bottom w:val="single" w:sz="12" w:space="0" w:color="FCE5AC" w:themeColor="accent4" w:themeTint="99"/>
          <w:insideH w:val="nil"/>
          <w:insideV w:val="nil"/>
        </w:tcBorders>
        <w:shd w:val="clear" w:color="auto" w:fill="FFFFFF" w:themeFill="background1"/>
      </w:tcPr>
    </w:tblStylePr>
    <w:tblStylePr w:type="lastRow">
      <w:rPr>
        <w:b/>
        <w:bCs/>
      </w:rPr>
      <w:tblPr/>
      <w:tcPr>
        <w:tcBorders>
          <w:top w:val="double" w:sz="2" w:space="0" w:color="FCE5A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GridTable2-Accent5">
    <w:name w:val="Grid Table 2 Accent 5"/>
    <w:basedOn w:val="TableNormal"/>
    <w:uiPriority w:val="47"/>
    <w:rsid w:val="0058629F"/>
    <w:pPr>
      <w:spacing w:line="240" w:lineRule="auto"/>
    </w:pPr>
    <w:tblPr>
      <w:tblStyleRowBandSize w:val="1"/>
      <w:tblStyleColBandSize w:val="1"/>
      <w:tblBorders>
        <w:top w:val="single" w:sz="2" w:space="0" w:color="F3C5B8" w:themeColor="accent5" w:themeTint="99"/>
        <w:bottom w:val="single" w:sz="2" w:space="0" w:color="F3C5B8" w:themeColor="accent5" w:themeTint="99"/>
        <w:insideH w:val="single" w:sz="2" w:space="0" w:color="F3C5B8" w:themeColor="accent5" w:themeTint="99"/>
        <w:insideV w:val="single" w:sz="2" w:space="0" w:color="F3C5B8" w:themeColor="accent5" w:themeTint="99"/>
      </w:tblBorders>
    </w:tblPr>
    <w:tblStylePr w:type="firstRow">
      <w:rPr>
        <w:b/>
        <w:bCs/>
      </w:rPr>
      <w:tblPr/>
      <w:tcPr>
        <w:tcBorders>
          <w:top w:val="nil"/>
          <w:bottom w:val="single" w:sz="12" w:space="0" w:color="F3C5B8" w:themeColor="accent5" w:themeTint="99"/>
          <w:insideH w:val="nil"/>
          <w:insideV w:val="nil"/>
        </w:tcBorders>
        <w:shd w:val="clear" w:color="auto" w:fill="FFFFFF" w:themeFill="background1"/>
      </w:tcPr>
    </w:tblStylePr>
    <w:tblStylePr w:type="lastRow">
      <w:rPr>
        <w:b/>
        <w:bCs/>
      </w:rPr>
      <w:tblPr/>
      <w:tcPr>
        <w:tcBorders>
          <w:top w:val="double" w:sz="2" w:space="0" w:color="F3C5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GridTable2-Accent6">
    <w:name w:val="Grid Table 2 Accent 6"/>
    <w:basedOn w:val="TableNormal"/>
    <w:uiPriority w:val="47"/>
    <w:rsid w:val="0058629F"/>
    <w:pPr>
      <w:spacing w:line="240" w:lineRule="auto"/>
    </w:pPr>
    <w:tblPr>
      <w:tblStyleRowBandSize w:val="1"/>
      <w:tblStyleColBandSize w:val="1"/>
      <w:tblBorders>
        <w:top w:val="single" w:sz="2" w:space="0" w:color="2D5CD5" w:themeColor="accent6" w:themeTint="99"/>
        <w:bottom w:val="single" w:sz="2" w:space="0" w:color="2D5CD5" w:themeColor="accent6" w:themeTint="99"/>
        <w:insideH w:val="single" w:sz="2" w:space="0" w:color="2D5CD5" w:themeColor="accent6" w:themeTint="99"/>
        <w:insideV w:val="single" w:sz="2" w:space="0" w:color="2D5CD5" w:themeColor="accent6" w:themeTint="99"/>
      </w:tblBorders>
    </w:tblPr>
    <w:tblStylePr w:type="firstRow">
      <w:rPr>
        <w:b/>
        <w:bCs/>
      </w:rPr>
      <w:tblPr/>
      <w:tcPr>
        <w:tcBorders>
          <w:top w:val="nil"/>
          <w:bottom w:val="single" w:sz="12" w:space="0" w:color="2D5CD5" w:themeColor="accent6" w:themeTint="99"/>
          <w:insideH w:val="nil"/>
          <w:insideV w:val="nil"/>
        </w:tcBorders>
        <w:shd w:val="clear" w:color="auto" w:fill="FFFFFF" w:themeFill="background1"/>
      </w:tcPr>
    </w:tblStylePr>
    <w:tblStylePr w:type="lastRow">
      <w:rPr>
        <w:b/>
        <w:bCs/>
      </w:rPr>
      <w:tblPr/>
      <w:tcPr>
        <w:tcBorders>
          <w:top w:val="double" w:sz="2" w:space="0" w:color="2D5CD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GridTable3">
    <w:name w:val="Grid Table 3"/>
    <w:basedOn w:val="TableNormal"/>
    <w:uiPriority w:val="48"/>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8629F"/>
    <w:pPr>
      <w:spacing w:line="240" w:lineRule="auto"/>
    </w:pPr>
    <w:tblPr>
      <w:tblStyleRowBandSize w:val="1"/>
      <w:tblStyleColBandSize w:val="1"/>
      <w:tblBorders>
        <w:top w:val="single" w:sz="4" w:space="0" w:color="8AB1E9" w:themeColor="accent1" w:themeTint="99"/>
        <w:left w:val="single" w:sz="4" w:space="0" w:color="8AB1E9" w:themeColor="accent1" w:themeTint="99"/>
        <w:bottom w:val="single" w:sz="4" w:space="0" w:color="8AB1E9" w:themeColor="accent1" w:themeTint="99"/>
        <w:right w:val="single" w:sz="4" w:space="0" w:color="8AB1E9" w:themeColor="accent1" w:themeTint="99"/>
        <w:insideH w:val="single" w:sz="4" w:space="0" w:color="8AB1E9" w:themeColor="accent1" w:themeTint="99"/>
        <w:insideV w:val="single" w:sz="4" w:space="0" w:color="8AB1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7" w:themeFill="accent1" w:themeFillTint="33"/>
      </w:tcPr>
    </w:tblStylePr>
    <w:tblStylePr w:type="band1Horz">
      <w:tblPr/>
      <w:tcPr>
        <w:shd w:val="clear" w:color="auto" w:fill="D8E5F7" w:themeFill="accent1" w:themeFillTint="33"/>
      </w:tcPr>
    </w:tblStylePr>
    <w:tblStylePr w:type="neCell">
      <w:tblPr/>
      <w:tcPr>
        <w:tcBorders>
          <w:bottom w:val="single" w:sz="4" w:space="0" w:color="8AB1E9" w:themeColor="accent1" w:themeTint="99"/>
        </w:tcBorders>
      </w:tcPr>
    </w:tblStylePr>
    <w:tblStylePr w:type="nwCell">
      <w:tblPr/>
      <w:tcPr>
        <w:tcBorders>
          <w:bottom w:val="single" w:sz="4" w:space="0" w:color="8AB1E9" w:themeColor="accent1" w:themeTint="99"/>
        </w:tcBorders>
      </w:tcPr>
    </w:tblStylePr>
    <w:tblStylePr w:type="seCell">
      <w:tblPr/>
      <w:tcPr>
        <w:tcBorders>
          <w:top w:val="single" w:sz="4" w:space="0" w:color="8AB1E9" w:themeColor="accent1" w:themeTint="99"/>
        </w:tcBorders>
      </w:tcPr>
    </w:tblStylePr>
    <w:tblStylePr w:type="swCell">
      <w:tblPr/>
      <w:tcPr>
        <w:tcBorders>
          <w:top w:val="single" w:sz="4" w:space="0" w:color="8AB1E9" w:themeColor="accent1" w:themeTint="99"/>
        </w:tcBorders>
      </w:tcPr>
    </w:tblStylePr>
  </w:style>
  <w:style w:type="table" w:styleId="GridTable3-Accent2">
    <w:name w:val="Grid Table 3 Accent 2"/>
    <w:basedOn w:val="TableNormal"/>
    <w:uiPriority w:val="48"/>
    <w:rsid w:val="0058629F"/>
    <w:pPr>
      <w:spacing w:line="240" w:lineRule="auto"/>
    </w:pPr>
    <w:tblPr>
      <w:tblStyleRowBandSize w:val="1"/>
      <w:tblStyleColBandSize w:val="1"/>
      <w:tblBorders>
        <w:top w:val="single" w:sz="4" w:space="0" w:color="ABE3F2" w:themeColor="accent2" w:themeTint="99"/>
        <w:left w:val="single" w:sz="4" w:space="0" w:color="ABE3F2" w:themeColor="accent2" w:themeTint="99"/>
        <w:bottom w:val="single" w:sz="4" w:space="0" w:color="ABE3F2" w:themeColor="accent2" w:themeTint="99"/>
        <w:right w:val="single" w:sz="4" w:space="0" w:color="ABE3F2" w:themeColor="accent2" w:themeTint="99"/>
        <w:insideH w:val="single" w:sz="4" w:space="0" w:color="ABE3F2" w:themeColor="accent2" w:themeTint="99"/>
        <w:insideV w:val="single" w:sz="4" w:space="0" w:color="ABE3F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5FA" w:themeFill="accent2" w:themeFillTint="33"/>
      </w:tcPr>
    </w:tblStylePr>
    <w:tblStylePr w:type="band1Horz">
      <w:tblPr/>
      <w:tcPr>
        <w:shd w:val="clear" w:color="auto" w:fill="E3F5FA" w:themeFill="accent2" w:themeFillTint="33"/>
      </w:tcPr>
    </w:tblStylePr>
    <w:tblStylePr w:type="neCell">
      <w:tblPr/>
      <w:tcPr>
        <w:tcBorders>
          <w:bottom w:val="single" w:sz="4" w:space="0" w:color="ABE3F2" w:themeColor="accent2" w:themeTint="99"/>
        </w:tcBorders>
      </w:tcPr>
    </w:tblStylePr>
    <w:tblStylePr w:type="nwCell">
      <w:tblPr/>
      <w:tcPr>
        <w:tcBorders>
          <w:bottom w:val="single" w:sz="4" w:space="0" w:color="ABE3F2" w:themeColor="accent2" w:themeTint="99"/>
        </w:tcBorders>
      </w:tcPr>
    </w:tblStylePr>
    <w:tblStylePr w:type="seCell">
      <w:tblPr/>
      <w:tcPr>
        <w:tcBorders>
          <w:top w:val="single" w:sz="4" w:space="0" w:color="ABE3F2" w:themeColor="accent2" w:themeTint="99"/>
        </w:tcBorders>
      </w:tcPr>
    </w:tblStylePr>
    <w:tblStylePr w:type="swCell">
      <w:tblPr/>
      <w:tcPr>
        <w:tcBorders>
          <w:top w:val="single" w:sz="4" w:space="0" w:color="ABE3F2" w:themeColor="accent2" w:themeTint="99"/>
        </w:tcBorders>
      </w:tcPr>
    </w:tblStylePr>
  </w:style>
  <w:style w:type="table" w:styleId="GridTable3-Accent3">
    <w:name w:val="Grid Table 3 Accent 3"/>
    <w:basedOn w:val="TableNormal"/>
    <w:uiPriority w:val="48"/>
    <w:rsid w:val="0058629F"/>
    <w:pPr>
      <w:spacing w:line="240" w:lineRule="auto"/>
    </w:pPr>
    <w:tblPr>
      <w:tblStyleRowBandSize w:val="1"/>
      <w:tblStyleColBandSize w:val="1"/>
      <w:tblBorders>
        <w:top w:val="single" w:sz="4" w:space="0" w:color="B2E5DC" w:themeColor="accent3" w:themeTint="99"/>
        <w:left w:val="single" w:sz="4" w:space="0" w:color="B2E5DC" w:themeColor="accent3" w:themeTint="99"/>
        <w:bottom w:val="single" w:sz="4" w:space="0" w:color="B2E5DC" w:themeColor="accent3" w:themeTint="99"/>
        <w:right w:val="single" w:sz="4" w:space="0" w:color="B2E5DC" w:themeColor="accent3" w:themeTint="99"/>
        <w:insideH w:val="single" w:sz="4" w:space="0" w:color="B2E5DC" w:themeColor="accent3" w:themeTint="99"/>
        <w:insideV w:val="single" w:sz="4" w:space="0" w:color="B2E5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6F3" w:themeFill="accent3" w:themeFillTint="33"/>
      </w:tcPr>
    </w:tblStylePr>
    <w:tblStylePr w:type="band1Horz">
      <w:tblPr/>
      <w:tcPr>
        <w:shd w:val="clear" w:color="auto" w:fill="E5F6F3" w:themeFill="accent3" w:themeFillTint="33"/>
      </w:tcPr>
    </w:tblStylePr>
    <w:tblStylePr w:type="neCell">
      <w:tblPr/>
      <w:tcPr>
        <w:tcBorders>
          <w:bottom w:val="single" w:sz="4" w:space="0" w:color="B2E5DC" w:themeColor="accent3" w:themeTint="99"/>
        </w:tcBorders>
      </w:tcPr>
    </w:tblStylePr>
    <w:tblStylePr w:type="nwCell">
      <w:tblPr/>
      <w:tcPr>
        <w:tcBorders>
          <w:bottom w:val="single" w:sz="4" w:space="0" w:color="B2E5DC" w:themeColor="accent3" w:themeTint="99"/>
        </w:tcBorders>
      </w:tcPr>
    </w:tblStylePr>
    <w:tblStylePr w:type="seCell">
      <w:tblPr/>
      <w:tcPr>
        <w:tcBorders>
          <w:top w:val="single" w:sz="4" w:space="0" w:color="B2E5DC" w:themeColor="accent3" w:themeTint="99"/>
        </w:tcBorders>
      </w:tcPr>
    </w:tblStylePr>
    <w:tblStylePr w:type="swCell">
      <w:tblPr/>
      <w:tcPr>
        <w:tcBorders>
          <w:top w:val="single" w:sz="4" w:space="0" w:color="B2E5DC" w:themeColor="accent3" w:themeTint="99"/>
        </w:tcBorders>
      </w:tcPr>
    </w:tblStylePr>
  </w:style>
  <w:style w:type="table" w:styleId="GridTable3-Accent4">
    <w:name w:val="Grid Table 3 Accent 4"/>
    <w:basedOn w:val="TableNormal"/>
    <w:uiPriority w:val="48"/>
    <w:rsid w:val="0058629F"/>
    <w:pPr>
      <w:spacing w:line="240" w:lineRule="auto"/>
    </w:pPr>
    <w:tblPr>
      <w:tblStyleRowBandSize w:val="1"/>
      <w:tblStyleColBandSize w:val="1"/>
      <w:tblBorders>
        <w:top w:val="single" w:sz="4" w:space="0" w:color="FCE5AC" w:themeColor="accent4" w:themeTint="99"/>
        <w:left w:val="single" w:sz="4" w:space="0" w:color="FCE5AC" w:themeColor="accent4" w:themeTint="99"/>
        <w:bottom w:val="single" w:sz="4" w:space="0" w:color="FCE5AC" w:themeColor="accent4" w:themeTint="99"/>
        <w:right w:val="single" w:sz="4" w:space="0" w:color="FCE5AC" w:themeColor="accent4" w:themeTint="99"/>
        <w:insideH w:val="single" w:sz="4" w:space="0" w:color="FCE5AC" w:themeColor="accent4" w:themeTint="99"/>
        <w:insideV w:val="single" w:sz="4" w:space="0" w:color="FCE5A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E3" w:themeFill="accent4" w:themeFillTint="33"/>
      </w:tcPr>
    </w:tblStylePr>
    <w:tblStylePr w:type="band1Horz">
      <w:tblPr/>
      <w:tcPr>
        <w:shd w:val="clear" w:color="auto" w:fill="FEF6E3" w:themeFill="accent4" w:themeFillTint="33"/>
      </w:tcPr>
    </w:tblStylePr>
    <w:tblStylePr w:type="neCell">
      <w:tblPr/>
      <w:tcPr>
        <w:tcBorders>
          <w:bottom w:val="single" w:sz="4" w:space="0" w:color="FCE5AC" w:themeColor="accent4" w:themeTint="99"/>
        </w:tcBorders>
      </w:tcPr>
    </w:tblStylePr>
    <w:tblStylePr w:type="nwCell">
      <w:tblPr/>
      <w:tcPr>
        <w:tcBorders>
          <w:bottom w:val="single" w:sz="4" w:space="0" w:color="FCE5AC" w:themeColor="accent4" w:themeTint="99"/>
        </w:tcBorders>
      </w:tcPr>
    </w:tblStylePr>
    <w:tblStylePr w:type="seCell">
      <w:tblPr/>
      <w:tcPr>
        <w:tcBorders>
          <w:top w:val="single" w:sz="4" w:space="0" w:color="FCE5AC" w:themeColor="accent4" w:themeTint="99"/>
        </w:tcBorders>
      </w:tcPr>
    </w:tblStylePr>
    <w:tblStylePr w:type="swCell">
      <w:tblPr/>
      <w:tcPr>
        <w:tcBorders>
          <w:top w:val="single" w:sz="4" w:space="0" w:color="FCE5AC" w:themeColor="accent4" w:themeTint="99"/>
        </w:tcBorders>
      </w:tcPr>
    </w:tblStylePr>
  </w:style>
  <w:style w:type="table" w:styleId="GridTable3-Accent5">
    <w:name w:val="Grid Table 3 Accent 5"/>
    <w:basedOn w:val="TableNormal"/>
    <w:uiPriority w:val="48"/>
    <w:rsid w:val="0058629F"/>
    <w:pPr>
      <w:spacing w:line="240" w:lineRule="auto"/>
    </w:pPr>
    <w:tblPr>
      <w:tblStyleRowBandSize w:val="1"/>
      <w:tblStyleColBandSize w:val="1"/>
      <w:tblBorders>
        <w:top w:val="single" w:sz="4" w:space="0" w:color="F3C5B8" w:themeColor="accent5" w:themeTint="99"/>
        <w:left w:val="single" w:sz="4" w:space="0" w:color="F3C5B8" w:themeColor="accent5" w:themeTint="99"/>
        <w:bottom w:val="single" w:sz="4" w:space="0" w:color="F3C5B8" w:themeColor="accent5" w:themeTint="99"/>
        <w:right w:val="single" w:sz="4" w:space="0" w:color="F3C5B8" w:themeColor="accent5" w:themeTint="99"/>
        <w:insideH w:val="single" w:sz="4" w:space="0" w:color="F3C5B8" w:themeColor="accent5" w:themeTint="99"/>
        <w:insideV w:val="single" w:sz="4" w:space="0" w:color="F3C5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BE7" w:themeFill="accent5" w:themeFillTint="33"/>
      </w:tcPr>
    </w:tblStylePr>
    <w:tblStylePr w:type="band1Horz">
      <w:tblPr/>
      <w:tcPr>
        <w:shd w:val="clear" w:color="auto" w:fill="FBEBE7" w:themeFill="accent5" w:themeFillTint="33"/>
      </w:tcPr>
    </w:tblStylePr>
    <w:tblStylePr w:type="neCell">
      <w:tblPr/>
      <w:tcPr>
        <w:tcBorders>
          <w:bottom w:val="single" w:sz="4" w:space="0" w:color="F3C5B8" w:themeColor="accent5" w:themeTint="99"/>
        </w:tcBorders>
      </w:tcPr>
    </w:tblStylePr>
    <w:tblStylePr w:type="nwCell">
      <w:tblPr/>
      <w:tcPr>
        <w:tcBorders>
          <w:bottom w:val="single" w:sz="4" w:space="0" w:color="F3C5B8" w:themeColor="accent5" w:themeTint="99"/>
        </w:tcBorders>
      </w:tcPr>
    </w:tblStylePr>
    <w:tblStylePr w:type="seCell">
      <w:tblPr/>
      <w:tcPr>
        <w:tcBorders>
          <w:top w:val="single" w:sz="4" w:space="0" w:color="F3C5B8" w:themeColor="accent5" w:themeTint="99"/>
        </w:tcBorders>
      </w:tcPr>
    </w:tblStylePr>
    <w:tblStylePr w:type="swCell">
      <w:tblPr/>
      <w:tcPr>
        <w:tcBorders>
          <w:top w:val="single" w:sz="4" w:space="0" w:color="F3C5B8" w:themeColor="accent5" w:themeTint="99"/>
        </w:tcBorders>
      </w:tcPr>
    </w:tblStylePr>
  </w:style>
  <w:style w:type="table" w:styleId="GridTable3-Accent6">
    <w:name w:val="Grid Table 3 Accent 6"/>
    <w:basedOn w:val="TableNormal"/>
    <w:uiPriority w:val="48"/>
    <w:rsid w:val="0058629F"/>
    <w:pPr>
      <w:spacing w:line="240" w:lineRule="auto"/>
    </w:pPr>
    <w:tblPr>
      <w:tblStyleRowBandSize w:val="1"/>
      <w:tblStyleColBandSize w:val="1"/>
      <w:tblBorders>
        <w:top w:val="single" w:sz="4" w:space="0" w:color="2D5CD5" w:themeColor="accent6" w:themeTint="99"/>
        <w:left w:val="single" w:sz="4" w:space="0" w:color="2D5CD5" w:themeColor="accent6" w:themeTint="99"/>
        <w:bottom w:val="single" w:sz="4" w:space="0" w:color="2D5CD5" w:themeColor="accent6" w:themeTint="99"/>
        <w:right w:val="single" w:sz="4" w:space="0" w:color="2D5CD5" w:themeColor="accent6" w:themeTint="99"/>
        <w:insideH w:val="single" w:sz="4" w:space="0" w:color="2D5CD5" w:themeColor="accent6" w:themeTint="99"/>
        <w:insideV w:val="single" w:sz="4" w:space="0" w:color="2D5C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6" w:themeFillTint="33"/>
      </w:tcPr>
    </w:tblStylePr>
    <w:tblStylePr w:type="band1Horz">
      <w:tblPr/>
      <w:tcPr>
        <w:shd w:val="clear" w:color="auto" w:fill="B9C8F1" w:themeFill="accent6" w:themeFillTint="33"/>
      </w:tcPr>
    </w:tblStylePr>
    <w:tblStylePr w:type="neCell">
      <w:tblPr/>
      <w:tcPr>
        <w:tcBorders>
          <w:bottom w:val="single" w:sz="4" w:space="0" w:color="2D5CD5" w:themeColor="accent6" w:themeTint="99"/>
        </w:tcBorders>
      </w:tcPr>
    </w:tblStylePr>
    <w:tblStylePr w:type="nwCell">
      <w:tblPr/>
      <w:tcPr>
        <w:tcBorders>
          <w:bottom w:val="single" w:sz="4" w:space="0" w:color="2D5CD5" w:themeColor="accent6" w:themeTint="99"/>
        </w:tcBorders>
      </w:tcPr>
    </w:tblStylePr>
    <w:tblStylePr w:type="seCell">
      <w:tblPr/>
      <w:tcPr>
        <w:tcBorders>
          <w:top w:val="single" w:sz="4" w:space="0" w:color="2D5CD5" w:themeColor="accent6" w:themeTint="99"/>
        </w:tcBorders>
      </w:tcPr>
    </w:tblStylePr>
    <w:tblStylePr w:type="swCell">
      <w:tblPr/>
      <w:tcPr>
        <w:tcBorders>
          <w:top w:val="single" w:sz="4" w:space="0" w:color="2D5CD5" w:themeColor="accent6" w:themeTint="99"/>
        </w:tcBorders>
      </w:tcPr>
    </w:tblStylePr>
  </w:style>
  <w:style w:type="table" w:styleId="GridTable4">
    <w:name w:val="Grid Table 4"/>
    <w:basedOn w:val="TableNormal"/>
    <w:uiPriority w:val="49"/>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8629F"/>
    <w:pPr>
      <w:spacing w:line="240" w:lineRule="auto"/>
    </w:pPr>
    <w:tblPr>
      <w:tblStyleRowBandSize w:val="1"/>
      <w:tblStyleColBandSize w:val="1"/>
      <w:tblBorders>
        <w:top w:val="single" w:sz="4" w:space="0" w:color="8AB1E9" w:themeColor="accent1" w:themeTint="99"/>
        <w:left w:val="single" w:sz="4" w:space="0" w:color="8AB1E9" w:themeColor="accent1" w:themeTint="99"/>
        <w:bottom w:val="single" w:sz="4" w:space="0" w:color="8AB1E9" w:themeColor="accent1" w:themeTint="99"/>
        <w:right w:val="single" w:sz="4" w:space="0" w:color="8AB1E9" w:themeColor="accent1" w:themeTint="99"/>
        <w:insideH w:val="single" w:sz="4" w:space="0" w:color="8AB1E9" w:themeColor="accent1" w:themeTint="99"/>
        <w:insideV w:val="single" w:sz="4" w:space="0" w:color="8AB1E9" w:themeColor="accent1" w:themeTint="99"/>
      </w:tblBorders>
    </w:tblPr>
    <w:tblStylePr w:type="firstRow">
      <w:rPr>
        <w:b/>
        <w:bCs/>
        <w:color w:val="FFFFFF" w:themeColor="background1"/>
      </w:rPr>
      <w:tblPr/>
      <w:tcPr>
        <w:tcBorders>
          <w:top w:val="single" w:sz="4" w:space="0" w:color="3D7EDB" w:themeColor="accent1"/>
          <w:left w:val="single" w:sz="4" w:space="0" w:color="3D7EDB" w:themeColor="accent1"/>
          <w:bottom w:val="single" w:sz="4" w:space="0" w:color="3D7EDB" w:themeColor="accent1"/>
          <w:right w:val="single" w:sz="4" w:space="0" w:color="3D7EDB" w:themeColor="accent1"/>
          <w:insideH w:val="nil"/>
          <w:insideV w:val="nil"/>
        </w:tcBorders>
        <w:shd w:val="clear" w:color="auto" w:fill="3D7EDB" w:themeFill="accent1"/>
      </w:tcPr>
    </w:tblStylePr>
    <w:tblStylePr w:type="lastRow">
      <w:rPr>
        <w:b/>
        <w:bCs/>
      </w:rPr>
      <w:tblPr/>
      <w:tcPr>
        <w:tcBorders>
          <w:top w:val="double" w:sz="4" w:space="0" w:color="3D7EDB" w:themeColor="accent1"/>
        </w:tcBorders>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GridTable4-Accent2">
    <w:name w:val="Grid Table 4 Accent 2"/>
    <w:basedOn w:val="TableNormal"/>
    <w:uiPriority w:val="49"/>
    <w:rsid w:val="0058629F"/>
    <w:pPr>
      <w:spacing w:line="240" w:lineRule="auto"/>
    </w:pPr>
    <w:tblPr>
      <w:tblStyleRowBandSize w:val="1"/>
      <w:tblStyleColBandSize w:val="1"/>
      <w:tblBorders>
        <w:top w:val="single" w:sz="4" w:space="0" w:color="ABE3F2" w:themeColor="accent2" w:themeTint="99"/>
        <w:left w:val="single" w:sz="4" w:space="0" w:color="ABE3F2" w:themeColor="accent2" w:themeTint="99"/>
        <w:bottom w:val="single" w:sz="4" w:space="0" w:color="ABE3F2" w:themeColor="accent2" w:themeTint="99"/>
        <w:right w:val="single" w:sz="4" w:space="0" w:color="ABE3F2" w:themeColor="accent2" w:themeTint="99"/>
        <w:insideH w:val="single" w:sz="4" w:space="0" w:color="ABE3F2" w:themeColor="accent2" w:themeTint="99"/>
        <w:insideV w:val="single" w:sz="4" w:space="0" w:color="ABE3F2" w:themeColor="accent2" w:themeTint="99"/>
      </w:tblBorders>
    </w:tblPr>
    <w:tblStylePr w:type="firstRow">
      <w:rPr>
        <w:b/>
        <w:bCs/>
        <w:color w:val="FFFFFF" w:themeColor="background1"/>
      </w:rPr>
      <w:tblPr/>
      <w:tcPr>
        <w:tcBorders>
          <w:top w:val="single" w:sz="4" w:space="0" w:color="74D1EA" w:themeColor="accent2"/>
          <w:left w:val="single" w:sz="4" w:space="0" w:color="74D1EA" w:themeColor="accent2"/>
          <w:bottom w:val="single" w:sz="4" w:space="0" w:color="74D1EA" w:themeColor="accent2"/>
          <w:right w:val="single" w:sz="4" w:space="0" w:color="74D1EA" w:themeColor="accent2"/>
          <w:insideH w:val="nil"/>
          <w:insideV w:val="nil"/>
        </w:tcBorders>
        <w:shd w:val="clear" w:color="auto" w:fill="74D1EA" w:themeFill="accent2"/>
      </w:tcPr>
    </w:tblStylePr>
    <w:tblStylePr w:type="lastRow">
      <w:rPr>
        <w:b/>
        <w:bCs/>
      </w:rPr>
      <w:tblPr/>
      <w:tcPr>
        <w:tcBorders>
          <w:top w:val="double" w:sz="4" w:space="0" w:color="74D1EA" w:themeColor="accent2"/>
        </w:tcBorders>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GridTable4-Accent3">
    <w:name w:val="Grid Table 4 Accent 3"/>
    <w:basedOn w:val="TableNormal"/>
    <w:uiPriority w:val="49"/>
    <w:rsid w:val="0058629F"/>
    <w:pPr>
      <w:spacing w:line="240" w:lineRule="auto"/>
    </w:pPr>
    <w:tblPr>
      <w:tblStyleRowBandSize w:val="1"/>
      <w:tblStyleColBandSize w:val="1"/>
      <w:tblBorders>
        <w:top w:val="single" w:sz="4" w:space="0" w:color="B2E5DC" w:themeColor="accent3" w:themeTint="99"/>
        <w:left w:val="single" w:sz="4" w:space="0" w:color="B2E5DC" w:themeColor="accent3" w:themeTint="99"/>
        <w:bottom w:val="single" w:sz="4" w:space="0" w:color="B2E5DC" w:themeColor="accent3" w:themeTint="99"/>
        <w:right w:val="single" w:sz="4" w:space="0" w:color="B2E5DC" w:themeColor="accent3" w:themeTint="99"/>
        <w:insideH w:val="single" w:sz="4" w:space="0" w:color="B2E5DC" w:themeColor="accent3" w:themeTint="99"/>
        <w:insideV w:val="single" w:sz="4" w:space="0" w:color="B2E5DC" w:themeColor="accent3" w:themeTint="99"/>
      </w:tblBorders>
    </w:tblPr>
    <w:tblStylePr w:type="firstRow">
      <w:rPr>
        <w:b/>
        <w:bCs/>
        <w:color w:val="FFFFFF" w:themeColor="background1"/>
      </w:rPr>
      <w:tblPr/>
      <w:tcPr>
        <w:tcBorders>
          <w:top w:val="single" w:sz="4" w:space="0" w:color="7FD5C5" w:themeColor="accent3"/>
          <w:left w:val="single" w:sz="4" w:space="0" w:color="7FD5C5" w:themeColor="accent3"/>
          <w:bottom w:val="single" w:sz="4" w:space="0" w:color="7FD5C5" w:themeColor="accent3"/>
          <w:right w:val="single" w:sz="4" w:space="0" w:color="7FD5C5" w:themeColor="accent3"/>
          <w:insideH w:val="nil"/>
          <w:insideV w:val="nil"/>
        </w:tcBorders>
        <w:shd w:val="clear" w:color="auto" w:fill="7FD5C5" w:themeFill="accent3"/>
      </w:tcPr>
    </w:tblStylePr>
    <w:tblStylePr w:type="lastRow">
      <w:rPr>
        <w:b/>
        <w:bCs/>
      </w:rPr>
      <w:tblPr/>
      <w:tcPr>
        <w:tcBorders>
          <w:top w:val="double" w:sz="4" w:space="0" w:color="7FD5C5" w:themeColor="accent3"/>
        </w:tcBorders>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GridTable4-Accent4">
    <w:name w:val="Grid Table 4 Accent 4"/>
    <w:basedOn w:val="TableNormal"/>
    <w:uiPriority w:val="49"/>
    <w:rsid w:val="0058629F"/>
    <w:pPr>
      <w:spacing w:line="240" w:lineRule="auto"/>
    </w:pPr>
    <w:tblPr>
      <w:tblStyleRowBandSize w:val="1"/>
      <w:tblStyleColBandSize w:val="1"/>
      <w:tblBorders>
        <w:top w:val="single" w:sz="4" w:space="0" w:color="FCE5AC" w:themeColor="accent4" w:themeTint="99"/>
        <w:left w:val="single" w:sz="4" w:space="0" w:color="FCE5AC" w:themeColor="accent4" w:themeTint="99"/>
        <w:bottom w:val="single" w:sz="4" w:space="0" w:color="FCE5AC" w:themeColor="accent4" w:themeTint="99"/>
        <w:right w:val="single" w:sz="4" w:space="0" w:color="FCE5AC" w:themeColor="accent4" w:themeTint="99"/>
        <w:insideH w:val="single" w:sz="4" w:space="0" w:color="FCE5AC" w:themeColor="accent4" w:themeTint="99"/>
        <w:insideV w:val="single" w:sz="4" w:space="0" w:color="FCE5AC" w:themeColor="accent4" w:themeTint="99"/>
      </w:tblBorders>
    </w:tblPr>
    <w:tblStylePr w:type="firstRow">
      <w:rPr>
        <w:b/>
        <w:bCs/>
        <w:color w:val="FFFFFF" w:themeColor="background1"/>
      </w:rPr>
      <w:tblPr/>
      <w:tcPr>
        <w:tcBorders>
          <w:top w:val="single" w:sz="4" w:space="0" w:color="FBD476" w:themeColor="accent4"/>
          <w:left w:val="single" w:sz="4" w:space="0" w:color="FBD476" w:themeColor="accent4"/>
          <w:bottom w:val="single" w:sz="4" w:space="0" w:color="FBD476" w:themeColor="accent4"/>
          <w:right w:val="single" w:sz="4" w:space="0" w:color="FBD476" w:themeColor="accent4"/>
          <w:insideH w:val="nil"/>
          <w:insideV w:val="nil"/>
        </w:tcBorders>
        <w:shd w:val="clear" w:color="auto" w:fill="FBD476" w:themeFill="accent4"/>
      </w:tcPr>
    </w:tblStylePr>
    <w:tblStylePr w:type="lastRow">
      <w:rPr>
        <w:b/>
        <w:bCs/>
      </w:rPr>
      <w:tblPr/>
      <w:tcPr>
        <w:tcBorders>
          <w:top w:val="double" w:sz="4" w:space="0" w:color="FBD476" w:themeColor="accent4"/>
        </w:tcBorders>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GridTable4-Accent5">
    <w:name w:val="Grid Table 4 Accent 5"/>
    <w:basedOn w:val="TableNormal"/>
    <w:uiPriority w:val="49"/>
    <w:rsid w:val="0058629F"/>
    <w:pPr>
      <w:spacing w:line="240" w:lineRule="auto"/>
    </w:pPr>
    <w:tblPr>
      <w:tblStyleRowBandSize w:val="1"/>
      <w:tblStyleColBandSize w:val="1"/>
      <w:tblBorders>
        <w:top w:val="single" w:sz="4" w:space="0" w:color="F3C5B8" w:themeColor="accent5" w:themeTint="99"/>
        <w:left w:val="single" w:sz="4" w:space="0" w:color="F3C5B8" w:themeColor="accent5" w:themeTint="99"/>
        <w:bottom w:val="single" w:sz="4" w:space="0" w:color="F3C5B8" w:themeColor="accent5" w:themeTint="99"/>
        <w:right w:val="single" w:sz="4" w:space="0" w:color="F3C5B8" w:themeColor="accent5" w:themeTint="99"/>
        <w:insideH w:val="single" w:sz="4" w:space="0" w:color="F3C5B8" w:themeColor="accent5" w:themeTint="99"/>
        <w:insideV w:val="single" w:sz="4" w:space="0" w:color="F3C5B8" w:themeColor="accent5" w:themeTint="99"/>
      </w:tblBorders>
    </w:tblPr>
    <w:tblStylePr w:type="firstRow">
      <w:rPr>
        <w:b/>
        <w:bCs/>
        <w:color w:val="FFFFFF" w:themeColor="background1"/>
      </w:rPr>
      <w:tblPr/>
      <w:tcPr>
        <w:tcBorders>
          <w:top w:val="single" w:sz="4" w:space="0" w:color="EBA089" w:themeColor="accent5"/>
          <w:left w:val="single" w:sz="4" w:space="0" w:color="EBA089" w:themeColor="accent5"/>
          <w:bottom w:val="single" w:sz="4" w:space="0" w:color="EBA089" w:themeColor="accent5"/>
          <w:right w:val="single" w:sz="4" w:space="0" w:color="EBA089" w:themeColor="accent5"/>
          <w:insideH w:val="nil"/>
          <w:insideV w:val="nil"/>
        </w:tcBorders>
        <w:shd w:val="clear" w:color="auto" w:fill="EBA089" w:themeFill="accent5"/>
      </w:tcPr>
    </w:tblStylePr>
    <w:tblStylePr w:type="lastRow">
      <w:rPr>
        <w:b/>
        <w:bCs/>
      </w:rPr>
      <w:tblPr/>
      <w:tcPr>
        <w:tcBorders>
          <w:top w:val="double" w:sz="4" w:space="0" w:color="EBA089" w:themeColor="accent5"/>
        </w:tcBorders>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GridTable4-Accent6">
    <w:name w:val="Grid Table 4 Accent 6"/>
    <w:basedOn w:val="TableNormal"/>
    <w:uiPriority w:val="49"/>
    <w:rsid w:val="0058629F"/>
    <w:pPr>
      <w:spacing w:line="240" w:lineRule="auto"/>
    </w:pPr>
    <w:tblPr>
      <w:tblStyleRowBandSize w:val="1"/>
      <w:tblStyleColBandSize w:val="1"/>
      <w:tblBorders>
        <w:top w:val="single" w:sz="4" w:space="0" w:color="2D5CD5" w:themeColor="accent6" w:themeTint="99"/>
        <w:left w:val="single" w:sz="4" w:space="0" w:color="2D5CD5" w:themeColor="accent6" w:themeTint="99"/>
        <w:bottom w:val="single" w:sz="4" w:space="0" w:color="2D5CD5" w:themeColor="accent6" w:themeTint="99"/>
        <w:right w:val="single" w:sz="4" w:space="0" w:color="2D5CD5" w:themeColor="accent6" w:themeTint="99"/>
        <w:insideH w:val="single" w:sz="4" w:space="0" w:color="2D5CD5" w:themeColor="accent6" w:themeTint="99"/>
        <w:insideV w:val="single" w:sz="4" w:space="0" w:color="2D5CD5" w:themeColor="accent6" w:themeTint="99"/>
      </w:tblBorders>
    </w:tblPr>
    <w:tblStylePr w:type="firstRow">
      <w:rPr>
        <w:b/>
        <w:bCs/>
        <w:color w:val="FFFFFF" w:themeColor="background1"/>
      </w:rPr>
      <w:tblPr/>
      <w:tcPr>
        <w:tcBorders>
          <w:top w:val="single" w:sz="4" w:space="0" w:color="0F204B" w:themeColor="accent6"/>
          <w:left w:val="single" w:sz="4" w:space="0" w:color="0F204B" w:themeColor="accent6"/>
          <w:bottom w:val="single" w:sz="4" w:space="0" w:color="0F204B" w:themeColor="accent6"/>
          <w:right w:val="single" w:sz="4" w:space="0" w:color="0F204B" w:themeColor="accent6"/>
          <w:insideH w:val="nil"/>
          <w:insideV w:val="nil"/>
        </w:tcBorders>
        <w:shd w:val="clear" w:color="auto" w:fill="0F204B" w:themeFill="accent6"/>
      </w:tcPr>
    </w:tblStylePr>
    <w:tblStylePr w:type="lastRow">
      <w:rPr>
        <w:b/>
        <w:bCs/>
      </w:rPr>
      <w:tblPr/>
      <w:tcPr>
        <w:tcBorders>
          <w:top w:val="double" w:sz="4" w:space="0" w:color="0F204B" w:themeColor="accent6"/>
        </w:tcBorders>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GridTable5Dark">
    <w:name w:val="Grid Table 5 Dark"/>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7ED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7ED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7ED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7EDB" w:themeFill="accent1"/>
      </w:tcPr>
    </w:tblStylePr>
    <w:tblStylePr w:type="band1Vert">
      <w:tblPr/>
      <w:tcPr>
        <w:shd w:val="clear" w:color="auto" w:fill="B1CBF0" w:themeFill="accent1" w:themeFillTint="66"/>
      </w:tcPr>
    </w:tblStylePr>
    <w:tblStylePr w:type="band1Horz">
      <w:tblPr/>
      <w:tcPr>
        <w:shd w:val="clear" w:color="auto" w:fill="B1CBF0" w:themeFill="accent1" w:themeFillTint="66"/>
      </w:tcPr>
    </w:tblStylePr>
  </w:style>
  <w:style w:type="table" w:styleId="GridTable5Dark-Accent2">
    <w:name w:val="Grid Table 5 Dark Accent 2"/>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5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D1E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D1E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D1E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D1EA" w:themeFill="accent2"/>
      </w:tcPr>
    </w:tblStylePr>
    <w:tblStylePr w:type="band1Vert">
      <w:tblPr/>
      <w:tcPr>
        <w:shd w:val="clear" w:color="auto" w:fill="C7ECF6" w:themeFill="accent2" w:themeFillTint="66"/>
      </w:tcPr>
    </w:tblStylePr>
    <w:tblStylePr w:type="band1Horz">
      <w:tblPr/>
      <w:tcPr>
        <w:shd w:val="clear" w:color="auto" w:fill="C7ECF6" w:themeFill="accent2" w:themeFillTint="66"/>
      </w:tcPr>
    </w:tblStylePr>
  </w:style>
  <w:style w:type="table" w:styleId="GridTable5Dark-Accent3">
    <w:name w:val="Grid Table 5 Dark Accent 3"/>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6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D5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D5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D5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D5C5" w:themeFill="accent3"/>
      </w:tcPr>
    </w:tblStylePr>
    <w:tblStylePr w:type="band1Vert">
      <w:tblPr/>
      <w:tcPr>
        <w:shd w:val="clear" w:color="auto" w:fill="CBEEE7" w:themeFill="accent3" w:themeFillTint="66"/>
      </w:tcPr>
    </w:tblStylePr>
    <w:tblStylePr w:type="band1Horz">
      <w:tblPr/>
      <w:tcPr>
        <w:shd w:val="clear" w:color="auto" w:fill="CBEEE7" w:themeFill="accent3" w:themeFillTint="66"/>
      </w:tcPr>
    </w:tblStylePr>
  </w:style>
  <w:style w:type="table" w:styleId="GridTable5Dark-Accent4">
    <w:name w:val="Grid Table 5 Dark Accent 4"/>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D4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D4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D4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D476" w:themeFill="accent4"/>
      </w:tcPr>
    </w:tblStylePr>
    <w:tblStylePr w:type="band1Vert">
      <w:tblPr/>
      <w:tcPr>
        <w:shd w:val="clear" w:color="auto" w:fill="FDEDC7" w:themeFill="accent4" w:themeFillTint="66"/>
      </w:tcPr>
    </w:tblStylePr>
    <w:tblStylePr w:type="band1Horz">
      <w:tblPr/>
      <w:tcPr>
        <w:shd w:val="clear" w:color="auto" w:fill="FDEDC7" w:themeFill="accent4" w:themeFillTint="66"/>
      </w:tcPr>
    </w:tblStylePr>
  </w:style>
  <w:style w:type="table" w:styleId="GridTable5Dark-Accent5">
    <w:name w:val="Grid Table 5 Dark Accent 5"/>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B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A0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A0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A0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A089" w:themeFill="accent5"/>
      </w:tcPr>
    </w:tblStylePr>
    <w:tblStylePr w:type="band1Vert">
      <w:tblPr/>
      <w:tcPr>
        <w:shd w:val="clear" w:color="auto" w:fill="F7D8CF" w:themeFill="accent5" w:themeFillTint="66"/>
      </w:tcPr>
    </w:tblStylePr>
    <w:tblStylePr w:type="band1Horz">
      <w:tblPr/>
      <w:tcPr>
        <w:shd w:val="clear" w:color="auto" w:fill="F7D8CF" w:themeFill="accent5" w:themeFillTint="66"/>
      </w:tcPr>
    </w:tblStylePr>
  </w:style>
  <w:style w:type="table" w:styleId="GridTable5Dark-Accent6">
    <w:name w:val="Grid Table 5 Dark Accent 6"/>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C8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20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20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20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204B" w:themeFill="accent6"/>
      </w:tcPr>
    </w:tblStylePr>
    <w:tblStylePr w:type="band1Vert">
      <w:tblPr/>
      <w:tcPr>
        <w:shd w:val="clear" w:color="auto" w:fill="7392E3" w:themeFill="accent6" w:themeFillTint="66"/>
      </w:tcPr>
    </w:tblStylePr>
    <w:tblStylePr w:type="band1Horz">
      <w:tblPr/>
      <w:tcPr>
        <w:shd w:val="clear" w:color="auto" w:fill="7392E3" w:themeFill="accent6" w:themeFillTint="66"/>
      </w:tcPr>
    </w:tblStylePr>
  </w:style>
  <w:style w:type="table" w:styleId="GridTable6Colorful">
    <w:name w:val="Grid Table 6 Colorful"/>
    <w:basedOn w:val="TableNormal"/>
    <w:uiPriority w:val="51"/>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8629F"/>
    <w:pPr>
      <w:spacing w:line="240" w:lineRule="auto"/>
    </w:pPr>
    <w:rPr>
      <w:color w:val="205BB0" w:themeColor="accent1" w:themeShade="BF"/>
    </w:rPr>
    <w:tblPr>
      <w:tblStyleRowBandSize w:val="1"/>
      <w:tblStyleColBandSize w:val="1"/>
      <w:tblBorders>
        <w:top w:val="single" w:sz="4" w:space="0" w:color="8AB1E9" w:themeColor="accent1" w:themeTint="99"/>
        <w:left w:val="single" w:sz="4" w:space="0" w:color="8AB1E9" w:themeColor="accent1" w:themeTint="99"/>
        <w:bottom w:val="single" w:sz="4" w:space="0" w:color="8AB1E9" w:themeColor="accent1" w:themeTint="99"/>
        <w:right w:val="single" w:sz="4" w:space="0" w:color="8AB1E9" w:themeColor="accent1" w:themeTint="99"/>
        <w:insideH w:val="single" w:sz="4" w:space="0" w:color="8AB1E9" w:themeColor="accent1" w:themeTint="99"/>
        <w:insideV w:val="single" w:sz="4" w:space="0" w:color="8AB1E9" w:themeColor="accent1" w:themeTint="99"/>
      </w:tblBorders>
    </w:tblPr>
    <w:tblStylePr w:type="firstRow">
      <w:rPr>
        <w:b/>
        <w:bCs/>
      </w:rPr>
      <w:tblPr/>
      <w:tcPr>
        <w:tcBorders>
          <w:bottom w:val="single" w:sz="12" w:space="0" w:color="8AB1E9" w:themeColor="accent1" w:themeTint="99"/>
        </w:tcBorders>
      </w:tcPr>
    </w:tblStylePr>
    <w:tblStylePr w:type="lastRow">
      <w:rPr>
        <w:b/>
        <w:bCs/>
      </w:rPr>
      <w:tblPr/>
      <w:tcPr>
        <w:tcBorders>
          <w:top w:val="double" w:sz="4" w:space="0" w:color="8AB1E9" w:themeColor="accent1" w:themeTint="99"/>
        </w:tcBorders>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GridTable6Colorful-Accent2">
    <w:name w:val="Grid Table 6 Colorful Accent 2"/>
    <w:basedOn w:val="TableNormal"/>
    <w:uiPriority w:val="51"/>
    <w:rsid w:val="0058629F"/>
    <w:pPr>
      <w:spacing w:line="240" w:lineRule="auto"/>
    </w:pPr>
    <w:rPr>
      <w:color w:val="27B7DE" w:themeColor="accent2" w:themeShade="BF"/>
    </w:rPr>
    <w:tblPr>
      <w:tblStyleRowBandSize w:val="1"/>
      <w:tblStyleColBandSize w:val="1"/>
      <w:tblBorders>
        <w:top w:val="single" w:sz="4" w:space="0" w:color="ABE3F2" w:themeColor="accent2" w:themeTint="99"/>
        <w:left w:val="single" w:sz="4" w:space="0" w:color="ABE3F2" w:themeColor="accent2" w:themeTint="99"/>
        <w:bottom w:val="single" w:sz="4" w:space="0" w:color="ABE3F2" w:themeColor="accent2" w:themeTint="99"/>
        <w:right w:val="single" w:sz="4" w:space="0" w:color="ABE3F2" w:themeColor="accent2" w:themeTint="99"/>
        <w:insideH w:val="single" w:sz="4" w:space="0" w:color="ABE3F2" w:themeColor="accent2" w:themeTint="99"/>
        <w:insideV w:val="single" w:sz="4" w:space="0" w:color="ABE3F2" w:themeColor="accent2" w:themeTint="99"/>
      </w:tblBorders>
    </w:tblPr>
    <w:tblStylePr w:type="firstRow">
      <w:rPr>
        <w:b/>
        <w:bCs/>
      </w:rPr>
      <w:tblPr/>
      <w:tcPr>
        <w:tcBorders>
          <w:bottom w:val="single" w:sz="12" w:space="0" w:color="ABE3F2" w:themeColor="accent2" w:themeTint="99"/>
        </w:tcBorders>
      </w:tcPr>
    </w:tblStylePr>
    <w:tblStylePr w:type="lastRow">
      <w:rPr>
        <w:b/>
        <w:bCs/>
      </w:rPr>
      <w:tblPr/>
      <w:tcPr>
        <w:tcBorders>
          <w:top w:val="double" w:sz="4" w:space="0" w:color="ABE3F2" w:themeColor="accent2" w:themeTint="99"/>
        </w:tcBorders>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GridTable6Colorful-Accent3">
    <w:name w:val="Grid Table 6 Colorful Accent 3"/>
    <w:basedOn w:val="TableNormal"/>
    <w:uiPriority w:val="51"/>
    <w:rsid w:val="0058629F"/>
    <w:pPr>
      <w:spacing w:line="240" w:lineRule="auto"/>
    </w:pPr>
    <w:rPr>
      <w:color w:val="3FBFA7" w:themeColor="accent3" w:themeShade="BF"/>
    </w:rPr>
    <w:tblPr>
      <w:tblStyleRowBandSize w:val="1"/>
      <w:tblStyleColBandSize w:val="1"/>
      <w:tblBorders>
        <w:top w:val="single" w:sz="4" w:space="0" w:color="B2E5DC" w:themeColor="accent3" w:themeTint="99"/>
        <w:left w:val="single" w:sz="4" w:space="0" w:color="B2E5DC" w:themeColor="accent3" w:themeTint="99"/>
        <w:bottom w:val="single" w:sz="4" w:space="0" w:color="B2E5DC" w:themeColor="accent3" w:themeTint="99"/>
        <w:right w:val="single" w:sz="4" w:space="0" w:color="B2E5DC" w:themeColor="accent3" w:themeTint="99"/>
        <w:insideH w:val="single" w:sz="4" w:space="0" w:color="B2E5DC" w:themeColor="accent3" w:themeTint="99"/>
        <w:insideV w:val="single" w:sz="4" w:space="0" w:color="B2E5DC" w:themeColor="accent3" w:themeTint="99"/>
      </w:tblBorders>
    </w:tblPr>
    <w:tblStylePr w:type="firstRow">
      <w:rPr>
        <w:b/>
        <w:bCs/>
      </w:rPr>
      <w:tblPr/>
      <w:tcPr>
        <w:tcBorders>
          <w:bottom w:val="single" w:sz="12" w:space="0" w:color="B2E5DC" w:themeColor="accent3" w:themeTint="99"/>
        </w:tcBorders>
      </w:tcPr>
    </w:tblStylePr>
    <w:tblStylePr w:type="lastRow">
      <w:rPr>
        <w:b/>
        <w:bCs/>
      </w:rPr>
      <w:tblPr/>
      <w:tcPr>
        <w:tcBorders>
          <w:top w:val="double" w:sz="4" w:space="0" w:color="B2E5DC" w:themeColor="accent3" w:themeTint="99"/>
        </w:tcBorders>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GridTable6Colorful-Accent4">
    <w:name w:val="Grid Table 6 Colorful Accent 4"/>
    <w:basedOn w:val="TableNormal"/>
    <w:uiPriority w:val="51"/>
    <w:rsid w:val="0058629F"/>
    <w:pPr>
      <w:spacing w:line="240" w:lineRule="auto"/>
    </w:pPr>
    <w:rPr>
      <w:color w:val="F8B71B" w:themeColor="accent4" w:themeShade="BF"/>
    </w:rPr>
    <w:tblPr>
      <w:tblStyleRowBandSize w:val="1"/>
      <w:tblStyleColBandSize w:val="1"/>
      <w:tblBorders>
        <w:top w:val="single" w:sz="4" w:space="0" w:color="FCE5AC" w:themeColor="accent4" w:themeTint="99"/>
        <w:left w:val="single" w:sz="4" w:space="0" w:color="FCE5AC" w:themeColor="accent4" w:themeTint="99"/>
        <w:bottom w:val="single" w:sz="4" w:space="0" w:color="FCE5AC" w:themeColor="accent4" w:themeTint="99"/>
        <w:right w:val="single" w:sz="4" w:space="0" w:color="FCE5AC" w:themeColor="accent4" w:themeTint="99"/>
        <w:insideH w:val="single" w:sz="4" w:space="0" w:color="FCE5AC" w:themeColor="accent4" w:themeTint="99"/>
        <w:insideV w:val="single" w:sz="4" w:space="0" w:color="FCE5AC" w:themeColor="accent4" w:themeTint="99"/>
      </w:tblBorders>
    </w:tblPr>
    <w:tblStylePr w:type="firstRow">
      <w:rPr>
        <w:b/>
        <w:bCs/>
      </w:rPr>
      <w:tblPr/>
      <w:tcPr>
        <w:tcBorders>
          <w:bottom w:val="single" w:sz="12" w:space="0" w:color="FCE5AC" w:themeColor="accent4" w:themeTint="99"/>
        </w:tcBorders>
      </w:tcPr>
    </w:tblStylePr>
    <w:tblStylePr w:type="lastRow">
      <w:rPr>
        <w:b/>
        <w:bCs/>
      </w:rPr>
      <w:tblPr/>
      <w:tcPr>
        <w:tcBorders>
          <w:top w:val="double" w:sz="4" w:space="0" w:color="FCE5AC" w:themeColor="accent4" w:themeTint="99"/>
        </w:tcBorders>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GridTable6Colorful-Accent5">
    <w:name w:val="Grid Table 6 Colorful Accent 5"/>
    <w:basedOn w:val="TableNormal"/>
    <w:uiPriority w:val="51"/>
    <w:rsid w:val="0058629F"/>
    <w:pPr>
      <w:spacing w:line="240" w:lineRule="auto"/>
    </w:pPr>
    <w:rPr>
      <w:color w:val="DD5E38" w:themeColor="accent5" w:themeShade="BF"/>
    </w:rPr>
    <w:tblPr>
      <w:tblStyleRowBandSize w:val="1"/>
      <w:tblStyleColBandSize w:val="1"/>
      <w:tblBorders>
        <w:top w:val="single" w:sz="4" w:space="0" w:color="F3C5B8" w:themeColor="accent5" w:themeTint="99"/>
        <w:left w:val="single" w:sz="4" w:space="0" w:color="F3C5B8" w:themeColor="accent5" w:themeTint="99"/>
        <w:bottom w:val="single" w:sz="4" w:space="0" w:color="F3C5B8" w:themeColor="accent5" w:themeTint="99"/>
        <w:right w:val="single" w:sz="4" w:space="0" w:color="F3C5B8" w:themeColor="accent5" w:themeTint="99"/>
        <w:insideH w:val="single" w:sz="4" w:space="0" w:color="F3C5B8" w:themeColor="accent5" w:themeTint="99"/>
        <w:insideV w:val="single" w:sz="4" w:space="0" w:color="F3C5B8" w:themeColor="accent5" w:themeTint="99"/>
      </w:tblBorders>
    </w:tblPr>
    <w:tblStylePr w:type="firstRow">
      <w:rPr>
        <w:b/>
        <w:bCs/>
      </w:rPr>
      <w:tblPr/>
      <w:tcPr>
        <w:tcBorders>
          <w:bottom w:val="single" w:sz="12" w:space="0" w:color="F3C5B8" w:themeColor="accent5" w:themeTint="99"/>
        </w:tcBorders>
      </w:tcPr>
    </w:tblStylePr>
    <w:tblStylePr w:type="lastRow">
      <w:rPr>
        <w:b/>
        <w:bCs/>
      </w:rPr>
      <w:tblPr/>
      <w:tcPr>
        <w:tcBorders>
          <w:top w:val="double" w:sz="4" w:space="0" w:color="F3C5B8" w:themeColor="accent5" w:themeTint="99"/>
        </w:tcBorders>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GridTable6Colorful-Accent6">
    <w:name w:val="Grid Table 6 Colorful Accent 6"/>
    <w:basedOn w:val="TableNormal"/>
    <w:uiPriority w:val="51"/>
    <w:rsid w:val="0058629F"/>
    <w:pPr>
      <w:spacing w:line="240" w:lineRule="auto"/>
    </w:pPr>
    <w:rPr>
      <w:color w:val="0B1738" w:themeColor="accent6" w:themeShade="BF"/>
    </w:rPr>
    <w:tblPr>
      <w:tblStyleRowBandSize w:val="1"/>
      <w:tblStyleColBandSize w:val="1"/>
      <w:tblBorders>
        <w:top w:val="single" w:sz="4" w:space="0" w:color="2D5CD5" w:themeColor="accent6" w:themeTint="99"/>
        <w:left w:val="single" w:sz="4" w:space="0" w:color="2D5CD5" w:themeColor="accent6" w:themeTint="99"/>
        <w:bottom w:val="single" w:sz="4" w:space="0" w:color="2D5CD5" w:themeColor="accent6" w:themeTint="99"/>
        <w:right w:val="single" w:sz="4" w:space="0" w:color="2D5CD5" w:themeColor="accent6" w:themeTint="99"/>
        <w:insideH w:val="single" w:sz="4" w:space="0" w:color="2D5CD5" w:themeColor="accent6" w:themeTint="99"/>
        <w:insideV w:val="single" w:sz="4" w:space="0" w:color="2D5CD5" w:themeColor="accent6" w:themeTint="99"/>
      </w:tblBorders>
    </w:tblPr>
    <w:tblStylePr w:type="firstRow">
      <w:rPr>
        <w:b/>
        <w:bCs/>
      </w:rPr>
      <w:tblPr/>
      <w:tcPr>
        <w:tcBorders>
          <w:bottom w:val="single" w:sz="12" w:space="0" w:color="2D5CD5" w:themeColor="accent6" w:themeTint="99"/>
        </w:tcBorders>
      </w:tcPr>
    </w:tblStylePr>
    <w:tblStylePr w:type="lastRow">
      <w:rPr>
        <w:b/>
        <w:bCs/>
      </w:rPr>
      <w:tblPr/>
      <w:tcPr>
        <w:tcBorders>
          <w:top w:val="double" w:sz="4" w:space="0" w:color="2D5CD5" w:themeColor="accent6" w:themeTint="99"/>
        </w:tcBorders>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GridTable7Colorful">
    <w:name w:val="Grid Table 7 Colorful"/>
    <w:basedOn w:val="TableNormal"/>
    <w:uiPriority w:val="52"/>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8629F"/>
    <w:pPr>
      <w:spacing w:line="240" w:lineRule="auto"/>
    </w:pPr>
    <w:rPr>
      <w:color w:val="205BB0" w:themeColor="accent1" w:themeShade="BF"/>
    </w:rPr>
    <w:tblPr>
      <w:tblStyleRowBandSize w:val="1"/>
      <w:tblStyleColBandSize w:val="1"/>
      <w:tblBorders>
        <w:top w:val="single" w:sz="4" w:space="0" w:color="8AB1E9" w:themeColor="accent1" w:themeTint="99"/>
        <w:left w:val="single" w:sz="4" w:space="0" w:color="8AB1E9" w:themeColor="accent1" w:themeTint="99"/>
        <w:bottom w:val="single" w:sz="4" w:space="0" w:color="8AB1E9" w:themeColor="accent1" w:themeTint="99"/>
        <w:right w:val="single" w:sz="4" w:space="0" w:color="8AB1E9" w:themeColor="accent1" w:themeTint="99"/>
        <w:insideH w:val="single" w:sz="4" w:space="0" w:color="8AB1E9" w:themeColor="accent1" w:themeTint="99"/>
        <w:insideV w:val="single" w:sz="4" w:space="0" w:color="8AB1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7" w:themeFill="accent1" w:themeFillTint="33"/>
      </w:tcPr>
    </w:tblStylePr>
    <w:tblStylePr w:type="band1Horz">
      <w:tblPr/>
      <w:tcPr>
        <w:shd w:val="clear" w:color="auto" w:fill="D8E5F7" w:themeFill="accent1" w:themeFillTint="33"/>
      </w:tcPr>
    </w:tblStylePr>
    <w:tblStylePr w:type="neCell">
      <w:tblPr/>
      <w:tcPr>
        <w:tcBorders>
          <w:bottom w:val="single" w:sz="4" w:space="0" w:color="8AB1E9" w:themeColor="accent1" w:themeTint="99"/>
        </w:tcBorders>
      </w:tcPr>
    </w:tblStylePr>
    <w:tblStylePr w:type="nwCell">
      <w:tblPr/>
      <w:tcPr>
        <w:tcBorders>
          <w:bottom w:val="single" w:sz="4" w:space="0" w:color="8AB1E9" w:themeColor="accent1" w:themeTint="99"/>
        </w:tcBorders>
      </w:tcPr>
    </w:tblStylePr>
    <w:tblStylePr w:type="seCell">
      <w:tblPr/>
      <w:tcPr>
        <w:tcBorders>
          <w:top w:val="single" w:sz="4" w:space="0" w:color="8AB1E9" w:themeColor="accent1" w:themeTint="99"/>
        </w:tcBorders>
      </w:tcPr>
    </w:tblStylePr>
    <w:tblStylePr w:type="swCell">
      <w:tblPr/>
      <w:tcPr>
        <w:tcBorders>
          <w:top w:val="single" w:sz="4" w:space="0" w:color="8AB1E9" w:themeColor="accent1" w:themeTint="99"/>
        </w:tcBorders>
      </w:tcPr>
    </w:tblStylePr>
  </w:style>
  <w:style w:type="table" w:styleId="GridTable7Colorful-Accent2">
    <w:name w:val="Grid Table 7 Colorful Accent 2"/>
    <w:basedOn w:val="TableNormal"/>
    <w:uiPriority w:val="52"/>
    <w:rsid w:val="0058629F"/>
    <w:pPr>
      <w:spacing w:line="240" w:lineRule="auto"/>
    </w:pPr>
    <w:rPr>
      <w:color w:val="27B7DE" w:themeColor="accent2" w:themeShade="BF"/>
    </w:rPr>
    <w:tblPr>
      <w:tblStyleRowBandSize w:val="1"/>
      <w:tblStyleColBandSize w:val="1"/>
      <w:tblBorders>
        <w:top w:val="single" w:sz="4" w:space="0" w:color="ABE3F2" w:themeColor="accent2" w:themeTint="99"/>
        <w:left w:val="single" w:sz="4" w:space="0" w:color="ABE3F2" w:themeColor="accent2" w:themeTint="99"/>
        <w:bottom w:val="single" w:sz="4" w:space="0" w:color="ABE3F2" w:themeColor="accent2" w:themeTint="99"/>
        <w:right w:val="single" w:sz="4" w:space="0" w:color="ABE3F2" w:themeColor="accent2" w:themeTint="99"/>
        <w:insideH w:val="single" w:sz="4" w:space="0" w:color="ABE3F2" w:themeColor="accent2" w:themeTint="99"/>
        <w:insideV w:val="single" w:sz="4" w:space="0" w:color="ABE3F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5FA" w:themeFill="accent2" w:themeFillTint="33"/>
      </w:tcPr>
    </w:tblStylePr>
    <w:tblStylePr w:type="band1Horz">
      <w:tblPr/>
      <w:tcPr>
        <w:shd w:val="clear" w:color="auto" w:fill="E3F5FA" w:themeFill="accent2" w:themeFillTint="33"/>
      </w:tcPr>
    </w:tblStylePr>
    <w:tblStylePr w:type="neCell">
      <w:tblPr/>
      <w:tcPr>
        <w:tcBorders>
          <w:bottom w:val="single" w:sz="4" w:space="0" w:color="ABE3F2" w:themeColor="accent2" w:themeTint="99"/>
        </w:tcBorders>
      </w:tcPr>
    </w:tblStylePr>
    <w:tblStylePr w:type="nwCell">
      <w:tblPr/>
      <w:tcPr>
        <w:tcBorders>
          <w:bottom w:val="single" w:sz="4" w:space="0" w:color="ABE3F2" w:themeColor="accent2" w:themeTint="99"/>
        </w:tcBorders>
      </w:tcPr>
    </w:tblStylePr>
    <w:tblStylePr w:type="seCell">
      <w:tblPr/>
      <w:tcPr>
        <w:tcBorders>
          <w:top w:val="single" w:sz="4" w:space="0" w:color="ABE3F2" w:themeColor="accent2" w:themeTint="99"/>
        </w:tcBorders>
      </w:tcPr>
    </w:tblStylePr>
    <w:tblStylePr w:type="swCell">
      <w:tblPr/>
      <w:tcPr>
        <w:tcBorders>
          <w:top w:val="single" w:sz="4" w:space="0" w:color="ABE3F2" w:themeColor="accent2" w:themeTint="99"/>
        </w:tcBorders>
      </w:tcPr>
    </w:tblStylePr>
  </w:style>
  <w:style w:type="table" w:styleId="GridTable7Colorful-Accent3">
    <w:name w:val="Grid Table 7 Colorful Accent 3"/>
    <w:basedOn w:val="TableNormal"/>
    <w:uiPriority w:val="52"/>
    <w:rsid w:val="0058629F"/>
    <w:pPr>
      <w:spacing w:line="240" w:lineRule="auto"/>
    </w:pPr>
    <w:rPr>
      <w:color w:val="3FBFA7" w:themeColor="accent3" w:themeShade="BF"/>
    </w:rPr>
    <w:tblPr>
      <w:tblStyleRowBandSize w:val="1"/>
      <w:tblStyleColBandSize w:val="1"/>
      <w:tblBorders>
        <w:top w:val="single" w:sz="4" w:space="0" w:color="B2E5DC" w:themeColor="accent3" w:themeTint="99"/>
        <w:left w:val="single" w:sz="4" w:space="0" w:color="B2E5DC" w:themeColor="accent3" w:themeTint="99"/>
        <w:bottom w:val="single" w:sz="4" w:space="0" w:color="B2E5DC" w:themeColor="accent3" w:themeTint="99"/>
        <w:right w:val="single" w:sz="4" w:space="0" w:color="B2E5DC" w:themeColor="accent3" w:themeTint="99"/>
        <w:insideH w:val="single" w:sz="4" w:space="0" w:color="B2E5DC" w:themeColor="accent3" w:themeTint="99"/>
        <w:insideV w:val="single" w:sz="4" w:space="0" w:color="B2E5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6F3" w:themeFill="accent3" w:themeFillTint="33"/>
      </w:tcPr>
    </w:tblStylePr>
    <w:tblStylePr w:type="band1Horz">
      <w:tblPr/>
      <w:tcPr>
        <w:shd w:val="clear" w:color="auto" w:fill="E5F6F3" w:themeFill="accent3" w:themeFillTint="33"/>
      </w:tcPr>
    </w:tblStylePr>
    <w:tblStylePr w:type="neCell">
      <w:tblPr/>
      <w:tcPr>
        <w:tcBorders>
          <w:bottom w:val="single" w:sz="4" w:space="0" w:color="B2E5DC" w:themeColor="accent3" w:themeTint="99"/>
        </w:tcBorders>
      </w:tcPr>
    </w:tblStylePr>
    <w:tblStylePr w:type="nwCell">
      <w:tblPr/>
      <w:tcPr>
        <w:tcBorders>
          <w:bottom w:val="single" w:sz="4" w:space="0" w:color="B2E5DC" w:themeColor="accent3" w:themeTint="99"/>
        </w:tcBorders>
      </w:tcPr>
    </w:tblStylePr>
    <w:tblStylePr w:type="seCell">
      <w:tblPr/>
      <w:tcPr>
        <w:tcBorders>
          <w:top w:val="single" w:sz="4" w:space="0" w:color="B2E5DC" w:themeColor="accent3" w:themeTint="99"/>
        </w:tcBorders>
      </w:tcPr>
    </w:tblStylePr>
    <w:tblStylePr w:type="swCell">
      <w:tblPr/>
      <w:tcPr>
        <w:tcBorders>
          <w:top w:val="single" w:sz="4" w:space="0" w:color="B2E5DC" w:themeColor="accent3" w:themeTint="99"/>
        </w:tcBorders>
      </w:tcPr>
    </w:tblStylePr>
  </w:style>
  <w:style w:type="table" w:styleId="GridTable7Colorful-Accent4">
    <w:name w:val="Grid Table 7 Colorful Accent 4"/>
    <w:basedOn w:val="TableNormal"/>
    <w:uiPriority w:val="52"/>
    <w:rsid w:val="0058629F"/>
    <w:pPr>
      <w:spacing w:line="240" w:lineRule="auto"/>
    </w:pPr>
    <w:rPr>
      <w:color w:val="F8B71B" w:themeColor="accent4" w:themeShade="BF"/>
    </w:rPr>
    <w:tblPr>
      <w:tblStyleRowBandSize w:val="1"/>
      <w:tblStyleColBandSize w:val="1"/>
      <w:tblBorders>
        <w:top w:val="single" w:sz="4" w:space="0" w:color="FCE5AC" w:themeColor="accent4" w:themeTint="99"/>
        <w:left w:val="single" w:sz="4" w:space="0" w:color="FCE5AC" w:themeColor="accent4" w:themeTint="99"/>
        <w:bottom w:val="single" w:sz="4" w:space="0" w:color="FCE5AC" w:themeColor="accent4" w:themeTint="99"/>
        <w:right w:val="single" w:sz="4" w:space="0" w:color="FCE5AC" w:themeColor="accent4" w:themeTint="99"/>
        <w:insideH w:val="single" w:sz="4" w:space="0" w:color="FCE5AC" w:themeColor="accent4" w:themeTint="99"/>
        <w:insideV w:val="single" w:sz="4" w:space="0" w:color="FCE5A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E3" w:themeFill="accent4" w:themeFillTint="33"/>
      </w:tcPr>
    </w:tblStylePr>
    <w:tblStylePr w:type="band1Horz">
      <w:tblPr/>
      <w:tcPr>
        <w:shd w:val="clear" w:color="auto" w:fill="FEF6E3" w:themeFill="accent4" w:themeFillTint="33"/>
      </w:tcPr>
    </w:tblStylePr>
    <w:tblStylePr w:type="neCell">
      <w:tblPr/>
      <w:tcPr>
        <w:tcBorders>
          <w:bottom w:val="single" w:sz="4" w:space="0" w:color="FCE5AC" w:themeColor="accent4" w:themeTint="99"/>
        </w:tcBorders>
      </w:tcPr>
    </w:tblStylePr>
    <w:tblStylePr w:type="nwCell">
      <w:tblPr/>
      <w:tcPr>
        <w:tcBorders>
          <w:bottom w:val="single" w:sz="4" w:space="0" w:color="FCE5AC" w:themeColor="accent4" w:themeTint="99"/>
        </w:tcBorders>
      </w:tcPr>
    </w:tblStylePr>
    <w:tblStylePr w:type="seCell">
      <w:tblPr/>
      <w:tcPr>
        <w:tcBorders>
          <w:top w:val="single" w:sz="4" w:space="0" w:color="FCE5AC" w:themeColor="accent4" w:themeTint="99"/>
        </w:tcBorders>
      </w:tcPr>
    </w:tblStylePr>
    <w:tblStylePr w:type="swCell">
      <w:tblPr/>
      <w:tcPr>
        <w:tcBorders>
          <w:top w:val="single" w:sz="4" w:space="0" w:color="FCE5AC" w:themeColor="accent4" w:themeTint="99"/>
        </w:tcBorders>
      </w:tcPr>
    </w:tblStylePr>
  </w:style>
  <w:style w:type="table" w:styleId="GridTable7Colorful-Accent5">
    <w:name w:val="Grid Table 7 Colorful Accent 5"/>
    <w:basedOn w:val="TableNormal"/>
    <w:uiPriority w:val="52"/>
    <w:rsid w:val="0058629F"/>
    <w:pPr>
      <w:spacing w:line="240" w:lineRule="auto"/>
    </w:pPr>
    <w:rPr>
      <w:color w:val="DD5E38" w:themeColor="accent5" w:themeShade="BF"/>
    </w:rPr>
    <w:tblPr>
      <w:tblStyleRowBandSize w:val="1"/>
      <w:tblStyleColBandSize w:val="1"/>
      <w:tblBorders>
        <w:top w:val="single" w:sz="4" w:space="0" w:color="F3C5B8" w:themeColor="accent5" w:themeTint="99"/>
        <w:left w:val="single" w:sz="4" w:space="0" w:color="F3C5B8" w:themeColor="accent5" w:themeTint="99"/>
        <w:bottom w:val="single" w:sz="4" w:space="0" w:color="F3C5B8" w:themeColor="accent5" w:themeTint="99"/>
        <w:right w:val="single" w:sz="4" w:space="0" w:color="F3C5B8" w:themeColor="accent5" w:themeTint="99"/>
        <w:insideH w:val="single" w:sz="4" w:space="0" w:color="F3C5B8" w:themeColor="accent5" w:themeTint="99"/>
        <w:insideV w:val="single" w:sz="4" w:space="0" w:color="F3C5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BE7" w:themeFill="accent5" w:themeFillTint="33"/>
      </w:tcPr>
    </w:tblStylePr>
    <w:tblStylePr w:type="band1Horz">
      <w:tblPr/>
      <w:tcPr>
        <w:shd w:val="clear" w:color="auto" w:fill="FBEBE7" w:themeFill="accent5" w:themeFillTint="33"/>
      </w:tcPr>
    </w:tblStylePr>
    <w:tblStylePr w:type="neCell">
      <w:tblPr/>
      <w:tcPr>
        <w:tcBorders>
          <w:bottom w:val="single" w:sz="4" w:space="0" w:color="F3C5B8" w:themeColor="accent5" w:themeTint="99"/>
        </w:tcBorders>
      </w:tcPr>
    </w:tblStylePr>
    <w:tblStylePr w:type="nwCell">
      <w:tblPr/>
      <w:tcPr>
        <w:tcBorders>
          <w:bottom w:val="single" w:sz="4" w:space="0" w:color="F3C5B8" w:themeColor="accent5" w:themeTint="99"/>
        </w:tcBorders>
      </w:tcPr>
    </w:tblStylePr>
    <w:tblStylePr w:type="seCell">
      <w:tblPr/>
      <w:tcPr>
        <w:tcBorders>
          <w:top w:val="single" w:sz="4" w:space="0" w:color="F3C5B8" w:themeColor="accent5" w:themeTint="99"/>
        </w:tcBorders>
      </w:tcPr>
    </w:tblStylePr>
    <w:tblStylePr w:type="swCell">
      <w:tblPr/>
      <w:tcPr>
        <w:tcBorders>
          <w:top w:val="single" w:sz="4" w:space="0" w:color="F3C5B8" w:themeColor="accent5" w:themeTint="99"/>
        </w:tcBorders>
      </w:tcPr>
    </w:tblStylePr>
  </w:style>
  <w:style w:type="table" w:styleId="GridTable7Colorful-Accent6">
    <w:name w:val="Grid Table 7 Colorful Accent 6"/>
    <w:basedOn w:val="TableNormal"/>
    <w:uiPriority w:val="52"/>
    <w:rsid w:val="0058629F"/>
    <w:pPr>
      <w:spacing w:line="240" w:lineRule="auto"/>
    </w:pPr>
    <w:rPr>
      <w:color w:val="0B1738" w:themeColor="accent6" w:themeShade="BF"/>
    </w:rPr>
    <w:tblPr>
      <w:tblStyleRowBandSize w:val="1"/>
      <w:tblStyleColBandSize w:val="1"/>
      <w:tblBorders>
        <w:top w:val="single" w:sz="4" w:space="0" w:color="2D5CD5" w:themeColor="accent6" w:themeTint="99"/>
        <w:left w:val="single" w:sz="4" w:space="0" w:color="2D5CD5" w:themeColor="accent6" w:themeTint="99"/>
        <w:bottom w:val="single" w:sz="4" w:space="0" w:color="2D5CD5" w:themeColor="accent6" w:themeTint="99"/>
        <w:right w:val="single" w:sz="4" w:space="0" w:color="2D5CD5" w:themeColor="accent6" w:themeTint="99"/>
        <w:insideH w:val="single" w:sz="4" w:space="0" w:color="2D5CD5" w:themeColor="accent6" w:themeTint="99"/>
        <w:insideV w:val="single" w:sz="4" w:space="0" w:color="2D5C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6" w:themeFillTint="33"/>
      </w:tcPr>
    </w:tblStylePr>
    <w:tblStylePr w:type="band1Horz">
      <w:tblPr/>
      <w:tcPr>
        <w:shd w:val="clear" w:color="auto" w:fill="B9C8F1" w:themeFill="accent6" w:themeFillTint="33"/>
      </w:tcPr>
    </w:tblStylePr>
    <w:tblStylePr w:type="neCell">
      <w:tblPr/>
      <w:tcPr>
        <w:tcBorders>
          <w:bottom w:val="single" w:sz="4" w:space="0" w:color="2D5CD5" w:themeColor="accent6" w:themeTint="99"/>
        </w:tcBorders>
      </w:tcPr>
    </w:tblStylePr>
    <w:tblStylePr w:type="nwCell">
      <w:tblPr/>
      <w:tcPr>
        <w:tcBorders>
          <w:bottom w:val="single" w:sz="4" w:space="0" w:color="2D5CD5" w:themeColor="accent6" w:themeTint="99"/>
        </w:tcBorders>
      </w:tcPr>
    </w:tblStylePr>
    <w:tblStylePr w:type="seCell">
      <w:tblPr/>
      <w:tcPr>
        <w:tcBorders>
          <w:top w:val="single" w:sz="4" w:space="0" w:color="2D5CD5" w:themeColor="accent6" w:themeTint="99"/>
        </w:tcBorders>
      </w:tcPr>
    </w:tblStylePr>
    <w:tblStylePr w:type="swCell">
      <w:tblPr/>
      <w:tcPr>
        <w:tcBorders>
          <w:top w:val="single" w:sz="4" w:space="0" w:color="2D5CD5"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3D7EDB" w:themeColor="accent1"/>
        <w:left w:val="single" w:sz="8" w:space="0" w:color="3D7EDB" w:themeColor="accent1"/>
        <w:bottom w:val="single" w:sz="8" w:space="0" w:color="3D7EDB" w:themeColor="accent1"/>
        <w:right w:val="single" w:sz="8" w:space="0" w:color="3D7EDB" w:themeColor="accent1"/>
        <w:insideH w:val="single" w:sz="8" w:space="0" w:color="3D7EDB" w:themeColor="accent1"/>
        <w:insideV w:val="single" w:sz="8" w:space="0" w:color="3D7ED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7EDB" w:themeColor="accent1"/>
          <w:left w:val="single" w:sz="8" w:space="0" w:color="3D7EDB" w:themeColor="accent1"/>
          <w:bottom w:val="single" w:sz="18" w:space="0" w:color="3D7EDB" w:themeColor="accent1"/>
          <w:right w:val="single" w:sz="8" w:space="0" w:color="3D7EDB" w:themeColor="accent1"/>
          <w:insideH w:val="nil"/>
          <w:insideV w:val="single" w:sz="8" w:space="0" w:color="3D7ED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7EDB" w:themeColor="accent1"/>
          <w:left w:val="single" w:sz="8" w:space="0" w:color="3D7EDB" w:themeColor="accent1"/>
          <w:bottom w:val="single" w:sz="8" w:space="0" w:color="3D7EDB" w:themeColor="accent1"/>
          <w:right w:val="single" w:sz="8" w:space="0" w:color="3D7EDB" w:themeColor="accent1"/>
          <w:insideH w:val="nil"/>
          <w:insideV w:val="single" w:sz="8" w:space="0" w:color="3D7ED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7EDB" w:themeColor="accent1"/>
          <w:left w:val="single" w:sz="8" w:space="0" w:color="3D7EDB" w:themeColor="accent1"/>
          <w:bottom w:val="single" w:sz="8" w:space="0" w:color="3D7EDB" w:themeColor="accent1"/>
          <w:right w:val="single" w:sz="8" w:space="0" w:color="3D7EDB" w:themeColor="accent1"/>
        </w:tcBorders>
      </w:tcPr>
    </w:tblStylePr>
    <w:tblStylePr w:type="band1Vert">
      <w:tblPr/>
      <w:tcPr>
        <w:tcBorders>
          <w:top w:val="single" w:sz="8" w:space="0" w:color="3D7EDB" w:themeColor="accent1"/>
          <w:left w:val="single" w:sz="8" w:space="0" w:color="3D7EDB" w:themeColor="accent1"/>
          <w:bottom w:val="single" w:sz="8" w:space="0" w:color="3D7EDB" w:themeColor="accent1"/>
          <w:right w:val="single" w:sz="8" w:space="0" w:color="3D7EDB" w:themeColor="accent1"/>
        </w:tcBorders>
        <w:shd w:val="clear" w:color="auto" w:fill="CEDEF6" w:themeFill="accent1" w:themeFillTint="3F"/>
      </w:tcPr>
    </w:tblStylePr>
    <w:tblStylePr w:type="band1Horz">
      <w:tblPr/>
      <w:tcPr>
        <w:tcBorders>
          <w:top w:val="single" w:sz="8" w:space="0" w:color="3D7EDB" w:themeColor="accent1"/>
          <w:left w:val="single" w:sz="8" w:space="0" w:color="3D7EDB" w:themeColor="accent1"/>
          <w:bottom w:val="single" w:sz="8" w:space="0" w:color="3D7EDB" w:themeColor="accent1"/>
          <w:right w:val="single" w:sz="8" w:space="0" w:color="3D7EDB" w:themeColor="accent1"/>
          <w:insideV w:val="single" w:sz="8" w:space="0" w:color="3D7EDB" w:themeColor="accent1"/>
        </w:tcBorders>
        <w:shd w:val="clear" w:color="auto" w:fill="CEDEF6" w:themeFill="accent1" w:themeFillTint="3F"/>
      </w:tcPr>
    </w:tblStylePr>
    <w:tblStylePr w:type="band2Horz">
      <w:tblPr/>
      <w:tcPr>
        <w:tcBorders>
          <w:top w:val="single" w:sz="8" w:space="0" w:color="3D7EDB" w:themeColor="accent1"/>
          <w:left w:val="single" w:sz="8" w:space="0" w:color="3D7EDB" w:themeColor="accent1"/>
          <w:bottom w:val="single" w:sz="8" w:space="0" w:color="3D7EDB" w:themeColor="accent1"/>
          <w:right w:val="single" w:sz="8" w:space="0" w:color="3D7EDB" w:themeColor="accent1"/>
          <w:insideV w:val="single" w:sz="8" w:space="0" w:color="3D7EDB"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74D1EA" w:themeColor="accent2"/>
        <w:left w:val="single" w:sz="8" w:space="0" w:color="74D1EA" w:themeColor="accent2"/>
        <w:bottom w:val="single" w:sz="8" w:space="0" w:color="74D1EA" w:themeColor="accent2"/>
        <w:right w:val="single" w:sz="8" w:space="0" w:color="74D1EA" w:themeColor="accent2"/>
        <w:insideH w:val="single" w:sz="8" w:space="0" w:color="74D1EA" w:themeColor="accent2"/>
        <w:insideV w:val="single" w:sz="8" w:space="0" w:color="74D1E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D1EA" w:themeColor="accent2"/>
          <w:left w:val="single" w:sz="8" w:space="0" w:color="74D1EA" w:themeColor="accent2"/>
          <w:bottom w:val="single" w:sz="18" w:space="0" w:color="74D1EA" w:themeColor="accent2"/>
          <w:right w:val="single" w:sz="8" w:space="0" w:color="74D1EA" w:themeColor="accent2"/>
          <w:insideH w:val="nil"/>
          <w:insideV w:val="single" w:sz="8" w:space="0" w:color="74D1E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D1EA" w:themeColor="accent2"/>
          <w:left w:val="single" w:sz="8" w:space="0" w:color="74D1EA" w:themeColor="accent2"/>
          <w:bottom w:val="single" w:sz="8" w:space="0" w:color="74D1EA" w:themeColor="accent2"/>
          <w:right w:val="single" w:sz="8" w:space="0" w:color="74D1EA" w:themeColor="accent2"/>
          <w:insideH w:val="nil"/>
          <w:insideV w:val="single" w:sz="8" w:space="0" w:color="74D1E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D1EA" w:themeColor="accent2"/>
          <w:left w:val="single" w:sz="8" w:space="0" w:color="74D1EA" w:themeColor="accent2"/>
          <w:bottom w:val="single" w:sz="8" w:space="0" w:color="74D1EA" w:themeColor="accent2"/>
          <w:right w:val="single" w:sz="8" w:space="0" w:color="74D1EA" w:themeColor="accent2"/>
        </w:tcBorders>
      </w:tcPr>
    </w:tblStylePr>
    <w:tblStylePr w:type="band1Vert">
      <w:tblPr/>
      <w:tcPr>
        <w:tcBorders>
          <w:top w:val="single" w:sz="8" w:space="0" w:color="74D1EA" w:themeColor="accent2"/>
          <w:left w:val="single" w:sz="8" w:space="0" w:color="74D1EA" w:themeColor="accent2"/>
          <w:bottom w:val="single" w:sz="8" w:space="0" w:color="74D1EA" w:themeColor="accent2"/>
          <w:right w:val="single" w:sz="8" w:space="0" w:color="74D1EA" w:themeColor="accent2"/>
        </w:tcBorders>
        <w:shd w:val="clear" w:color="auto" w:fill="DCF3F9" w:themeFill="accent2" w:themeFillTint="3F"/>
      </w:tcPr>
    </w:tblStylePr>
    <w:tblStylePr w:type="band1Horz">
      <w:tblPr/>
      <w:tcPr>
        <w:tcBorders>
          <w:top w:val="single" w:sz="8" w:space="0" w:color="74D1EA" w:themeColor="accent2"/>
          <w:left w:val="single" w:sz="8" w:space="0" w:color="74D1EA" w:themeColor="accent2"/>
          <w:bottom w:val="single" w:sz="8" w:space="0" w:color="74D1EA" w:themeColor="accent2"/>
          <w:right w:val="single" w:sz="8" w:space="0" w:color="74D1EA" w:themeColor="accent2"/>
          <w:insideV w:val="single" w:sz="8" w:space="0" w:color="74D1EA" w:themeColor="accent2"/>
        </w:tcBorders>
        <w:shd w:val="clear" w:color="auto" w:fill="DCF3F9" w:themeFill="accent2" w:themeFillTint="3F"/>
      </w:tcPr>
    </w:tblStylePr>
    <w:tblStylePr w:type="band2Horz">
      <w:tblPr/>
      <w:tcPr>
        <w:tcBorders>
          <w:top w:val="single" w:sz="8" w:space="0" w:color="74D1EA" w:themeColor="accent2"/>
          <w:left w:val="single" w:sz="8" w:space="0" w:color="74D1EA" w:themeColor="accent2"/>
          <w:bottom w:val="single" w:sz="8" w:space="0" w:color="74D1EA" w:themeColor="accent2"/>
          <w:right w:val="single" w:sz="8" w:space="0" w:color="74D1EA" w:themeColor="accent2"/>
          <w:insideV w:val="single" w:sz="8" w:space="0" w:color="74D1EA"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7FD5C5" w:themeColor="accent3"/>
        <w:left w:val="single" w:sz="8" w:space="0" w:color="7FD5C5" w:themeColor="accent3"/>
        <w:bottom w:val="single" w:sz="8" w:space="0" w:color="7FD5C5" w:themeColor="accent3"/>
        <w:right w:val="single" w:sz="8" w:space="0" w:color="7FD5C5" w:themeColor="accent3"/>
        <w:insideH w:val="single" w:sz="8" w:space="0" w:color="7FD5C5" w:themeColor="accent3"/>
        <w:insideV w:val="single" w:sz="8" w:space="0" w:color="7FD5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D5C5" w:themeColor="accent3"/>
          <w:left w:val="single" w:sz="8" w:space="0" w:color="7FD5C5" w:themeColor="accent3"/>
          <w:bottom w:val="single" w:sz="18" w:space="0" w:color="7FD5C5" w:themeColor="accent3"/>
          <w:right w:val="single" w:sz="8" w:space="0" w:color="7FD5C5" w:themeColor="accent3"/>
          <w:insideH w:val="nil"/>
          <w:insideV w:val="single" w:sz="8" w:space="0" w:color="7FD5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D5C5" w:themeColor="accent3"/>
          <w:left w:val="single" w:sz="8" w:space="0" w:color="7FD5C5" w:themeColor="accent3"/>
          <w:bottom w:val="single" w:sz="8" w:space="0" w:color="7FD5C5" w:themeColor="accent3"/>
          <w:right w:val="single" w:sz="8" w:space="0" w:color="7FD5C5" w:themeColor="accent3"/>
          <w:insideH w:val="nil"/>
          <w:insideV w:val="single" w:sz="8" w:space="0" w:color="7FD5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D5C5" w:themeColor="accent3"/>
          <w:left w:val="single" w:sz="8" w:space="0" w:color="7FD5C5" w:themeColor="accent3"/>
          <w:bottom w:val="single" w:sz="8" w:space="0" w:color="7FD5C5" w:themeColor="accent3"/>
          <w:right w:val="single" w:sz="8" w:space="0" w:color="7FD5C5" w:themeColor="accent3"/>
        </w:tcBorders>
      </w:tcPr>
    </w:tblStylePr>
    <w:tblStylePr w:type="band1Vert">
      <w:tblPr/>
      <w:tcPr>
        <w:tcBorders>
          <w:top w:val="single" w:sz="8" w:space="0" w:color="7FD5C5" w:themeColor="accent3"/>
          <w:left w:val="single" w:sz="8" w:space="0" w:color="7FD5C5" w:themeColor="accent3"/>
          <w:bottom w:val="single" w:sz="8" w:space="0" w:color="7FD5C5" w:themeColor="accent3"/>
          <w:right w:val="single" w:sz="8" w:space="0" w:color="7FD5C5" w:themeColor="accent3"/>
        </w:tcBorders>
        <w:shd w:val="clear" w:color="auto" w:fill="DFF4F0" w:themeFill="accent3" w:themeFillTint="3F"/>
      </w:tcPr>
    </w:tblStylePr>
    <w:tblStylePr w:type="band1Horz">
      <w:tblPr/>
      <w:tcPr>
        <w:tcBorders>
          <w:top w:val="single" w:sz="8" w:space="0" w:color="7FD5C5" w:themeColor="accent3"/>
          <w:left w:val="single" w:sz="8" w:space="0" w:color="7FD5C5" w:themeColor="accent3"/>
          <w:bottom w:val="single" w:sz="8" w:space="0" w:color="7FD5C5" w:themeColor="accent3"/>
          <w:right w:val="single" w:sz="8" w:space="0" w:color="7FD5C5" w:themeColor="accent3"/>
          <w:insideV w:val="single" w:sz="8" w:space="0" w:color="7FD5C5" w:themeColor="accent3"/>
        </w:tcBorders>
        <w:shd w:val="clear" w:color="auto" w:fill="DFF4F0" w:themeFill="accent3" w:themeFillTint="3F"/>
      </w:tcPr>
    </w:tblStylePr>
    <w:tblStylePr w:type="band2Horz">
      <w:tblPr/>
      <w:tcPr>
        <w:tcBorders>
          <w:top w:val="single" w:sz="8" w:space="0" w:color="7FD5C5" w:themeColor="accent3"/>
          <w:left w:val="single" w:sz="8" w:space="0" w:color="7FD5C5" w:themeColor="accent3"/>
          <w:bottom w:val="single" w:sz="8" w:space="0" w:color="7FD5C5" w:themeColor="accent3"/>
          <w:right w:val="single" w:sz="8" w:space="0" w:color="7FD5C5" w:themeColor="accent3"/>
          <w:insideV w:val="single" w:sz="8" w:space="0" w:color="7FD5C5"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FBD476" w:themeColor="accent4"/>
        <w:left w:val="single" w:sz="8" w:space="0" w:color="FBD476" w:themeColor="accent4"/>
        <w:bottom w:val="single" w:sz="8" w:space="0" w:color="FBD476" w:themeColor="accent4"/>
        <w:right w:val="single" w:sz="8" w:space="0" w:color="FBD476" w:themeColor="accent4"/>
        <w:insideH w:val="single" w:sz="8" w:space="0" w:color="FBD476" w:themeColor="accent4"/>
        <w:insideV w:val="single" w:sz="8" w:space="0" w:color="FBD4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D476" w:themeColor="accent4"/>
          <w:left w:val="single" w:sz="8" w:space="0" w:color="FBD476" w:themeColor="accent4"/>
          <w:bottom w:val="single" w:sz="18" w:space="0" w:color="FBD476" w:themeColor="accent4"/>
          <w:right w:val="single" w:sz="8" w:space="0" w:color="FBD476" w:themeColor="accent4"/>
          <w:insideH w:val="nil"/>
          <w:insideV w:val="single" w:sz="8" w:space="0" w:color="FBD4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D476" w:themeColor="accent4"/>
          <w:left w:val="single" w:sz="8" w:space="0" w:color="FBD476" w:themeColor="accent4"/>
          <w:bottom w:val="single" w:sz="8" w:space="0" w:color="FBD476" w:themeColor="accent4"/>
          <w:right w:val="single" w:sz="8" w:space="0" w:color="FBD476" w:themeColor="accent4"/>
          <w:insideH w:val="nil"/>
          <w:insideV w:val="single" w:sz="8" w:space="0" w:color="FBD4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D476" w:themeColor="accent4"/>
          <w:left w:val="single" w:sz="8" w:space="0" w:color="FBD476" w:themeColor="accent4"/>
          <w:bottom w:val="single" w:sz="8" w:space="0" w:color="FBD476" w:themeColor="accent4"/>
          <w:right w:val="single" w:sz="8" w:space="0" w:color="FBD476" w:themeColor="accent4"/>
        </w:tcBorders>
      </w:tcPr>
    </w:tblStylePr>
    <w:tblStylePr w:type="band1Vert">
      <w:tblPr/>
      <w:tcPr>
        <w:tcBorders>
          <w:top w:val="single" w:sz="8" w:space="0" w:color="FBD476" w:themeColor="accent4"/>
          <w:left w:val="single" w:sz="8" w:space="0" w:color="FBD476" w:themeColor="accent4"/>
          <w:bottom w:val="single" w:sz="8" w:space="0" w:color="FBD476" w:themeColor="accent4"/>
          <w:right w:val="single" w:sz="8" w:space="0" w:color="FBD476" w:themeColor="accent4"/>
        </w:tcBorders>
        <w:shd w:val="clear" w:color="auto" w:fill="FEF4DC" w:themeFill="accent4" w:themeFillTint="3F"/>
      </w:tcPr>
    </w:tblStylePr>
    <w:tblStylePr w:type="band1Horz">
      <w:tblPr/>
      <w:tcPr>
        <w:tcBorders>
          <w:top w:val="single" w:sz="8" w:space="0" w:color="FBD476" w:themeColor="accent4"/>
          <w:left w:val="single" w:sz="8" w:space="0" w:color="FBD476" w:themeColor="accent4"/>
          <w:bottom w:val="single" w:sz="8" w:space="0" w:color="FBD476" w:themeColor="accent4"/>
          <w:right w:val="single" w:sz="8" w:space="0" w:color="FBD476" w:themeColor="accent4"/>
          <w:insideV w:val="single" w:sz="8" w:space="0" w:color="FBD476" w:themeColor="accent4"/>
        </w:tcBorders>
        <w:shd w:val="clear" w:color="auto" w:fill="FEF4DC" w:themeFill="accent4" w:themeFillTint="3F"/>
      </w:tcPr>
    </w:tblStylePr>
    <w:tblStylePr w:type="band2Horz">
      <w:tblPr/>
      <w:tcPr>
        <w:tcBorders>
          <w:top w:val="single" w:sz="8" w:space="0" w:color="FBD476" w:themeColor="accent4"/>
          <w:left w:val="single" w:sz="8" w:space="0" w:color="FBD476" w:themeColor="accent4"/>
          <w:bottom w:val="single" w:sz="8" w:space="0" w:color="FBD476" w:themeColor="accent4"/>
          <w:right w:val="single" w:sz="8" w:space="0" w:color="FBD476" w:themeColor="accent4"/>
          <w:insideV w:val="single" w:sz="8" w:space="0" w:color="FBD476"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EBA089" w:themeColor="accent5"/>
        <w:left w:val="single" w:sz="8" w:space="0" w:color="EBA089" w:themeColor="accent5"/>
        <w:bottom w:val="single" w:sz="8" w:space="0" w:color="EBA089" w:themeColor="accent5"/>
        <w:right w:val="single" w:sz="8" w:space="0" w:color="EBA089" w:themeColor="accent5"/>
        <w:insideH w:val="single" w:sz="8" w:space="0" w:color="EBA089" w:themeColor="accent5"/>
        <w:insideV w:val="single" w:sz="8" w:space="0" w:color="EBA08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A089" w:themeColor="accent5"/>
          <w:left w:val="single" w:sz="8" w:space="0" w:color="EBA089" w:themeColor="accent5"/>
          <w:bottom w:val="single" w:sz="18" w:space="0" w:color="EBA089" w:themeColor="accent5"/>
          <w:right w:val="single" w:sz="8" w:space="0" w:color="EBA089" w:themeColor="accent5"/>
          <w:insideH w:val="nil"/>
          <w:insideV w:val="single" w:sz="8" w:space="0" w:color="EBA08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A089" w:themeColor="accent5"/>
          <w:left w:val="single" w:sz="8" w:space="0" w:color="EBA089" w:themeColor="accent5"/>
          <w:bottom w:val="single" w:sz="8" w:space="0" w:color="EBA089" w:themeColor="accent5"/>
          <w:right w:val="single" w:sz="8" w:space="0" w:color="EBA089" w:themeColor="accent5"/>
          <w:insideH w:val="nil"/>
          <w:insideV w:val="single" w:sz="8" w:space="0" w:color="EBA08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A089" w:themeColor="accent5"/>
          <w:left w:val="single" w:sz="8" w:space="0" w:color="EBA089" w:themeColor="accent5"/>
          <w:bottom w:val="single" w:sz="8" w:space="0" w:color="EBA089" w:themeColor="accent5"/>
          <w:right w:val="single" w:sz="8" w:space="0" w:color="EBA089" w:themeColor="accent5"/>
        </w:tcBorders>
      </w:tcPr>
    </w:tblStylePr>
    <w:tblStylePr w:type="band1Vert">
      <w:tblPr/>
      <w:tcPr>
        <w:tcBorders>
          <w:top w:val="single" w:sz="8" w:space="0" w:color="EBA089" w:themeColor="accent5"/>
          <w:left w:val="single" w:sz="8" w:space="0" w:color="EBA089" w:themeColor="accent5"/>
          <w:bottom w:val="single" w:sz="8" w:space="0" w:color="EBA089" w:themeColor="accent5"/>
          <w:right w:val="single" w:sz="8" w:space="0" w:color="EBA089" w:themeColor="accent5"/>
        </w:tcBorders>
        <w:shd w:val="clear" w:color="auto" w:fill="FAE7E1" w:themeFill="accent5" w:themeFillTint="3F"/>
      </w:tcPr>
    </w:tblStylePr>
    <w:tblStylePr w:type="band1Horz">
      <w:tblPr/>
      <w:tcPr>
        <w:tcBorders>
          <w:top w:val="single" w:sz="8" w:space="0" w:color="EBA089" w:themeColor="accent5"/>
          <w:left w:val="single" w:sz="8" w:space="0" w:color="EBA089" w:themeColor="accent5"/>
          <w:bottom w:val="single" w:sz="8" w:space="0" w:color="EBA089" w:themeColor="accent5"/>
          <w:right w:val="single" w:sz="8" w:space="0" w:color="EBA089" w:themeColor="accent5"/>
          <w:insideV w:val="single" w:sz="8" w:space="0" w:color="EBA089" w:themeColor="accent5"/>
        </w:tcBorders>
        <w:shd w:val="clear" w:color="auto" w:fill="FAE7E1" w:themeFill="accent5" w:themeFillTint="3F"/>
      </w:tcPr>
    </w:tblStylePr>
    <w:tblStylePr w:type="band2Horz">
      <w:tblPr/>
      <w:tcPr>
        <w:tcBorders>
          <w:top w:val="single" w:sz="8" w:space="0" w:color="EBA089" w:themeColor="accent5"/>
          <w:left w:val="single" w:sz="8" w:space="0" w:color="EBA089" w:themeColor="accent5"/>
          <w:bottom w:val="single" w:sz="8" w:space="0" w:color="EBA089" w:themeColor="accent5"/>
          <w:right w:val="single" w:sz="8" w:space="0" w:color="EBA089" w:themeColor="accent5"/>
          <w:insideV w:val="single" w:sz="8" w:space="0" w:color="EBA089"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0F204B" w:themeColor="accent6"/>
        <w:left w:val="single" w:sz="8" w:space="0" w:color="0F204B" w:themeColor="accent6"/>
        <w:bottom w:val="single" w:sz="8" w:space="0" w:color="0F204B" w:themeColor="accent6"/>
        <w:right w:val="single" w:sz="8" w:space="0" w:color="0F204B" w:themeColor="accent6"/>
        <w:insideH w:val="single" w:sz="8" w:space="0" w:color="0F204B" w:themeColor="accent6"/>
        <w:insideV w:val="single" w:sz="8" w:space="0" w:color="0F20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204B" w:themeColor="accent6"/>
          <w:left w:val="single" w:sz="8" w:space="0" w:color="0F204B" w:themeColor="accent6"/>
          <w:bottom w:val="single" w:sz="18" w:space="0" w:color="0F204B" w:themeColor="accent6"/>
          <w:right w:val="single" w:sz="8" w:space="0" w:color="0F204B" w:themeColor="accent6"/>
          <w:insideH w:val="nil"/>
          <w:insideV w:val="single" w:sz="8" w:space="0" w:color="0F20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04B" w:themeColor="accent6"/>
          <w:left w:val="single" w:sz="8" w:space="0" w:color="0F204B" w:themeColor="accent6"/>
          <w:bottom w:val="single" w:sz="8" w:space="0" w:color="0F204B" w:themeColor="accent6"/>
          <w:right w:val="single" w:sz="8" w:space="0" w:color="0F204B" w:themeColor="accent6"/>
          <w:insideH w:val="nil"/>
          <w:insideV w:val="single" w:sz="8" w:space="0" w:color="0F20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04B" w:themeColor="accent6"/>
          <w:left w:val="single" w:sz="8" w:space="0" w:color="0F204B" w:themeColor="accent6"/>
          <w:bottom w:val="single" w:sz="8" w:space="0" w:color="0F204B" w:themeColor="accent6"/>
          <w:right w:val="single" w:sz="8" w:space="0" w:color="0F204B" w:themeColor="accent6"/>
        </w:tcBorders>
      </w:tcPr>
    </w:tblStylePr>
    <w:tblStylePr w:type="band1Vert">
      <w:tblPr/>
      <w:tcPr>
        <w:tcBorders>
          <w:top w:val="single" w:sz="8" w:space="0" w:color="0F204B" w:themeColor="accent6"/>
          <w:left w:val="single" w:sz="8" w:space="0" w:color="0F204B" w:themeColor="accent6"/>
          <w:bottom w:val="single" w:sz="8" w:space="0" w:color="0F204B" w:themeColor="accent6"/>
          <w:right w:val="single" w:sz="8" w:space="0" w:color="0F204B" w:themeColor="accent6"/>
        </w:tcBorders>
        <w:shd w:val="clear" w:color="auto" w:fill="A8BBED" w:themeFill="accent6" w:themeFillTint="3F"/>
      </w:tcPr>
    </w:tblStylePr>
    <w:tblStylePr w:type="band1Horz">
      <w:tblPr/>
      <w:tcPr>
        <w:tcBorders>
          <w:top w:val="single" w:sz="8" w:space="0" w:color="0F204B" w:themeColor="accent6"/>
          <w:left w:val="single" w:sz="8" w:space="0" w:color="0F204B" w:themeColor="accent6"/>
          <w:bottom w:val="single" w:sz="8" w:space="0" w:color="0F204B" w:themeColor="accent6"/>
          <w:right w:val="single" w:sz="8" w:space="0" w:color="0F204B" w:themeColor="accent6"/>
          <w:insideV w:val="single" w:sz="8" w:space="0" w:color="0F204B" w:themeColor="accent6"/>
        </w:tcBorders>
        <w:shd w:val="clear" w:color="auto" w:fill="A8BBED" w:themeFill="accent6" w:themeFillTint="3F"/>
      </w:tcPr>
    </w:tblStylePr>
    <w:tblStylePr w:type="band2Horz">
      <w:tblPr/>
      <w:tcPr>
        <w:tcBorders>
          <w:top w:val="single" w:sz="8" w:space="0" w:color="0F204B" w:themeColor="accent6"/>
          <w:left w:val="single" w:sz="8" w:space="0" w:color="0F204B" w:themeColor="accent6"/>
          <w:bottom w:val="single" w:sz="8" w:space="0" w:color="0F204B" w:themeColor="accent6"/>
          <w:right w:val="single" w:sz="8" w:space="0" w:color="0F204B" w:themeColor="accent6"/>
          <w:insideV w:val="single" w:sz="8" w:space="0" w:color="0F204B"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3D7EDB" w:themeColor="accent1"/>
        <w:left w:val="single" w:sz="8" w:space="0" w:color="3D7EDB" w:themeColor="accent1"/>
        <w:bottom w:val="single" w:sz="8" w:space="0" w:color="3D7EDB" w:themeColor="accent1"/>
        <w:right w:val="single" w:sz="8" w:space="0" w:color="3D7EDB" w:themeColor="accent1"/>
      </w:tblBorders>
    </w:tblPr>
    <w:tblStylePr w:type="firstRow">
      <w:pPr>
        <w:spacing w:before="0" w:after="0" w:line="240" w:lineRule="auto"/>
      </w:pPr>
      <w:rPr>
        <w:b/>
        <w:bCs/>
        <w:color w:val="FFFFFF" w:themeColor="background1"/>
      </w:rPr>
      <w:tblPr/>
      <w:tcPr>
        <w:shd w:val="clear" w:color="auto" w:fill="3D7EDB" w:themeFill="accent1"/>
      </w:tcPr>
    </w:tblStylePr>
    <w:tblStylePr w:type="lastRow">
      <w:pPr>
        <w:spacing w:before="0" w:after="0" w:line="240" w:lineRule="auto"/>
      </w:pPr>
      <w:rPr>
        <w:b/>
        <w:bCs/>
      </w:rPr>
      <w:tblPr/>
      <w:tcPr>
        <w:tcBorders>
          <w:top w:val="double" w:sz="6" w:space="0" w:color="3D7EDB" w:themeColor="accent1"/>
          <w:left w:val="single" w:sz="8" w:space="0" w:color="3D7EDB" w:themeColor="accent1"/>
          <w:bottom w:val="single" w:sz="8" w:space="0" w:color="3D7EDB" w:themeColor="accent1"/>
          <w:right w:val="single" w:sz="8" w:space="0" w:color="3D7EDB" w:themeColor="accent1"/>
        </w:tcBorders>
      </w:tcPr>
    </w:tblStylePr>
    <w:tblStylePr w:type="firstCol">
      <w:rPr>
        <w:b/>
        <w:bCs/>
      </w:rPr>
    </w:tblStylePr>
    <w:tblStylePr w:type="lastCol">
      <w:rPr>
        <w:b/>
        <w:bCs/>
      </w:rPr>
    </w:tblStylePr>
    <w:tblStylePr w:type="band1Vert">
      <w:tblPr/>
      <w:tcPr>
        <w:tcBorders>
          <w:top w:val="single" w:sz="8" w:space="0" w:color="3D7EDB" w:themeColor="accent1"/>
          <w:left w:val="single" w:sz="8" w:space="0" w:color="3D7EDB" w:themeColor="accent1"/>
          <w:bottom w:val="single" w:sz="8" w:space="0" w:color="3D7EDB" w:themeColor="accent1"/>
          <w:right w:val="single" w:sz="8" w:space="0" w:color="3D7EDB" w:themeColor="accent1"/>
        </w:tcBorders>
      </w:tcPr>
    </w:tblStylePr>
    <w:tblStylePr w:type="band1Horz">
      <w:tblPr/>
      <w:tcPr>
        <w:tcBorders>
          <w:top w:val="single" w:sz="8" w:space="0" w:color="3D7EDB" w:themeColor="accent1"/>
          <w:left w:val="single" w:sz="8" w:space="0" w:color="3D7EDB" w:themeColor="accent1"/>
          <w:bottom w:val="single" w:sz="8" w:space="0" w:color="3D7EDB" w:themeColor="accent1"/>
          <w:right w:val="single" w:sz="8" w:space="0" w:color="3D7EDB"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74D1EA" w:themeColor="accent2"/>
        <w:left w:val="single" w:sz="8" w:space="0" w:color="74D1EA" w:themeColor="accent2"/>
        <w:bottom w:val="single" w:sz="8" w:space="0" w:color="74D1EA" w:themeColor="accent2"/>
        <w:right w:val="single" w:sz="8" w:space="0" w:color="74D1EA" w:themeColor="accent2"/>
      </w:tblBorders>
    </w:tblPr>
    <w:tblStylePr w:type="firstRow">
      <w:pPr>
        <w:spacing w:before="0" w:after="0" w:line="240" w:lineRule="auto"/>
      </w:pPr>
      <w:rPr>
        <w:b/>
        <w:bCs/>
        <w:color w:val="FFFFFF" w:themeColor="background1"/>
      </w:rPr>
      <w:tblPr/>
      <w:tcPr>
        <w:shd w:val="clear" w:color="auto" w:fill="74D1EA" w:themeFill="accent2"/>
      </w:tcPr>
    </w:tblStylePr>
    <w:tblStylePr w:type="lastRow">
      <w:pPr>
        <w:spacing w:before="0" w:after="0" w:line="240" w:lineRule="auto"/>
      </w:pPr>
      <w:rPr>
        <w:b/>
        <w:bCs/>
      </w:rPr>
      <w:tblPr/>
      <w:tcPr>
        <w:tcBorders>
          <w:top w:val="double" w:sz="6" w:space="0" w:color="74D1EA" w:themeColor="accent2"/>
          <w:left w:val="single" w:sz="8" w:space="0" w:color="74D1EA" w:themeColor="accent2"/>
          <w:bottom w:val="single" w:sz="8" w:space="0" w:color="74D1EA" w:themeColor="accent2"/>
          <w:right w:val="single" w:sz="8" w:space="0" w:color="74D1EA" w:themeColor="accent2"/>
        </w:tcBorders>
      </w:tcPr>
    </w:tblStylePr>
    <w:tblStylePr w:type="firstCol">
      <w:rPr>
        <w:b/>
        <w:bCs/>
      </w:rPr>
    </w:tblStylePr>
    <w:tblStylePr w:type="lastCol">
      <w:rPr>
        <w:b/>
        <w:bCs/>
      </w:rPr>
    </w:tblStylePr>
    <w:tblStylePr w:type="band1Vert">
      <w:tblPr/>
      <w:tcPr>
        <w:tcBorders>
          <w:top w:val="single" w:sz="8" w:space="0" w:color="74D1EA" w:themeColor="accent2"/>
          <w:left w:val="single" w:sz="8" w:space="0" w:color="74D1EA" w:themeColor="accent2"/>
          <w:bottom w:val="single" w:sz="8" w:space="0" w:color="74D1EA" w:themeColor="accent2"/>
          <w:right w:val="single" w:sz="8" w:space="0" w:color="74D1EA" w:themeColor="accent2"/>
        </w:tcBorders>
      </w:tcPr>
    </w:tblStylePr>
    <w:tblStylePr w:type="band1Horz">
      <w:tblPr/>
      <w:tcPr>
        <w:tcBorders>
          <w:top w:val="single" w:sz="8" w:space="0" w:color="74D1EA" w:themeColor="accent2"/>
          <w:left w:val="single" w:sz="8" w:space="0" w:color="74D1EA" w:themeColor="accent2"/>
          <w:bottom w:val="single" w:sz="8" w:space="0" w:color="74D1EA" w:themeColor="accent2"/>
          <w:right w:val="single" w:sz="8" w:space="0" w:color="74D1EA"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7FD5C5" w:themeColor="accent3"/>
        <w:left w:val="single" w:sz="8" w:space="0" w:color="7FD5C5" w:themeColor="accent3"/>
        <w:bottom w:val="single" w:sz="8" w:space="0" w:color="7FD5C5" w:themeColor="accent3"/>
        <w:right w:val="single" w:sz="8" w:space="0" w:color="7FD5C5" w:themeColor="accent3"/>
      </w:tblBorders>
    </w:tblPr>
    <w:tblStylePr w:type="firstRow">
      <w:pPr>
        <w:spacing w:before="0" w:after="0" w:line="240" w:lineRule="auto"/>
      </w:pPr>
      <w:rPr>
        <w:b/>
        <w:bCs/>
        <w:color w:val="FFFFFF" w:themeColor="background1"/>
      </w:rPr>
      <w:tblPr/>
      <w:tcPr>
        <w:shd w:val="clear" w:color="auto" w:fill="7FD5C5" w:themeFill="accent3"/>
      </w:tcPr>
    </w:tblStylePr>
    <w:tblStylePr w:type="lastRow">
      <w:pPr>
        <w:spacing w:before="0" w:after="0" w:line="240" w:lineRule="auto"/>
      </w:pPr>
      <w:rPr>
        <w:b/>
        <w:bCs/>
      </w:rPr>
      <w:tblPr/>
      <w:tcPr>
        <w:tcBorders>
          <w:top w:val="double" w:sz="6" w:space="0" w:color="7FD5C5" w:themeColor="accent3"/>
          <w:left w:val="single" w:sz="8" w:space="0" w:color="7FD5C5" w:themeColor="accent3"/>
          <w:bottom w:val="single" w:sz="8" w:space="0" w:color="7FD5C5" w:themeColor="accent3"/>
          <w:right w:val="single" w:sz="8" w:space="0" w:color="7FD5C5" w:themeColor="accent3"/>
        </w:tcBorders>
      </w:tcPr>
    </w:tblStylePr>
    <w:tblStylePr w:type="firstCol">
      <w:rPr>
        <w:b/>
        <w:bCs/>
      </w:rPr>
    </w:tblStylePr>
    <w:tblStylePr w:type="lastCol">
      <w:rPr>
        <w:b/>
        <w:bCs/>
      </w:rPr>
    </w:tblStylePr>
    <w:tblStylePr w:type="band1Vert">
      <w:tblPr/>
      <w:tcPr>
        <w:tcBorders>
          <w:top w:val="single" w:sz="8" w:space="0" w:color="7FD5C5" w:themeColor="accent3"/>
          <w:left w:val="single" w:sz="8" w:space="0" w:color="7FD5C5" w:themeColor="accent3"/>
          <w:bottom w:val="single" w:sz="8" w:space="0" w:color="7FD5C5" w:themeColor="accent3"/>
          <w:right w:val="single" w:sz="8" w:space="0" w:color="7FD5C5" w:themeColor="accent3"/>
        </w:tcBorders>
      </w:tcPr>
    </w:tblStylePr>
    <w:tblStylePr w:type="band1Horz">
      <w:tblPr/>
      <w:tcPr>
        <w:tcBorders>
          <w:top w:val="single" w:sz="8" w:space="0" w:color="7FD5C5" w:themeColor="accent3"/>
          <w:left w:val="single" w:sz="8" w:space="0" w:color="7FD5C5" w:themeColor="accent3"/>
          <w:bottom w:val="single" w:sz="8" w:space="0" w:color="7FD5C5" w:themeColor="accent3"/>
          <w:right w:val="single" w:sz="8" w:space="0" w:color="7FD5C5"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FBD476" w:themeColor="accent4"/>
        <w:left w:val="single" w:sz="8" w:space="0" w:color="FBD476" w:themeColor="accent4"/>
        <w:bottom w:val="single" w:sz="8" w:space="0" w:color="FBD476" w:themeColor="accent4"/>
        <w:right w:val="single" w:sz="8" w:space="0" w:color="FBD476" w:themeColor="accent4"/>
      </w:tblBorders>
    </w:tblPr>
    <w:tblStylePr w:type="firstRow">
      <w:pPr>
        <w:spacing w:before="0" w:after="0" w:line="240" w:lineRule="auto"/>
      </w:pPr>
      <w:rPr>
        <w:b/>
        <w:bCs/>
        <w:color w:val="FFFFFF" w:themeColor="background1"/>
      </w:rPr>
      <w:tblPr/>
      <w:tcPr>
        <w:shd w:val="clear" w:color="auto" w:fill="FBD476" w:themeFill="accent4"/>
      </w:tcPr>
    </w:tblStylePr>
    <w:tblStylePr w:type="lastRow">
      <w:pPr>
        <w:spacing w:before="0" w:after="0" w:line="240" w:lineRule="auto"/>
      </w:pPr>
      <w:rPr>
        <w:b/>
        <w:bCs/>
      </w:rPr>
      <w:tblPr/>
      <w:tcPr>
        <w:tcBorders>
          <w:top w:val="double" w:sz="6" w:space="0" w:color="FBD476" w:themeColor="accent4"/>
          <w:left w:val="single" w:sz="8" w:space="0" w:color="FBD476" w:themeColor="accent4"/>
          <w:bottom w:val="single" w:sz="8" w:space="0" w:color="FBD476" w:themeColor="accent4"/>
          <w:right w:val="single" w:sz="8" w:space="0" w:color="FBD476" w:themeColor="accent4"/>
        </w:tcBorders>
      </w:tcPr>
    </w:tblStylePr>
    <w:tblStylePr w:type="firstCol">
      <w:rPr>
        <w:b/>
        <w:bCs/>
      </w:rPr>
    </w:tblStylePr>
    <w:tblStylePr w:type="lastCol">
      <w:rPr>
        <w:b/>
        <w:bCs/>
      </w:rPr>
    </w:tblStylePr>
    <w:tblStylePr w:type="band1Vert">
      <w:tblPr/>
      <w:tcPr>
        <w:tcBorders>
          <w:top w:val="single" w:sz="8" w:space="0" w:color="FBD476" w:themeColor="accent4"/>
          <w:left w:val="single" w:sz="8" w:space="0" w:color="FBD476" w:themeColor="accent4"/>
          <w:bottom w:val="single" w:sz="8" w:space="0" w:color="FBD476" w:themeColor="accent4"/>
          <w:right w:val="single" w:sz="8" w:space="0" w:color="FBD476" w:themeColor="accent4"/>
        </w:tcBorders>
      </w:tcPr>
    </w:tblStylePr>
    <w:tblStylePr w:type="band1Horz">
      <w:tblPr/>
      <w:tcPr>
        <w:tcBorders>
          <w:top w:val="single" w:sz="8" w:space="0" w:color="FBD476" w:themeColor="accent4"/>
          <w:left w:val="single" w:sz="8" w:space="0" w:color="FBD476" w:themeColor="accent4"/>
          <w:bottom w:val="single" w:sz="8" w:space="0" w:color="FBD476" w:themeColor="accent4"/>
          <w:right w:val="single" w:sz="8" w:space="0" w:color="FBD476"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EBA089" w:themeColor="accent5"/>
        <w:left w:val="single" w:sz="8" w:space="0" w:color="EBA089" w:themeColor="accent5"/>
        <w:bottom w:val="single" w:sz="8" w:space="0" w:color="EBA089" w:themeColor="accent5"/>
        <w:right w:val="single" w:sz="8" w:space="0" w:color="EBA089" w:themeColor="accent5"/>
      </w:tblBorders>
    </w:tblPr>
    <w:tblStylePr w:type="firstRow">
      <w:pPr>
        <w:spacing w:before="0" w:after="0" w:line="240" w:lineRule="auto"/>
      </w:pPr>
      <w:rPr>
        <w:b/>
        <w:bCs/>
        <w:color w:val="FFFFFF" w:themeColor="background1"/>
      </w:rPr>
      <w:tblPr/>
      <w:tcPr>
        <w:shd w:val="clear" w:color="auto" w:fill="EBA089" w:themeFill="accent5"/>
      </w:tcPr>
    </w:tblStylePr>
    <w:tblStylePr w:type="lastRow">
      <w:pPr>
        <w:spacing w:before="0" w:after="0" w:line="240" w:lineRule="auto"/>
      </w:pPr>
      <w:rPr>
        <w:b/>
        <w:bCs/>
      </w:rPr>
      <w:tblPr/>
      <w:tcPr>
        <w:tcBorders>
          <w:top w:val="double" w:sz="6" w:space="0" w:color="EBA089" w:themeColor="accent5"/>
          <w:left w:val="single" w:sz="8" w:space="0" w:color="EBA089" w:themeColor="accent5"/>
          <w:bottom w:val="single" w:sz="8" w:space="0" w:color="EBA089" w:themeColor="accent5"/>
          <w:right w:val="single" w:sz="8" w:space="0" w:color="EBA089" w:themeColor="accent5"/>
        </w:tcBorders>
      </w:tcPr>
    </w:tblStylePr>
    <w:tblStylePr w:type="firstCol">
      <w:rPr>
        <w:b/>
        <w:bCs/>
      </w:rPr>
    </w:tblStylePr>
    <w:tblStylePr w:type="lastCol">
      <w:rPr>
        <w:b/>
        <w:bCs/>
      </w:rPr>
    </w:tblStylePr>
    <w:tblStylePr w:type="band1Vert">
      <w:tblPr/>
      <w:tcPr>
        <w:tcBorders>
          <w:top w:val="single" w:sz="8" w:space="0" w:color="EBA089" w:themeColor="accent5"/>
          <w:left w:val="single" w:sz="8" w:space="0" w:color="EBA089" w:themeColor="accent5"/>
          <w:bottom w:val="single" w:sz="8" w:space="0" w:color="EBA089" w:themeColor="accent5"/>
          <w:right w:val="single" w:sz="8" w:space="0" w:color="EBA089" w:themeColor="accent5"/>
        </w:tcBorders>
      </w:tcPr>
    </w:tblStylePr>
    <w:tblStylePr w:type="band1Horz">
      <w:tblPr/>
      <w:tcPr>
        <w:tcBorders>
          <w:top w:val="single" w:sz="8" w:space="0" w:color="EBA089" w:themeColor="accent5"/>
          <w:left w:val="single" w:sz="8" w:space="0" w:color="EBA089" w:themeColor="accent5"/>
          <w:bottom w:val="single" w:sz="8" w:space="0" w:color="EBA089" w:themeColor="accent5"/>
          <w:right w:val="single" w:sz="8" w:space="0" w:color="EBA089"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0F204B" w:themeColor="accent6"/>
        <w:left w:val="single" w:sz="8" w:space="0" w:color="0F204B" w:themeColor="accent6"/>
        <w:bottom w:val="single" w:sz="8" w:space="0" w:color="0F204B" w:themeColor="accent6"/>
        <w:right w:val="single" w:sz="8" w:space="0" w:color="0F204B" w:themeColor="accent6"/>
      </w:tblBorders>
    </w:tblPr>
    <w:tblStylePr w:type="firstRow">
      <w:pPr>
        <w:spacing w:before="0" w:after="0" w:line="240" w:lineRule="auto"/>
      </w:pPr>
      <w:rPr>
        <w:b/>
        <w:bCs/>
        <w:color w:val="FFFFFF" w:themeColor="background1"/>
      </w:rPr>
      <w:tblPr/>
      <w:tcPr>
        <w:shd w:val="clear" w:color="auto" w:fill="0F204B" w:themeFill="accent6"/>
      </w:tcPr>
    </w:tblStylePr>
    <w:tblStylePr w:type="lastRow">
      <w:pPr>
        <w:spacing w:before="0" w:after="0" w:line="240" w:lineRule="auto"/>
      </w:pPr>
      <w:rPr>
        <w:b/>
        <w:bCs/>
      </w:rPr>
      <w:tblPr/>
      <w:tcPr>
        <w:tcBorders>
          <w:top w:val="double" w:sz="6" w:space="0" w:color="0F204B" w:themeColor="accent6"/>
          <w:left w:val="single" w:sz="8" w:space="0" w:color="0F204B" w:themeColor="accent6"/>
          <w:bottom w:val="single" w:sz="8" w:space="0" w:color="0F204B" w:themeColor="accent6"/>
          <w:right w:val="single" w:sz="8" w:space="0" w:color="0F204B" w:themeColor="accent6"/>
        </w:tcBorders>
      </w:tcPr>
    </w:tblStylePr>
    <w:tblStylePr w:type="firstCol">
      <w:rPr>
        <w:b/>
        <w:bCs/>
      </w:rPr>
    </w:tblStylePr>
    <w:tblStylePr w:type="lastCol">
      <w:rPr>
        <w:b/>
        <w:bCs/>
      </w:rPr>
    </w:tblStylePr>
    <w:tblStylePr w:type="band1Vert">
      <w:tblPr/>
      <w:tcPr>
        <w:tcBorders>
          <w:top w:val="single" w:sz="8" w:space="0" w:color="0F204B" w:themeColor="accent6"/>
          <w:left w:val="single" w:sz="8" w:space="0" w:color="0F204B" w:themeColor="accent6"/>
          <w:bottom w:val="single" w:sz="8" w:space="0" w:color="0F204B" w:themeColor="accent6"/>
          <w:right w:val="single" w:sz="8" w:space="0" w:color="0F204B" w:themeColor="accent6"/>
        </w:tcBorders>
      </w:tcPr>
    </w:tblStylePr>
    <w:tblStylePr w:type="band1Horz">
      <w:tblPr/>
      <w:tcPr>
        <w:tcBorders>
          <w:top w:val="single" w:sz="8" w:space="0" w:color="0F204B" w:themeColor="accent6"/>
          <w:left w:val="single" w:sz="8" w:space="0" w:color="0F204B" w:themeColor="accent6"/>
          <w:bottom w:val="single" w:sz="8" w:space="0" w:color="0F204B" w:themeColor="accent6"/>
          <w:right w:val="single" w:sz="8" w:space="0" w:color="0F204B" w:themeColor="accent6"/>
        </w:tcBorders>
      </w:tcPr>
    </w:tblStylePr>
  </w:style>
  <w:style w:type="table" w:styleId="LightShading">
    <w:name w:val="Light Shading"/>
    <w:basedOn w:val="TableNormal"/>
    <w:uiPriority w:val="60"/>
    <w:semiHidden/>
    <w:rsid w:val="0058629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629F"/>
    <w:pPr>
      <w:spacing w:line="240" w:lineRule="auto"/>
    </w:pPr>
    <w:rPr>
      <w:color w:val="205BB0" w:themeColor="accent1" w:themeShade="BF"/>
    </w:rPr>
    <w:tblPr>
      <w:tblStyleRowBandSize w:val="1"/>
      <w:tblStyleColBandSize w:val="1"/>
      <w:tblBorders>
        <w:top w:val="single" w:sz="8" w:space="0" w:color="3D7EDB" w:themeColor="accent1"/>
        <w:bottom w:val="single" w:sz="8" w:space="0" w:color="3D7EDB" w:themeColor="accent1"/>
      </w:tblBorders>
    </w:tblPr>
    <w:tblStylePr w:type="firstRow">
      <w:pPr>
        <w:spacing w:before="0" w:after="0" w:line="240" w:lineRule="auto"/>
      </w:pPr>
      <w:rPr>
        <w:b/>
        <w:bCs/>
      </w:rPr>
      <w:tblPr/>
      <w:tcPr>
        <w:tcBorders>
          <w:top w:val="single" w:sz="8" w:space="0" w:color="3D7EDB" w:themeColor="accent1"/>
          <w:left w:val="nil"/>
          <w:bottom w:val="single" w:sz="8" w:space="0" w:color="3D7EDB" w:themeColor="accent1"/>
          <w:right w:val="nil"/>
          <w:insideH w:val="nil"/>
          <w:insideV w:val="nil"/>
        </w:tcBorders>
      </w:tcPr>
    </w:tblStylePr>
    <w:tblStylePr w:type="lastRow">
      <w:pPr>
        <w:spacing w:before="0" w:after="0" w:line="240" w:lineRule="auto"/>
      </w:pPr>
      <w:rPr>
        <w:b/>
        <w:bCs/>
      </w:rPr>
      <w:tblPr/>
      <w:tcPr>
        <w:tcBorders>
          <w:top w:val="single" w:sz="8" w:space="0" w:color="3D7EDB" w:themeColor="accent1"/>
          <w:left w:val="nil"/>
          <w:bottom w:val="single" w:sz="8" w:space="0" w:color="3D7ED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EF6" w:themeFill="accent1" w:themeFillTint="3F"/>
      </w:tcPr>
    </w:tblStylePr>
    <w:tblStylePr w:type="band1Horz">
      <w:tblPr/>
      <w:tcPr>
        <w:tcBorders>
          <w:left w:val="nil"/>
          <w:right w:val="nil"/>
          <w:insideH w:val="nil"/>
          <w:insideV w:val="nil"/>
        </w:tcBorders>
        <w:shd w:val="clear" w:color="auto" w:fill="CEDEF6" w:themeFill="accent1" w:themeFillTint="3F"/>
      </w:tcPr>
    </w:tblStylePr>
  </w:style>
  <w:style w:type="table" w:styleId="LightShading-Accent2">
    <w:name w:val="Light Shading Accent 2"/>
    <w:basedOn w:val="TableNormal"/>
    <w:uiPriority w:val="60"/>
    <w:semiHidden/>
    <w:rsid w:val="0058629F"/>
    <w:pPr>
      <w:spacing w:line="240" w:lineRule="auto"/>
    </w:pPr>
    <w:rPr>
      <w:color w:val="27B7DE" w:themeColor="accent2" w:themeShade="BF"/>
    </w:rPr>
    <w:tblPr>
      <w:tblStyleRowBandSize w:val="1"/>
      <w:tblStyleColBandSize w:val="1"/>
      <w:tblBorders>
        <w:top w:val="single" w:sz="8" w:space="0" w:color="74D1EA" w:themeColor="accent2"/>
        <w:bottom w:val="single" w:sz="8" w:space="0" w:color="74D1EA" w:themeColor="accent2"/>
      </w:tblBorders>
    </w:tblPr>
    <w:tblStylePr w:type="firstRow">
      <w:pPr>
        <w:spacing w:before="0" w:after="0" w:line="240" w:lineRule="auto"/>
      </w:pPr>
      <w:rPr>
        <w:b/>
        <w:bCs/>
      </w:rPr>
      <w:tblPr/>
      <w:tcPr>
        <w:tcBorders>
          <w:top w:val="single" w:sz="8" w:space="0" w:color="74D1EA" w:themeColor="accent2"/>
          <w:left w:val="nil"/>
          <w:bottom w:val="single" w:sz="8" w:space="0" w:color="74D1EA" w:themeColor="accent2"/>
          <w:right w:val="nil"/>
          <w:insideH w:val="nil"/>
          <w:insideV w:val="nil"/>
        </w:tcBorders>
      </w:tcPr>
    </w:tblStylePr>
    <w:tblStylePr w:type="lastRow">
      <w:pPr>
        <w:spacing w:before="0" w:after="0" w:line="240" w:lineRule="auto"/>
      </w:pPr>
      <w:rPr>
        <w:b/>
        <w:bCs/>
      </w:rPr>
      <w:tblPr/>
      <w:tcPr>
        <w:tcBorders>
          <w:top w:val="single" w:sz="8" w:space="0" w:color="74D1EA" w:themeColor="accent2"/>
          <w:left w:val="nil"/>
          <w:bottom w:val="single" w:sz="8" w:space="0" w:color="74D1E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3F9" w:themeFill="accent2" w:themeFillTint="3F"/>
      </w:tcPr>
    </w:tblStylePr>
    <w:tblStylePr w:type="band1Horz">
      <w:tblPr/>
      <w:tcPr>
        <w:tcBorders>
          <w:left w:val="nil"/>
          <w:right w:val="nil"/>
          <w:insideH w:val="nil"/>
          <w:insideV w:val="nil"/>
        </w:tcBorders>
        <w:shd w:val="clear" w:color="auto" w:fill="DCF3F9" w:themeFill="accent2" w:themeFillTint="3F"/>
      </w:tcPr>
    </w:tblStylePr>
  </w:style>
  <w:style w:type="table" w:styleId="LightShading-Accent3">
    <w:name w:val="Light Shading Accent 3"/>
    <w:basedOn w:val="TableNormal"/>
    <w:uiPriority w:val="60"/>
    <w:semiHidden/>
    <w:rsid w:val="0058629F"/>
    <w:pPr>
      <w:spacing w:line="240" w:lineRule="auto"/>
    </w:pPr>
    <w:rPr>
      <w:color w:val="3FBFA7" w:themeColor="accent3" w:themeShade="BF"/>
    </w:rPr>
    <w:tblPr>
      <w:tblStyleRowBandSize w:val="1"/>
      <w:tblStyleColBandSize w:val="1"/>
      <w:tblBorders>
        <w:top w:val="single" w:sz="8" w:space="0" w:color="7FD5C5" w:themeColor="accent3"/>
        <w:bottom w:val="single" w:sz="8" w:space="0" w:color="7FD5C5" w:themeColor="accent3"/>
      </w:tblBorders>
    </w:tblPr>
    <w:tblStylePr w:type="firstRow">
      <w:pPr>
        <w:spacing w:before="0" w:after="0" w:line="240" w:lineRule="auto"/>
      </w:pPr>
      <w:rPr>
        <w:b/>
        <w:bCs/>
      </w:rPr>
      <w:tblPr/>
      <w:tcPr>
        <w:tcBorders>
          <w:top w:val="single" w:sz="8" w:space="0" w:color="7FD5C5" w:themeColor="accent3"/>
          <w:left w:val="nil"/>
          <w:bottom w:val="single" w:sz="8" w:space="0" w:color="7FD5C5" w:themeColor="accent3"/>
          <w:right w:val="nil"/>
          <w:insideH w:val="nil"/>
          <w:insideV w:val="nil"/>
        </w:tcBorders>
      </w:tcPr>
    </w:tblStylePr>
    <w:tblStylePr w:type="lastRow">
      <w:pPr>
        <w:spacing w:before="0" w:after="0" w:line="240" w:lineRule="auto"/>
      </w:pPr>
      <w:rPr>
        <w:b/>
        <w:bCs/>
      </w:rPr>
      <w:tblPr/>
      <w:tcPr>
        <w:tcBorders>
          <w:top w:val="single" w:sz="8" w:space="0" w:color="7FD5C5" w:themeColor="accent3"/>
          <w:left w:val="nil"/>
          <w:bottom w:val="single" w:sz="8" w:space="0" w:color="7FD5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4F0" w:themeFill="accent3" w:themeFillTint="3F"/>
      </w:tcPr>
    </w:tblStylePr>
    <w:tblStylePr w:type="band1Horz">
      <w:tblPr/>
      <w:tcPr>
        <w:tcBorders>
          <w:left w:val="nil"/>
          <w:right w:val="nil"/>
          <w:insideH w:val="nil"/>
          <w:insideV w:val="nil"/>
        </w:tcBorders>
        <w:shd w:val="clear" w:color="auto" w:fill="DFF4F0" w:themeFill="accent3" w:themeFillTint="3F"/>
      </w:tcPr>
    </w:tblStylePr>
  </w:style>
  <w:style w:type="table" w:styleId="LightShading-Accent4">
    <w:name w:val="Light Shading Accent 4"/>
    <w:basedOn w:val="TableNormal"/>
    <w:uiPriority w:val="60"/>
    <w:semiHidden/>
    <w:rsid w:val="0058629F"/>
    <w:pPr>
      <w:spacing w:line="240" w:lineRule="auto"/>
    </w:pPr>
    <w:rPr>
      <w:color w:val="F8B71B" w:themeColor="accent4" w:themeShade="BF"/>
    </w:rPr>
    <w:tblPr>
      <w:tblStyleRowBandSize w:val="1"/>
      <w:tblStyleColBandSize w:val="1"/>
      <w:tblBorders>
        <w:top w:val="single" w:sz="8" w:space="0" w:color="FBD476" w:themeColor="accent4"/>
        <w:bottom w:val="single" w:sz="8" w:space="0" w:color="FBD476" w:themeColor="accent4"/>
      </w:tblBorders>
    </w:tblPr>
    <w:tblStylePr w:type="firstRow">
      <w:pPr>
        <w:spacing w:before="0" w:after="0" w:line="240" w:lineRule="auto"/>
      </w:pPr>
      <w:rPr>
        <w:b/>
        <w:bCs/>
      </w:rPr>
      <w:tblPr/>
      <w:tcPr>
        <w:tcBorders>
          <w:top w:val="single" w:sz="8" w:space="0" w:color="FBD476" w:themeColor="accent4"/>
          <w:left w:val="nil"/>
          <w:bottom w:val="single" w:sz="8" w:space="0" w:color="FBD476" w:themeColor="accent4"/>
          <w:right w:val="nil"/>
          <w:insideH w:val="nil"/>
          <w:insideV w:val="nil"/>
        </w:tcBorders>
      </w:tcPr>
    </w:tblStylePr>
    <w:tblStylePr w:type="lastRow">
      <w:pPr>
        <w:spacing w:before="0" w:after="0" w:line="240" w:lineRule="auto"/>
      </w:pPr>
      <w:rPr>
        <w:b/>
        <w:bCs/>
      </w:rPr>
      <w:tblPr/>
      <w:tcPr>
        <w:tcBorders>
          <w:top w:val="single" w:sz="8" w:space="0" w:color="FBD476" w:themeColor="accent4"/>
          <w:left w:val="nil"/>
          <w:bottom w:val="single" w:sz="8" w:space="0" w:color="FBD4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DC" w:themeFill="accent4" w:themeFillTint="3F"/>
      </w:tcPr>
    </w:tblStylePr>
    <w:tblStylePr w:type="band1Horz">
      <w:tblPr/>
      <w:tcPr>
        <w:tcBorders>
          <w:left w:val="nil"/>
          <w:right w:val="nil"/>
          <w:insideH w:val="nil"/>
          <w:insideV w:val="nil"/>
        </w:tcBorders>
        <w:shd w:val="clear" w:color="auto" w:fill="FEF4DC" w:themeFill="accent4" w:themeFillTint="3F"/>
      </w:tcPr>
    </w:tblStylePr>
  </w:style>
  <w:style w:type="table" w:styleId="LightShading-Accent5">
    <w:name w:val="Light Shading Accent 5"/>
    <w:basedOn w:val="TableNormal"/>
    <w:uiPriority w:val="60"/>
    <w:semiHidden/>
    <w:rsid w:val="0058629F"/>
    <w:pPr>
      <w:spacing w:line="240" w:lineRule="auto"/>
    </w:pPr>
    <w:rPr>
      <w:color w:val="DD5E38" w:themeColor="accent5" w:themeShade="BF"/>
    </w:rPr>
    <w:tblPr>
      <w:tblStyleRowBandSize w:val="1"/>
      <w:tblStyleColBandSize w:val="1"/>
      <w:tblBorders>
        <w:top w:val="single" w:sz="8" w:space="0" w:color="EBA089" w:themeColor="accent5"/>
        <w:bottom w:val="single" w:sz="8" w:space="0" w:color="EBA089" w:themeColor="accent5"/>
      </w:tblBorders>
    </w:tblPr>
    <w:tblStylePr w:type="firstRow">
      <w:pPr>
        <w:spacing w:before="0" w:after="0" w:line="240" w:lineRule="auto"/>
      </w:pPr>
      <w:rPr>
        <w:b/>
        <w:bCs/>
      </w:rPr>
      <w:tblPr/>
      <w:tcPr>
        <w:tcBorders>
          <w:top w:val="single" w:sz="8" w:space="0" w:color="EBA089" w:themeColor="accent5"/>
          <w:left w:val="nil"/>
          <w:bottom w:val="single" w:sz="8" w:space="0" w:color="EBA089" w:themeColor="accent5"/>
          <w:right w:val="nil"/>
          <w:insideH w:val="nil"/>
          <w:insideV w:val="nil"/>
        </w:tcBorders>
      </w:tcPr>
    </w:tblStylePr>
    <w:tblStylePr w:type="lastRow">
      <w:pPr>
        <w:spacing w:before="0" w:after="0" w:line="240" w:lineRule="auto"/>
      </w:pPr>
      <w:rPr>
        <w:b/>
        <w:bCs/>
      </w:rPr>
      <w:tblPr/>
      <w:tcPr>
        <w:tcBorders>
          <w:top w:val="single" w:sz="8" w:space="0" w:color="EBA089" w:themeColor="accent5"/>
          <w:left w:val="nil"/>
          <w:bottom w:val="single" w:sz="8" w:space="0" w:color="EBA08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7E1" w:themeFill="accent5" w:themeFillTint="3F"/>
      </w:tcPr>
    </w:tblStylePr>
    <w:tblStylePr w:type="band1Horz">
      <w:tblPr/>
      <w:tcPr>
        <w:tcBorders>
          <w:left w:val="nil"/>
          <w:right w:val="nil"/>
          <w:insideH w:val="nil"/>
          <w:insideV w:val="nil"/>
        </w:tcBorders>
        <w:shd w:val="clear" w:color="auto" w:fill="FAE7E1" w:themeFill="accent5" w:themeFillTint="3F"/>
      </w:tcPr>
    </w:tblStylePr>
  </w:style>
  <w:style w:type="table" w:styleId="LightShading-Accent6">
    <w:name w:val="Light Shading Accent 6"/>
    <w:basedOn w:val="TableNormal"/>
    <w:uiPriority w:val="60"/>
    <w:semiHidden/>
    <w:rsid w:val="0058629F"/>
    <w:pPr>
      <w:spacing w:line="240" w:lineRule="auto"/>
    </w:pPr>
    <w:rPr>
      <w:color w:val="0B1738" w:themeColor="accent6" w:themeShade="BF"/>
    </w:rPr>
    <w:tblPr>
      <w:tblStyleRowBandSize w:val="1"/>
      <w:tblStyleColBandSize w:val="1"/>
      <w:tblBorders>
        <w:top w:val="single" w:sz="8" w:space="0" w:color="0F204B" w:themeColor="accent6"/>
        <w:bottom w:val="single" w:sz="8" w:space="0" w:color="0F204B" w:themeColor="accent6"/>
      </w:tblBorders>
    </w:tblPr>
    <w:tblStylePr w:type="firstRow">
      <w:pPr>
        <w:spacing w:before="0" w:after="0" w:line="240" w:lineRule="auto"/>
      </w:pPr>
      <w:rPr>
        <w:b/>
        <w:bCs/>
      </w:rPr>
      <w:tblPr/>
      <w:tcPr>
        <w:tcBorders>
          <w:top w:val="single" w:sz="8" w:space="0" w:color="0F204B" w:themeColor="accent6"/>
          <w:left w:val="nil"/>
          <w:bottom w:val="single" w:sz="8" w:space="0" w:color="0F204B" w:themeColor="accent6"/>
          <w:right w:val="nil"/>
          <w:insideH w:val="nil"/>
          <w:insideV w:val="nil"/>
        </w:tcBorders>
      </w:tcPr>
    </w:tblStylePr>
    <w:tblStylePr w:type="lastRow">
      <w:pPr>
        <w:spacing w:before="0" w:after="0" w:line="240" w:lineRule="auto"/>
      </w:pPr>
      <w:rPr>
        <w:b/>
        <w:bCs/>
      </w:rPr>
      <w:tblPr/>
      <w:tcPr>
        <w:tcBorders>
          <w:top w:val="single" w:sz="8" w:space="0" w:color="0F204B" w:themeColor="accent6"/>
          <w:left w:val="nil"/>
          <w:bottom w:val="single" w:sz="8" w:space="0" w:color="0F20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BBED" w:themeFill="accent6" w:themeFillTint="3F"/>
      </w:tcPr>
    </w:tblStylePr>
    <w:tblStylePr w:type="band1Horz">
      <w:tblPr/>
      <w:tcPr>
        <w:tcBorders>
          <w:left w:val="nil"/>
          <w:right w:val="nil"/>
          <w:insideH w:val="nil"/>
          <w:insideV w:val="nil"/>
        </w:tcBorders>
        <w:shd w:val="clear" w:color="auto" w:fill="A8BBED" w:themeFill="accent6" w:themeFillTint="3F"/>
      </w:tcPr>
    </w:tblStylePr>
  </w:style>
  <w:style w:type="table" w:styleId="ListTable1Light">
    <w:name w:val="List Table 1 Light"/>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8AB1E9" w:themeColor="accent1" w:themeTint="99"/>
        </w:tcBorders>
      </w:tcPr>
    </w:tblStylePr>
    <w:tblStylePr w:type="lastRow">
      <w:rPr>
        <w:b/>
        <w:bCs/>
      </w:rPr>
      <w:tblPr/>
      <w:tcPr>
        <w:tcBorders>
          <w:top w:val="single" w:sz="4" w:space="0" w:color="8AB1E9" w:themeColor="accent1" w:themeTint="99"/>
        </w:tcBorders>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ListTable1Light-Accent2">
    <w:name w:val="List Table 1 Light Accent 2"/>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ABE3F2" w:themeColor="accent2" w:themeTint="99"/>
        </w:tcBorders>
      </w:tcPr>
    </w:tblStylePr>
    <w:tblStylePr w:type="lastRow">
      <w:rPr>
        <w:b/>
        <w:bCs/>
      </w:rPr>
      <w:tblPr/>
      <w:tcPr>
        <w:tcBorders>
          <w:top w:val="single" w:sz="4" w:space="0" w:color="ABE3F2" w:themeColor="accent2" w:themeTint="99"/>
        </w:tcBorders>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ListTable1Light-Accent3">
    <w:name w:val="List Table 1 Light Accent 3"/>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B2E5DC" w:themeColor="accent3" w:themeTint="99"/>
        </w:tcBorders>
      </w:tcPr>
    </w:tblStylePr>
    <w:tblStylePr w:type="lastRow">
      <w:rPr>
        <w:b/>
        <w:bCs/>
      </w:rPr>
      <w:tblPr/>
      <w:tcPr>
        <w:tcBorders>
          <w:top w:val="single" w:sz="4" w:space="0" w:color="B2E5DC" w:themeColor="accent3" w:themeTint="99"/>
        </w:tcBorders>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ListTable1Light-Accent4">
    <w:name w:val="List Table 1 Light Accent 4"/>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FCE5AC" w:themeColor="accent4" w:themeTint="99"/>
        </w:tcBorders>
      </w:tcPr>
    </w:tblStylePr>
    <w:tblStylePr w:type="lastRow">
      <w:rPr>
        <w:b/>
        <w:bCs/>
      </w:rPr>
      <w:tblPr/>
      <w:tcPr>
        <w:tcBorders>
          <w:top w:val="single" w:sz="4" w:space="0" w:color="FCE5AC" w:themeColor="accent4" w:themeTint="99"/>
        </w:tcBorders>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ListTable1Light-Accent5">
    <w:name w:val="List Table 1 Light Accent 5"/>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F3C5B8" w:themeColor="accent5" w:themeTint="99"/>
        </w:tcBorders>
      </w:tcPr>
    </w:tblStylePr>
    <w:tblStylePr w:type="lastRow">
      <w:rPr>
        <w:b/>
        <w:bCs/>
      </w:rPr>
      <w:tblPr/>
      <w:tcPr>
        <w:tcBorders>
          <w:top w:val="single" w:sz="4" w:space="0" w:color="F3C5B8" w:themeColor="accent5" w:themeTint="99"/>
        </w:tcBorders>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ListTable1Light-Accent6">
    <w:name w:val="List Table 1 Light Accent 6"/>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2D5CD5" w:themeColor="accent6" w:themeTint="99"/>
        </w:tcBorders>
      </w:tcPr>
    </w:tblStylePr>
    <w:tblStylePr w:type="lastRow">
      <w:rPr>
        <w:b/>
        <w:bCs/>
      </w:rPr>
      <w:tblPr/>
      <w:tcPr>
        <w:tcBorders>
          <w:top w:val="single" w:sz="4" w:space="0" w:color="2D5CD5" w:themeColor="accent6" w:themeTint="99"/>
        </w:tcBorders>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ListTable2">
    <w:name w:val="List Table 2"/>
    <w:basedOn w:val="TableNormal"/>
    <w:uiPriority w:val="47"/>
    <w:rsid w:val="005862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8629F"/>
    <w:pPr>
      <w:spacing w:line="240" w:lineRule="auto"/>
    </w:pPr>
    <w:tblPr>
      <w:tblStyleRowBandSize w:val="1"/>
      <w:tblStyleColBandSize w:val="1"/>
      <w:tblBorders>
        <w:top w:val="single" w:sz="4" w:space="0" w:color="8AB1E9" w:themeColor="accent1" w:themeTint="99"/>
        <w:bottom w:val="single" w:sz="4" w:space="0" w:color="8AB1E9" w:themeColor="accent1" w:themeTint="99"/>
        <w:insideH w:val="single" w:sz="4" w:space="0" w:color="8AB1E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ListTable2-Accent2">
    <w:name w:val="List Table 2 Accent 2"/>
    <w:basedOn w:val="TableNormal"/>
    <w:uiPriority w:val="47"/>
    <w:rsid w:val="0058629F"/>
    <w:pPr>
      <w:spacing w:line="240" w:lineRule="auto"/>
    </w:pPr>
    <w:tblPr>
      <w:tblStyleRowBandSize w:val="1"/>
      <w:tblStyleColBandSize w:val="1"/>
      <w:tblBorders>
        <w:top w:val="single" w:sz="4" w:space="0" w:color="ABE3F2" w:themeColor="accent2" w:themeTint="99"/>
        <w:bottom w:val="single" w:sz="4" w:space="0" w:color="ABE3F2" w:themeColor="accent2" w:themeTint="99"/>
        <w:insideH w:val="single" w:sz="4" w:space="0" w:color="ABE3F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ListTable2-Accent3">
    <w:name w:val="List Table 2 Accent 3"/>
    <w:basedOn w:val="TableNormal"/>
    <w:uiPriority w:val="47"/>
    <w:rsid w:val="0058629F"/>
    <w:pPr>
      <w:spacing w:line="240" w:lineRule="auto"/>
    </w:pPr>
    <w:tblPr>
      <w:tblStyleRowBandSize w:val="1"/>
      <w:tblStyleColBandSize w:val="1"/>
      <w:tblBorders>
        <w:top w:val="single" w:sz="4" w:space="0" w:color="B2E5DC" w:themeColor="accent3" w:themeTint="99"/>
        <w:bottom w:val="single" w:sz="4" w:space="0" w:color="B2E5DC" w:themeColor="accent3" w:themeTint="99"/>
        <w:insideH w:val="single" w:sz="4" w:space="0" w:color="B2E5D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ListTable2-Accent4">
    <w:name w:val="List Table 2 Accent 4"/>
    <w:basedOn w:val="TableNormal"/>
    <w:uiPriority w:val="47"/>
    <w:rsid w:val="0058629F"/>
    <w:pPr>
      <w:spacing w:line="240" w:lineRule="auto"/>
    </w:pPr>
    <w:tblPr>
      <w:tblStyleRowBandSize w:val="1"/>
      <w:tblStyleColBandSize w:val="1"/>
      <w:tblBorders>
        <w:top w:val="single" w:sz="4" w:space="0" w:color="FCE5AC" w:themeColor="accent4" w:themeTint="99"/>
        <w:bottom w:val="single" w:sz="4" w:space="0" w:color="FCE5AC" w:themeColor="accent4" w:themeTint="99"/>
        <w:insideH w:val="single" w:sz="4" w:space="0" w:color="FCE5A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ListTable2-Accent5">
    <w:name w:val="List Table 2 Accent 5"/>
    <w:basedOn w:val="TableNormal"/>
    <w:uiPriority w:val="47"/>
    <w:rsid w:val="0058629F"/>
    <w:pPr>
      <w:spacing w:line="240" w:lineRule="auto"/>
    </w:pPr>
    <w:tblPr>
      <w:tblStyleRowBandSize w:val="1"/>
      <w:tblStyleColBandSize w:val="1"/>
      <w:tblBorders>
        <w:top w:val="single" w:sz="4" w:space="0" w:color="F3C5B8" w:themeColor="accent5" w:themeTint="99"/>
        <w:bottom w:val="single" w:sz="4" w:space="0" w:color="F3C5B8" w:themeColor="accent5" w:themeTint="99"/>
        <w:insideH w:val="single" w:sz="4" w:space="0" w:color="F3C5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ListTable2-Accent6">
    <w:name w:val="List Table 2 Accent 6"/>
    <w:basedOn w:val="TableNormal"/>
    <w:uiPriority w:val="47"/>
    <w:rsid w:val="0058629F"/>
    <w:pPr>
      <w:spacing w:line="240" w:lineRule="auto"/>
    </w:pPr>
    <w:tblPr>
      <w:tblStyleRowBandSize w:val="1"/>
      <w:tblStyleColBandSize w:val="1"/>
      <w:tblBorders>
        <w:top w:val="single" w:sz="4" w:space="0" w:color="2D5CD5" w:themeColor="accent6" w:themeTint="99"/>
        <w:bottom w:val="single" w:sz="4" w:space="0" w:color="2D5CD5" w:themeColor="accent6" w:themeTint="99"/>
        <w:insideH w:val="single" w:sz="4" w:space="0" w:color="2D5CD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ListTable3">
    <w:name w:val="List Table 3"/>
    <w:basedOn w:val="TableNormal"/>
    <w:uiPriority w:val="48"/>
    <w:rsid w:val="005862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8629F"/>
    <w:pPr>
      <w:spacing w:line="240" w:lineRule="auto"/>
    </w:pPr>
    <w:tblPr>
      <w:tblStyleRowBandSize w:val="1"/>
      <w:tblStyleColBandSize w:val="1"/>
      <w:tblBorders>
        <w:top w:val="single" w:sz="4" w:space="0" w:color="3D7EDB" w:themeColor="accent1"/>
        <w:left w:val="single" w:sz="4" w:space="0" w:color="3D7EDB" w:themeColor="accent1"/>
        <w:bottom w:val="single" w:sz="4" w:space="0" w:color="3D7EDB" w:themeColor="accent1"/>
        <w:right w:val="single" w:sz="4" w:space="0" w:color="3D7EDB" w:themeColor="accent1"/>
      </w:tblBorders>
    </w:tblPr>
    <w:tblStylePr w:type="firstRow">
      <w:rPr>
        <w:b/>
        <w:bCs/>
        <w:color w:val="FFFFFF" w:themeColor="background1"/>
      </w:rPr>
      <w:tblPr/>
      <w:tcPr>
        <w:shd w:val="clear" w:color="auto" w:fill="3D7EDB" w:themeFill="accent1"/>
      </w:tcPr>
    </w:tblStylePr>
    <w:tblStylePr w:type="lastRow">
      <w:rPr>
        <w:b/>
        <w:bCs/>
      </w:rPr>
      <w:tblPr/>
      <w:tcPr>
        <w:tcBorders>
          <w:top w:val="double" w:sz="4" w:space="0" w:color="3D7ED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7EDB" w:themeColor="accent1"/>
          <w:right w:val="single" w:sz="4" w:space="0" w:color="3D7EDB" w:themeColor="accent1"/>
        </w:tcBorders>
      </w:tcPr>
    </w:tblStylePr>
    <w:tblStylePr w:type="band1Horz">
      <w:tblPr/>
      <w:tcPr>
        <w:tcBorders>
          <w:top w:val="single" w:sz="4" w:space="0" w:color="3D7EDB" w:themeColor="accent1"/>
          <w:bottom w:val="single" w:sz="4" w:space="0" w:color="3D7ED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7EDB" w:themeColor="accent1"/>
          <w:left w:val="nil"/>
        </w:tcBorders>
      </w:tcPr>
    </w:tblStylePr>
    <w:tblStylePr w:type="swCell">
      <w:tblPr/>
      <w:tcPr>
        <w:tcBorders>
          <w:top w:val="double" w:sz="4" w:space="0" w:color="3D7EDB" w:themeColor="accent1"/>
          <w:right w:val="nil"/>
        </w:tcBorders>
      </w:tcPr>
    </w:tblStylePr>
  </w:style>
  <w:style w:type="table" w:styleId="ListTable3-Accent2">
    <w:name w:val="List Table 3 Accent 2"/>
    <w:basedOn w:val="TableNormal"/>
    <w:uiPriority w:val="48"/>
    <w:rsid w:val="0058629F"/>
    <w:pPr>
      <w:spacing w:line="240" w:lineRule="auto"/>
    </w:pPr>
    <w:tblPr>
      <w:tblStyleRowBandSize w:val="1"/>
      <w:tblStyleColBandSize w:val="1"/>
      <w:tblBorders>
        <w:top w:val="single" w:sz="4" w:space="0" w:color="74D1EA" w:themeColor="accent2"/>
        <w:left w:val="single" w:sz="4" w:space="0" w:color="74D1EA" w:themeColor="accent2"/>
        <w:bottom w:val="single" w:sz="4" w:space="0" w:color="74D1EA" w:themeColor="accent2"/>
        <w:right w:val="single" w:sz="4" w:space="0" w:color="74D1EA" w:themeColor="accent2"/>
      </w:tblBorders>
    </w:tblPr>
    <w:tblStylePr w:type="firstRow">
      <w:rPr>
        <w:b/>
        <w:bCs/>
        <w:color w:val="FFFFFF" w:themeColor="background1"/>
      </w:rPr>
      <w:tblPr/>
      <w:tcPr>
        <w:shd w:val="clear" w:color="auto" w:fill="74D1EA" w:themeFill="accent2"/>
      </w:tcPr>
    </w:tblStylePr>
    <w:tblStylePr w:type="lastRow">
      <w:rPr>
        <w:b/>
        <w:bCs/>
      </w:rPr>
      <w:tblPr/>
      <w:tcPr>
        <w:tcBorders>
          <w:top w:val="double" w:sz="4" w:space="0" w:color="74D1E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D1EA" w:themeColor="accent2"/>
          <w:right w:val="single" w:sz="4" w:space="0" w:color="74D1EA" w:themeColor="accent2"/>
        </w:tcBorders>
      </w:tcPr>
    </w:tblStylePr>
    <w:tblStylePr w:type="band1Horz">
      <w:tblPr/>
      <w:tcPr>
        <w:tcBorders>
          <w:top w:val="single" w:sz="4" w:space="0" w:color="74D1EA" w:themeColor="accent2"/>
          <w:bottom w:val="single" w:sz="4" w:space="0" w:color="74D1E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D1EA" w:themeColor="accent2"/>
          <w:left w:val="nil"/>
        </w:tcBorders>
      </w:tcPr>
    </w:tblStylePr>
    <w:tblStylePr w:type="swCell">
      <w:tblPr/>
      <w:tcPr>
        <w:tcBorders>
          <w:top w:val="double" w:sz="4" w:space="0" w:color="74D1EA" w:themeColor="accent2"/>
          <w:right w:val="nil"/>
        </w:tcBorders>
      </w:tcPr>
    </w:tblStylePr>
  </w:style>
  <w:style w:type="table" w:styleId="ListTable3-Accent3">
    <w:name w:val="List Table 3 Accent 3"/>
    <w:basedOn w:val="TableNormal"/>
    <w:uiPriority w:val="48"/>
    <w:rsid w:val="0058629F"/>
    <w:pPr>
      <w:spacing w:line="240" w:lineRule="auto"/>
    </w:pPr>
    <w:tblPr>
      <w:tblStyleRowBandSize w:val="1"/>
      <w:tblStyleColBandSize w:val="1"/>
      <w:tblBorders>
        <w:top w:val="single" w:sz="4" w:space="0" w:color="7FD5C5" w:themeColor="accent3"/>
        <w:left w:val="single" w:sz="4" w:space="0" w:color="7FD5C5" w:themeColor="accent3"/>
        <w:bottom w:val="single" w:sz="4" w:space="0" w:color="7FD5C5" w:themeColor="accent3"/>
        <w:right w:val="single" w:sz="4" w:space="0" w:color="7FD5C5" w:themeColor="accent3"/>
      </w:tblBorders>
    </w:tblPr>
    <w:tblStylePr w:type="firstRow">
      <w:rPr>
        <w:b/>
        <w:bCs/>
        <w:color w:val="FFFFFF" w:themeColor="background1"/>
      </w:rPr>
      <w:tblPr/>
      <w:tcPr>
        <w:shd w:val="clear" w:color="auto" w:fill="7FD5C5" w:themeFill="accent3"/>
      </w:tcPr>
    </w:tblStylePr>
    <w:tblStylePr w:type="lastRow">
      <w:rPr>
        <w:b/>
        <w:bCs/>
      </w:rPr>
      <w:tblPr/>
      <w:tcPr>
        <w:tcBorders>
          <w:top w:val="double" w:sz="4" w:space="0" w:color="7FD5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D5C5" w:themeColor="accent3"/>
          <w:right w:val="single" w:sz="4" w:space="0" w:color="7FD5C5" w:themeColor="accent3"/>
        </w:tcBorders>
      </w:tcPr>
    </w:tblStylePr>
    <w:tblStylePr w:type="band1Horz">
      <w:tblPr/>
      <w:tcPr>
        <w:tcBorders>
          <w:top w:val="single" w:sz="4" w:space="0" w:color="7FD5C5" w:themeColor="accent3"/>
          <w:bottom w:val="single" w:sz="4" w:space="0" w:color="7FD5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D5C5" w:themeColor="accent3"/>
          <w:left w:val="nil"/>
        </w:tcBorders>
      </w:tcPr>
    </w:tblStylePr>
    <w:tblStylePr w:type="swCell">
      <w:tblPr/>
      <w:tcPr>
        <w:tcBorders>
          <w:top w:val="double" w:sz="4" w:space="0" w:color="7FD5C5" w:themeColor="accent3"/>
          <w:right w:val="nil"/>
        </w:tcBorders>
      </w:tcPr>
    </w:tblStylePr>
  </w:style>
  <w:style w:type="table" w:styleId="ListTable3-Accent4">
    <w:name w:val="List Table 3 Accent 4"/>
    <w:basedOn w:val="TableNormal"/>
    <w:uiPriority w:val="48"/>
    <w:rsid w:val="0058629F"/>
    <w:pPr>
      <w:spacing w:line="240" w:lineRule="auto"/>
    </w:pPr>
    <w:tblPr>
      <w:tblStyleRowBandSize w:val="1"/>
      <w:tblStyleColBandSize w:val="1"/>
      <w:tblBorders>
        <w:top w:val="single" w:sz="4" w:space="0" w:color="FBD476" w:themeColor="accent4"/>
        <w:left w:val="single" w:sz="4" w:space="0" w:color="FBD476" w:themeColor="accent4"/>
        <w:bottom w:val="single" w:sz="4" w:space="0" w:color="FBD476" w:themeColor="accent4"/>
        <w:right w:val="single" w:sz="4" w:space="0" w:color="FBD476" w:themeColor="accent4"/>
      </w:tblBorders>
    </w:tblPr>
    <w:tblStylePr w:type="firstRow">
      <w:rPr>
        <w:b/>
        <w:bCs/>
        <w:color w:val="FFFFFF" w:themeColor="background1"/>
      </w:rPr>
      <w:tblPr/>
      <w:tcPr>
        <w:shd w:val="clear" w:color="auto" w:fill="FBD476" w:themeFill="accent4"/>
      </w:tcPr>
    </w:tblStylePr>
    <w:tblStylePr w:type="lastRow">
      <w:rPr>
        <w:b/>
        <w:bCs/>
      </w:rPr>
      <w:tblPr/>
      <w:tcPr>
        <w:tcBorders>
          <w:top w:val="double" w:sz="4" w:space="0" w:color="FBD4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D476" w:themeColor="accent4"/>
          <w:right w:val="single" w:sz="4" w:space="0" w:color="FBD476" w:themeColor="accent4"/>
        </w:tcBorders>
      </w:tcPr>
    </w:tblStylePr>
    <w:tblStylePr w:type="band1Horz">
      <w:tblPr/>
      <w:tcPr>
        <w:tcBorders>
          <w:top w:val="single" w:sz="4" w:space="0" w:color="FBD476" w:themeColor="accent4"/>
          <w:bottom w:val="single" w:sz="4" w:space="0" w:color="FBD4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D476" w:themeColor="accent4"/>
          <w:left w:val="nil"/>
        </w:tcBorders>
      </w:tcPr>
    </w:tblStylePr>
    <w:tblStylePr w:type="swCell">
      <w:tblPr/>
      <w:tcPr>
        <w:tcBorders>
          <w:top w:val="double" w:sz="4" w:space="0" w:color="FBD476" w:themeColor="accent4"/>
          <w:right w:val="nil"/>
        </w:tcBorders>
      </w:tcPr>
    </w:tblStylePr>
  </w:style>
  <w:style w:type="table" w:styleId="ListTable3-Accent5">
    <w:name w:val="List Table 3 Accent 5"/>
    <w:basedOn w:val="TableNormal"/>
    <w:uiPriority w:val="48"/>
    <w:rsid w:val="0058629F"/>
    <w:pPr>
      <w:spacing w:line="240" w:lineRule="auto"/>
    </w:pPr>
    <w:tblPr>
      <w:tblStyleRowBandSize w:val="1"/>
      <w:tblStyleColBandSize w:val="1"/>
      <w:tblBorders>
        <w:top w:val="single" w:sz="4" w:space="0" w:color="EBA089" w:themeColor="accent5"/>
        <w:left w:val="single" w:sz="4" w:space="0" w:color="EBA089" w:themeColor="accent5"/>
        <w:bottom w:val="single" w:sz="4" w:space="0" w:color="EBA089" w:themeColor="accent5"/>
        <w:right w:val="single" w:sz="4" w:space="0" w:color="EBA089" w:themeColor="accent5"/>
      </w:tblBorders>
    </w:tblPr>
    <w:tblStylePr w:type="firstRow">
      <w:rPr>
        <w:b/>
        <w:bCs/>
        <w:color w:val="FFFFFF" w:themeColor="background1"/>
      </w:rPr>
      <w:tblPr/>
      <w:tcPr>
        <w:shd w:val="clear" w:color="auto" w:fill="EBA089" w:themeFill="accent5"/>
      </w:tcPr>
    </w:tblStylePr>
    <w:tblStylePr w:type="lastRow">
      <w:rPr>
        <w:b/>
        <w:bCs/>
      </w:rPr>
      <w:tblPr/>
      <w:tcPr>
        <w:tcBorders>
          <w:top w:val="double" w:sz="4" w:space="0" w:color="EBA0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A089" w:themeColor="accent5"/>
          <w:right w:val="single" w:sz="4" w:space="0" w:color="EBA089" w:themeColor="accent5"/>
        </w:tcBorders>
      </w:tcPr>
    </w:tblStylePr>
    <w:tblStylePr w:type="band1Horz">
      <w:tblPr/>
      <w:tcPr>
        <w:tcBorders>
          <w:top w:val="single" w:sz="4" w:space="0" w:color="EBA089" w:themeColor="accent5"/>
          <w:bottom w:val="single" w:sz="4" w:space="0" w:color="EBA0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A089" w:themeColor="accent5"/>
          <w:left w:val="nil"/>
        </w:tcBorders>
      </w:tcPr>
    </w:tblStylePr>
    <w:tblStylePr w:type="swCell">
      <w:tblPr/>
      <w:tcPr>
        <w:tcBorders>
          <w:top w:val="double" w:sz="4" w:space="0" w:color="EBA089" w:themeColor="accent5"/>
          <w:right w:val="nil"/>
        </w:tcBorders>
      </w:tcPr>
    </w:tblStylePr>
  </w:style>
  <w:style w:type="table" w:styleId="ListTable3-Accent6">
    <w:name w:val="List Table 3 Accent 6"/>
    <w:basedOn w:val="TableNormal"/>
    <w:uiPriority w:val="48"/>
    <w:rsid w:val="0058629F"/>
    <w:pPr>
      <w:spacing w:line="240" w:lineRule="auto"/>
    </w:pPr>
    <w:tblPr>
      <w:tblStyleRowBandSize w:val="1"/>
      <w:tblStyleColBandSize w:val="1"/>
      <w:tblBorders>
        <w:top w:val="single" w:sz="4" w:space="0" w:color="0F204B" w:themeColor="accent6"/>
        <w:left w:val="single" w:sz="4" w:space="0" w:color="0F204B" w:themeColor="accent6"/>
        <w:bottom w:val="single" w:sz="4" w:space="0" w:color="0F204B" w:themeColor="accent6"/>
        <w:right w:val="single" w:sz="4" w:space="0" w:color="0F204B" w:themeColor="accent6"/>
      </w:tblBorders>
    </w:tblPr>
    <w:tblStylePr w:type="firstRow">
      <w:rPr>
        <w:b/>
        <w:bCs/>
        <w:color w:val="FFFFFF" w:themeColor="background1"/>
      </w:rPr>
      <w:tblPr/>
      <w:tcPr>
        <w:shd w:val="clear" w:color="auto" w:fill="0F204B" w:themeFill="accent6"/>
      </w:tcPr>
    </w:tblStylePr>
    <w:tblStylePr w:type="lastRow">
      <w:rPr>
        <w:b/>
        <w:bCs/>
      </w:rPr>
      <w:tblPr/>
      <w:tcPr>
        <w:tcBorders>
          <w:top w:val="double" w:sz="4" w:space="0" w:color="0F20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204B" w:themeColor="accent6"/>
          <w:right w:val="single" w:sz="4" w:space="0" w:color="0F204B" w:themeColor="accent6"/>
        </w:tcBorders>
      </w:tcPr>
    </w:tblStylePr>
    <w:tblStylePr w:type="band1Horz">
      <w:tblPr/>
      <w:tcPr>
        <w:tcBorders>
          <w:top w:val="single" w:sz="4" w:space="0" w:color="0F204B" w:themeColor="accent6"/>
          <w:bottom w:val="single" w:sz="4" w:space="0" w:color="0F20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204B" w:themeColor="accent6"/>
          <w:left w:val="nil"/>
        </w:tcBorders>
      </w:tcPr>
    </w:tblStylePr>
    <w:tblStylePr w:type="swCell">
      <w:tblPr/>
      <w:tcPr>
        <w:tcBorders>
          <w:top w:val="double" w:sz="4" w:space="0" w:color="0F204B" w:themeColor="accent6"/>
          <w:right w:val="nil"/>
        </w:tcBorders>
      </w:tcPr>
    </w:tblStylePr>
  </w:style>
  <w:style w:type="table" w:styleId="ListTable4">
    <w:name w:val="List Table 4"/>
    <w:basedOn w:val="TableNormal"/>
    <w:uiPriority w:val="49"/>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8629F"/>
    <w:pPr>
      <w:spacing w:line="240" w:lineRule="auto"/>
    </w:pPr>
    <w:tblPr>
      <w:tblStyleRowBandSize w:val="1"/>
      <w:tblStyleColBandSize w:val="1"/>
      <w:tblBorders>
        <w:top w:val="single" w:sz="4" w:space="0" w:color="8AB1E9" w:themeColor="accent1" w:themeTint="99"/>
        <w:left w:val="single" w:sz="4" w:space="0" w:color="8AB1E9" w:themeColor="accent1" w:themeTint="99"/>
        <w:bottom w:val="single" w:sz="4" w:space="0" w:color="8AB1E9" w:themeColor="accent1" w:themeTint="99"/>
        <w:right w:val="single" w:sz="4" w:space="0" w:color="8AB1E9" w:themeColor="accent1" w:themeTint="99"/>
        <w:insideH w:val="single" w:sz="4" w:space="0" w:color="8AB1E9" w:themeColor="accent1" w:themeTint="99"/>
      </w:tblBorders>
    </w:tblPr>
    <w:tblStylePr w:type="firstRow">
      <w:rPr>
        <w:b/>
        <w:bCs/>
        <w:color w:val="FFFFFF" w:themeColor="background1"/>
      </w:rPr>
      <w:tblPr/>
      <w:tcPr>
        <w:tcBorders>
          <w:top w:val="single" w:sz="4" w:space="0" w:color="3D7EDB" w:themeColor="accent1"/>
          <w:left w:val="single" w:sz="4" w:space="0" w:color="3D7EDB" w:themeColor="accent1"/>
          <w:bottom w:val="single" w:sz="4" w:space="0" w:color="3D7EDB" w:themeColor="accent1"/>
          <w:right w:val="single" w:sz="4" w:space="0" w:color="3D7EDB" w:themeColor="accent1"/>
          <w:insideH w:val="nil"/>
        </w:tcBorders>
        <w:shd w:val="clear" w:color="auto" w:fill="3D7EDB" w:themeFill="accent1"/>
      </w:tcPr>
    </w:tblStylePr>
    <w:tblStylePr w:type="lastRow">
      <w:rPr>
        <w:b/>
        <w:bCs/>
      </w:rPr>
      <w:tblPr/>
      <w:tcPr>
        <w:tcBorders>
          <w:top w:val="double" w:sz="4" w:space="0" w:color="8AB1E9" w:themeColor="accent1" w:themeTint="99"/>
        </w:tcBorders>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ListTable4-Accent2">
    <w:name w:val="List Table 4 Accent 2"/>
    <w:basedOn w:val="TableNormal"/>
    <w:uiPriority w:val="49"/>
    <w:rsid w:val="0058629F"/>
    <w:pPr>
      <w:spacing w:line="240" w:lineRule="auto"/>
    </w:pPr>
    <w:tblPr>
      <w:tblStyleRowBandSize w:val="1"/>
      <w:tblStyleColBandSize w:val="1"/>
      <w:tblBorders>
        <w:top w:val="single" w:sz="4" w:space="0" w:color="ABE3F2" w:themeColor="accent2" w:themeTint="99"/>
        <w:left w:val="single" w:sz="4" w:space="0" w:color="ABE3F2" w:themeColor="accent2" w:themeTint="99"/>
        <w:bottom w:val="single" w:sz="4" w:space="0" w:color="ABE3F2" w:themeColor="accent2" w:themeTint="99"/>
        <w:right w:val="single" w:sz="4" w:space="0" w:color="ABE3F2" w:themeColor="accent2" w:themeTint="99"/>
        <w:insideH w:val="single" w:sz="4" w:space="0" w:color="ABE3F2" w:themeColor="accent2" w:themeTint="99"/>
      </w:tblBorders>
    </w:tblPr>
    <w:tblStylePr w:type="firstRow">
      <w:rPr>
        <w:b/>
        <w:bCs/>
        <w:color w:val="FFFFFF" w:themeColor="background1"/>
      </w:rPr>
      <w:tblPr/>
      <w:tcPr>
        <w:tcBorders>
          <w:top w:val="single" w:sz="4" w:space="0" w:color="74D1EA" w:themeColor="accent2"/>
          <w:left w:val="single" w:sz="4" w:space="0" w:color="74D1EA" w:themeColor="accent2"/>
          <w:bottom w:val="single" w:sz="4" w:space="0" w:color="74D1EA" w:themeColor="accent2"/>
          <w:right w:val="single" w:sz="4" w:space="0" w:color="74D1EA" w:themeColor="accent2"/>
          <w:insideH w:val="nil"/>
        </w:tcBorders>
        <w:shd w:val="clear" w:color="auto" w:fill="74D1EA" w:themeFill="accent2"/>
      </w:tcPr>
    </w:tblStylePr>
    <w:tblStylePr w:type="lastRow">
      <w:rPr>
        <w:b/>
        <w:bCs/>
      </w:rPr>
      <w:tblPr/>
      <w:tcPr>
        <w:tcBorders>
          <w:top w:val="double" w:sz="4" w:space="0" w:color="ABE3F2" w:themeColor="accent2" w:themeTint="99"/>
        </w:tcBorders>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ListTable4-Accent3">
    <w:name w:val="List Table 4 Accent 3"/>
    <w:basedOn w:val="TableNormal"/>
    <w:uiPriority w:val="49"/>
    <w:rsid w:val="0058629F"/>
    <w:pPr>
      <w:spacing w:line="240" w:lineRule="auto"/>
    </w:pPr>
    <w:tblPr>
      <w:tblStyleRowBandSize w:val="1"/>
      <w:tblStyleColBandSize w:val="1"/>
      <w:tblBorders>
        <w:top w:val="single" w:sz="4" w:space="0" w:color="B2E5DC" w:themeColor="accent3" w:themeTint="99"/>
        <w:left w:val="single" w:sz="4" w:space="0" w:color="B2E5DC" w:themeColor="accent3" w:themeTint="99"/>
        <w:bottom w:val="single" w:sz="4" w:space="0" w:color="B2E5DC" w:themeColor="accent3" w:themeTint="99"/>
        <w:right w:val="single" w:sz="4" w:space="0" w:color="B2E5DC" w:themeColor="accent3" w:themeTint="99"/>
        <w:insideH w:val="single" w:sz="4" w:space="0" w:color="B2E5DC" w:themeColor="accent3" w:themeTint="99"/>
      </w:tblBorders>
    </w:tblPr>
    <w:tblStylePr w:type="firstRow">
      <w:rPr>
        <w:b/>
        <w:bCs/>
        <w:color w:val="FFFFFF" w:themeColor="background1"/>
      </w:rPr>
      <w:tblPr/>
      <w:tcPr>
        <w:tcBorders>
          <w:top w:val="single" w:sz="4" w:space="0" w:color="7FD5C5" w:themeColor="accent3"/>
          <w:left w:val="single" w:sz="4" w:space="0" w:color="7FD5C5" w:themeColor="accent3"/>
          <w:bottom w:val="single" w:sz="4" w:space="0" w:color="7FD5C5" w:themeColor="accent3"/>
          <w:right w:val="single" w:sz="4" w:space="0" w:color="7FD5C5" w:themeColor="accent3"/>
          <w:insideH w:val="nil"/>
        </w:tcBorders>
        <w:shd w:val="clear" w:color="auto" w:fill="7FD5C5" w:themeFill="accent3"/>
      </w:tcPr>
    </w:tblStylePr>
    <w:tblStylePr w:type="lastRow">
      <w:rPr>
        <w:b/>
        <w:bCs/>
      </w:rPr>
      <w:tblPr/>
      <w:tcPr>
        <w:tcBorders>
          <w:top w:val="double" w:sz="4" w:space="0" w:color="B2E5DC" w:themeColor="accent3" w:themeTint="99"/>
        </w:tcBorders>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ListTable4-Accent4">
    <w:name w:val="List Table 4 Accent 4"/>
    <w:basedOn w:val="TableNormal"/>
    <w:uiPriority w:val="49"/>
    <w:rsid w:val="0058629F"/>
    <w:pPr>
      <w:spacing w:line="240" w:lineRule="auto"/>
    </w:pPr>
    <w:tblPr>
      <w:tblStyleRowBandSize w:val="1"/>
      <w:tblStyleColBandSize w:val="1"/>
      <w:tblBorders>
        <w:top w:val="single" w:sz="4" w:space="0" w:color="FCE5AC" w:themeColor="accent4" w:themeTint="99"/>
        <w:left w:val="single" w:sz="4" w:space="0" w:color="FCE5AC" w:themeColor="accent4" w:themeTint="99"/>
        <w:bottom w:val="single" w:sz="4" w:space="0" w:color="FCE5AC" w:themeColor="accent4" w:themeTint="99"/>
        <w:right w:val="single" w:sz="4" w:space="0" w:color="FCE5AC" w:themeColor="accent4" w:themeTint="99"/>
        <w:insideH w:val="single" w:sz="4" w:space="0" w:color="FCE5AC" w:themeColor="accent4" w:themeTint="99"/>
      </w:tblBorders>
    </w:tblPr>
    <w:tblStylePr w:type="firstRow">
      <w:rPr>
        <w:b/>
        <w:bCs/>
        <w:color w:val="FFFFFF" w:themeColor="background1"/>
      </w:rPr>
      <w:tblPr/>
      <w:tcPr>
        <w:tcBorders>
          <w:top w:val="single" w:sz="4" w:space="0" w:color="FBD476" w:themeColor="accent4"/>
          <w:left w:val="single" w:sz="4" w:space="0" w:color="FBD476" w:themeColor="accent4"/>
          <w:bottom w:val="single" w:sz="4" w:space="0" w:color="FBD476" w:themeColor="accent4"/>
          <w:right w:val="single" w:sz="4" w:space="0" w:color="FBD476" w:themeColor="accent4"/>
          <w:insideH w:val="nil"/>
        </w:tcBorders>
        <w:shd w:val="clear" w:color="auto" w:fill="FBD476" w:themeFill="accent4"/>
      </w:tcPr>
    </w:tblStylePr>
    <w:tblStylePr w:type="lastRow">
      <w:rPr>
        <w:b/>
        <w:bCs/>
      </w:rPr>
      <w:tblPr/>
      <w:tcPr>
        <w:tcBorders>
          <w:top w:val="double" w:sz="4" w:space="0" w:color="FCE5AC" w:themeColor="accent4" w:themeTint="99"/>
        </w:tcBorders>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ListTable4-Accent5">
    <w:name w:val="List Table 4 Accent 5"/>
    <w:basedOn w:val="TableNormal"/>
    <w:uiPriority w:val="49"/>
    <w:rsid w:val="0058629F"/>
    <w:pPr>
      <w:spacing w:line="240" w:lineRule="auto"/>
    </w:pPr>
    <w:tblPr>
      <w:tblStyleRowBandSize w:val="1"/>
      <w:tblStyleColBandSize w:val="1"/>
      <w:tblBorders>
        <w:top w:val="single" w:sz="4" w:space="0" w:color="F3C5B8" w:themeColor="accent5" w:themeTint="99"/>
        <w:left w:val="single" w:sz="4" w:space="0" w:color="F3C5B8" w:themeColor="accent5" w:themeTint="99"/>
        <w:bottom w:val="single" w:sz="4" w:space="0" w:color="F3C5B8" w:themeColor="accent5" w:themeTint="99"/>
        <w:right w:val="single" w:sz="4" w:space="0" w:color="F3C5B8" w:themeColor="accent5" w:themeTint="99"/>
        <w:insideH w:val="single" w:sz="4" w:space="0" w:color="F3C5B8" w:themeColor="accent5" w:themeTint="99"/>
      </w:tblBorders>
    </w:tblPr>
    <w:tblStylePr w:type="firstRow">
      <w:rPr>
        <w:b/>
        <w:bCs/>
        <w:color w:val="FFFFFF" w:themeColor="background1"/>
      </w:rPr>
      <w:tblPr/>
      <w:tcPr>
        <w:tcBorders>
          <w:top w:val="single" w:sz="4" w:space="0" w:color="EBA089" w:themeColor="accent5"/>
          <w:left w:val="single" w:sz="4" w:space="0" w:color="EBA089" w:themeColor="accent5"/>
          <w:bottom w:val="single" w:sz="4" w:space="0" w:color="EBA089" w:themeColor="accent5"/>
          <w:right w:val="single" w:sz="4" w:space="0" w:color="EBA089" w:themeColor="accent5"/>
          <w:insideH w:val="nil"/>
        </w:tcBorders>
        <w:shd w:val="clear" w:color="auto" w:fill="EBA089" w:themeFill="accent5"/>
      </w:tcPr>
    </w:tblStylePr>
    <w:tblStylePr w:type="lastRow">
      <w:rPr>
        <w:b/>
        <w:bCs/>
      </w:rPr>
      <w:tblPr/>
      <w:tcPr>
        <w:tcBorders>
          <w:top w:val="double" w:sz="4" w:space="0" w:color="F3C5B8" w:themeColor="accent5" w:themeTint="99"/>
        </w:tcBorders>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ListTable4-Accent6">
    <w:name w:val="List Table 4 Accent 6"/>
    <w:basedOn w:val="TableNormal"/>
    <w:uiPriority w:val="49"/>
    <w:rsid w:val="0058629F"/>
    <w:pPr>
      <w:spacing w:line="240" w:lineRule="auto"/>
    </w:pPr>
    <w:tblPr>
      <w:tblStyleRowBandSize w:val="1"/>
      <w:tblStyleColBandSize w:val="1"/>
      <w:tblBorders>
        <w:top w:val="single" w:sz="4" w:space="0" w:color="2D5CD5" w:themeColor="accent6" w:themeTint="99"/>
        <w:left w:val="single" w:sz="4" w:space="0" w:color="2D5CD5" w:themeColor="accent6" w:themeTint="99"/>
        <w:bottom w:val="single" w:sz="4" w:space="0" w:color="2D5CD5" w:themeColor="accent6" w:themeTint="99"/>
        <w:right w:val="single" w:sz="4" w:space="0" w:color="2D5CD5" w:themeColor="accent6" w:themeTint="99"/>
        <w:insideH w:val="single" w:sz="4" w:space="0" w:color="2D5CD5" w:themeColor="accent6" w:themeTint="99"/>
      </w:tblBorders>
    </w:tblPr>
    <w:tblStylePr w:type="firstRow">
      <w:rPr>
        <w:b/>
        <w:bCs/>
        <w:color w:val="FFFFFF" w:themeColor="background1"/>
      </w:rPr>
      <w:tblPr/>
      <w:tcPr>
        <w:tcBorders>
          <w:top w:val="single" w:sz="4" w:space="0" w:color="0F204B" w:themeColor="accent6"/>
          <w:left w:val="single" w:sz="4" w:space="0" w:color="0F204B" w:themeColor="accent6"/>
          <w:bottom w:val="single" w:sz="4" w:space="0" w:color="0F204B" w:themeColor="accent6"/>
          <w:right w:val="single" w:sz="4" w:space="0" w:color="0F204B" w:themeColor="accent6"/>
          <w:insideH w:val="nil"/>
        </w:tcBorders>
        <w:shd w:val="clear" w:color="auto" w:fill="0F204B" w:themeFill="accent6"/>
      </w:tcPr>
    </w:tblStylePr>
    <w:tblStylePr w:type="lastRow">
      <w:rPr>
        <w:b/>
        <w:bCs/>
      </w:rPr>
      <w:tblPr/>
      <w:tcPr>
        <w:tcBorders>
          <w:top w:val="double" w:sz="4" w:space="0" w:color="2D5CD5" w:themeColor="accent6" w:themeTint="99"/>
        </w:tcBorders>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ListTable5Dark">
    <w:name w:val="List Table 5 Dark"/>
    <w:basedOn w:val="TableNormal"/>
    <w:uiPriority w:val="50"/>
    <w:rsid w:val="005862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8629F"/>
    <w:pPr>
      <w:spacing w:line="240" w:lineRule="auto"/>
    </w:pPr>
    <w:rPr>
      <w:color w:val="FFFFFF" w:themeColor="background1"/>
    </w:rPr>
    <w:tblPr>
      <w:tblStyleRowBandSize w:val="1"/>
      <w:tblStyleColBandSize w:val="1"/>
      <w:tblBorders>
        <w:top w:val="single" w:sz="24" w:space="0" w:color="3D7EDB" w:themeColor="accent1"/>
        <w:left w:val="single" w:sz="24" w:space="0" w:color="3D7EDB" w:themeColor="accent1"/>
        <w:bottom w:val="single" w:sz="24" w:space="0" w:color="3D7EDB" w:themeColor="accent1"/>
        <w:right w:val="single" w:sz="24" w:space="0" w:color="3D7EDB" w:themeColor="accent1"/>
      </w:tblBorders>
    </w:tblPr>
    <w:tcPr>
      <w:shd w:val="clear" w:color="auto" w:fill="3D7ED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8629F"/>
    <w:pPr>
      <w:spacing w:line="240" w:lineRule="auto"/>
    </w:pPr>
    <w:rPr>
      <w:color w:val="FFFFFF" w:themeColor="background1"/>
    </w:rPr>
    <w:tblPr>
      <w:tblStyleRowBandSize w:val="1"/>
      <w:tblStyleColBandSize w:val="1"/>
      <w:tblBorders>
        <w:top w:val="single" w:sz="24" w:space="0" w:color="74D1EA" w:themeColor="accent2"/>
        <w:left w:val="single" w:sz="24" w:space="0" w:color="74D1EA" w:themeColor="accent2"/>
        <w:bottom w:val="single" w:sz="24" w:space="0" w:color="74D1EA" w:themeColor="accent2"/>
        <w:right w:val="single" w:sz="24" w:space="0" w:color="74D1EA" w:themeColor="accent2"/>
      </w:tblBorders>
    </w:tblPr>
    <w:tcPr>
      <w:shd w:val="clear" w:color="auto" w:fill="74D1E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8629F"/>
    <w:pPr>
      <w:spacing w:line="240" w:lineRule="auto"/>
    </w:pPr>
    <w:rPr>
      <w:color w:val="FFFFFF" w:themeColor="background1"/>
    </w:rPr>
    <w:tblPr>
      <w:tblStyleRowBandSize w:val="1"/>
      <w:tblStyleColBandSize w:val="1"/>
      <w:tblBorders>
        <w:top w:val="single" w:sz="24" w:space="0" w:color="7FD5C5" w:themeColor="accent3"/>
        <w:left w:val="single" w:sz="24" w:space="0" w:color="7FD5C5" w:themeColor="accent3"/>
        <w:bottom w:val="single" w:sz="24" w:space="0" w:color="7FD5C5" w:themeColor="accent3"/>
        <w:right w:val="single" w:sz="24" w:space="0" w:color="7FD5C5" w:themeColor="accent3"/>
      </w:tblBorders>
    </w:tblPr>
    <w:tcPr>
      <w:shd w:val="clear" w:color="auto" w:fill="7FD5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8629F"/>
    <w:pPr>
      <w:spacing w:line="240" w:lineRule="auto"/>
    </w:pPr>
    <w:rPr>
      <w:color w:val="FFFFFF" w:themeColor="background1"/>
    </w:rPr>
    <w:tblPr>
      <w:tblStyleRowBandSize w:val="1"/>
      <w:tblStyleColBandSize w:val="1"/>
      <w:tblBorders>
        <w:top w:val="single" w:sz="24" w:space="0" w:color="FBD476" w:themeColor="accent4"/>
        <w:left w:val="single" w:sz="24" w:space="0" w:color="FBD476" w:themeColor="accent4"/>
        <w:bottom w:val="single" w:sz="24" w:space="0" w:color="FBD476" w:themeColor="accent4"/>
        <w:right w:val="single" w:sz="24" w:space="0" w:color="FBD476" w:themeColor="accent4"/>
      </w:tblBorders>
    </w:tblPr>
    <w:tcPr>
      <w:shd w:val="clear" w:color="auto" w:fill="FBD4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8629F"/>
    <w:pPr>
      <w:spacing w:line="240" w:lineRule="auto"/>
    </w:pPr>
    <w:rPr>
      <w:color w:val="FFFFFF" w:themeColor="background1"/>
    </w:rPr>
    <w:tblPr>
      <w:tblStyleRowBandSize w:val="1"/>
      <w:tblStyleColBandSize w:val="1"/>
      <w:tblBorders>
        <w:top w:val="single" w:sz="24" w:space="0" w:color="EBA089" w:themeColor="accent5"/>
        <w:left w:val="single" w:sz="24" w:space="0" w:color="EBA089" w:themeColor="accent5"/>
        <w:bottom w:val="single" w:sz="24" w:space="0" w:color="EBA089" w:themeColor="accent5"/>
        <w:right w:val="single" w:sz="24" w:space="0" w:color="EBA089" w:themeColor="accent5"/>
      </w:tblBorders>
    </w:tblPr>
    <w:tcPr>
      <w:shd w:val="clear" w:color="auto" w:fill="EBA0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8629F"/>
    <w:pPr>
      <w:spacing w:line="240" w:lineRule="auto"/>
    </w:pPr>
    <w:rPr>
      <w:color w:val="FFFFFF" w:themeColor="background1"/>
    </w:rPr>
    <w:tblPr>
      <w:tblStyleRowBandSize w:val="1"/>
      <w:tblStyleColBandSize w:val="1"/>
      <w:tblBorders>
        <w:top w:val="single" w:sz="24" w:space="0" w:color="0F204B" w:themeColor="accent6"/>
        <w:left w:val="single" w:sz="24" w:space="0" w:color="0F204B" w:themeColor="accent6"/>
        <w:bottom w:val="single" w:sz="24" w:space="0" w:color="0F204B" w:themeColor="accent6"/>
        <w:right w:val="single" w:sz="24" w:space="0" w:color="0F204B" w:themeColor="accent6"/>
      </w:tblBorders>
    </w:tblPr>
    <w:tcPr>
      <w:shd w:val="clear" w:color="auto" w:fill="0F20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8629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8629F"/>
    <w:pPr>
      <w:spacing w:line="240" w:lineRule="auto"/>
    </w:pPr>
    <w:rPr>
      <w:color w:val="205BB0" w:themeColor="accent1" w:themeShade="BF"/>
    </w:rPr>
    <w:tblPr>
      <w:tblStyleRowBandSize w:val="1"/>
      <w:tblStyleColBandSize w:val="1"/>
      <w:tblBorders>
        <w:top w:val="single" w:sz="4" w:space="0" w:color="3D7EDB" w:themeColor="accent1"/>
        <w:bottom w:val="single" w:sz="4" w:space="0" w:color="3D7EDB" w:themeColor="accent1"/>
      </w:tblBorders>
    </w:tblPr>
    <w:tblStylePr w:type="firstRow">
      <w:rPr>
        <w:b/>
        <w:bCs/>
      </w:rPr>
      <w:tblPr/>
      <w:tcPr>
        <w:tcBorders>
          <w:bottom w:val="single" w:sz="4" w:space="0" w:color="3D7EDB" w:themeColor="accent1"/>
        </w:tcBorders>
      </w:tcPr>
    </w:tblStylePr>
    <w:tblStylePr w:type="lastRow">
      <w:rPr>
        <w:b/>
        <w:bCs/>
      </w:rPr>
      <w:tblPr/>
      <w:tcPr>
        <w:tcBorders>
          <w:top w:val="double" w:sz="4" w:space="0" w:color="3D7EDB" w:themeColor="accent1"/>
        </w:tcBorders>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ListTable6Colorful-Accent2">
    <w:name w:val="List Table 6 Colorful Accent 2"/>
    <w:basedOn w:val="TableNormal"/>
    <w:uiPriority w:val="51"/>
    <w:rsid w:val="0058629F"/>
    <w:pPr>
      <w:spacing w:line="240" w:lineRule="auto"/>
    </w:pPr>
    <w:rPr>
      <w:color w:val="27B7DE" w:themeColor="accent2" w:themeShade="BF"/>
    </w:rPr>
    <w:tblPr>
      <w:tblStyleRowBandSize w:val="1"/>
      <w:tblStyleColBandSize w:val="1"/>
      <w:tblBorders>
        <w:top w:val="single" w:sz="4" w:space="0" w:color="74D1EA" w:themeColor="accent2"/>
        <w:bottom w:val="single" w:sz="4" w:space="0" w:color="74D1EA" w:themeColor="accent2"/>
      </w:tblBorders>
    </w:tblPr>
    <w:tblStylePr w:type="firstRow">
      <w:rPr>
        <w:b/>
        <w:bCs/>
      </w:rPr>
      <w:tblPr/>
      <w:tcPr>
        <w:tcBorders>
          <w:bottom w:val="single" w:sz="4" w:space="0" w:color="74D1EA" w:themeColor="accent2"/>
        </w:tcBorders>
      </w:tcPr>
    </w:tblStylePr>
    <w:tblStylePr w:type="lastRow">
      <w:rPr>
        <w:b/>
        <w:bCs/>
      </w:rPr>
      <w:tblPr/>
      <w:tcPr>
        <w:tcBorders>
          <w:top w:val="double" w:sz="4" w:space="0" w:color="74D1EA" w:themeColor="accent2"/>
        </w:tcBorders>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ListTable6Colorful-Accent3">
    <w:name w:val="List Table 6 Colorful Accent 3"/>
    <w:basedOn w:val="TableNormal"/>
    <w:uiPriority w:val="51"/>
    <w:rsid w:val="0058629F"/>
    <w:pPr>
      <w:spacing w:line="240" w:lineRule="auto"/>
    </w:pPr>
    <w:rPr>
      <w:color w:val="3FBFA7" w:themeColor="accent3" w:themeShade="BF"/>
    </w:rPr>
    <w:tblPr>
      <w:tblStyleRowBandSize w:val="1"/>
      <w:tblStyleColBandSize w:val="1"/>
      <w:tblBorders>
        <w:top w:val="single" w:sz="4" w:space="0" w:color="7FD5C5" w:themeColor="accent3"/>
        <w:bottom w:val="single" w:sz="4" w:space="0" w:color="7FD5C5" w:themeColor="accent3"/>
      </w:tblBorders>
    </w:tblPr>
    <w:tblStylePr w:type="firstRow">
      <w:rPr>
        <w:b/>
        <w:bCs/>
      </w:rPr>
      <w:tblPr/>
      <w:tcPr>
        <w:tcBorders>
          <w:bottom w:val="single" w:sz="4" w:space="0" w:color="7FD5C5" w:themeColor="accent3"/>
        </w:tcBorders>
      </w:tcPr>
    </w:tblStylePr>
    <w:tblStylePr w:type="lastRow">
      <w:rPr>
        <w:b/>
        <w:bCs/>
      </w:rPr>
      <w:tblPr/>
      <w:tcPr>
        <w:tcBorders>
          <w:top w:val="double" w:sz="4" w:space="0" w:color="7FD5C5" w:themeColor="accent3"/>
        </w:tcBorders>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ListTable6Colorful-Accent4">
    <w:name w:val="List Table 6 Colorful Accent 4"/>
    <w:basedOn w:val="TableNormal"/>
    <w:uiPriority w:val="51"/>
    <w:rsid w:val="0058629F"/>
    <w:pPr>
      <w:spacing w:line="240" w:lineRule="auto"/>
    </w:pPr>
    <w:rPr>
      <w:color w:val="F8B71B" w:themeColor="accent4" w:themeShade="BF"/>
    </w:rPr>
    <w:tblPr>
      <w:tblStyleRowBandSize w:val="1"/>
      <w:tblStyleColBandSize w:val="1"/>
      <w:tblBorders>
        <w:top w:val="single" w:sz="4" w:space="0" w:color="FBD476" w:themeColor="accent4"/>
        <w:bottom w:val="single" w:sz="4" w:space="0" w:color="FBD476" w:themeColor="accent4"/>
      </w:tblBorders>
    </w:tblPr>
    <w:tblStylePr w:type="firstRow">
      <w:rPr>
        <w:b/>
        <w:bCs/>
      </w:rPr>
      <w:tblPr/>
      <w:tcPr>
        <w:tcBorders>
          <w:bottom w:val="single" w:sz="4" w:space="0" w:color="FBD476" w:themeColor="accent4"/>
        </w:tcBorders>
      </w:tcPr>
    </w:tblStylePr>
    <w:tblStylePr w:type="lastRow">
      <w:rPr>
        <w:b/>
        <w:bCs/>
      </w:rPr>
      <w:tblPr/>
      <w:tcPr>
        <w:tcBorders>
          <w:top w:val="double" w:sz="4" w:space="0" w:color="FBD476" w:themeColor="accent4"/>
        </w:tcBorders>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ListTable6Colorful-Accent5">
    <w:name w:val="List Table 6 Colorful Accent 5"/>
    <w:basedOn w:val="TableNormal"/>
    <w:uiPriority w:val="51"/>
    <w:rsid w:val="0058629F"/>
    <w:pPr>
      <w:spacing w:line="240" w:lineRule="auto"/>
    </w:pPr>
    <w:rPr>
      <w:color w:val="DD5E38" w:themeColor="accent5" w:themeShade="BF"/>
    </w:rPr>
    <w:tblPr>
      <w:tblStyleRowBandSize w:val="1"/>
      <w:tblStyleColBandSize w:val="1"/>
      <w:tblBorders>
        <w:top w:val="single" w:sz="4" w:space="0" w:color="EBA089" w:themeColor="accent5"/>
        <w:bottom w:val="single" w:sz="4" w:space="0" w:color="EBA089" w:themeColor="accent5"/>
      </w:tblBorders>
    </w:tblPr>
    <w:tblStylePr w:type="firstRow">
      <w:rPr>
        <w:b/>
        <w:bCs/>
      </w:rPr>
      <w:tblPr/>
      <w:tcPr>
        <w:tcBorders>
          <w:bottom w:val="single" w:sz="4" w:space="0" w:color="EBA089" w:themeColor="accent5"/>
        </w:tcBorders>
      </w:tcPr>
    </w:tblStylePr>
    <w:tblStylePr w:type="lastRow">
      <w:rPr>
        <w:b/>
        <w:bCs/>
      </w:rPr>
      <w:tblPr/>
      <w:tcPr>
        <w:tcBorders>
          <w:top w:val="double" w:sz="4" w:space="0" w:color="EBA089" w:themeColor="accent5"/>
        </w:tcBorders>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ListTable6Colorful-Accent6">
    <w:name w:val="List Table 6 Colorful Accent 6"/>
    <w:basedOn w:val="TableNormal"/>
    <w:uiPriority w:val="51"/>
    <w:rsid w:val="0058629F"/>
    <w:pPr>
      <w:spacing w:line="240" w:lineRule="auto"/>
    </w:pPr>
    <w:rPr>
      <w:color w:val="0B1738" w:themeColor="accent6" w:themeShade="BF"/>
    </w:rPr>
    <w:tblPr>
      <w:tblStyleRowBandSize w:val="1"/>
      <w:tblStyleColBandSize w:val="1"/>
      <w:tblBorders>
        <w:top w:val="single" w:sz="4" w:space="0" w:color="0F204B" w:themeColor="accent6"/>
        <w:bottom w:val="single" w:sz="4" w:space="0" w:color="0F204B" w:themeColor="accent6"/>
      </w:tblBorders>
    </w:tblPr>
    <w:tblStylePr w:type="firstRow">
      <w:rPr>
        <w:b/>
        <w:bCs/>
      </w:rPr>
      <w:tblPr/>
      <w:tcPr>
        <w:tcBorders>
          <w:bottom w:val="single" w:sz="4" w:space="0" w:color="0F204B" w:themeColor="accent6"/>
        </w:tcBorders>
      </w:tcPr>
    </w:tblStylePr>
    <w:tblStylePr w:type="lastRow">
      <w:rPr>
        <w:b/>
        <w:bCs/>
      </w:rPr>
      <w:tblPr/>
      <w:tcPr>
        <w:tcBorders>
          <w:top w:val="double" w:sz="4" w:space="0" w:color="0F204B" w:themeColor="accent6"/>
        </w:tcBorders>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ListTable7Colorful">
    <w:name w:val="List Table 7 Colorful"/>
    <w:basedOn w:val="TableNormal"/>
    <w:uiPriority w:val="52"/>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8629F"/>
    <w:pPr>
      <w:spacing w:line="240" w:lineRule="auto"/>
    </w:pPr>
    <w:rPr>
      <w:color w:val="205BB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7ED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7ED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7ED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7EDB" w:themeColor="accent1"/>
        </w:tcBorders>
        <w:shd w:val="clear" w:color="auto" w:fill="FFFFFF" w:themeFill="background1"/>
      </w:tcPr>
    </w:tblStylePr>
    <w:tblStylePr w:type="band1Vert">
      <w:tblPr/>
      <w:tcPr>
        <w:shd w:val="clear" w:color="auto" w:fill="D8E5F7" w:themeFill="accent1" w:themeFillTint="33"/>
      </w:tcPr>
    </w:tblStylePr>
    <w:tblStylePr w:type="band1Horz">
      <w:tblPr/>
      <w:tcPr>
        <w:shd w:val="clear" w:color="auto" w:fill="D8E5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8629F"/>
    <w:pPr>
      <w:spacing w:line="240" w:lineRule="auto"/>
    </w:pPr>
    <w:rPr>
      <w:color w:val="27B7D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D1E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D1E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D1E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D1EA" w:themeColor="accent2"/>
        </w:tcBorders>
        <w:shd w:val="clear" w:color="auto" w:fill="FFFFFF" w:themeFill="background1"/>
      </w:tcPr>
    </w:tblStylePr>
    <w:tblStylePr w:type="band1Vert">
      <w:tblPr/>
      <w:tcPr>
        <w:shd w:val="clear" w:color="auto" w:fill="E3F5FA" w:themeFill="accent2" w:themeFillTint="33"/>
      </w:tcPr>
    </w:tblStylePr>
    <w:tblStylePr w:type="band1Horz">
      <w:tblPr/>
      <w:tcPr>
        <w:shd w:val="clear" w:color="auto" w:fill="E3F5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8629F"/>
    <w:pPr>
      <w:spacing w:line="240" w:lineRule="auto"/>
    </w:pPr>
    <w:rPr>
      <w:color w:val="3FBFA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D5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D5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D5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D5C5" w:themeColor="accent3"/>
        </w:tcBorders>
        <w:shd w:val="clear" w:color="auto" w:fill="FFFFFF" w:themeFill="background1"/>
      </w:tcPr>
    </w:tblStylePr>
    <w:tblStylePr w:type="band1Vert">
      <w:tblPr/>
      <w:tcPr>
        <w:shd w:val="clear" w:color="auto" w:fill="E5F6F3" w:themeFill="accent3" w:themeFillTint="33"/>
      </w:tcPr>
    </w:tblStylePr>
    <w:tblStylePr w:type="band1Horz">
      <w:tblPr/>
      <w:tcPr>
        <w:shd w:val="clear" w:color="auto" w:fill="E5F6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8629F"/>
    <w:pPr>
      <w:spacing w:line="240" w:lineRule="auto"/>
    </w:pPr>
    <w:rPr>
      <w:color w:val="F8B7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D4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D4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D4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D476" w:themeColor="accent4"/>
        </w:tcBorders>
        <w:shd w:val="clear" w:color="auto" w:fill="FFFFFF" w:themeFill="background1"/>
      </w:tcPr>
    </w:tblStylePr>
    <w:tblStylePr w:type="band1Vert">
      <w:tblPr/>
      <w:tcPr>
        <w:shd w:val="clear" w:color="auto" w:fill="FEF6E3" w:themeFill="accent4" w:themeFillTint="33"/>
      </w:tcPr>
    </w:tblStylePr>
    <w:tblStylePr w:type="band1Horz">
      <w:tblPr/>
      <w:tcPr>
        <w:shd w:val="clear" w:color="auto" w:fill="FEF6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8629F"/>
    <w:pPr>
      <w:spacing w:line="240" w:lineRule="auto"/>
    </w:pPr>
    <w:rPr>
      <w:color w:val="DD5E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A0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A0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A0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A089" w:themeColor="accent5"/>
        </w:tcBorders>
        <w:shd w:val="clear" w:color="auto" w:fill="FFFFFF" w:themeFill="background1"/>
      </w:tcPr>
    </w:tblStylePr>
    <w:tblStylePr w:type="band1Vert">
      <w:tblPr/>
      <w:tcPr>
        <w:shd w:val="clear" w:color="auto" w:fill="FBEBE7" w:themeFill="accent5" w:themeFillTint="33"/>
      </w:tcPr>
    </w:tblStylePr>
    <w:tblStylePr w:type="band1Horz">
      <w:tblPr/>
      <w:tcPr>
        <w:shd w:val="clear" w:color="auto" w:fill="FBEB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8629F"/>
    <w:pPr>
      <w:spacing w:line="240" w:lineRule="auto"/>
    </w:pPr>
    <w:rPr>
      <w:color w:val="0B1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20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20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20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204B" w:themeColor="accent6"/>
        </w:tcBorders>
        <w:shd w:val="clear" w:color="auto" w:fill="FFFFFF" w:themeFill="background1"/>
      </w:tcPr>
    </w:tblStylePr>
    <w:tblStylePr w:type="band1Vert">
      <w:tblPr/>
      <w:tcPr>
        <w:shd w:val="clear" w:color="auto" w:fill="B9C8F1" w:themeFill="accent6" w:themeFillTint="33"/>
      </w:tcPr>
    </w:tblStylePr>
    <w:tblStylePr w:type="band1Horz">
      <w:tblPr/>
      <w:tcPr>
        <w:shd w:val="clear" w:color="auto" w:fill="B9C8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6D9DE4" w:themeColor="accent1" w:themeTint="BF"/>
        <w:left w:val="single" w:sz="8" w:space="0" w:color="6D9DE4" w:themeColor="accent1" w:themeTint="BF"/>
        <w:bottom w:val="single" w:sz="8" w:space="0" w:color="6D9DE4" w:themeColor="accent1" w:themeTint="BF"/>
        <w:right w:val="single" w:sz="8" w:space="0" w:color="6D9DE4" w:themeColor="accent1" w:themeTint="BF"/>
        <w:insideH w:val="single" w:sz="8" w:space="0" w:color="6D9DE4" w:themeColor="accent1" w:themeTint="BF"/>
        <w:insideV w:val="single" w:sz="8" w:space="0" w:color="6D9DE4" w:themeColor="accent1" w:themeTint="BF"/>
      </w:tblBorders>
    </w:tblPr>
    <w:tcPr>
      <w:shd w:val="clear" w:color="auto" w:fill="CEDEF6" w:themeFill="accent1" w:themeFillTint="3F"/>
    </w:tcPr>
    <w:tblStylePr w:type="firstRow">
      <w:rPr>
        <w:b/>
        <w:bCs/>
      </w:rPr>
    </w:tblStylePr>
    <w:tblStylePr w:type="lastRow">
      <w:rPr>
        <w:b/>
        <w:bCs/>
      </w:rPr>
      <w:tblPr/>
      <w:tcPr>
        <w:tcBorders>
          <w:top w:val="single" w:sz="18" w:space="0" w:color="6D9DE4" w:themeColor="accent1" w:themeTint="BF"/>
        </w:tcBorders>
      </w:tcPr>
    </w:tblStylePr>
    <w:tblStylePr w:type="firstCol">
      <w:rPr>
        <w:b/>
        <w:bCs/>
      </w:rPr>
    </w:tblStylePr>
    <w:tblStylePr w:type="lastCol">
      <w:rPr>
        <w:b/>
        <w:bCs/>
      </w:rPr>
    </w:tblStylePr>
    <w:tblStylePr w:type="band1Vert">
      <w:tblPr/>
      <w:tcPr>
        <w:shd w:val="clear" w:color="auto" w:fill="9EBEED" w:themeFill="accent1" w:themeFillTint="7F"/>
      </w:tcPr>
    </w:tblStylePr>
    <w:tblStylePr w:type="band1Horz">
      <w:tblPr/>
      <w:tcPr>
        <w:shd w:val="clear" w:color="auto" w:fill="9EBEED"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96DCEF" w:themeColor="accent2" w:themeTint="BF"/>
        <w:left w:val="single" w:sz="8" w:space="0" w:color="96DCEF" w:themeColor="accent2" w:themeTint="BF"/>
        <w:bottom w:val="single" w:sz="8" w:space="0" w:color="96DCEF" w:themeColor="accent2" w:themeTint="BF"/>
        <w:right w:val="single" w:sz="8" w:space="0" w:color="96DCEF" w:themeColor="accent2" w:themeTint="BF"/>
        <w:insideH w:val="single" w:sz="8" w:space="0" w:color="96DCEF" w:themeColor="accent2" w:themeTint="BF"/>
        <w:insideV w:val="single" w:sz="8" w:space="0" w:color="96DCEF" w:themeColor="accent2" w:themeTint="BF"/>
      </w:tblBorders>
    </w:tblPr>
    <w:tcPr>
      <w:shd w:val="clear" w:color="auto" w:fill="DCF3F9" w:themeFill="accent2" w:themeFillTint="3F"/>
    </w:tcPr>
    <w:tblStylePr w:type="firstRow">
      <w:rPr>
        <w:b/>
        <w:bCs/>
      </w:rPr>
    </w:tblStylePr>
    <w:tblStylePr w:type="lastRow">
      <w:rPr>
        <w:b/>
        <w:bCs/>
      </w:rPr>
      <w:tblPr/>
      <w:tcPr>
        <w:tcBorders>
          <w:top w:val="single" w:sz="18" w:space="0" w:color="96DCEF" w:themeColor="accent2" w:themeTint="BF"/>
        </w:tcBorders>
      </w:tcPr>
    </w:tblStylePr>
    <w:tblStylePr w:type="firstCol">
      <w:rPr>
        <w:b/>
        <w:bCs/>
      </w:rPr>
    </w:tblStylePr>
    <w:tblStylePr w:type="lastCol">
      <w:rPr>
        <w:b/>
        <w:bCs/>
      </w:rPr>
    </w:tblStylePr>
    <w:tblStylePr w:type="band1Vert">
      <w:tblPr/>
      <w:tcPr>
        <w:shd w:val="clear" w:color="auto" w:fill="B9E7F4" w:themeFill="accent2" w:themeFillTint="7F"/>
      </w:tcPr>
    </w:tblStylePr>
    <w:tblStylePr w:type="band1Horz">
      <w:tblPr/>
      <w:tcPr>
        <w:shd w:val="clear" w:color="auto" w:fill="B9E7F4"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9FDFD3" w:themeColor="accent3" w:themeTint="BF"/>
        <w:left w:val="single" w:sz="8" w:space="0" w:color="9FDFD3" w:themeColor="accent3" w:themeTint="BF"/>
        <w:bottom w:val="single" w:sz="8" w:space="0" w:color="9FDFD3" w:themeColor="accent3" w:themeTint="BF"/>
        <w:right w:val="single" w:sz="8" w:space="0" w:color="9FDFD3" w:themeColor="accent3" w:themeTint="BF"/>
        <w:insideH w:val="single" w:sz="8" w:space="0" w:color="9FDFD3" w:themeColor="accent3" w:themeTint="BF"/>
        <w:insideV w:val="single" w:sz="8" w:space="0" w:color="9FDFD3" w:themeColor="accent3" w:themeTint="BF"/>
      </w:tblBorders>
    </w:tblPr>
    <w:tcPr>
      <w:shd w:val="clear" w:color="auto" w:fill="DFF4F0" w:themeFill="accent3" w:themeFillTint="3F"/>
    </w:tcPr>
    <w:tblStylePr w:type="firstRow">
      <w:rPr>
        <w:b/>
        <w:bCs/>
      </w:rPr>
    </w:tblStylePr>
    <w:tblStylePr w:type="lastRow">
      <w:rPr>
        <w:b/>
        <w:bCs/>
      </w:rPr>
      <w:tblPr/>
      <w:tcPr>
        <w:tcBorders>
          <w:top w:val="single" w:sz="18" w:space="0" w:color="9FDFD3" w:themeColor="accent3" w:themeTint="BF"/>
        </w:tcBorders>
      </w:tcPr>
    </w:tblStylePr>
    <w:tblStylePr w:type="firstCol">
      <w:rPr>
        <w:b/>
        <w:bCs/>
      </w:rPr>
    </w:tblStylePr>
    <w:tblStylePr w:type="lastCol">
      <w:rPr>
        <w:b/>
        <w:bCs/>
      </w:rPr>
    </w:tblStylePr>
    <w:tblStylePr w:type="band1Vert">
      <w:tblPr/>
      <w:tcPr>
        <w:shd w:val="clear" w:color="auto" w:fill="BFEAE2" w:themeFill="accent3" w:themeFillTint="7F"/>
      </w:tcPr>
    </w:tblStylePr>
    <w:tblStylePr w:type="band1Horz">
      <w:tblPr/>
      <w:tcPr>
        <w:shd w:val="clear" w:color="auto" w:fill="BFEAE2"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FCDE98" w:themeColor="accent4" w:themeTint="BF"/>
        <w:left w:val="single" w:sz="8" w:space="0" w:color="FCDE98" w:themeColor="accent4" w:themeTint="BF"/>
        <w:bottom w:val="single" w:sz="8" w:space="0" w:color="FCDE98" w:themeColor="accent4" w:themeTint="BF"/>
        <w:right w:val="single" w:sz="8" w:space="0" w:color="FCDE98" w:themeColor="accent4" w:themeTint="BF"/>
        <w:insideH w:val="single" w:sz="8" w:space="0" w:color="FCDE98" w:themeColor="accent4" w:themeTint="BF"/>
        <w:insideV w:val="single" w:sz="8" w:space="0" w:color="FCDE98" w:themeColor="accent4" w:themeTint="BF"/>
      </w:tblBorders>
    </w:tblPr>
    <w:tcPr>
      <w:shd w:val="clear" w:color="auto" w:fill="FEF4DC" w:themeFill="accent4" w:themeFillTint="3F"/>
    </w:tcPr>
    <w:tblStylePr w:type="firstRow">
      <w:rPr>
        <w:b/>
        <w:bCs/>
      </w:rPr>
    </w:tblStylePr>
    <w:tblStylePr w:type="lastRow">
      <w:rPr>
        <w:b/>
        <w:bCs/>
      </w:rPr>
      <w:tblPr/>
      <w:tcPr>
        <w:tcBorders>
          <w:top w:val="single" w:sz="18" w:space="0" w:color="FCDE98" w:themeColor="accent4" w:themeTint="BF"/>
        </w:tcBorders>
      </w:tcPr>
    </w:tblStylePr>
    <w:tblStylePr w:type="firstCol">
      <w:rPr>
        <w:b/>
        <w:bCs/>
      </w:rPr>
    </w:tblStylePr>
    <w:tblStylePr w:type="lastCol">
      <w:rPr>
        <w:b/>
        <w:bCs/>
      </w:rPr>
    </w:tblStylePr>
    <w:tblStylePr w:type="band1Vert">
      <w:tblPr/>
      <w:tcPr>
        <w:shd w:val="clear" w:color="auto" w:fill="FDE9BA" w:themeFill="accent4" w:themeFillTint="7F"/>
      </w:tcPr>
    </w:tblStylePr>
    <w:tblStylePr w:type="band1Horz">
      <w:tblPr/>
      <w:tcPr>
        <w:shd w:val="clear" w:color="auto" w:fill="FDE9BA"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F0B7A6" w:themeColor="accent5" w:themeTint="BF"/>
        <w:left w:val="single" w:sz="8" w:space="0" w:color="F0B7A6" w:themeColor="accent5" w:themeTint="BF"/>
        <w:bottom w:val="single" w:sz="8" w:space="0" w:color="F0B7A6" w:themeColor="accent5" w:themeTint="BF"/>
        <w:right w:val="single" w:sz="8" w:space="0" w:color="F0B7A6" w:themeColor="accent5" w:themeTint="BF"/>
        <w:insideH w:val="single" w:sz="8" w:space="0" w:color="F0B7A6" w:themeColor="accent5" w:themeTint="BF"/>
        <w:insideV w:val="single" w:sz="8" w:space="0" w:color="F0B7A6" w:themeColor="accent5" w:themeTint="BF"/>
      </w:tblBorders>
    </w:tblPr>
    <w:tcPr>
      <w:shd w:val="clear" w:color="auto" w:fill="FAE7E1" w:themeFill="accent5" w:themeFillTint="3F"/>
    </w:tcPr>
    <w:tblStylePr w:type="firstRow">
      <w:rPr>
        <w:b/>
        <w:bCs/>
      </w:rPr>
    </w:tblStylePr>
    <w:tblStylePr w:type="lastRow">
      <w:rPr>
        <w:b/>
        <w:bCs/>
      </w:rPr>
      <w:tblPr/>
      <w:tcPr>
        <w:tcBorders>
          <w:top w:val="single" w:sz="18" w:space="0" w:color="F0B7A6" w:themeColor="accent5" w:themeTint="BF"/>
        </w:tcBorders>
      </w:tcPr>
    </w:tblStylePr>
    <w:tblStylePr w:type="firstCol">
      <w:rPr>
        <w:b/>
        <w:bCs/>
      </w:rPr>
    </w:tblStylePr>
    <w:tblStylePr w:type="lastCol">
      <w:rPr>
        <w:b/>
        <w:bCs/>
      </w:rPr>
    </w:tblStylePr>
    <w:tblStylePr w:type="band1Vert">
      <w:tblPr/>
      <w:tcPr>
        <w:shd w:val="clear" w:color="auto" w:fill="F5CFC4" w:themeFill="accent5" w:themeFillTint="7F"/>
      </w:tcPr>
    </w:tblStylePr>
    <w:tblStylePr w:type="band1Horz">
      <w:tblPr/>
      <w:tcPr>
        <w:shd w:val="clear" w:color="auto" w:fill="F5CFC4"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2045A2" w:themeColor="accent6" w:themeTint="BF"/>
        <w:left w:val="single" w:sz="8" w:space="0" w:color="2045A2" w:themeColor="accent6" w:themeTint="BF"/>
        <w:bottom w:val="single" w:sz="8" w:space="0" w:color="2045A2" w:themeColor="accent6" w:themeTint="BF"/>
        <w:right w:val="single" w:sz="8" w:space="0" w:color="2045A2" w:themeColor="accent6" w:themeTint="BF"/>
        <w:insideH w:val="single" w:sz="8" w:space="0" w:color="2045A2" w:themeColor="accent6" w:themeTint="BF"/>
        <w:insideV w:val="single" w:sz="8" w:space="0" w:color="2045A2" w:themeColor="accent6" w:themeTint="BF"/>
      </w:tblBorders>
    </w:tblPr>
    <w:tcPr>
      <w:shd w:val="clear" w:color="auto" w:fill="A8BBED" w:themeFill="accent6" w:themeFillTint="3F"/>
    </w:tcPr>
    <w:tblStylePr w:type="firstRow">
      <w:rPr>
        <w:b/>
        <w:bCs/>
      </w:rPr>
    </w:tblStylePr>
    <w:tblStylePr w:type="lastRow">
      <w:rPr>
        <w:b/>
        <w:bCs/>
      </w:rPr>
      <w:tblPr/>
      <w:tcPr>
        <w:tcBorders>
          <w:top w:val="single" w:sz="18" w:space="0" w:color="2045A2" w:themeColor="accent6" w:themeTint="BF"/>
        </w:tcBorders>
      </w:tcPr>
    </w:tblStylePr>
    <w:tblStylePr w:type="firstCol">
      <w:rPr>
        <w:b/>
        <w:bCs/>
      </w:rPr>
    </w:tblStylePr>
    <w:tblStylePr w:type="lastCol">
      <w:rPr>
        <w:b/>
        <w:bCs/>
      </w:rPr>
    </w:tblStylePr>
    <w:tblStylePr w:type="band1Vert">
      <w:tblPr/>
      <w:tcPr>
        <w:shd w:val="clear" w:color="auto" w:fill="5077DC" w:themeFill="accent6" w:themeFillTint="7F"/>
      </w:tcPr>
    </w:tblStylePr>
    <w:tblStylePr w:type="band1Horz">
      <w:tblPr/>
      <w:tcPr>
        <w:shd w:val="clear" w:color="auto" w:fill="5077DC"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D7EDB" w:themeColor="accent1"/>
        <w:left w:val="single" w:sz="8" w:space="0" w:color="3D7EDB" w:themeColor="accent1"/>
        <w:bottom w:val="single" w:sz="8" w:space="0" w:color="3D7EDB" w:themeColor="accent1"/>
        <w:right w:val="single" w:sz="8" w:space="0" w:color="3D7EDB" w:themeColor="accent1"/>
        <w:insideH w:val="single" w:sz="8" w:space="0" w:color="3D7EDB" w:themeColor="accent1"/>
        <w:insideV w:val="single" w:sz="8" w:space="0" w:color="3D7EDB" w:themeColor="accent1"/>
      </w:tblBorders>
    </w:tblPr>
    <w:tcPr>
      <w:shd w:val="clear" w:color="auto" w:fill="CEDEF6" w:themeFill="accent1" w:themeFillTint="3F"/>
    </w:tcPr>
    <w:tblStylePr w:type="firstRow">
      <w:rPr>
        <w:b/>
        <w:bCs/>
        <w:color w:val="000000" w:themeColor="text1"/>
      </w:rPr>
      <w:tblPr/>
      <w:tcPr>
        <w:shd w:val="clear" w:color="auto" w:fill="EBF2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5F7" w:themeFill="accent1" w:themeFillTint="33"/>
      </w:tcPr>
    </w:tblStylePr>
    <w:tblStylePr w:type="band1Vert">
      <w:tblPr/>
      <w:tcPr>
        <w:shd w:val="clear" w:color="auto" w:fill="9EBEED" w:themeFill="accent1" w:themeFillTint="7F"/>
      </w:tcPr>
    </w:tblStylePr>
    <w:tblStylePr w:type="band1Horz">
      <w:tblPr/>
      <w:tcPr>
        <w:tcBorders>
          <w:insideH w:val="single" w:sz="6" w:space="0" w:color="3D7EDB" w:themeColor="accent1"/>
          <w:insideV w:val="single" w:sz="6" w:space="0" w:color="3D7EDB" w:themeColor="accent1"/>
        </w:tcBorders>
        <w:shd w:val="clear" w:color="auto" w:fill="9EBEE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4D1EA" w:themeColor="accent2"/>
        <w:left w:val="single" w:sz="8" w:space="0" w:color="74D1EA" w:themeColor="accent2"/>
        <w:bottom w:val="single" w:sz="8" w:space="0" w:color="74D1EA" w:themeColor="accent2"/>
        <w:right w:val="single" w:sz="8" w:space="0" w:color="74D1EA" w:themeColor="accent2"/>
        <w:insideH w:val="single" w:sz="8" w:space="0" w:color="74D1EA" w:themeColor="accent2"/>
        <w:insideV w:val="single" w:sz="8" w:space="0" w:color="74D1EA" w:themeColor="accent2"/>
      </w:tblBorders>
    </w:tblPr>
    <w:tcPr>
      <w:shd w:val="clear" w:color="auto" w:fill="DCF3F9" w:themeFill="accent2" w:themeFillTint="3F"/>
    </w:tcPr>
    <w:tblStylePr w:type="firstRow">
      <w:rPr>
        <w:b/>
        <w:bCs/>
        <w:color w:val="000000" w:themeColor="text1"/>
      </w:rPr>
      <w:tblPr/>
      <w:tcPr>
        <w:shd w:val="clear" w:color="auto" w:fill="F1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5FA" w:themeFill="accent2" w:themeFillTint="33"/>
      </w:tcPr>
    </w:tblStylePr>
    <w:tblStylePr w:type="band1Vert">
      <w:tblPr/>
      <w:tcPr>
        <w:shd w:val="clear" w:color="auto" w:fill="B9E7F4" w:themeFill="accent2" w:themeFillTint="7F"/>
      </w:tcPr>
    </w:tblStylePr>
    <w:tblStylePr w:type="band1Horz">
      <w:tblPr/>
      <w:tcPr>
        <w:tcBorders>
          <w:insideH w:val="single" w:sz="6" w:space="0" w:color="74D1EA" w:themeColor="accent2"/>
          <w:insideV w:val="single" w:sz="6" w:space="0" w:color="74D1EA" w:themeColor="accent2"/>
        </w:tcBorders>
        <w:shd w:val="clear" w:color="auto" w:fill="B9E7F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FD5C5" w:themeColor="accent3"/>
        <w:left w:val="single" w:sz="8" w:space="0" w:color="7FD5C5" w:themeColor="accent3"/>
        <w:bottom w:val="single" w:sz="8" w:space="0" w:color="7FD5C5" w:themeColor="accent3"/>
        <w:right w:val="single" w:sz="8" w:space="0" w:color="7FD5C5" w:themeColor="accent3"/>
        <w:insideH w:val="single" w:sz="8" w:space="0" w:color="7FD5C5" w:themeColor="accent3"/>
        <w:insideV w:val="single" w:sz="8" w:space="0" w:color="7FD5C5" w:themeColor="accent3"/>
      </w:tblBorders>
    </w:tblPr>
    <w:tcPr>
      <w:shd w:val="clear" w:color="auto" w:fill="DFF4F0" w:themeFill="accent3" w:themeFillTint="3F"/>
    </w:tcPr>
    <w:tblStylePr w:type="firstRow">
      <w:rPr>
        <w:b/>
        <w:bCs/>
        <w:color w:val="000000" w:themeColor="text1"/>
      </w:rPr>
      <w:tblPr/>
      <w:tcPr>
        <w:shd w:val="clear" w:color="auto" w:fill="F2FB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6F3" w:themeFill="accent3" w:themeFillTint="33"/>
      </w:tcPr>
    </w:tblStylePr>
    <w:tblStylePr w:type="band1Vert">
      <w:tblPr/>
      <w:tcPr>
        <w:shd w:val="clear" w:color="auto" w:fill="BFEAE2" w:themeFill="accent3" w:themeFillTint="7F"/>
      </w:tcPr>
    </w:tblStylePr>
    <w:tblStylePr w:type="band1Horz">
      <w:tblPr/>
      <w:tcPr>
        <w:tcBorders>
          <w:insideH w:val="single" w:sz="6" w:space="0" w:color="7FD5C5" w:themeColor="accent3"/>
          <w:insideV w:val="single" w:sz="6" w:space="0" w:color="7FD5C5" w:themeColor="accent3"/>
        </w:tcBorders>
        <w:shd w:val="clear" w:color="auto" w:fill="BFEAE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BD476" w:themeColor="accent4"/>
        <w:left w:val="single" w:sz="8" w:space="0" w:color="FBD476" w:themeColor="accent4"/>
        <w:bottom w:val="single" w:sz="8" w:space="0" w:color="FBD476" w:themeColor="accent4"/>
        <w:right w:val="single" w:sz="8" w:space="0" w:color="FBD476" w:themeColor="accent4"/>
        <w:insideH w:val="single" w:sz="8" w:space="0" w:color="FBD476" w:themeColor="accent4"/>
        <w:insideV w:val="single" w:sz="8" w:space="0" w:color="FBD476" w:themeColor="accent4"/>
      </w:tblBorders>
    </w:tblPr>
    <w:tcPr>
      <w:shd w:val="clear" w:color="auto" w:fill="FEF4DC" w:themeFill="accent4" w:themeFillTint="3F"/>
    </w:tcPr>
    <w:tblStylePr w:type="firstRow">
      <w:rPr>
        <w:b/>
        <w:bCs/>
        <w:color w:val="000000" w:themeColor="text1"/>
      </w:rPr>
      <w:tblPr/>
      <w:tcPr>
        <w:shd w:val="clear" w:color="auto" w:fill="FEFA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E3" w:themeFill="accent4" w:themeFillTint="33"/>
      </w:tcPr>
    </w:tblStylePr>
    <w:tblStylePr w:type="band1Vert">
      <w:tblPr/>
      <w:tcPr>
        <w:shd w:val="clear" w:color="auto" w:fill="FDE9BA" w:themeFill="accent4" w:themeFillTint="7F"/>
      </w:tcPr>
    </w:tblStylePr>
    <w:tblStylePr w:type="band1Horz">
      <w:tblPr/>
      <w:tcPr>
        <w:tcBorders>
          <w:insideH w:val="single" w:sz="6" w:space="0" w:color="FBD476" w:themeColor="accent4"/>
          <w:insideV w:val="single" w:sz="6" w:space="0" w:color="FBD476" w:themeColor="accent4"/>
        </w:tcBorders>
        <w:shd w:val="clear" w:color="auto" w:fill="FDE9B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BA089" w:themeColor="accent5"/>
        <w:left w:val="single" w:sz="8" w:space="0" w:color="EBA089" w:themeColor="accent5"/>
        <w:bottom w:val="single" w:sz="8" w:space="0" w:color="EBA089" w:themeColor="accent5"/>
        <w:right w:val="single" w:sz="8" w:space="0" w:color="EBA089" w:themeColor="accent5"/>
        <w:insideH w:val="single" w:sz="8" w:space="0" w:color="EBA089" w:themeColor="accent5"/>
        <w:insideV w:val="single" w:sz="8" w:space="0" w:color="EBA089" w:themeColor="accent5"/>
      </w:tblBorders>
    </w:tblPr>
    <w:tcPr>
      <w:shd w:val="clear" w:color="auto" w:fill="FAE7E1" w:themeFill="accent5" w:themeFillTint="3F"/>
    </w:tcPr>
    <w:tblStylePr w:type="firstRow">
      <w:rPr>
        <w:b/>
        <w:bCs/>
        <w:color w:val="000000" w:themeColor="text1"/>
      </w:rPr>
      <w:tblPr/>
      <w:tcPr>
        <w:shd w:val="clear" w:color="auto" w:fill="FD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BE7" w:themeFill="accent5" w:themeFillTint="33"/>
      </w:tcPr>
    </w:tblStylePr>
    <w:tblStylePr w:type="band1Vert">
      <w:tblPr/>
      <w:tcPr>
        <w:shd w:val="clear" w:color="auto" w:fill="F5CFC4" w:themeFill="accent5" w:themeFillTint="7F"/>
      </w:tcPr>
    </w:tblStylePr>
    <w:tblStylePr w:type="band1Horz">
      <w:tblPr/>
      <w:tcPr>
        <w:tcBorders>
          <w:insideH w:val="single" w:sz="6" w:space="0" w:color="EBA089" w:themeColor="accent5"/>
          <w:insideV w:val="single" w:sz="6" w:space="0" w:color="EBA089" w:themeColor="accent5"/>
        </w:tcBorders>
        <w:shd w:val="clear" w:color="auto" w:fill="F5C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F204B" w:themeColor="accent6"/>
        <w:left w:val="single" w:sz="8" w:space="0" w:color="0F204B" w:themeColor="accent6"/>
        <w:bottom w:val="single" w:sz="8" w:space="0" w:color="0F204B" w:themeColor="accent6"/>
        <w:right w:val="single" w:sz="8" w:space="0" w:color="0F204B" w:themeColor="accent6"/>
        <w:insideH w:val="single" w:sz="8" w:space="0" w:color="0F204B" w:themeColor="accent6"/>
        <w:insideV w:val="single" w:sz="8" w:space="0" w:color="0F204B" w:themeColor="accent6"/>
      </w:tblBorders>
    </w:tblPr>
    <w:tcPr>
      <w:shd w:val="clear" w:color="auto" w:fill="A8BBED" w:themeFill="accent6" w:themeFillTint="3F"/>
    </w:tcPr>
    <w:tblStylePr w:type="firstRow">
      <w:rPr>
        <w:b/>
        <w:bCs/>
        <w:color w:val="000000" w:themeColor="text1"/>
      </w:rPr>
      <w:tblPr/>
      <w:tcPr>
        <w:shd w:val="clear" w:color="auto" w:fill="DCE4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C8F1" w:themeFill="accent6" w:themeFillTint="33"/>
      </w:tcPr>
    </w:tblStylePr>
    <w:tblStylePr w:type="band1Vert">
      <w:tblPr/>
      <w:tcPr>
        <w:shd w:val="clear" w:color="auto" w:fill="5077DC" w:themeFill="accent6" w:themeFillTint="7F"/>
      </w:tcPr>
    </w:tblStylePr>
    <w:tblStylePr w:type="band1Horz">
      <w:tblPr/>
      <w:tcPr>
        <w:tcBorders>
          <w:insideH w:val="single" w:sz="6" w:space="0" w:color="0F204B" w:themeColor="accent6"/>
          <w:insideV w:val="single" w:sz="6" w:space="0" w:color="0F204B" w:themeColor="accent6"/>
        </w:tcBorders>
        <w:shd w:val="clear" w:color="auto" w:fill="5077D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7ED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7ED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7ED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7ED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EE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EED"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3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D1E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D1E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D1E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D1E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7F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7F4"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F4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D5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D5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D5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D5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EA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EAE2"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D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D4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D4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D4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D4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9B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9BA"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7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A08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A08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A08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A08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C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CFC4"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BB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0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0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20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20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77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77DC"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F20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3D7EDB" w:themeColor="accent1"/>
        <w:bottom w:val="single" w:sz="8" w:space="0" w:color="3D7EDB" w:themeColor="accent1"/>
      </w:tblBorders>
    </w:tblPr>
    <w:tblStylePr w:type="firstRow">
      <w:rPr>
        <w:rFonts w:asciiTheme="majorHAnsi" w:eastAsiaTheme="majorEastAsia" w:hAnsiTheme="majorHAnsi" w:cstheme="majorBidi"/>
      </w:rPr>
      <w:tblPr/>
      <w:tcPr>
        <w:tcBorders>
          <w:top w:val="nil"/>
          <w:bottom w:val="single" w:sz="8" w:space="0" w:color="3D7EDB" w:themeColor="accent1"/>
        </w:tcBorders>
      </w:tcPr>
    </w:tblStylePr>
    <w:tblStylePr w:type="lastRow">
      <w:rPr>
        <w:b/>
        <w:bCs/>
        <w:color w:val="0F204B" w:themeColor="text2"/>
      </w:rPr>
      <w:tblPr/>
      <w:tcPr>
        <w:tcBorders>
          <w:top w:val="single" w:sz="8" w:space="0" w:color="3D7EDB" w:themeColor="accent1"/>
          <w:bottom w:val="single" w:sz="8" w:space="0" w:color="3D7EDB" w:themeColor="accent1"/>
        </w:tcBorders>
      </w:tcPr>
    </w:tblStylePr>
    <w:tblStylePr w:type="firstCol">
      <w:rPr>
        <w:b/>
        <w:bCs/>
      </w:rPr>
    </w:tblStylePr>
    <w:tblStylePr w:type="lastCol">
      <w:rPr>
        <w:b/>
        <w:bCs/>
      </w:rPr>
      <w:tblPr/>
      <w:tcPr>
        <w:tcBorders>
          <w:top w:val="single" w:sz="8" w:space="0" w:color="3D7EDB" w:themeColor="accent1"/>
          <w:bottom w:val="single" w:sz="8" w:space="0" w:color="3D7EDB" w:themeColor="accent1"/>
        </w:tcBorders>
      </w:tcPr>
    </w:tblStylePr>
    <w:tblStylePr w:type="band1Vert">
      <w:tblPr/>
      <w:tcPr>
        <w:shd w:val="clear" w:color="auto" w:fill="CEDEF6" w:themeFill="accent1" w:themeFillTint="3F"/>
      </w:tcPr>
    </w:tblStylePr>
    <w:tblStylePr w:type="band1Horz">
      <w:tblPr/>
      <w:tcPr>
        <w:shd w:val="clear" w:color="auto" w:fill="CEDEF6"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74D1EA" w:themeColor="accent2"/>
        <w:bottom w:val="single" w:sz="8" w:space="0" w:color="74D1EA" w:themeColor="accent2"/>
      </w:tblBorders>
    </w:tblPr>
    <w:tblStylePr w:type="firstRow">
      <w:rPr>
        <w:rFonts w:asciiTheme="majorHAnsi" w:eastAsiaTheme="majorEastAsia" w:hAnsiTheme="majorHAnsi" w:cstheme="majorBidi"/>
      </w:rPr>
      <w:tblPr/>
      <w:tcPr>
        <w:tcBorders>
          <w:top w:val="nil"/>
          <w:bottom w:val="single" w:sz="8" w:space="0" w:color="74D1EA" w:themeColor="accent2"/>
        </w:tcBorders>
      </w:tcPr>
    </w:tblStylePr>
    <w:tblStylePr w:type="lastRow">
      <w:rPr>
        <w:b/>
        <w:bCs/>
        <w:color w:val="0F204B" w:themeColor="text2"/>
      </w:rPr>
      <w:tblPr/>
      <w:tcPr>
        <w:tcBorders>
          <w:top w:val="single" w:sz="8" w:space="0" w:color="74D1EA" w:themeColor="accent2"/>
          <w:bottom w:val="single" w:sz="8" w:space="0" w:color="74D1EA" w:themeColor="accent2"/>
        </w:tcBorders>
      </w:tcPr>
    </w:tblStylePr>
    <w:tblStylePr w:type="firstCol">
      <w:rPr>
        <w:b/>
        <w:bCs/>
      </w:rPr>
    </w:tblStylePr>
    <w:tblStylePr w:type="lastCol">
      <w:rPr>
        <w:b/>
        <w:bCs/>
      </w:rPr>
      <w:tblPr/>
      <w:tcPr>
        <w:tcBorders>
          <w:top w:val="single" w:sz="8" w:space="0" w:color="74D1EA" w:themeColor="accent2"/>
          <w:bottom w:val="single" w:sz="8" w:space="0" w:color="74D1EA" w:themeColor="accent2"/>
        </w:tcBorders>
      </w:tcPr>
    </w:tblStylePr>
    <w:tblStylePr w:type="band1Vert">
      <w:tblPr/>
      <w:tcPr>
        <w:shd w:val="clear" w:color="auto" w:fill="DCF3F9" w:themeFill="accent2" w:themeFillTint="3F"/>
      </w:tcPr>
    </w:tblStylePr>
    <w:tblStylePr w:type="band1Horz">
      <w:tblPr/>
      <w:tcPr>
        <w:shd w:val="clear" w:color="auto" w:fill="DCF3F9"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7FD5C5" w:themeColor="accent3"/>
        <w:bottom w:val="single" w:sz="8" w:space="0" w:color="7FD5C5" w:themeColor="accent3"/>
      </w:tblBorders>
    </w:tblPr>
    <w:tblStylePr w:type="firstRow">
      <w:rPr>
        <w:rFonts w:asciiTheme="majorHAnsi" w:eastAsiaTheme="majorEastAsia" w:hAnsiTheme="majorHAnsi" w:cstheme="majorBidi"/>
      </w:rPr>
      <w:tblPr/>
      <w:tcPr>
        <w:tcBorders>
          <w:top w:val="nil"/>
          <w:bottom w:val="single" w:sz="8" w:space="0" w:color="7FD5C5" w:themeColor="accent3"/>
        </w:tcBorders>
      </w:tcPr>
    </w:tblStylePr>
    <w:tblStylePr w:type="lastRow">
      <w:rPr>
        <w:b/>
        <w:bCs/>
        <w:color w:val="0F204B" w:themeColor="text2"/>
      </w:rPr>
      <w:tblPr/>
      <w:tcPr>
        <w:tcBorders>
          <w:top w:val="single" w:sz="8" w:space="0" w:color="7FD5C5" w:themeColor="accent3"/>
          <w:bottom w:val="single" w:sz="8" w:space="0" w:color="7FD5C5" w:themeColor="accent3"/>
        </w:tcBorders>
      </w:tcPr>
    </w:tblStylePr>
    <w:tblStylePr w:type="firstCol">
      <w:rPr>
        <w:b/>
        <w:bCs/>
      </w:rPr>
    </w:tblStylePr>
    <w:tblStylePr w:type="lastCol">
      <w:rPr>
        <w:b/>
        <w:bCs/>
      </w:rPr>
      <w:tblPr/>
      <w:tcPr>
        <w:tcBorders>
          <w:top w:val="single" w:sz="8" w:space="0" w:color="7FD5C5" w:themeColor="accent3"/>
          <w:bottom w:val="single" w:sz="8" w:space="0" w:color="7FD5C5" w:themeColor="accent3"/>
        </w:tcBorders>
      </w:tcPr>
    </w:tblStylePr>
    <w:tblStylePr w:type="band1Vert">
      <w:tblPr/>
      <w:tcPr>
        <w:shd w:val="clear" w:color="auto" w:fill="DFF4F0" w:themeFill="accent3" w:themeFillTint="3F"/>
      </w:tcPr>
    </w:tblStylePr>
    <w:tblStylePr w:type="band1Horz">
      <w:tblPr/>
      <w:tcPr>
        <w:shd w:val="clear" w:color="auto" w:fill="DFF4F0"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FBD476" w:themeColor="accent4"/>
        <w:bottom w:val="single" w:sz="8" w:space="0" w:color="FBD476" w:themeColor="accent4"/>
      </w:tblBorders>
    </w:tblPr>
    <w:tblStylePr w:type="firstRow">
      <w:rPr>
        <w:rFonts w:asciiTheme="majorHAnsi" w:eastAsiaTheme="majorEastAsia" w:hAnsiTheme="majorHAnsi" w:cstheme="majorBidi"/>
      </w:rPr>
      <w:tblPr/>
      <w:tcPr>
        <w:tcBorders>
          <w:top w:val="nil"/>
          <w:bottom w:val="single" w:sz="8" w:space="0" w:color="FBD476" w:themeColor="accent4"/>
        </w:tcBorders>
      </w:tcPr>
    </w:tblStylePr>
    <w:tblStylePr w:type="lastRow">
      <w:rPr>
        <w:b/>
        <w:bCs/>
        <w:color w:val="0F204B" w:themeColor="text2"/>
      </w:rPr>
      <w:tblPr/>
      <w:tcPr>
        <w:tcBorders>
          <w:top w:val="single" w:sz="8" w:space="0" w:color="FBD476" w:themeColor="accent4"/>
          <w:bottom w:val="single" w:sz="8" w:space="0" w:color="FBD476" w:themeColor="accent4"/>
        </w:tcBorders>
      </w:tcPr>
    </w:tblStylePr>
    <w:tblStylePr w:type="firstCol">
      <w:rPr>
        <w:b/>
        <w:bCs/>
      </w:rPr>
    </w:tblStylePr>
    <w:tblStylePr w:type="lastCol">
      <w:rPr>
        <w:b/>
        <w:bCs/>
      </w:rPr>
      <w:tblPr/>
      <w:tcPr>
        <w:tcBorders>
          <w:top w:val="single" w:sz="8" w:space="0" w:color="FBD476" w:themeColor="accent4"/>
          <w:bottom w:val="single" w:sz="8" w:space="0" w:color="FBD476" w:themeColor="accent4"/>
        </w:tcBorders>
      </w:tcPr>
    </w:tblStylePr>
    <w:tblStylePr w:type="band1Vert">
      <w:tblPr/>
      <w:tcPr>
        <w:shd w:val="clear" w:color="auto" w:fill="FEF4DC" w:themeFill="accent4" w:themeFillTint="3F"/>
      </w:tcPr>
    </w:tblStylePr>
    <w:tblStylePr w:type="band1Horz">
      <w:tblPr/>
      <w:tcPr>
        <w:shd w:val="clear" w:color="auto" w:fill="FEF4DC"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EBA089" w:themeColor="accent5"/>
        <w:bottom w:val="single" w:sz="8" w:space="0" w:color="EBA089" w:themeColor="accent5"/>
      </w:tblBorders>
    </w:tblPr>
    <w:tblStylePr w:type="firstRow">
      <w:rPr>
        <w:rFonts w:asciiTheme="majorHAnsi" w:eastAsiaTheme="majorEastAsia" w:hAnsiTheme="majorHAnsi" w:cstheme="majorBidi"/>
      </w:rPr>
      <w:tblPr/>
      <w:tcPr>
        <w:tcBorders>
          <w:top w:val="nil"/>
          <w:bottom w:val="single" w:sz="8" w:space="0" w:color="EBA089" w:themeColor="accent5"/>
        </w:tcBorders>
      </w:tcPr>
    </w:tblStylePr>
    <w:tblStylePr w:type="lastRow">
      <w:rPr>
        <w:b/>
        <w:bCs/>
        <w:color w:val="0F204B" w:themeColor="text2"/>
      </w:rPr>
      <w:tblPr/>
      <w:tcPr>
        <w:tcBorders>
          <w:top w:val="single" w:sz="8" w:space="0" w:color="EBA089" w:themeColor="accent5"/>
          <w:bottom w:val="single" w:sz="8" w:space="0" w:color="EBA089" w:themeColor="accent5"/>
        </w:tcBorders>
      </w:tcPr>
    </w:tblStylePr>
    <w:tblStylePr w:type="firstCol">
      <w:rPr>
        <w:b/>
        <w:bCs/>
      </w:rPr>
    </w:tblStylePr>
    <w:tblStylePr w:type="lastCol">
      <w:rPr>
        <w:b/>
        <w:bCs/>
      </w:rPr>
      <w:tblPr/>
      <w:tcPr>
        <w:tcBorders>
          <w:top w:val="single" w:sz="8" w:space="0" w:color="EBA089" w:themeColor="accent5"/>
          <w:bottom w:val="single" w:sz="8" w:space="0" w:color="EBA089" w:themeColor="accent5"/>
        </w:tcBorders>
      </w:tcPr>
    </w:tblStylePr>
    <w:tblStylePr w:type="band1Vert">
      <w:tblPr/>
      <w:tcPr>
        <w:shd w:val="clear" w:color="auto" w:fill="FAE7E1" w:themeFill="accent5" w:themeFillTint="3F"/>
      </w:tcPr>
    </w:tblStylePr>
    <w:tblStylePr w:type="band1Horz">
      <w:tblPr/>
      <w:tcPr>
        <w:shd w:val="clear" w:color="auto" w:fill="FAE7E1"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0F204B" w:themeColor="accent6"/>
        <w:bottom w:val="single" w:sz="8" w:space="0" w:color="0F204B" w:themeColor="accent6"/>
      </w:tblBorders>
    </w:tblPr>
    <w:tblStylePr w:type="firstRow">
      <w:rPr>
        <w:rFonts w:asciiTheme="majorHAnsi" w:eastAsiaTheme="majorEastAsia" w:hAnsiTheme="majorHAnsi" w:cstheme="majorBidi"/>
      </w:rPr>
      <w:tblPr/>
      <w:tcPr>
        <w:tcBorders>
          <w:top w:val="nil"/>
          <w:bottom w:val="single" w:sz="8" w:space="0" w:color="0F204B" w:themeColor="accent6"/>
        </w:tcBorders>
      </w:tcPr>
    </w:tblStylePr>
    <w:tblStylePr w:type="lastRow">
      <w:rPr>
        <w:b/>
        <w:bCs/>
        <w:color w:val="0F204B" w:themeColor="text2"/>
      </w:rPr>
      <w:tblPr/>
      <w:tcPr>
        <w:tcBorders>
          <w:top w:val="single" w:sz="8" w:space="0" w:color="0F204B" w:themeColor="accent6"/>
          <w:bottom w:val="single" w:sz="8" w:space="0" w:color="0F204B" w:themeColor="accent6"/>
        </w:tcBorders>
      </w:tcPr>
    </w:tblStylePr>
    <w:tblStylePr w:type="firstCol">
      <w:rPr>
        <w:b/>
        <w:bCs/>
      </w:rPr>
    </w:tblStylePr>
    <w:tblStylePr w:type="lastCol">
      <w:rPr>
        <w:b/>
        <w:bCs/>
      </w:rPr>
      <w:tblPr/>
      <w:tcPr>
        <w:tcBorders>
          <w:top w:val="single" w:sz="8" w:space="0" w:color="0F204B" w:themeColor="accent6"/>
          <w:bottom w:val="single" w:sz="8" w:space="0" w:color="0F204B" w:themeColor="accent6"/>
        </w:tcBorders>
      </w:tcPr>
    </w:tblStylePr>
    <w:tblStylePr w:type="band1Vert">
      <w:tblPr/>
      <w:tcPr>
        <w:shd w:val="clear" w:color="auto" w:fill="A8BBED" w:themeFill="accent6" w:themeFillTint="3F"/>
      </w:tcPr>
    </w:tblStylePr>
    <w:tblStylePr w:type="band1Horz">
      <w:tblPr/>
      <w:tcPr>
        <w:shd w:val="clear" w:color="auto" w:fill="A8BBED"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D7EDB" w:themeColor="accent1"/>
        <w:left w:val="single" w:sz="8" w:space="0" w:color="3D7EDB" w:themeColor="accent1"/>
        <w:bottom w:val="single" w:sz="8" w:space="0" w:color="3D7EDB" w:themeColor="accent1"/>
        <w:right w:val="single" w:sz="8" w:space="0" w:color="3D7EDB" w:themeColor="accent1"/>
      </w:tblBorders>
    </w:tblPr>
    <w:tblStylePr w:type="firstRow">
      <w:rPr>
        <w:sz w:val="24"/>
        <w:szCs w:val="24"/>
      </w:rPr>
      <w:tblPr/>
      <w:tcPr>
        <w:tcBorders>
          <w:top w:val="nil"/>
          <w:left w:val="nil"/>
          <w:bottom w:val="single" w:sz="24" w:space="0" w:color="3D7EDB" w:themeColor="accent1"/>
          <w:right w:val="nil"/>
          <w:insideH w:val="nil"/>
          <w:insideV w:val="nil"/>
        </w:tcBorders>
        <w:shd w:val="clear" w:color="auto" w:fill="FFFFFF" w:themeFill="background1"/>
      </w:tcPr>
    </w:tblStylePr>
    <w:tblStylePr w:type="lastRow">
      <w:tblPr/>
      <w:tcPr>
        <w:tcBorders>
          <w:top w:val="single" w:sz="8" w:space="0" w:color="3D7ED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7EDB" w:themeColor="accent1"/>
          <w:insideH w:val="nil"/>
          <w:insideV w:val="nil"/>
        </w:tcBorders>
        <w:shd w:val="clear" w:color="auto" w:fill="FFFFFF" w:themeFill="background1"/>
      </w:tcPr>
    </w:tblStylePr>
    <w:tblStylePr w:type="lastCol">
      <w:tblPr/>
      <w:tcPr>
        <w:tcBorders>
          <w:top w:val="nil"/>
          <w:left w:val="single" w:sz="8" w:space="0" w:color="3D7ED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EF6" w:themeFill="accent1" w:themeFillTint="3F"/>
      </w:tcPr>
    </w:tblStylePr>
    <w:tblStylePr w:type="band1Horz">
      <w:tblPr/>
      <w:tcPr>
        <w:tcBorders>
          <w:top w:val="nil"/>
          <w:bottom w:val="nil"/>
          <w:insideH w:val="nil"/>
          <w:insideV w:val="nil"/>
        </w:tcBorders>
        <w:shd w:val="clear" w:color="auto" w:fill="CEDE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4D1EA" w:themeColor="accent2"/>
        <w:left w:val="single" w:sz="8" w:space="0" w:color="74D1EA" w:themeColor="accent2"/>
        <w:bottom w:val="single" w:sz="8" w:space="0" w:color="74D1EA" w:themeColor="accent2"/>
        <w:right w:val="single" w:sz="8" w:space="0" w:color="74D1EA" w:themeColor="accent2"/>
      </w:tblBorders>
    </w:tblPr>
    <w:tblStylePr w:type="firstRow">
      <w:rPr>
        <w:sz w:val="24"/>
        <w:szCs w:val="24"/>
      </w:rPr>
      <w:tblPr/>
      <w:tcPr>
        <w:tcBorders>
          <w:top w:val="nil"/>
          <w:left w:val="nil"/>
          <w:bottom w:val="single" w:sz="24" w:space="0" w:color="74D1EA" w:themeColor="accent2"/>
          <w:right w:val="nil"/>
          <w:insideH w:val="nil"/>
          <w:insideV w:val="nil"/>
        </w:tcBorders>
        <w:shd w:val="clear" w:color="auto" w:fill="FFFFFF" w:themeFill="background1"/>
      </w:tcPr>
    </w:tblStylePr>
    <w:tblStylePr w:type="lastRow">
      <w:tblPr/>
      <w:tcPr>
        <w:tcBorders>
          <w:top w:val="single" w:sz="8" w:space="0" w:color="74D1E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D1EA" w:themeColor="accent2"/>
          <w:insideH w:val="nil"/>
          <w:insideV w:val="nil"/>
        </w:tcBorders>
        <w:shd w:val="clear" w:color="auto" w:fill="FFFFFF" w:themeFill="background1"/>
      </w:tcPr>
    </w:tblStylePr>
    <w:tblStylePr w:type="lastCol">
      <w:tblPr/>
      <w:tcPr>
        <w:tcBorders>
          <w:top w:val="nil"/>
          <w:left w:val="single" w:sz="8" w:space="0" w:color="74D1E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3F9" w:themeFill="accent2" w:themeFillTint="3F"/>
      </w:tcPr>
    </w:tblStylePr>
    <w:tblStylePr w:type="band1Horz">
      <w:tblPr/>
      <w:tcPr>
        <w:tcBorders>
          <w:top w:val="nil"/>
          <w:bottom w:val="nil"/>
          <w:insideH w:val="nil"/>
          <w:insideV w:val="nil"/>
        </w:tcBorders>
        <w:shd w:val="clear" w:color="auto" w:fill="DCF3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FD5C5" w:themeColor="accent3"/>
        <w:left w:val="single" w:sz="8" w:space="0" w:color="7FD5C5" w:themeColor="accent3"/>
        <w:bottom w:val="single" w:sz="8" w:space="0" w:color="7FD5C5" w:themeColor="accent3"/>
        <w:right w:val="single" w:sz="8" w:space="0" w:color="7FD5C5" w:themeColor="accent3"/>
      </w:tblBorders>
    </w:tblPr>
    <w:tblStylePr w:type="firstRow">
      <w:rPr>
        <w:sz w:val="24"/>
        <w:szCs w:val="24"/>
      </w:rPr>
      <w:tblPr/>
      <w:tcPr>
        <w:tcBorders>
          <w:top w:val="nil"/>
          <w:left w:val="nil"/>
          <w:bottom w:val="single" w:sz="24" w:space="0" w:color="7FD5C5" w:themeColor="accent3"/>
          <w:right w:val="nil"/>
          <w:insideH w:val="nil"/>
          <w:insideV w:val="nil"/>
        </w:tcBorders>
        <w:shd w:val="clear" w:color="auto" w:fill="FFFFFF" w:themeFill="background1"/>
      </w:tcPr>
    </w:tblStylePr>
    <w:tblStylePr w:type="lastRow">
      <w:tblPr/>
      <w:tcPr>
        <w:tcBorders>
          <w:top w:val="single" w:sz="8" w:space="0" w:color="7FD5C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D5C5" w:themeColor="accent3"/>
          <w:insideH w:val="nil"/>
          <w:insideV w:val="nil"/>
        </w:tcBorders>
        <w:shd w:val="clear" w:color="auto" w:fill="FFFFFF" w:themeFill="background1"/>
      </w:tcPr>
    </w:tblStylePr>
    <w:tblStylePr w:type="lastCol">
      <w:tblPr/>
      <w:tcPr>
        <w:tcBorders>
          <w:top w:val="nil"/>
          <w:left w:val="single" w:sz="8" w:space="0" w:color="7FD5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F4F0" w:themeFill="accent3" w:themeFillTint="3F"/>
      </w:tcPr>
    </w:tblStylePr>
    <w:tblStylePr w:type="band1Horz">
      <w:tblPr/>
      <w:tcPr>
        <w:tcBorders>
          <w:top w:val="nil"/>
          <w:bottom w:val="nil"/>
          <w:insideH w:val="nil"/>
          <w:insideV w:val="nil"/>
        </w:tcBorders>
        <w:shd w:val="clear" w:color="auto" w:fill="DFF4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BD476" w:themeColor="accent4"/>
        <w:left w:val="single" w:sz="8" w:space="0" w:color="FBD476" w:themeColor="accent4"/>
        <w:bottom w:val="single" w:sz="8" w:space="0" w:color="FBD476" w:themeColor="accent4"/>
        <w:right w:val="single" w:sz="8" w:space="0" w:color="FBD476" w:themeColor="accent4"/>
      </w:tblBorders>
    </w:tblPr>
    <w:tblStylePr w:type="firstRow">
      <w:rPr>
        <w:sz w:val="24"/>
        <w:szCs w:val="24"/>
      </w:rPr>
      <w:tblPr/>
      <w:tcPr>
        <w:tcBorders>
          <w:top w:val="nil"/>
          <w:left w:val="nil"/>
          <w:bottom w:val="single" w:sz="24" w:space="0" w:color="FBD476" w:themeColor="accent4"/>
          <w:right w:val="nil"/>
          <w:insideH w:val="nil"/>
          <w:insideV w:val="nil"/>
        </w:tcBorders>
        <w:shd w:val="clear" w:color="auto" w:fill="FFFFFF" w:themeFill="background1"/>
      </w:tcPr>
    </w:tblStylePr>
    <w:tblStylePr w:type="lastRow">
      <w:tblPr/>
      <w:tcPr>
        <w:tcBorders>
          <w:top w:val="single" w:sz="8" w:space="0" w:color="FBD47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D476" w:themeColor="accent4"/>
          <w:insideH w:val="nil"/>
          <w:insideV w:val="nil"/>
        </w:tcBorders>
        <w:shd w:val="clear" w:color="auto" w:fill="FFFFFF" w:themeFill="background1"/>
      </w:tcPr>
    </w:tblStylePr>
    <w:tblStylePr w:type="lastCol">
      <w:tblPr/>
      <w:tcPr>
        <w:tcBorders>
          <w:top w:val="nil"/>
          <w:left w:val="single" w:sz="8" w:space="0" w:color="FBD4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DC" w:themeFill="accent4" w:themeFillTint="3F"/>
      </w:tcPr>
    </w:tblStylePr>
    <w:tblStylePr w:type="band1Horz">
      <w:tblPr/>
      <w:tcPr>
        <w:tcBorders>
          <w:top w:val="nil"/>
          <w:bottom w:val="nil"/>
          <w:insideH w:val="nil"/>
          <w:insideV w:val="nil"/>
        </w:tcBorders>
        <w:shd w:val="clear" w:color="auto" w:fill="FEF4D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BA089" w:themeColor="accent5"/>
        <w:left w:val="single" w:sz="8" w:space="0" w:color="EBA089" w:themeColor="accent5"/>
        <w:bottom w:val="single" w:sz="8" w:space="0" w:color="EBA089" w:themeColor="accent5"/>
        <w:right w:val="single" w:sz="8" w:space="0" w:color="EBA089" w:themeColor="accent5"/>
      </w:tblBorders>
    </w:tblPr>
    <w:tblStylePr w:type="firstRow">
      <w:rPr>
        <w:sz w:val="24"/>
        <w:szCs w:val="24"/>
      </w:rPr>
      <w:tblPr/>
      <w:tcPr>
        <w:tcBorders>
          <w:top w:val="nil"/>
          <w:left w:val="nil"/>
          <w:bottom w:val="single" w:sz="24" w:space="0" w:color="EBA089" w:themeColor="accent5"/>
          <w:right w:val="nil"/>
          <w:insideH w:val="nil"/>
          <w:insideV w:val="nil"/>
        </w:tcBorders>
        <w:shd w:val="clear" w:color="auto" w:fill="FFFFFF" w:themeFill="background1"/>
      </w:tcPr>
    </w:tblStylePr>
    <w:tblStylePr w:type="lastRow">
      <w:tblPr/>
      <w:tcPr>
        <w:tcBorders>
          <w:top w:val="single" w:sz="8" w:space="0" w:color="EBA08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A089" w:themeColor="accent5"/>
          <w:insideH w:val="nil"/>
          <w:insideV w:val="nil"/>
        </w:tcBorders>
        <w:shd w:val="clear" w:color="auto" w:fill="FFFFFF" w:themeFill="background1"/>
      </w:tcPr>
    </w:tblStylePr>
    <w:tblStylePr w:type="lastCol">
      <w:tblPr/>
      <w:tcPr>
        <w:tcBorders>
          <w:top w:val="nil"/>
          <w:left w:val="single" w:sz="8" w:space="0" w:color="EBA08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7E1" w:themeFill="accent5" w:themeFillTint="3F"/>
      </w:tcPr>
    </w:tblStylePr>
    <w:tblStylePr w:type="band1Horz">
      <w:tblPr/>
      <w:tcPr>
        <w:tcBorders>
          <w:top w:val="nil"/>
          <w:bottom w:val="nil"/>
          <w:insideH w:val="nil"/>
          <w:insideV w:val="nil"/>
        </w:tcBorders>
        <w:shd w:val="clear" w:color="auto" w:fill="FAE7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F204B" w:themeColor="accent6"/>
        <w:left w:val="single" w:sz="8" w:space="0" w:color="0F204B" w:themeColor="accent6"/>
        <w:bottom w:val="single" w:sz="8" w:space="0" w:color="0F204B" w:themeColor="accent6"/>
        <w:right w:val="single" w:sz="8" w:space="0" w:color="0F204B" w:themeColor="accent6"/>
      </w:tblBorders>
    </w:tblPr>
    <w:tblStylePr w:type="firstRow">
      <w:rPr>
        <w:sz w:val="24"/>
        <w:szCs w:val="24"/>
      </w:rPr>
      <w:tblPr/>
      <w:tcPr>
        <w:tcBorders>
          <w:top w:val="nil"/>
          <w:left w:val="nil"/>
          <w:bottom w:val="single" w:sz="24" w:space="0" w:color="0F204B" w:themeColor="accent6"/>
          <w:right w:val="nil"/>
          <w:insideH w:val="nil"/>
          <w:insideV w:val="nil"/>
        </w:tcBorders>
        <w:shd w:val="clear" w:color="auto" w:fill="FFFFFF" w:themeFill="background1"/>
      </w:tcPr>
    </w:tblStylePr>
    <w:tblStylePr w:type="lastRow">
      <w:tblPr/>
      <w:tcPr>
        <w:tcBorders>
          <w:top w:val="single" w:sz="8" w:space="0" w:color="0F20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04B" w:themeColor="accent6"/>
          <w:insideH w:val="nil"/>
          <w:insideV w:val="nil"/>
        </w:tcBorders>
        <w:shd w:val="clear" w:color="auto" w:fill="FFFFFF" w:themeFill="background1"/>
      </w:tcPr>
    </w:tblStylePr>
    <w:tblStylePr w:type="lastCol">
      <w:tblPr/>
      <w:tcPr>
        <w:tcBorders>
          <w:top w:val="nil"/>
          <w:left w:val="single" w:sz="8" w:space="0" w:color="0F20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BBED" w:themeFill="accent6" w:themeFillTint="3F"/>
      </w:tcPr>
    </w:tblStylePr>
    <w:tblStylePr w:type="band1Horz">
      <w:tblPr/>
      <w:tcPr>
        <w:tcBorders>
          <w:top w:val="nil"/>
          <w:bottom w:val="nil"/>
          <w:insideH w:val="nil"/>
          <w:insideV w:val="nil"/>
        </w:tcBorders>
        <w:shd w:val="clear" w:color="auto" w:fill="A8BB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6D9DE4" w:themeColor="accent1" w:themeTint="BF"/>
        <w:left w:val="single" w:sz="8" w:space="0" w:color="6D9DE4" w:themeColor="accent1" w:themeTint="BF"/>
        <w:bottom w:val="single" w:sz="8" w:space="0" w:color="6D9DE4" w:themeColor="accent1" w:themeTint="BF"/>
        <w:right w:val="single" w:sz="8" w:space="0" w:color="6D9DE4" w:themeColor="accent1" w:themeTint="BF"/>
        <w:insideH w:val="single" w:sz="8" w:space="0" w:color="6D9DE4" w:themeColor="accent1" w:themeTint="BF"/>
      </w:tblBorders>
    </w:tblPr>
    <w:tblStylePr w:type="firstRow">
      <w:pPr>
        <w:spacing w:before="0" w:after="0" w:line="240" w:lineRule="auto"/>
      </w:pPr>
      <w:rPr>
        <w:b/>
        <w:bCs/>
        <w:color w:val="FFFFFF" w:themeColor="background1"/>
      </w:rPr>
      <w:tblPr/>
      <w:tcPr>
        <w:tcBorders>
          <w:top w:val="single" w:sz="8" w:space="0" w:color="6D9DE4" w:themeColor="accent1" w:themeTint="BF"/>
          <w:left w:val="single" w:sz="8" w:space="0" w:color="6D9DE4" w:themeColor="accent1" w:themeTint="BF"/>
          <w:bottom w:val="single" w:sz="8" w:space="0" w:color="6D9DE4" w:themeColor="accent1" w:themeTint="BF"/>
          <w:right w:val="single" w:sz="8" w:space="0" w:color="6D9DE4" w:themeColor="accent1" w:themeTint="BF"/>
          <w:insideH w:val="nil"/>
          <w:insideV w:val="nil"/>
        </w:tcBorders>
        <w:shd w:val="clear" w:color="auto" w:fill="3D7EDB" w:themeFill="accent1"/>
      </w:tcPr>
    </w:tblStylePr>
    <w:tblStylePr w:type="lastRow">
      <w:pPr>
        <w:spacing w:before="0" w:after="0" w:line="240" w:lineRule="auto"/>
      </w:pPr>
      <w:rPr>
        <w:b/>
        <w:bCs/>
      </w:rPr>
      <w:tblPr/>
      <w:tcPr>
        <w:tcBorders>
          <w:top w:val="double" w:sz="6" w:space="0" w:color="6D9DE4" w:themeColor="accent1" w:themeTint="BF"/>
          <w:left w:val="single" w:sz="8" w:space="0" w:color="6D9DE4" w:themeColor="accent1" w:themeTint="BF"/>
          <w:bottom w:val="single" w:sz="8" w:space="0" w:color="6D9DE4" w:themeColor="accent1" w:themeTint="BF"/>
          <w:right w:val="single" w:sz="8" w:space="0" w:color="6D9DE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DEF6" w:themeFill="accent1" w:themeFillTint="3F"/>
      </w:tcPr>
    </w:tblStylePr>
    <w:tblStylePr w:type="band1Horz">
      <w:tblPr/>
      <w:tcPr>
        <w:tcBorders>
          <w:insideH w:val="nil"/>
          <w:insideV w:val="nil"/>
        </w:tcBorders>
        <w:shd w:val="clear" w:color="auto" w:fill="CEDE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96DCEF" w:themeColor="accent2" w:themeTint="BF"/>
        <w:left w:val="single" w:sz="8" w:space="0" w:color="96DCEF" w:themeColor="accent2" w:themeTint="BF"/>
        <w:bottom w:val="single" w:sz="8" w:space="0" w:color="96DCEF" w:themeColor="accent2" w:themeTint="BF"/>
        <w:right w:val="single" w:sz="8" w:space="0" w:color="96DCEF" w:themeColor="accent2" w:themeTint="BF"/>
        <w:insideH w:val="single" w:sz="8" w:space="0" w:color="96DCEF" w:themeColor="accent2" w:themeTint="BF"/>
      </w:tblBorders>
    </w:tblPr>
    <w:tblStylePr w:type="firstRow">
      <w:pPr>
        <w:spacing w:before="0" w:after="0" w:line="240" w:lineRule="auto"/>
      </w:pPr>
      <w:rPr>
        <w:b/>
        <w:bCs/>
        <w:color w:val="FFFFFF" w:themeColor="background1"/>
      </w:rPr>
      <w:tblPr/>
      <w:tcPr>
        <w:tcBorders>
          <w:top w:val="single" w:sz="8" w:space="0" w:color="96DCEF" w:themeColor="accent2" w:themeTint="BF"/>
          <w:left w:val="single" w:sz="8" w:space="0" w:color="96DCEF" w:themeColor="accent2" w:themeTint="BF"/>
          <w:bottom w:val="single" w:sz="8" w:space="0" w:color="96DCEF" w:themeColor="accent2" w:themeTint="BF"/>
          <w:right w:val="single" w:sz="8" w:space="0" w:color="96DCEF" w:themeColor="accent2" w:themeTint="BF"/>
          <w:insideH w:val="nil"/>
          <w:insideV w:val="nil"/>
        </w:tcBorders>
        <w:shd w:val="clear" w:color="auto" w:fill="74D1EA" w:themeFill="accent2"/>
      </w:tcPr>
    </w:tblStylePr>
    <w:tblStylePr w:type="lastRow">
      <w:pPr>
        <w:spacing w:before="0" w:after="0" w:line="240" w:lineRule="auto"/>
      </w:pPr>
      <w:rPr>
        <w:b/>
        <w:bCs/>
      </w:rPr>
      <w:tblPr/>
      <w:tcPr>
        <w:tcBorders>
          <w:top w:val="double" w:sz="6" w:space="0" w:color="96DCEF" w:themeColor="accent2" w:themeTint="BF"/>
          <w:left w:val="single" w:sz="8" w:space="0" w:color="96DCEF" w:themeColor="accent2" w:themeTint="BF"/>
          <w:bottom w:val="single" w:sz="8" w:space="0" w:color="96DCEF" w:themeColor="accent2" w:themeTint="BF"/>
          <w:right w:val="single" w:sz="8" w:space="0" w:color="96DCE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F3F9" w:themeFill="accent2" w:themeFillTint="3F"/>
      </w:tcPr>
    </w:tblStylePr>
    <w:tblStylePr w:type="band1Horz">
      <w:tblPr/>
      <w:tcPr>
        <w:tcBorders>
          <w:insideH w:val="nil"/>
          <w:insideV w:val="nil"/>
        </w:tcBorders>
        <w:shd w:val="clear" w:color="auto" w:fill="DCF3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9FDFD3" w:themeColor="accent3" w:themeTint="BF"/>
        <w:left w:val="single" w:sz="8" w:space="0" w:color="9FDFD3" w:themeColor="accent3" w:themeTint="BF"/>
        <w:bottom w:val="single" w:sz="8" w:space="0" w:color="9FDFD3" w:themeColor="accent3" w:themeTint="BF"/>
        <w:right w:val="single" w:sz="8" w:space="0" w:color="9FDFD3" w:themeColor="accent3" w:themeTint="BF"/>
        <w:insideH w:val="single" w:sz="8" w:space="0" w:color="9FDFD3" w:themeColor="accent3" w:themeTint="BF"/>
      </w:tblBorders>
    </w:tblPr>
    <w:tblStylePr w:type="firstRow">
      <w:pPr>
        <w:spacing w:before="0" w:after="0" w:line="240" w:lineRule="auto"/>
      </w:pPr>
      <w:rPr>
        <w:b/>
        <w:bCs/>
        <w:color w:val="FFFFFF" w:themeColor="background1"/>
      </w:rPr>
      <w:tblPr/>
      <w:tcPr>
        <w:tcBorders>
          <w:top w:val="single" w:sz="8" w:space="0" w:color="9FDFD3" w:themeColor="accent3" w:themeTint="BF"/>
          <w:left w:val="single" w:sz="8" w:space="0" w:color="9FDFD3" w:themeColor="accent3" w:themeTint="BF"/>
          <w:bottom w:val="single" w:sz="8" w:space="0" w:color="9FDFD3" w:themeColor="accent3" w:themeTint="BF"/>
          <w:right w:val="single" w:sz="8" w:space="0" w:color="9FDFD3" w:themeColor="accent3" w:themeTint="BF"/>
          <w:insideH w:val="nil"/>
          <w:insideV w:val="nil"/>
        </w:tcBorders>
        <w:shd w:val="clear" w:color="auto" w:fill="7FD5C5" w:themeFill="accent3"/>
      </w:tcPr>
    </w:tblStylePr>
    <w:tblStylePr w:type="lastRow">
      <w:pPr>
        <w:spacing w:before="0" w:after="0" w:line="240" w:lineRule="auto"/>
      </w:pPr>
      <w:rPr>
        <w:b/>
        <w:bCs/>
      </w:rPr>
      <w:tblPr/>
      <w:tcPr>
        <w:tcBorders>
          <w:top w:val="double" w:sz="6" w:space="0" w:color="9FDFD3" w:themeColor="accent3" w:themeTint="BF"/>
          <w:left w:val="single" w:sz="8" w:space="0" w:color="9FDFD3" w:themeColor="accent3" w:themeTint="BF"/>
          <w:bottom w:val="single" w:sz="8" w:space="0" w:color="9FDFD3" w:themeColor="accent3" w:themeTint="BF"/>
          <w:right w:val="single" w:sz="8" w:space="0" w:color="9FDFD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F4F0" w:themeFill="accent3" w:themeFillTint="3F"/>
      </w:tcPr>
    </w:tblStylePr>
    <w:tblStylePr w:type="band1Horz">
      <w:tblPr/>
      <w:tcPr>
        <w:tcBorders>
          <w:insideH w:val="nil"/>
          <w:insideV w:val="nil"/>
        </w:tcBorders>
        <w:shd w:val="clear" w:color="auto" w:fill="DFF4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FCDE98" w:themeColor="accent4" w:themeTint="BF"/>
        <w:left w:val="single" w:sz="8" w:space="0" w:color="FCDE98" w:themeColor="accent4" w:themeTint="BF"/>
        <w:bottom w:val="single" w:sz="8" w:space="0" w:color="FCDE98" w:themeColor="accent4" w:themeTint="BF"/>
        <w:right w:val="single" w:sz="8" w:space="0" w:color="FCDE98" w:themeColor="accent4" w:themeTint="BF"/>
        <w:insideH w:val="single" w:sz="8" w:space="0" w:color="FCDE98" w:themeColor="accent4" w:themeTint="BF"/>
      </w:tblBorders>
    </w:tblPr>
    <w:tblStylePr w:type="firstRow">
      <w:pPr>
        <w:spacing w:before="0" w:after="0" w:line="240" w:lineRule="auto"/>
      </w:pPr>
      <w:rPr>
        <w:b/>
        <w:bCs/>
        <w:color w:val="FFFFFF" w:themeColor="background1"/>
      </w:rPr>
      <w:tblPr/>
      <w:tcPr>
        <w:tcBorders>
          <w:top w:val="single" w:sz="8" w:space="0" w:color="FCDE98" w:themeColor="accent4" w:themeTint="BF"/>
          <w:left w:val="single" w:sz="8" w:space="0" w:color="FCDE98" w:themeColor="accent4" w:themeTint="BF"/>
          <w:bottom w:val="single" w:sz="8" w:space="0" w:color="FCDE98" w:themeColor="accent4" w:themeTint="BF"/>
          <w:right w:val="single" w:sz="8" w:space="0" w:color="FCDE98" w:themeColor="accent4" w:themeTint="BF"/>
          <w:insideH w:val="nil"/>
          <w:insideV w:val="nil"/>
        </w:tcBorders>
        <w:shd w:val="clear" w:color="auto" w:fill="FBD476" w:themeFill="accent4"/>
      </w:tcPr>
    </w:tblStylePr>
    <w:tblStylePr w:type="lastRow">
      <w:pPr>
        <w:spacing w:before="0" w:after="0" w:line="240" w:lineRule="auto"/>
      </w:pPr>
      <w:rPr>
        <w:b/>
        <w:bCs/>
      </w:rPr>
      <w:tblPr/>
      <w:tcPr>
        <w:tcBorders>
          <w:top w:val="double" w:sz="6" w:space="0" w:color="FCDE98" w:themeColor="accent4" w:themeTint="BF"/>
          <w:left w:val="single" w:sz="8" w:space="0" w:color="FCDE98" w:themeColor="accent4" w:themeTint="BF"/>
          <w:bottom w:val="single" w:sz="8" w:space="0" w:color="FCDE98" w:themeColor="accent4" w:themeTint="BF"/>
          <w:right w:val="single" w:sz="8" w:space="0" w:color="FCDE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4DC" w:themeFill="accent4" w:themeFillTint="3F"/>
      </w:tcPr>
    </w:tblStylePr>
    <w:tblStylePr w:type="band1Horz">
      <w:tblPr/>
      <w:tcPr>
        <w:tcBorders>
          <w:insideH w:val="nil"/>
          <w:insideV w:val="nil"/>
        </w:tcBorders>
        <w:shd w:val="clear" w:color="auto" w:fill="FEF4D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F0B7A6" w:themeColor="accent5" w:themeTint="BF"/>
        <w:left w:val="single" w:sz="8" w:space="0" w:color="F0B7A6" w:themeColor="accent5" w:themeTint="BF"/>
        <w:bottom w:val="single" w:sz="8" w:space="0" w:color="F0B7A6" w:themeColor="accent5" w:themeTint="BF"/>
        <w:right w:val="single" w:sz="8" w:space="0" w:color="F0B7A6" w:themeColor="accent5" w:themeTint="BF"/>
        <w:insideH w:val="single" w:sz="8" w:space="0" w:color="F0B7A6" w:themeColor="accent5" w:themeTint="BF"/>
      </w:tblBorders>
    </w:tblPr>
    <w:tblStylePr w:type="firstRow">
      <w:pPr>
        <w:spacing w:before="0" w:after="0" w:line="240" w:lineRule="auto"/>
      </w:pPr>
      <w:rPr>
        <w:b/>
        <w:bCs/>
        <w:color w:val="FFFFFF" w:themeColor="background1"/>
      </w:rPr>
      <w:tblPr/>
      <w:tcPr>
        <w:tcBorders>
          <w:top w:val="single" w:sz="8" w:space="0" w:color="F0B7A6" w:themeColor="accent5" w:themeTint="BF"/>
          <w:left w:val="single" w:sz="8" w:space="0" w:color="F0B7A6" w:themeColor="accent5" w:themeTint="BF"/>
          <w:bottom w:val="single" w:sz="8" w:space="0" w:color="F0B7A6" w:themeColor="accent5" w:themeTint="BF"/>
          <w:right w:val="single" w:sz="8" w:space="0" w:color="F0B7A6" w:themeColor="accent5" w:themeTint="BF"/>
          <w:insideH w:val="nil"/>
          <w:insideV w:val="nil"/>
        </w:tcBorders>
        <w:shd w:val="clear" w:color="auto" w:fill="EBA089" w:themeFill="accent5"/>
      </w:tcPr>
    </w:tblStylePr>
    <w:tblStylePr w:type="lastRow">
      <w:pPr>
        <w:spacing w:before="0" w:after="0" w:line="240" w:lineRule="auto"/>
      </w:pPr>
      <w:rPr>
        <w:b/>
        <w:bCs/>
      </w:rPr>
      <w:tblPr/>
      <w:tcPr>
        <w:tcBorders>
          <w:top w:val="double" w:sz="6" w:space="0" w:color="F0B7A6" w:themeColor="accent5" w:themeTint="BF"/>
          <w:left w:val="single" w:sz="8" w:space="0" w:color="F0B7A6" w:themeColor="accent5" w:themeTint="BF"/>
          <w:bottom w:val="single" w:sz="8" w:space="0" w:color="F0B7A6" w:themeColor="accent5" w:themeTint="BF"/>
          <w:right w:val="single" w:sz="8" w:space="0" w:color="F0B7A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E7E1" w:themeFill="accent5" w:themeFillTint="3F"/>
      </w:tcPr>
    </w:tblStylePr>
    <w:tblStylePr w:type="band1Horz">
      <w:tblPr/>
      <w:tcPr>
        <w:tcBorders>
          <w:insideH w:val="nil"/>
          <w:insideV w:val="nil"/>
        </w:tcBorders>
        <w:shd w:val="clear" w:color="auto" w:fill="FAE7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2045A2" w:themeColor="accent6" w:themeTint="BF"/>
        <w:left w:val="single" w:sz="8" w:space="0" w:color="2045A2" w:themeColor="accent6" w:themeTint="BF"/>
        <w:bottom w:val="single" w:sz="8" w:space="0" w:color="2045A2" w:themeColor="accent6" w:themeTint="BF"/>
        <w:right w:val="single" w:sz="8" w:space="0" w:color="2045A2" w:themeColor="accent6" w:themeTint="BF"/>
        <w:insideH w:val="single" w:sz="8" w:space="0" w:color="2045A2" w:themeColor="accent6" w:themeTint="BF"/>
      </w:tblBorders>
    </w:tblPr>
    <w:tblStylePr w:type="firstRow">
      <w:pPr>
        <w:spacing w:before="0" w:after="0" w:line="240" w:lineRule="auto"/>
      </w:pPr>
      <w:rPr>
        <w:b/>
        <w:bCs/>
        <w:color w:val="FFFFFF" w:themeColor="background1"/>
      </w:rPr>
      <w:tblPr/>
      <w:tcPr>
        <w:tcBorders>
          <w:top w:val="single" w:sz="8" w:space="0" w:color="2045A2" w:themeColor="accent6" w:themeTint="BF"/>
          <w:left w:val="single" w:sz="8" w:space="0" w:color="2045A2" w:themeColor="accent6" w:themeTint="BF"/>
          <w:bottom w:val="single" w:sz="8" w:space="0" w:color="2045A2" w:themeColor="accent6" w:themeTint="BF"/>
          <w:right w:val="single" w:sz="8" w:space="0" w:color="2045A2" w:themeColor="accent6" w:themeTint="BF"/>
          <w:insideH w:val="nil"/>
          <w:insideV w:val="nil"/>
        </w:tcBorders>
        <w:shd w:val="clear" w:color="auto" w:fill="0F204B" w:themeFill="accent6"/>
      </w:tcPr>
    </w:tblStylePr>
    <w:tblStylePr w:type="lastRow">
      <w:pPr>
        <w:spacing w:before="0" w:after="0" w:line="240" w:lineRule="auto"/>
      </w:pPr>
      <w:rPr>
        <w:b/>
        <w:bCs/>
      </w:rPr>
      <w:tblPr/>
      <w:tcPr>
        <w:tcBorders>
          <w:top w:val="double" w:sz="6" w:space="0" w:color="2045A2" w:themeColor="accent6" w:themeTint="BF"/>
          <w:left w:val="single" w:sz="8" w:space="0" w:color="2045A2" w:themeColor="accent6" w:themeTint="BF"/>
          <w:bottom w:val="single" w:sz="8" w:space="0" w:color="2045A2" w:themeColor="accent6" w:themeTint="BF"/>
          <w:right w:val="single" w:sz="8" w:space="0" w:color="2045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8BBED" w:themeFill="accent6" w:themeFillTint="3F"/>
      </w:tcPr>
    </w:tblStylePr>
    <w:tblStylePr w:type="band1Horz">
      <w:tblPr/>
      <w:tcPr>
        <w:tcBorders>
          <w:insideH w:val="nil"/>
          <w:insideV w:val="nil"/>
        </w:tcBorders>
        <w:shd w:val="clear" w:color="auto" w:fill="A8BBE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7ED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7EDB" w:themeFill="accent1"/>
      </w:tcPr>
    </w:tblStylePr>
    <w:tblStylePr w:type="lastCol">
      <w:rPr>
        <w:b/>
        <w:bCs/>
        <w:color w:val="FFFFFF" w:themeColor="background1"/>
      </w:rPr>
      <w:tblPr/>
      <w:tcPr>
        <w:tcBorders>
          <w:left w:val="nil"/>
          <w:right w:val="nil"/>
          <w:insideH w:val="nil"/>
          <w:insideV w:val="nil"/>
        </w:tcBorders>
        <w:shd w:val="clear" w:color="auto" w:fill="3D7ED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D1E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D1EA" w:themeFill="accent2"/>
      </w:tcPr>
    </w:tblStylePr>
    <w:tblStylePr w:type="lastCol">
      <w:rPr>
        <w:b/>
        <w:bCs/>
        <w:color w:val="FFFFFF" w:themeColor="background1"/>
      </w:rPr>
      <w:tblPr/>
      <w:tcPr>
        <w:tcBorders>
          <w:left w:val="nil"/>
          <w:right w:val="nil"/>
          <w:insideH w:val="nil"/>
          <w:insideV w:val="nil"/>
        </w:tcBorders>
        <w:shd w:val="clear" w:color="auto" w:fill="74D1E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D5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D5C5" w:themeFill="accent3"/>
      </w:tcPr>
    </w:tblStylePr>
    <w:tblStylePr w:type="lastCol">
      <w:rPr>
        <w:b/>
        <w:bCs/>
        <w:color w:val="FFFFFF" w:themeColor="background1"/>
      </w:rPr>
      <w:tblPr/>
      <w:tcPr>
        <w:tcBorders>
          <w:left w:val="nil"/>
          <w:right w:val="nil"/>
          <w:insideH w:val="nil"/>
          <w:insideV w:val="nil"/>
        </w:tcBorders>
        <w:shd w:val="clear" w:color="auto" w:fill="7FD5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D4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D476" w:themeFill="accent4"/>
      </w:tcPr>
    </w:tblStylePr>
    <w:tblStylePr w:type="lastCol">
      <w:rPr>
        <w:b/>
        <w:bCs/>
        <w:color w:val="FFFFFF" w:themeColor="background1"/>
      </w:rPr>
      <w:tblPr/>
      <w:tcPr>
        <w:tcBorders>
          <w:left w:val="nil"/>
          <w:right w:val="nil"/>
          <w:insideH w:val="nil"/>
          <w:insideV w:val="nil"/>
        </w:tcBorders>
        <w:shd w:val="clear" w:color="auto" w:fill="FBD4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A08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A089" w:themeFill="accent5"/>
      </w:tcPr>
    </w:tblStylePr>
    <w:tblStylePr w:type="lastCol">
      <w:rPr>
        <w:b/>
        <w:bCs/>
        <w:color w:val="FFFFFF" w:themeColor="background1"/>
      </w:rPr>
      <w:tblPr/>
      <w:tcPr>
        <w:tcBorders>
          <w:left w:val="nil"/>
          <w:right w:val="nil"/>
          <w:insideH w:val="nil"/>
          <w:insideV w:val="nil"/>
        </w:tcBorders>
        <w:shd w:val="clear" w:color="auto" w:fill="EBA08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20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204B" w:themeFill="accent6"/>
      </w:tcPr>
    </w:tblStylePr>
    <w:tblStylePr w:type="lastCol">
      <w:rPr>
        <w:b/>
        <w:bCs/>
        <w:color w:val="FFFFFF" w:themeColor="background1"/>
      </w:rPr>
      <w:tblPr/>
      <w:tcPr>
        <w:tcBorders>
          <w:left w:val="nil"/>
          <w:right w:val="nil"/>
          <w:insideH w:val="nil"/>
          <w:insideV w:val="nil"/>
        </w:tcBorders>
        <w:shd w:val="clear" w:color="auto" w:fill="0F20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862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2"/>
    <w:rsid w:val="00E13151"/>
    <w:rPr>
      <w:sz w:val="17"/>
    </w:rPr>
  </w:style>
  <w:style w:type="character" w:customStyle="1" w:styleId="TOC1Char">
    <w:name w:val="TOC 1 Char"/>
    <w:basedOn w:val="DefaultParagraphFont"/>
    <w:link w:val="TOC1"/>
    <w:uiPriority w:val="39"/>
    <w:rsid w:val="002A0EA0"/>
    <w:rPr>
      <w:b/>
      <w:noProof/>
      <w:color w:val="0F204B" w:themeColor="text2"/>
      <w:szCs w:val="18"/>
    </w:rPr>
  </w:style>
  <w:style w:type="paragraph" w:styleId="EndnoteText">
    <w:name w:val="endnote text"/>
    <w:basedOn w:val="Normal"/>
    <w:link w:val="EndnoteTextChar"/>
    <w:semiHidden/>
    <w:unhideWhenUsed/>
    <w:rsid w:val="00E36C40"/>
    <w:pPr>
      <w:spacing w:after="0"/>
    </w:pPr>
  </w:style>
  <w:style w:type="paragraph" w:styleId="ListContinue4">
    <w:name w:val="List Continue 4"/>
    <w:basedOn w:val="Normal"/>
    <w:semiHidden/>
    <w:rsid w:val="0058629F"/>
    <w:pPr>
      <w:spacing w:after="100"/>
      <w:ind w:left="1814"/>
    </w:pPr>
  </w:style>
  <w:style w:type="paragraph" w:styleId="ListContinue5">
    <w:name w:val="List Continue 5"/>
    <w:basedOn w:val="Normal"/>
    <w:semiHidden/>
    <w:rsid w:val="0058629F"/>
    <w:pPr>
      <w:spacing w:after="100"/>
      <w:ind w:left="2268"/>
    </w:pPr>
  </w:style>
  <w:style w:type="paragraph" w:customStyle="1" w:styleId="AppendixHeading2">
    <w:name w:val="Appendix Heading 2"/>
    <w:basedOn w:val="Normal"/>
    <w:next w:val="Normal"/>
    <w:uiPriority w:val="2"/>
    <w:qFormat/>
    <w:rsid w:val="00991BF6"/>
    <w:pPr>
      <w:keepNext/>
      <w:keepLines/>
      <w:numPr>
        <w:ilvl w:val="1"/>
        <w:numId w:val="9"/>
      </w:numPr>
      <w:spacing w:before="240" w:after="180" w:line="310" w:lineRule="atLeast"/>
    </w:pPr>
    <w:rPr>
      <w:rFonts w:asciiTheme="majorHAnsi" w:eastAsiaTheme="majorEastAsia" w:hAnsiTheme="majorHAnsi" w:cs="Arial"/>
      <w:b/>
      <w:bCs/>
      <w:color w:val="3D7EDB" w:themeColor="accent1"/>
      <w:sz w:val="28"/>
      <w:szCs w:val="40"/>
    </w:rPr>
  </w:style>
  <w:style w:type="paragraph" w:customStyle="1" w:styleId="AppendixHeading3">
    <w:name w:val="Appendix Heading 3"/>
    <w:basedOn w:val="AppendixHeading2"/>
    <w:next w:val="BodyText"/>
    <w:uiPriority w:val="2"/>
    <w:qFormat/>
    <w:rsid w:val="00991BF6"/>
    <w:pPr>
      <w:numPr>
        <w:ilvl w:val="2"/>
      </w:numPr>
      <w:spacing w:line="290" w:lineRule="atLeast"/>
    </w:pPr>
    <w:rPr>
      <w:sz w:val="24"/>
    </w:r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rsid w:val="00816079"/>
    <w:pPr>
      <w:spacing w:before="86" w:after="86"/>
    </w:pPr>
    <w:rPr>
      <w:spacing w:val="-1"/>
    </w:rPr>
    <w:tblPr>
      <w:tblStyleRowBandSize w:val="1"/>
      <w:tblStyleColBandSize w:val="1"/>
      <w:tblBorders>
        <w:top w:val="single" w:sz="4" w:space="0" w:color="3D7EDB" w:themeColor="accent1"/>
        <w:bottom w:val="single" w:sz="4" w:space="0" w:color="3D7EDB" w:themeColor="accent1"/>
        <w:insideH w:val="single" w:sz="4" w:space="0" w:color="3D7EDB" w:themeColor="accent1"/>
      </w:tblBorders>
      <w:tblCellMar>
        <w:left w:w="102" w:type="dxa"/>
        <w:right w:w="102" w:type="dxa"/>
      </w:tblCellMar>
    </w:tblPr>
    <w:tcPr>
      <w:shd w:val="clear" w:color="auto" w:fill="auto"/>
    </w:tcPr>
    <w:tblStylePr w:type="firstRow">
      <w:pPr>
        <w:wordWrap/>
        <w:spacing w:beforeLines="0" w:before="80" w:beforeAutospacing="0" w:afterLines="0" w:after="80" w:afterAutospacing="0" w:line="240" w:lineRule="atLeast"/>
      </w:pPr>
      <w:rPr>
        <w:b/>
        <w:color w:val="FFFFFF" w:themeColor="background1"/>
        <w:sz w:val="20"/>
      </w:rPr>
      <w:tblPr/>
      <w:tcPr>
        <w:shd w:val="clear" w:color="auto" w:fill="3D7EDB" w:themeFill="accent1"/>
      </w:tcPr>
    </w:tblStylePr>
    <w:tblStylePr w:type="firstCol">
      <w:rPr>
        <w:b/>
        <w:color w:val="3D7EDB" w:themeColor="accent1"/>
      </w:rPr>
    </w:tblStylePr>
    <w:tblStylePr w:type="band2Horz">
      <w:tblPr/>
      <w:tcPr>
        <w:shd w:val="clear" w:color="auto" w:fill="F5F9FD" w:themeFill="background2"/>
      </w:tcPr>
    </w:tblStylePr>
  </w:style>
  <w:style w:type="paragraph" w:customStyle="1" w:styleId="Introduction">
    <w:name w:val="Introduction"/>
    <w:basedOn w:val="Normal"/>
    <w:next w:val="Normal"/>
    <w:qFormat/>
    <w:rsid w:val="004E134A"/>
    <w:pPr>
      <w:spacing w:after="240" w:line="300" w:lineRule="atLeast"/>
    </w:pPr>
    <w:rPr>
      <w:color w:val="3D7EDB" w:themeColor="accent1"/>
      <w:kern w:val="22"/>
      <w:sz w:val="22"/>
    </w:rPr>
  </w:style>
  <w:style w:type="paragraph" w:styleId="ListNumber4">
    <w:name w:val="List Number 4"/>
    <w:basedOn w:val="Normal"/>
    <w:semiHidden/>
    <w:rsid w:val="001369F7"/>
    <w:pPr>
      <w:numPr>
        <w:ilvl w:val="3"/>
        <w:numId w:val="14"/>
      </w:numPr>
    </w:pPr>
  </w:style>
  <w:style w:type="paragraph" w:customStyle="1" w:styleId="SectionHeading">
    <w:name w:val="Section Heading"/>
    <w:basedOn w:val="Header"/>
    <w:next w:val="Normal"/>
    <w:uiPriority w:val="2"/>
    <w:semiHidden/>
    <w:rsid w:val="00A826AE"/>
    <w:pPr>
      <w:framePr w:hSpace="181" w:wrap="around" w:vAnchor="page" w:hAnchor="page" w:y="6304"/>
      <w:pBdr>
        <w:bottom w:val="single" w:sz="4" w:space="25" w:color="FFFFFF" w:themeColor="background1"/>
      </w:pBdr>
      <w:spacing w:before="1060" w:line="440" w:lineRule="exact"/>
      <w:ind w:left="1134" w:right="454"/>
      <w:contextualSpacing/>
      <w:suppressOverlap/>
      <w:outlineLvl w:val="0"/>
    </w:pPr>
    <w:rPr>
      <w:color w:val="FFFFFF" w:themeColor="background1"/>
      <w:spacing w:val="10"/>
      <w:sz w:val="42"/>
    </w:rPr>
  </w:style>
  <w:style w:type="paragraph" w:styleId="ListNumber5">
    <w:name w:val="List Number 5"/>
    <w:basedOn w:val="Normal"/>
    <w:semiHidden/>
    <w:rsid w:val="001369F7"/>
    <w:pPr>
      <w:numPr>
        <w:ilvl w:val="4"/>
        <w:numId w:val="14"/>
      </w:numPr>
    </w:pPr>
  </w:style>
  <w:style w:type="paragraph" w:customStyle="1" w:styleId="AppendixHeading1">
    <w:name w:val="Appendix Heading 1"/>
    <w:basedOn w:val="Normal"/>
    <w:next w:val="Normal"/>
    <w:uiPriority w:val="2"/>
    <w:qFormat/>
    <w:rsid w:val="0060470A"/>
    <w:pPr>
      <w:keepNext/>
      <w:keepLines/>
      <w:pageBreakBefore/>
      <w:numPr>
        <w:numId w:val="9"/>
      </w:numPr>
      <w:spacing w:before="300" w:after="180" w:line="390" w:lineRule="atLeast"/>
      <w:outlineLvl w:val="0"/>
    </w:pPr>
    <w:rPr>
      <w:rFonts w:asciiTheme="majorHAnsi" w:hAnsiTheme="majorHAnsi" w:cs="Arial"/>
      <w:b/>
      <w:color w:val="3D7EDB" w:themeColor="accent1"/>
      <w:sz w:val="32"/>
    </w:rPr>
  </w:style>
  <w:style w:type="paragraph" w:customStyle="1" w:styleId="TableText">
    <w:name w:val="Table Text"/>
    <w:basedOn w:val="Normal"/>
    <w:semiHidden/>
    <w:qFormat/>
    <w:rsid w:val="0005578D"/>
  </w:style>
  <w:style w:type="character" w:styleId="PlaceholderText">
    <w:name w:val="Placeholder Text"/>
    <w:basedOn w:val="DefaultParagraphFont"/>
    <w:uiPriority w:val="59"/>
    <w:rsid w:val="0045185B"/>
    <w:rPr>
      <w:color w:val="808080"/>
    </w:rPr>
  </w:style>
  <w:style w:type="paragraph" w:customStyle="1" w:styleId="SectionHeadingAnchor">
    <w:name w:val="Section Heading Anchor"/>
    <w:basedOn w:val="Normal"/>
    <w:next w:val="SectionHeading"/>
    <w:uiPriority w:val="2"/>
    <w:semiHidden/>
    <w:rsid w:val="007F30EA"/>
    <w:pPr>
      <w:pageBreakBefore/>
      <w:spacing w:after="3120"/>
    </w:pPr>
  </w:style>
  <w:style w:type="paragraph" w:styleId="Caption">
    <w:name w:val="caption"/>
    <w:basedOn w:val="Normal"/>
    <w:next w:val="Normal"/>
    <w:uiPriority w:val="1"/>
    <w:semiHidden/>
    <w:qFormat/>
    <w:rsid w:val="008A2A6C"/>
    <w:pPr>
      <w:tabs>
        <w:tab w:val="left" w:pos="964"/>
      </w:tabs>
      <w:spacing w:line="230" w:lineRule="atLeast"/>
      <w:ind w:left="964" w:hanging="964"/>
    </w:pPr>
    <w:rPr>
      <w:rFonts w:asciiTheme="majorHAnsi" w:hAnsiTheme="majorHAnsi"/>
      <w:b/>
      <w:sz w:val="19"/>
    </w:rPr>
  </w:style>
  <w:style w:type="paragraph" w:styleId="NormalWeb">
    <w:name w:val="Normal (Web)"/>
    <w:basedOn w:val="Normal"/>
    <w:uiPriority w:val="1"/>
    <w:rsid w:val="005F5B06"/>
    <w:pPr>
      <w:spacing w:after="0"/>
    </w:pPr>
    <w:rPr>
      <w:szCs w:val="24"/>
    </w:rPr>
  </w:style>
  <w:style w:type="paragraph" w:customStyle="1" w:styleId="HeadingNumbered1">
    <w:name w:val="Heading Numbered 1"/>
    <w:basedOn w:val="Normal"/>
    <w:next w:val="Normal"/>
    <w:semiHidden/>
    <w:qFormat/>
    <w:rsid w:val="004D4894"/>
    <w:pPr>
      <w:keepNext/>
      <w:keepLines/>
      <w:numPr>
        <w:numId w:val="10"/>
      </w:numPr>
      <w:spacing w:after="60" w:line="310" w:lineRule="atLeast"/>
      <w:outlineLvl w:val="0"/>
    </w:pPr>
    <w:rPr>
      <w:rFonts w:asciiTheme="majorHAnsi" w:eastAsiaTheme="majorEastAsia" w:hAnsiTheme="majorHAnsi" w:cstheme="majorBidi"/>
      <w:b/>
      <w:bCs/>
      <w:color w:val="3D7EDB" w:themeColor="accent1"/>
      <w:sz w:val="27"/>
      <w:szCs w:val="26"/>
    </w:rPr>
  </w:style>
  <w:style w:type="paragraph" w:customStyle="1" w:styleId="HeadingNumbered2">
    <w:name w:val="Heading Numbered 2"/>
    <w:basedOn w:val="Heading3"/>
    <w:next w:val="Normal"/>
    <w:semiHidden/>
    <w:qFormat/>
    <w:rsid w:val="004D4894"/>
    <w:pPr>
      <w:numPr>
        <w:ilvl w:val="1"/>
        <w:numId w:val="10"/>
      </w:numPr>
      <w:spacing w:before="220" w:after="60" w:line="250" w:lineRule="atLeast"/>
      <w:outlineLvl w:val="1"/>
    </w:pPr>
    <w:rPr>
      <w:sz w:val="21"/>
    </w:rPr>
  </w:style>
  <w:style w:type="paragraph" w:customStyle="1" w:styleId="HeadingNumbered3">
    <w:name w:val="Heading Numbered 3"/>
    <w:basedOn w:val="Heading4"/>
    <w:next w:val="Normal"/>
    <w:semiHidden/>
    <w:qFormat/>
    <w:rsid w:val="004D4894"/>
    <w:pPr>
      <w:numPr>
        <w:ilvl w:val="2"/>
        <w:numId w:val="10"/>
      </w:numPr>
      <w:spacing w:after="70"/>
      <w:outlineLvl w:val="2"/>
    </w:pPr>
  </w:style>
  <w:style w:type="paragraph" w:styleId="TOC3">
    <w:name w:val="toc 3"/>
    <w:basedOn w:val="Normal"/>
    <w:next w:val="Normal"/>
    <w:autoRedefine/>
    <w:uiPriority w:val="39"/>
    <w:rsid w:val="002526A5"/>
    <w:pPr>
      <w:pBdr>
        <w:bottom w:val="single" w:sz="4" w:space="1" w:color="F5F9FD" w:themeColor="background2"/>
      </w:pBdr>
      <w:tabs>
        <w:tab w:val="right" w:pos="9639"/>
      </w:tabs>
      <w:spacing w:before="60" w:after="60"/>
    </w:pPr>
    <w:rPr>
      <w:noProof/>
      <w:color w:val="0F204B" w:themeColor="text2"/>
    </w:rPr>
  </w:style>
  <w:style w:type="paragraph" w:customStyle="1" w:styleId="TableHeading">
    <w:name w:val="Table Heading"/>
    <w:basedOn w:val="TableText"/>
    <w:semiHidden/>
    <w:qFormat/>
    <w:rsid w:val="0005578D"/>
    <w:rPr>
      <w:b/>
    </w:rPr>
  </w:style>
  <w:style w:type="paragraph" w:customStyle="1" w:styleId="HeaderwithLine">
    <w:name w:val="Header with Line"/>
    <w:basedOn w:val="Header"/>
    <w:next w:val="Header"/>
    <w:uiPriority w:val="99"/>
    <w:semiHidden/>
    <w:rsid w:val="005560C0"/>
    <w:pPr>
      <w:pBdr>
        <w:bottom w:val="single" w:sz="4" w:space="8" w:color="0079C1"/>
      </w:pBdr>
      <w:tabs>
        <w:tab w:val="clear" w:pos="2730"/>
        <w:tab w:val="left" w:pos="3583"/>
      </w:tabs>
    </w:p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HighlightBoxBullet">
    <w:name w:val="Highlight Box Bullet"/>
    <w:basedOn w:val="HighlightBoxText"/>
    <w:semiHidden/>
    <w:qFormat/>
    <w:rsid w:val="004621A2"/>
    <w:pPr>
      <w:numPr>
        <w:numId w:val="11"/>
      </w:numPr>
      <w:spacing w:before="60" w:after="60"/>
    </w:pPr>
  </w:style>
  <w:style w:type="paragraph" w:customStyle="1" w:styleId="HighlightBoxHeading">
    <w:name w:val="Highlight Box Heading"/>
    <w:basedOn w:val="HighlightBoxText"/>
    <w:next w:val="HighlightBoxText"/>
    <w:semiHidden/>
    <w:qFormat/>
    <w:rsid w:val="004621A2"/>
    <w:pPr>
      <w:keepNext/>
    </w:pPr>
    <w:rPr>
      <w:b/>
      <w:color w:val="auto"/>
      <w:szCs w:val="18"/>
    </w:rPr>
  </w:style>
  <w:style w:type="paragraph" w:customStyle="1" w:styleId="HighlightBoxNumbering">
    <w:name w:val="Highlight Box Numbering"/>
    <w:basedOn w:val="HighlightBoxText"/>
    <w:semiHidden/>
    <w:qFormat/>
    <w:rsid w:val="004621A2"/>
    <w:pPr>
      <w:numPr>
        <w:numId w:val="12"/>
      </w:numPr>
    </w:pPr>
  </w:style>
  <w:style w:type="paragraph" w:customStyle="1" w:styleId="HighlightBoxText">
    <w:name w:val="Highlight Box Text"/>
    <w:basedOn w:val="BodyText"/>
    <w:semiHidden/>
    <w:qFormat/>
    <w:rsid w:val="004621A2"/>
    <w:pPr>
      <w:pBdr>
        <w:top w:val="single" w:sz="4" w:space="10" w:color="B9C8F1" w:themeColor="text2" w:themeTint="33"/>
        <w:left w:val="single" w:sz="4" w:space="12" w:color="B9C8F1" w:themeColor="text2" w:themeTint="33"/>
        <w:bottom w:val="single" w:sz="4" w:space="10" w:color="B9C8F1" w:themeColor="text2" w:themeTint="33"/>
        <w:right w:val="single" w:sz="4" w:space="12" w:color="B9C8F1" w:themeColor="text2" w:themeTint="33"/>
      </w:pBdr>
      <w:shd w:val="clear" w:color="auto" w:fill="B9C8F1" w:themeFill="text2" w:themeFillTint="33"/>
      <w:tabs>
        <w:tab w:val="left" w:pos="2268"/>
        <w:tab w:val="left" w:pos="4536"/>
        <w:tab w:val="left" w:pos="6804"/>
        <w:tab w:val="right" w:pos="9638"/>
      </w:tabs>
      <w:spacing w:line="252" w:lineRule="auto"/>
      <w:ind w:left="227" w:right="227"/>
    </w:pPr>
    <w:rPr>
      <w:spacing w:val="2"/>
      <w:kern w:val="20"/>
      <w:lang w:eastAsia="fr-CA"/>
    </w:rPr>
  </w:style>
  <w:style w:type="character" w:customStyle="1" w:styleId="NoSpacingChar">
    <w:name w:val="No Spacing Char"/>
    <w:basedOn w:val="DefaultParagraphFont"/>
    <w:link w:val="NoSpacing"/>
    <w:rsid w:val="00146441"/>
  </w:style>
  <w:style w:type="paragraph" w:styleId="Title">
    <w:name w:val="Title"/>
    <w:basedOn w:val="Normal"/>
    <w:next w:val="Normal"/>
    <w:link w:val="TitleChar"/>
    <w:uiPriority w:val="99"/>
    <w:rsid w:val="006D47C6"/>
    <w:pPr>
      <w:spacing w:after="300" w:line="960" w:lineRule="exact"/>
      <w:contextualSpacing/>
    </w:pPr>
    <w:rPr>
      <w:rFonts w:ascii="DM Sans Medium" w:hAnsi="DM Sans Medium"/>
      <w:color w:val="3D7EDB" w:themeColor="accent1"/>
      <w:spacing w:val="-6"/>
      <w:sz w:val="86"/>
      <w:szCs w:val="18"/>
    </w:rPr>
  </w:style>
  <w:style w:type="character" w:customStyle="1" w:styleId="TitleChar">
    <w:name w:val="Title Char"/>
    <w:basedOn w:val="DefaultParagraphFont"/>
    <w:link w:val="Title"/>
    <w:uiPriority w:val="99"/>
    <w:rsid w:val="00146441"/>
    <w:rPr>
      <w:rFonts w:ascii="DM Sans Medium" w:hAnsi="DM Sans Medium"/>
      <w:color w:val="3D7EDB" w:themeColor="accent1"/>
      <w:spacing w:val="-6"/>
      <w:sz w:val="86"/>
      <w:szCs w:val="18"/>
    </w:rPr>
  </w:style>
  <w:style w:type="paragraph" w:customStyle="1" w:styleId="TitleWhite">
    <w:name w:val="Title White"/>
    <w:basedOn w:val="Title"/>
    <w:uiPriority w:val="99"/>
    <w:qFormat/>
    <w:rsid w:val="006D47C6"/>
    <w:rPr>
      <w:color w:val="FFFFFF" w:themeColor="background1"/>
    </w:rPr>
  </w:style>
  <w:style w:type="paragraph" w:styleId="Subtitle">
    <w:name w:val="Subtitle"/>
    <w:basedOn w:val="Normal"/>
    <w:next w:val="Normal"/>
    <w:link w:val="SubtitleChar"/>
    <w:uiPriority w:val="99"/>
    <w:rsid w:val="006D47C6"/>
    <w:pPr>
      <w:numPr>
        <w:ilvl w:val="1"/>
      </w:numPr>
      <w:spacing w:line="400" w:lineRule="exact"/>
      <w:contextualSpacing/>
    </w:pPr>
    <w:rPr>
      <w:rFonts w:eastAsiaTheme="minorEastAsia" w:cstheme="minorBidi"/>
      <w:b/>
      <w:caps/>
      <w:color w:val="3D7EDB" w:themeColor="accent1"/>
      <w:sz w:val="32"/>
      <w:szCs w:val="22"/>
    </w:rPr>
  </w:style>
  <w:style w:type="character" w:customStyle="1" w:styleId="SubtitleChar">
    <w:name w:val="Subtitle Char"/>
    <w:basedOn w:val="DefaultParagraphFont"/>
    <w:link w:val="Subtitle"/>
    <w:uiPriority w:val="99"/>
    <w:rsid w:val="00146441"/>
    <w:rPr>
      <w:rFonts w:eastAsiaTheme="minorEastAsia" w:cstheme="minorBidi"/>
      <w:b/>
      <w:caps/>
      <w:color w:val="3D7EDB" w:themeColor="accent1"/>
      <w:sz w:val="32"/>
      <w:szCs w:val="22"/>
    </w:rPr>
  </w:style>
  <w:style w:type="paragraph" w:styleId="Bibliography">
    <w:name w:val="Bibliography"/>
    <w:basedOn w:val="Normal"/>
    <w:next w:val="Normal"/>
    <w:uiPriority w:val="37"/>
    <w:semiHidden/>
    <w:unhideWhenUsed/>
    <w:rsid w:val="00B72CAA"/>
  </w:style>
  <w:style w:type="paragraph" w:customStyle="1" w:styleId="SubtitleWhite">
    <w:name w:val="Subtitle White"/>
    <w:basedOn w:val="Subtitle"/>
    <w:uiPriority w:val="99"/>
    <w:qFormat/>
    <w:rsid w:val="006D47C6"/>
    <w:rPr>
      <w:color w:val="FFFFFF" w:themeColor="background1"/>
    </w:rPr>
  </w:style>
  <w:style w:type="paragraph" w:customStyle="1" w:styleId="WebAddress">
    <w:name w:val="Web Address"/>
    <w:basedOn w:val="Normal"/>
    <w:uiPriority w:val="99"/>
    <w:qFormat/>
    <w:rsid w:val="006D47C6"/>
    <w:pPr>
      <w:spacing w:after="0" w:line="360" w:lineRule="exact"/>
      <w:ind w:right="-170"/>
      <w:jc w:val="right"/>
    </w:pPr>
    <w:rPr>
      <w:b/>
      <w:color w:val="3D7EDB" w:themeColor="accent1"/>
      <w:sz w:val="30"/>
      <w:szCs w:val="18"/>
    </w:rPr>
  </w:style>
  <w:style w:type="paragraph" w:customStyle="1" w:styleId="DateWhite">
    <w:name w:val="Date White"/>
    <w:basedOn w:val="Date"/>
    <w:uiPriority w:val="99"/>
    <w:qFormat/>
    <w:rsid w:val="00146441"/>
    <w:rPr>
      <w:color w:val="FFFFFF" w:themeColor="background1"/>
    </w:rPr>
  </w:style>
  <w:style w:type="paragraph" w:customStyle="1" w:styleId="WebAddressWhite">
    <w:name w:val="Web Address White"/>
    <w:basedOn w:val="WebAddress"/>
    <w:uiPriority w:val="99"/>
    <w:qFormat/>
    <w:rsid w:val="00146441"/>
    <w:rPr>
      <w:color w:val="FFFFFF" w:themeColor="background1"/>
    </w:rPr>
  </w:style>
  <w:style w:type="paragraph" w:customStyle="1" w:styleId="FooterPageNumber">
    <w:name w:val="Footer Page Number"/>
    <w:basedOn w:val="Footer"/>
    <w:uiPriority w:val="59"/>
    <w:qFormat/>
    <w:rsid w:val="007953C8"/>
    <w:pPr>
      <w:framePr w:wrap="around" w:vAnchor="text" w:hAnchor="margin" w:xAlign="right" w:y="1"/>
      <w:jc w:val="right"/>
    </w:pPr>
    <w:rPr>
      <w:noProof/>
    </w:rPr>
  </w:style>
  <w:style w:type="paragraph" w:customStyle="1" w:styleId="BackPageTextBoxTextWhite">
    <w:name w:val="Back Page Text Box Text White"/>
    <w:basedOn w:val="Normal"/>
    <w:uiPriority w:val="99"/>
    <w:qFormat/>
    <w:rsid w:val="007953C8"/>
    <w:pPr>
      <w:tabs>
        <w:tab w:val="left" w:pos="312"/>
      </w:tabs>
      <w:spacing w:after="0" w:line="320" w:lineRule="exact"/>
    </w:pPr>
    <w:rPr>
      <w:color w:val="FFFFFF" w:themeColor="background1"/>
      <w:sz w:val="24"/>
      <w:szCs w:val="18"/>
    </w:rPr>
  </w:style>
  <w:style w:type="paragraph" w:customStyle="1" w:styleId="DisclaimerText">
    <w:name w:val="Disclaimer Text"/>
    <w:basedOn w:val="Normal"/>
    <w:uiPriority w:val="99"/>
    <w:rsid w:val="0089506E"/>
    <w:pPr>
      <w:framePr w:w="9639" w:hSpace="181" w:wrap="around" w:hAnchor="margin" w:yAlign="bottom"/>
      <w:tabs>
        <w:tab w:val="left" w:pos="1134"/>
      </w:tabs>
      <w:spacing w:after="90" w:line="240" w:lineRule="atLeast"/>
      <w:suppressOverlap/>
    </w:pPr>
    <w:rPr>
      <w:rFonts w:eastAsia="Arial" w:cs="Arial"/>
    </w:rPr>
  </w:style>
  <w:style w:type="paragraph" w:styleId="TOC4">
    <w:name w:val="toc 4"/>
    <w:basedOn w:val="Normal"/>
    <w:next w:val="Normal"/>
    <w:autoRedefine/>
    <w:uiPriority w:val="39"/>
    <w:rsid w:val="0089506E"/>
    <w:pPr>
      <w:widowControl w:val="0"/>
      <w:spacing w:after="100" w:line="276" w:lineRule="auto"/>
      <w:ind w:left="660"/>
    </w:pPr>
    <w:rPr>
      <w:rFonts w:eastAsiaTheme="minorHAnsi" w:cstheme="minorBidi"/>
      <w:sz w:val="22"/>
      <w:szCs w:val="22"/>
      <w:lang w:val="en-US" w:eastAsia="en-US"/>
    </w:rPr>
  </w:style>
  <w:style w:type="paragraph" w:styleId="DocumentMap">
    <w:name w:val="Document Map"/>
    <w:basedOn w:val="Normal"/>
    <w:link w:val="DocumentMapChar"/>
    <w:uiPriority w:val="39"/>
    <w:semiHidden/>
    <w:unhideWhenUsed/>
    <w:rsid w:val="0089506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39"/>
    <w:semiHidden/>
    <w:rsid w:val="0089506E"/>
    <w:rPr>
      <w:rFonts w:ascii="Segoe UI" w:hAnsi="Segoe UI" w:cs="Segoe UI"/>
      <w:sz w:val="16"/>
      <w:szCs w:val="16"/>
    </w:rPr>
  </w:style>
  <w:style w:type="paragraph" w:customStyle="1" w:styleId="H1NoTOCEntry">
    <w:name w:val="H1 No TOC Entry"/>
    <w:basedOn w:val="Heading1NoNumbering"/>
    <w:next w:val="BodyText"/>
    <w:qFormat/>
    <w:rsid w:val="002526A5"/>
    <w:pPr>
      <w:tabs>
        <w:tab w:val="left" w:pos="680"/>
      </w:tabs>
    </w:pPr>
    <w:rPr>
      <w:rFonts w:eastAsia="MS ??"/>
    </w:rPr>
  </w:style>
  <w:style w:type="paragraph" w:customStyle="1" w:styleId="Boldheading">
    <w:name w:val="Bold heading"/>
    <w:basedOn w:val="Normal"/>
    <w:qFormat/>
    <w:rsid w:val="00FA5702"/>
    <w:pPr>
      <w:spacing w:after="0"/>
    </w:pPr>
    <w:rPr>
      <w:rFonts w:eastAsia="Arial"/>
      <w:b/>
    </w:rPr>
  </w:style>
  <w:style w:type="paragraph" w:customStyle="1" w:styleId="Questionheadline">
    <w:name w:val="Question headline"/>
    <w:basedOn w:val="Normal"/>
    <w:qFormat/>
    <w:rsid w:val="00744B7D"/>
    <w:rPr>
      <w:color w:val="3D7EDB" w:themeColor="accent1"/>
    </w:rPr>
  </w:style>
  <w:style w:type="paragraph" w:customStyle="1" w:styleId="Questionsubline">
    <w:name w:val="Question subline"/>
    <w:basedOn w:val="Normal"/>
    <w:qFormat/>
    <w:rsid w:val="00EB2D14"/>
  </w:style>
  <w:style w:type="table" w:customStyle="1" w:styleId="Style1">
    <w:name w:val="Style1"/>
    <w:basedOn w:val="TableNormal"/>
    <w:uiPriority w:val="99"/>
    <w:rsid w:val="00C154AA"/>
    <w:tblPr>
      <w:tblBorders>
        <w:bottom w:val="dotted" w:sz="4" w:space="0" w:color="3D7EDB" w:themeColor="accent1"/>
        <w:insideH w:val="dotted" w:sz="4" w:space="0" w:color="3D7EDB" w:themeColor="accent1"/>
      </w:tblBorders>
    </w:tblPr>
    <w:tblStylePr w:type="firstRow">
      <w:pPr>
        <w:wordWrap/>
        <w:spacing w:beforeLines="0" w:before="200" w:beforeAutospacing="0" w:afterLines="0" w:after="200" w:afterAutospacing="0"/>
      </w:pPr>
      <w:tblPr/>
      <w:tcPr>
        <w:tcBorders>
          <w:bottom w:val="single" w:sz="4" w:space="0" w:color="3D7EDB" w:themeColor="accent1"/>
        </w:tcBorders>
        <w:shd w:val="clear" w:color="auto" w:fill="F5F9FD" w:themeFill="background2"/>
      </w:tcPr>
    </w:tblStylePr>
  </w:style>
  <w:style w:type="table" w:customStyle="1" w:styleId="PHATableLight">
    <w:name w:val="PHA Table Light"/>
    <w:basedOn w:val="TableNormal"/>
    <w:uiPriority w:val="99"/>
    <w:rsid w:val="00744B7D"/>
    <w:pPr>
      <w:spacing w:before="86" w:after="86"/>
    </w:pPr>
    <w:tblPr>
      <w:tblBorders>
        <w:insideH w:val="single" w:sz="4" w:space="0" w:color="3D7EDB" w:themeColor="accent1"/>
      </w:tblBorders>
      <w:tblCellMar>
        <w:left w:w="102" w:type="dxa"/>
        <w:right w:w="102" w:type="dxa"/>
      </w:tblCellMar>
    </w:tblPr>
    <w:tcPr>
      <w:shd w:val="clear" w:color="auto" w:fill="FFFFFF" w:themeFill="background1"/>
      <w:vAlign w:val="center"/>
    </w:tcPr>
    <w:tblStylePr w:type="firstRow">
      <w:pPr>
        <w:wordWrap/>
        <w:spacing w:beforeLines="0" w:before="80" w:beforeAutospacing="0" w:afterLines="0" w:after="80" w:afterAutospacing="0"/>
        <w:jc w:val="left"/>
      </w:pPr>
      <w:rPr>
        <w:color w:val="3D7EDB" w:themeColor="accent1"/>
      </w:rPr>
      <w:tblPr/>
      <w:tcPr>
        <w:tcBorders>
          <w:top w:val="nil"/>
          <w:left w:val="nil"/>
          <w:bottom w:val="nil"/>
          <w:right w:val="nil"/>
          <w:insideH w:val="nil"/>
          <w:insideV w:val="nil"/>
          <w:tl2br w:val="nil"/>
          <w:tr2bl w:val="nil"/>
        </w:tcBorders>
        <w:shd w:val="clear" w:color="auto" w:fill="F5F9FD" w:themeFill="background2"/>
      </w:tcPr>
    </w:tblStylePr>
    <w:tblStylePr w:type="lastRow">
      <w:pPr>
        <w:jc w:val="left"/>
      </w:pPr>
      <w:tblPr/>
      <w:tcPr>
        <w:tcBorders>
          <w:top w:val="nil"/>
          <w:left w:val="nil"/>
          <w:bottom w:val="single" w:sz="4" w:space="0" w:color="3D7EDB" w:themeColor="accent1"/>
          <w:right w:val="nil"/>
          <w:insideH w:val="nil"/>
          <w:insideV w:val="nil"/>
          <w:tl2br w:val="nil"/>
          <w:tr2bl w:val="nil"/>
        </w:tcBorders>
        <w:vAlign w:val="bottom"/>
      </w:tcPr>
    </w:tblStylePr>
  </w:style>
  <w:style w:type="paragraph" w:customStyle="1" w:styleId="PullOut">
    <w:name w:val="Pull Out"/>
    <w:basedOn w:val="BodyText"/>
    <w:qFormat/>
    <w:rsid w:val="00746B8B"/>
    <w:pPr>
      <w:keepLines/>
      <w:pBdr>
        <w:top w:val="single" w:sz="4" w:space="10" w:color="F5F9FD" w:themeColor="background2"/>
        <w:left w:val="single" w:sz="4" w:space="10" w:color="F5F9FD" w:themeColor="background2"/>
        <w:bottom w:val="single" w:sz="4" w:space="10" w:color="F5F9FD" w:themeColor="background2"/>
        <w:right w:val="single" w:sz="4" w:space="10" w:color="F5F9FD" w:themeColor="background2"/>
      </w:pBdr>
      <w:shd w:val="clear" w:color="auto" w:fill="F5F9FD" w:themeFill="background2"/>
      <w:ind w:left="227" w:right="227"/>
    </w:pPr>
    <w:rPr>
      <w:rFonts w:eastAsia="Arial"/>
      <w:iCs/>
    </w:rPr>
  </w:style>
  <w:style w:type="paragraph" w:customStyle="1" w:styleId="ListBullet6ptAbove">
    <w:name w:val="List Bullet 6 pt Above"/>
    <w:basedOn w:val="ListBullet"/>
    <w:qFormat/>
    <w:rsid w:val="009A7ABE"/>
    <w:pPr>
      <w:spacing w:before="120"/>
    </w:pPr>
    <w:rPr>
      <w:rFonts w:eastAsia="Arial"/>
    </w:rPr>
  </w:style>
  <w:style w:type="paragraph" w:styleId="ListBullet4">
    <w:name w:val="List Bullet 4"/>
    <w:basedOn w:val="ListBullet3"/>
    <w:semiHidden/>
    <w:rsid w:val="0023632A"/>
    <w:pPr>
      <w:numPr>
        <w:ilvl w:val="0"/>
        <w:numId w:val="0"/>
      </w:numPr>
      <w:spacing w:before="70" w:after="200"/>
      <w:ind w:left="908" w:hanging="227"/>
    </w:pPr>
  </w:style>
  <w:style w:type="paragraph" w:styleId="ListBullet5">
    <w:name w:val="List Bullet 5"/>
    <w:basedOn w:val="ListBullet4"/>
    <w:semiHidden/>
    <w:rsid w:val="0023632A"/>
    <w:pPr>
      <w:ind w:left="1135"/>
    </w:pPr>
  </w:style>
  <w:style w:type="paragraph" w:styleId="ListParagraph">
    <w:name w:val="List Paragraph"/>
    <w:basedOn w:val="Normal"/>
    <w:uiPriority w:val="34"/>
    <w:qFormat/>
    <w:rsid w:val="00E41C57"/>
    <w:pPr>
      <w:widowControl w:val="0"/>
      <w:autoSpaceDE w:val="0"/>
      <w:autoSpaceDN w:val="0"/>
      <w:adjustRightInd w:val="0"/>
      <w:spacing w:after="40"/>
      <w:ind w:firstLine="357"/>
    </w:pPr>
    <w:rPr>
      <w:rFonts w:ascii="Calibri" w:eastAsia="MS ??" w:hAnsi="Calibri" w:cs="Arial"/>
      <w:sz w:val="22"/>
      <w:lang w:val="en-US" w:eastAsia="en-US"/>
    </w:rPr>
  </w:style>
  <w:style w:type="paragraph" w:styleId="TOC9">
    <w:name w:val="toc 9"/>
    <w:basedOn w:val="Normal"/>
    <w:next w:val="Normal"/>
    <w:autoRedefine/>
    <w:uiPriority w:val="39"/>
    <w:semiHidden/>
    <w:rsid w:val="00D04C65"/>
    <w:pPr>
      <w:spacing w:after="0"/>
    </w:pPr>
    <w:rPr>
      <w:rFonts w:ascii="Calibri" w:hAnsi="Calibri"/>
      <w:sz w:val="22"/>
      <w:szCs w:val="22"/>
    </w:rPr>
  </w:style>
  <w:style w:type="paragraph" w:customStyle="1" w:styleId="Heading1NoNumbering">
    <w:name w:val="Heading 1 No Numbering"/>
    <w:basedOn w:val="Heading1"/>
    <w:next w:val="BodyText"/>
    <w:qFormat/>
    <w:rsid w:val="00664BF5"/>
    <w:pPr>
      <w:numPr>
        <w:numId w:val="0"/>
      </w:numPr>
    </w:pPr>
  </w:style>
  <w:style w:type="paragraph" w:customStyle="1" w:styleId="Heading2NoNumbering">
    <w:name w:val="Heading 2 No Numbering"/>
    <w:basedOn w:val="Heading2"/>
    <w:next w:val="BodyText"/>
    <w:qFormat/>
    <w:rsid w:val="00664BF5"/>
    <w:pPr>
      <w:numPr>
        <w:ilvl w:val="0"/>
        <w:numId w:val="0"/>
      </w:numPr>
    </w:pPr>
  </w:style>
  <w:style w:type="paragraph" w:customStyle="1" w:styleId="BodyTextwithHangingIndent">
    <w:name w:val="Body Text with Hanging Indent"/>
    <w:basedOn w:val="BodyText"/>
    <w:next w:val="BodyText"/>
    <w:qFormat/>
    <w:rsid w:val="00664BF5"/>
    <w:pPr>
      <w:tabs>
        <w:tab w:val="left" w:pos="340"/>
      </w:tabs>
      <w:ind w:left="340" w:hanging="340"/>
    </w:pPr>
    <w:rPr>
      <w:rFonts w:eastAsia="Calibri"/>
    </w:rPr>
  </w:style>
  <w:style w:type="paragraph" w:customStyle="1" w:styleId="H2NoTOCEntry">
    <w:name w:val="H2 No TOC Entry"/>
    <w:basedOn w:val="Heading2NoNumbering"/>
    <w:next w:val="BodyText"/>
    <w:qFormat/>
    <w:rsid w:val="002526A5"/>
  </w:style>
  <w:style w:type="paragraph" w:customStyle="1" w:styleId="H3NoTOCEntry">
    <w:name w:val="H3 No TOC Entry"/>
    <w:basedOn w:val="Normal"/>
    <w:next w:val="BodyText"/>
    <w:qFormat/>
    <w:rsid w:val="002526A5"/>
    <w:pPr>
      <w:keepNext/>
      <w:keepLines/>
      <w:spacing w:before="240" w:after="180" w:line="290" w:lineRule="atLeast"/>
      <w:outlineLvl w:val="2"/>
    </w:pPr>
    <w:rPr>
      <w:rFonts w:asciiTheme="majorHAnsi" w:eastAsiaTheme="majorEastAsia" w:hAnsiTheme="majorHAnsi" w:cstheme="majorBidi"/>
      <w:b/>
      <w:bCs/>
      <w:color w:val="3D7EDB" w:themeColor="accent1"/>
      <w:sz w:val="24"/>
    </w:rPr>
  </w:style>
  <w:style w:type="paragraph" w:customStyle="1" w:styleId="ListNumberinTable">
    <w:name w:val="List Number in Table"/>
    <w:basedOn w:val="Normal"/>
    <w:qFormat/>
    <w:rsid w:val="00236CC3"/>
    <w:pPr>
      <w:numPr>
        <w:numId w:val="17"/>
      </w:numPr>
      <w:spacing w:before="120" w:after="60"/>
    </w:pPr>
  </w:style>
  <w:style w:type="paragraph" w:customStyle="1" w:styleId="QuoteSmall">
    <w:name w:val="Quote Small"/>
    <w:basedOn w:val="ListContinue2"/>
    <w:qFormat/>
    <w:rsid w:val="003D2851"/>
    <w:pPr>
      <w:spacing w:before="160" w:after="160" w:line="220" w:lineRule="atLeast"/>
    </w:pPr>
    <w:rPr>
      <w:rFonts w:eastAsia="Calibri"/>
      <w:color w:val="000000"/>
      <w:sz w:val="18"/>
      <w:szCs w:val="18"/>
      <w14:textFill>
        <w14:solidFill>
          <w14:srgbClr w14:val="000000">
            <w14:lumMod w14:val="65000"/>
            <w14:lumOff w14:val="35000"/>
          </w14:srgbClr>
        </w14:solidFill>
      </w14:textFill>
    </w:rPr>
  </w:style>
  <w:style w:type="table" w:customStyle="1" w:styleId="PullOutTable">
    <w:name w:val="Pull Out Table"/>
    <w:basedOn w:val="TableNormal"/>
    <w:uiPriority w:val="99"/>
    <w:rsid w:val="009C0266"/>
    <w:pPr>
      <w:spacing w:before="0" w:after="0" w:line="240" w:lineRule="auto"/>
    </w:pPr>
    <w:tblPr>
      <w:tblBorders>
        <w:top w:val="single" w:sz="4" w:space="0" w:color="F5F9FD" w:themeColor="background2"/>
        <w:left w:val="single" w:sz="4" w:space="0" w:color="F5F9FD" w:themeColor="background2"/>
        <w:bottom w:val="single" w:sz="4" w:space="0" w:color="F5F9FD" w:themeColor="background2"/>
        <w:right w:val="single" w:sz="4" w:space="0" w:color="F5F9FD" w:themeColor="background2"/>
      </w:tblBorders>
      <w:tblCellMar>
        <w:top w:w="113" w:type="dxa"/>
        <w:left w:w="284" w:type="dxa"/>
        <w:bottom w:w="113" w:type="dxa"/>
        <w:right w:w="284" w:type="dxa"/>
      </w:tblCellMar>
    </w:tblPr>
    <w:tcPr>
      <w:shd w:val="clear" w:color="auto" w:fill="F5F9FD" w:themeFill="background2"/>
    </w:tcPr>
  </w:style>
  <w:style w:type="paragraph" w:customStyle="1" w:styleId="PullOutBoxNumber">
    <w:name w:val="Pull Out Box Number"/>
    <w:basedOn w:val="PullOut"/>
    <w:qFormat/>
    <w:rsid w:val="00113895"/>
    <w:pPr>
      <w:numPr>
        <w:ilvl w:val="3"/>
        <w:numId w:val="16"/>
      </w:numPr>
      <w:ind w:left="587"/>
    </w:pPr>
  </w:style>
  <w:style w:type="paragraph" w:customStyle="1" w:styleId="PullOutHeading">
    <w:name w:val="Pull Out Heading"/>
    <w:basedOn w:val="PullOut"/>
    <w:qFormat/>
    <w:rsid w:val="00113895"/>
    <w:rPr>
      <w:b/>
      <w:color w:val="3D7EDB" w:themeColor="accent1"/>
      <w:sz w:val="24"/>
    </w:rPr>
  </w:style>
  <w:style w:type="table" w:customStyle="1" w:styleId="TableGrid10">
    <w:name w:val="Table Grid1"/>
    <w:basedOn w:val="TableNormal"/>
    <w:next w:val="TableGrid"/>
    <w:uiPriority w:val="39"/>
    <w:rsid w:val="00974DD7"/>
    <w:pPr>
      <w:spacing w:before="0" w:after="0" w:line="240" w:lineRule="auto"/>
    </w:pPr>
    <w:rPr>
      <w:rFonts w:eastAsia="Arial"/>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uiPriority w:val="99"/>
    <w:rsid w:val="0032543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41723895">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24443882">
      <w:bodyDiv w:val="1"/>
      <w:marLeft w:val="0"/>
      <w:marRight w:val="0"/>
      <w:marTop w:val="0"/>
      <w:marBottom w:val="0"/>
      <w:divBdr>
        <w:top w:val="none" w:sz="0" w:space="0" w:color="auto"/>
        <w:left w:val="none" w:sz="0" w:space="0" w:color="auto"/>
        <w:bottom w:val="none" w:sz="0" w:space="0" w:color="auto"/>
        <w:right w:val="none" w:sz="0" w:space="0" w:color="auto"/>
      </w:divBdr>
    </w:div>
    <w:div w:id="642854874">
      <w:bodyDiv w:val="1"/>
      <w:marLeft w:val="0"/>
      <w:marRight w:val="0"/>
      <w:marTop w:val="0"/>
      <w:marBottom w:val="0"/>
      <w:divBdr>
        <w:top w:val="none" w:sz="0" w:space="0" w:color="auto"/>
        <w:left w:val="none" w:sz="0" w:space="0" w:color="auto"/>
        <w:bottom w:val="none" w:sz="0" w:space="0" w:color="auto"/>
        <w:right w:val="none" w:sz="0" w:space="0" w:color="auto"/>
      </w:divBdr>
    </w:div>
    <w:div w:id="1178739565">
      <w:bodyDiv w:val="1"/>
      <w:marLeft w:val="0"/>
      <w:marRight w:val="0"/>
      <w:marTop w:val="0"/>
      <w:marBottom w:val="0"/>
      <w:divBdr>
        <w:top w:val="none" w:sz="0" w:space="0" w:color="auto"/>
        <w:left w:val="none" w:sz="0" w:space="0" w:color="auto"/>
        <w:bottom w:val="none" w:sz="0" w:space="0" w:color="auto"/>
        <w:right w:val="none" w:sz="0" w:space="0" w:color="auto"/>
      </w:divBdr>
    </w:div>
    <w:div w:id="1221132970">
      <w:bodyDiv w:val="1"/>
      <w:marLeft w:val="0"/>
      <w:marRight w:val="0"/>
      <w:marTop w:val="0"/>
      <w:marBottom w:val="0"/>
      <w:divBdr>
        <w:top w:val="none" w:sz="0" w:space="0" w:color="auto"/>
        <w:left w:val="none" w:sz="0" w:space="0" w:color="auto"/>
        <w:bottom w:val="none" w:sz="0" w:space="0" w:color="auto"/>
        <w:right w:val="none" w:sz="0" w:space="0" w:color="auto"/>
      </w:divBdr>
    </w:div>
    <w:div w:id="1324118663">
      <w:bodyDiv w:val="1"/>
      <w:marLeft w:val="0"/>
      <w:marRight w:val="0"/>
      <w:marTop w:val="0"/>
      <w:marBottom w:val="0"/>
      <w:divBdr>
        <w:top w:val="none" w:sz="0" w:space="0" w:color="auto"/>
        <w:left w:val="none" w:sz="0" w:space="0" w:color="auto"/>
        <w:bottom w:val="none" w:sz="0" w:space="0" w:color="auto"/>
        <w:right w:val="none" w:sz="0" w:space="0" w:color="auto"/>
      </w:divBdr>
    </w:div>
    <w:div w:id="1428961466">
      <w:bodyDiv w:val="1"/>
      <w:marLeft w:val="0"/>
      <w:marRight w:val="0"/>
      <w:marTop w:val="0"/>
      <w:marBottom w:val="0"/>
      <w:divBdr>
        <w:top w:val="none" w:sz="0" w:space="0" w:color="auto"/>
        <w:left w:val="none" w:sz="0" w:space="0" w:color="auto"/>
        <w:bottom w:val="none" w:sz="0" w:space="0" w:color="auto"/>
        <w:right w:val="none" w:sz="0" w:space="0" w:color="auto"/>
      </w:divBdr>
    </w:div>
    <w:div w:id="1451125443">
      <w:bodyDiv w:val="1"/>
      <w:marLeft w:val="0"/>
      <w:marRight w:val="0"/>
      <w:marTop w:val="0"/>
      <w:marBottom w:val="0"/>
      <w:divBdr>
        <w:top w:val="none" w:sz="0" w:space="0" w:color="auto"/>
        <w:left w:val="none" w:sz="0" w:space="0" w:color="auto"/>
        <w:bottom w:val="none" w:sz="0" w:space="0" w:color="auto"/>
        <w:right w:val="none" w:sz="0" w:space="0" w:color="auto"/>
      </w:divBdr>
    </w:div>
    <w:div w:id="1712916863">
      <w:bodyDiv w:val="1"/>
      <w:marLeft w:val="0"/>
      <w:marRight w:val="0"/>
      <w:marTop w:val="0"/>
      <w:marBottom w:val="0"/>
      <w:divBdr>
        <w:top w:val="none" w:sz="0" w:space="0" w:color="auto"/>
        <w:left w:val="none" w:sz="0" w:space="0" w:color="auto"/>
        <w:bottom w:val="none" w:sz="0" w:space="0" w:color="auto"/>
        <w:right w:val="none" w:sz="0" w:space="0" w:color="auto"/>
      </w:divBdr>
    </w:div>
    <w:div w:id="1721055320">
      <w:bodyDiv w:val="1"/>
      <w:marLeft w:val="0"/>
      <w:marRight w:val="0"/>
      <w:marTop w:val="0"/>
      <w:marBottom w:val="0"/>
      <w:divBdr>
        <w:top w:val="none" w:sz="0" w:space="0" w:color="auto"/>
        <w:left w:val="none" w:sz="0" w:space="0" w:color="auto"/>
        <w:bottom w:val="none" w:sz="0" w:space="0" w:color="auto"/>
        <w:right w:val="none" w:sz="0" w:space="0" w:color="auto"/>
      </w:divBdr>
    </w:div>
    <w:div w:id="1776242453">
      <w:bodyDiv w:val="1"/>
      <w:marLeft w:val="0"/>
      <w:marRight w:val="0"/>
      <w:marTop w:val="0"/>
      <w:marBottom w:val="0"/>
      <w:divBdr>
        <w:top w:val="none" w:sz="0" w:space="0" w:color="auto"/>
        <w:left w:val="none" w:sz="0" w:space="0" w:color="auto"/>
        <w:bottom w:val="none" w:sz="0" w:space="0" w:color="auto"/>
        <w:right w:val="none" w:sz="0" w:space="0" w:color="auto"/>
      </w:divBdr>
    </w:div>
    <w:div w:id="1786390229">
      <w:bodyDiv w:val="1"/>
      <w:marLeft w:val="0"/>
      <w:marRight w:val="0"/>
      <w:marTop w:val="0"/>
      <w:marBottom w:val="0"/>
      <w:divBdr>
        <w:top w:val="none" w:sz="0" w:space="0" w:color="auto"/>
        <w:left w:val="none" w:sz="0" w:space="0" w:color="auto"/>
        <w:bottom w:val="none" w:sz="0" w:space="0" w:color="auto"/>
        <w:right w:val="none" w:sz="0" w:space="0" w:color="auto"/>
      </w:divBdr>
    </w:div>
    <w:div w:id="1883589426">
      <w:bodyDiv w:val="1"/>
      <w:marLeft w:val="0"/>
      <w:marRight w:val="0"/>
      <w:marTop w:val="0"/>
      <w:marBottom w:val="0"/>
      <w:divBdr>
        <w:top w:val="none" w:sz="0" w:space="0" w:color="auto"/>
        <w:left w:val="none" w:sz="0" w:space="0" w:color="auto"/>
        <w:bottom w:val="none" w:sz="0" w:space="0" w:color="auto"/>
        <w:right w:val="none" w:sz="0" w:space="0" w:color="auto"/>
      </w:divBdr>
    </w:div>
    <w:div w:id="1990089114">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footer" Target="footer2.xml"/><Relationship Id="rId26" Type="http://schemas.openxmlformats.org/officeDocument/2006/relationships/hyperlink" Target="https://www.philanthropy.org.au/about-us/publications/making-giving-easy-charitable-superannuation-bequests/" TargetMode="External"/><Relationship Id="rId39" Type="http://schemas.openxmlformats.org/officeDocument/2006/relationships/customXml" Target="../customXml/item6.xml"/><Relationship Id="rId21" Type="http://schemas.openxmlformats.org/officeDocument/2006/relationships/header" Target="header1.xml"/><Relationship Id="rId34" Type="http://schemas.openxmlformats.org/officeDocument/2006/relationships/hyperlink" Target="https://www.aracy.org.au/blog/investment-dialogue-for-australias-children-first-national-roundtabl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yperlink" Target="https://www.socialventures.com.au/work/paying-what-it-takes-repor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hilanthropy.org.au" TargetMode="External"/><Relationship Id="rId20" Type="http://schemas.openxmlformats.org/officeDocument/2006/relationships/hyperlink" Target="https://www.philanthropy.org.au/about-us/publications/the-opportunity-to-grow-australias-community-foundation-network-a-strategic-roadmap/" TargetMode="External"/><Relationship Id="rId29" Type="http://schemas.openxmlformats.org/officeDocument/2006/relationships/hyperlink" Target="https://www.philanthropy.org.au/about-us/publications/the-opportunity-to-grow-australias-community-foundation-network-a-strategic-roadma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s://fia.org.au/professional-development/certified-fundraising-executive-cfre/"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philanthropy.org.au" TargetMode="External"/><Relationship Id="rId23" Type="http://schemas.openxmlformats.org/officeDocument/2006/relationships/footer" Target="footer3.xml"/><Relationship Id="rId28" Type="http://schemas.openxmlformats.org/officeDocument/2006/relationships/image" Target="cid:image008.png@01DA3197.0BE5E750"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philanthropy.org.au/about-us/publications/a-strategy-to-double-givingby-2030/" TargetMode="External"/><Relationship Id="rId31" Type="http://schemas.openxmlformats.org/officeDocument/2006/relationships/hyperlink" Target="https://www.philanthropy.org.au/about-us/publications/philanthropy-australia-supplementary-submission-is-there-a-role-for-government-in-supporting-a-national-giving-campaig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image" Target="media/image4.png"/><Relationship Id="rId30" Type="http://schemas.openxmlformats.org/officeDocument/2006/relationships/hyperlink" Target="https://www.philanthropy.org.au/about-us/publications/the-opportunity-to-grow-australias-community-foundation-network-a-strategic-roadmap/" TargetMode="External"/><Relationship Id="rId35" Type="http://schemas.openxmlformats.org/officeDocument/2006/relationships/hyperlink" Target="https://www.afr.com/policy/economy/are-albanese-chalmers-really-the-new-hawke-and-keating-20220907-p5bfz7"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applying-behavioural-insights-to-charitable-giving" TargetMode="External"/><Relationship Id="rId7" Type="http://schemas.openxmlformats.org/officeDocument/2006/relationships/hyperlink" Target="https://doi.org/10.25916/ranq-n886" TargetMode="External"/><Relationship Id="rId2" Type="http://schemas.openxmlformats.org/officeDocument/2006/relationships/hyperlink" Target="https://www.philanthropy.org.au/about-us/publications/making-giving-easy-charitable-superannuation-bequests/" TargetMode="External"/><Relationship Id="rId1" Type="http://schemas.openxmlformats.org/officeDocument/2006/relationships/hyperlink" Target="https://www.philanthropy.org.au/about-us/publications/a-strategy-to-double-givingby-2030/" TargetMode="External"/><Relationship Id="rId6" Type="http://schemas.openxmlformats.org/officeDocument/2006/relationships/hyperlink" Target="https://doi.org/10.1177/0899764010380927" TargetMode="External"/><Relationship Id="rId5" Type="http://schemas.openxmlformats.org/officeDocument/2006/relationships/hyperlink" Target="https://www.philanthropy.org.au/about-us/publications/philanthropy-australia-community-case-december-2022/" TargetMode="External"/><Relationship Id="rId4" Type="http://schemas.openxmlformats.org/officeDocument/2006/relationships/hyperlink" Target="https://www.hrblock.com.au/tax-academy/bigger-tax-re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OneDrive%20-%20Custom%20Templates\Custom%20Templates\Clients\Celsius%20Design\PHA\PHA%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63003C494460F849F8F90C7AB4507"/>
        <w:category>
          <w:name w:val="General"/>
          <w:gallery w:val="placeholder"/>
        </w:category>
        <w:types>
          <w:type w:val="bbPlcHdr"/>
        </w:types>
        <w:behaviors>
          <w:behavior w:val="content"/>
        </w:behaviors>
        <w:guid w:val="{5D71C9BF-344B-4DE8-ACA5-489D96C8F34C}"/>
      </w:docPartPr>
      <w:docPartBody>
        <w:p w:rsidR="004233C6" w:rsidRDefault="00967B10" w:rsidP="00967B10">
          <w:pPr>
            <w:pStyle w:val="7D763003C494460F849F8F90C7AB4507"/>
          </w:pPr>
          <w:r w:rsidRPr="006D47C6">
            <w:t>[Document subtitle]</w:t>
          </w:r>
        </w:p>
      </w:docPartBody>
    </w:docPart>
    <w:docPart>
      <w:docPartPr>
        <w:name w:val="DDD75EEBFC4149079A1D0E6450E0EC0F"/>
        <w:category>
          <w:name w:val="General"/>
          <w:gallery w:val="placeholder"/>
        </w:category>
        <w:types>
          <w:type w:val="bbPlcHdr"/>
        </w:types>
        <w:behaviors>
          <w:behavior w:val="content"/>
        </w:behaviors>
        <w:guid w:val="{1A888813-45C8-4503-8C9A-40DBBC0C0703}"/>
      </w:docPartPr>
      <w:docPartBody>
        <w:p w:rsidR="004233C6" w:rsidRDefault="00967B10" w:rsidP="00967B10">
          <w:pPr>
            <w:pStyle w:val="DDD75EEBFC4149079A1D0E6450E0EC0F"/>
          </w:pPr>
          <w:r w:rsidRPr="006D47C6">
            <w:t>Day Month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M Sans Medium">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ProximaNova-Light">
    <w:altName w:val="Calibri"/>
    <w:charset w:val="00"/>
    <w:family w:val="auto"/>
    <w:pitch w:val="default"/>
    <w:sig w:usb0="00000003" w:usb1="00000000" w:usb2="00000000" w:usb3="00000000" w:csb0="00000001" w:csb1="00000000"/>
  </w:font>
  <w:font w:name="ProximaNova-Bold">
    <w:altName w:val="Calibri"/>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10"/>
    <w:rsid w:val="0003628E"/>
    <w:rsid w:val="00087FC6"/>
    <w:rsid w:val="002B5B07"/>
    <w:rsid w:val="004233C6"/>
    <w:rsid w:val="005336FA"/>
    <w:rsid w:val="005515B4"/>
    <w:rsid w:val="006C61FA"/>
    <w:rsid w:val="007E7596"/>
    <w:rsid w:val="0087000A"/>
    <w:rsid w:val="008B13FD"/>
    <w:rsid w:val="008D6548"/>
    <w:rsid w:val="00924AFC"/>
    <w:rsid w:val="0095149E"/>
    <w:rsid w:val="00967B10"/>
    <w:rsid w:val="00986A89"/>
    <w:rsid w:val="00991AC6"/>
    <w:rsid w:val="00A42C1A"/>
    <w:rsid w:val="00AC3A2C"/>
    <w:rsid w:val="00AD3047"/>
    <w:rsid w:val="00AD6566"/>
    <w:rsid w:val="00B46975"/>
    <w:rsid w:val="00B56A63"/>
    <w:rsid w:val="00C720F8"/>
    <w:rsid w:val="00C80697"/>
    <w:rsid w:val="00CD648F"/>
    <w:rsid w:val="00D56FDF"/>
    <w:rsid w:val="00D85B71"/>
    <w:rsid w:val="00D92A6E"/>
    <w:rsid w:val="00E3246A"/>
    <w:rsid w:val="00F03116"/>
    <w:rsid w:val="00F036CE"/>
    <w:rsid w:val="00F60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763003C494460F849F8F90C7AB4507">
    <w:name w:val="7D763003C494460F849F8F90C7AB4507"/>
    <w:rsid w:val="00967B10"/>
  </w:style>
  <w:style w:type="paragraph" w:customStyle="1" w:styleId="DDD75EEBFC4149079A1D0E6450E0EC0F">
    <w:name w:val="DDD75EEBFC4149079A1D0E6450E0EC0F"/>
    <w:rsid w:val="00967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hilanthropy Australia">
      <a:dk1>
        <a:sysClr val="windowText" lastClr="000000"/>
      </a:dk1>
      <a:lt1>
        <a:sysClr val="window" lastClr="FFFFFF"/>
      </a:lt1>
      <a:dk2>
        <a:srgbClr val="0F204B"/>
      </a:dk2>
      <a:lt2>
        <a:srgbClr val="F5F9FD"/>
      </a:lt2>
      <a:accent1>
        <a:srgbClr val="3D7EDB"/>
      </a:accent1>
      <a:accent2>
        <a:srgbClr val="74D1EA"/>
      </a:accent2>
      <a:accent3>
        <a:srgbClr val="7FD5C5"/>
      </a:accent3>
      <a:accent4>
        <a:srgbClr val="FBD476"/>
      </a:accent4>
      <a:accent5>
        <a:srgbClr val="EBA089"/>
      </a:accent5>
      <a:accent6>
        <a:srgbClr val="0F204B"/>
      </a:accent6>
      <a:hlink>
        <a:srgbClr val="3D7EDB"/>
      </a:hlink>
      <a:folHlink>
        <a:srgbClr val="954F72"/>
      </a:folHlink>
    </a:clrScheme>
    <a:fontScheme name="Philanthropy Australia">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2023-02-09T00:00:00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SharedWithUsers xmlns="20393cdf-440a-4521-8f19-00ba43423d00">
      <UserInfo>
        <DisplayName>Fiona Durante</DisplayName>
        <AccountId>12</AccountId>
        <AccountType/>
      </UserInfo>
    </SharedWithUsers>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MPWT-2140667901-60598</_dlc_DocId>
    <_dlc_DocIdUrl xmlns="20393cdf-440a-4521-8f19-00ba43423d00">
      <Url>https://pcgov.sharepoint.com/sites/sceteam/_layouts/15/DocIdRedir.aspx?ID=MPWT-2140667901-60598</Url>
      <Description>MPWT-2140667901-60598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7C0817-274C-4E8A-BA9A-C63C3D32DDA2}"/>
</file>

<file path=customXml/itemProps3.xml><?xml version="1.0" encoding="utf-8"?>
<ds:datastoreItem xmlns:ds="http://schemas.openxmlformats.org/officeDocument/2006/customXml" ds:itemID="{1B5795E9-077E-4558-9297-536ACA4D158E}">
  <ds:schemaRefs>
    <ds:schemaRef ds:uri="http://schemas.microsoft.com/sharepoint/v3/contenttype/form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B5E8AAE8-B727-4F48-A290-9EB519FB1B26}">
  <ds:schemaRefs>
    <ds:schemaRef ds:uri="bef64c59-a3ef-40a9-ab00-88fd54a78ca7"/>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e98515d3-35d1-48c7-98b0-9361f3d04ddf"/>
    <ds:schemaRef ds:uri="http://schemas.microsoft.com/office/2006/metadata/properties"/>
  </ds:schemaRefs>
</ds:datastoreItem>
</file>

<file path=customXml/itemProps6.xml><?xml version="1.0" encoding="utf-8"?>
<ds:datastoreItem xmlns:ds="http://schemas.openxmlformats.org/officeDocument/2006/customXml" ds:itemID="{76B6F58A-652D-4DCA-9E12-64966D612CB6}"/>
</file>

<file path=docProps/app.xml><?xml version="1.0" encoding="utf-8"?>
<Properties xmlns="http://schemas.openxmlformats.org/officeDocument/2006/extended-properties" xmlns:vt="http://schemas.openxmlformats.org/officeDocument/2006/docPropsVTypes">
  <Template>PHA Report Template.dotx</Template>
  <TotalTime>3443</TotalTime>
  <Pages>35</Pages>
  <Words>17814</Words>
  <Characters>99440</Characters>
  <Application>Microsoft Office Word</Application>
  <DocSecurity>0</DocSecurity>
  <Lines>828</Lines>
  <Paragraphs>234</Paragraphs>
  <ScaleCrop>false</ScaleCrop>
  <HeadingPairs>
    <vt:vector size="2" baseType="variant">
      <vt:variant>
        <vt:lpstr>Title</vt:lpstr>
      </vt:variant>
      <vt:variant>
        <vt:i4>1</vt:i4>
      </vt:variant>
    </vt:vector>
  </HeadingPairs>
  <TitlesOfParts>
    <vt:vector size="1" baseType="lpstr">
      <vt:lpstr>Submission 595 - Philanthropy Australia (PA) - Philanthropy - Public inquiry</vt:lpstr>
    </vt:vector>
  </TitlesOfParts>
  <Company>Philanthropy Australia (PA) </Company>
  <LinksUpToDate>false</LinksUpToDate>
  <CharactersWithSpaces>117020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595 - Philanthropy Australia (PA) - Philanthropy - Public inquiry</dc:title>
  <dc:subject>Philanthropy australia’s submission 
to the productivity commission
FINAL</dc:subject>
  <dc:creator>Philanthropy Australia (PA) </dc:creator>
  <cp:keywords/>
  <dc:description/>
  <cp:lastModifiedBy>Chris Alston</cp:lastModifiedBy>
  <cp:revision>1288</cp:revision>
  <cp:lastPrinted>2024-02-27T23:37:00Z</cp:lastPrinted>
  <dcterms:created xsi:type="dcterms:W3CDTF">2024-01-31T21:59:00Z</dcterms:created>
  <dcterms:modified xsi:type="dcterms:W3CDTF">2024-02-27T23:37:00Z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2024-02-27T23:35:51Z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b6db44b8-a32b-40b8-825d-a64939837140</vt:lpwstr>
  </property>
  <property fmtid="{D5CDD505-2E9C-101B-9397-08002B2CF9AE}" pid="11" name="MSIP_Label_c1f2b1ce-4212-46db-a901-dd8453f57141_ContentBits">
    <vt:lpwstr>0</vt:lpwstr>
  </property>
  <property fmtid="{D5CDD505-2E9C-101B-9397-08002B2CF9AE}" pid="12" name="_dlc_DocIdItemGuid">
    <vt:lpwstr>e42f2c47-8eaa-4501-8944-544db610c95e</vt:lpwstr>
  </property>
</Properties>
</file>