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59ECB" w14:textId="44402448" w:rsidR="00CA512C" w:rsidRDefault="005C79A7" w:rsidP="00CA512C">
      <w:r>
        <w:t xml:space="preserve">Dear </w:t>
      </w:r>
      <w:r w:rsidRPr="005C79A7">
        <w:t>Productivity Commission</w:t>
      </w:r>
    </w:p>
    <w:p w14:paraId="716D263C" w14:textId="0EDD6E27" w:rsidR="00A7353A" w:rsidRDefault="00CA512C" w:rsidP="00CA512C">
      <w:r w:rsidRPr="00CA512C">
        <w:t xml:space="preserve">I am pleased to submit a recent white paper titled </w:t>
      </w:r>
      <w:r w:rsidRPr="00CA512C">
        <w:rPr>
          <w:b/>
          <w:bCs/>
          <w:i/>
          <w:iCs/>
        </w:rPr>
        <w:t>Circular Economy in Procurement: Challenges and Recommendations for NSW Local Governments</w:t>
      </w:r>
      <w:r w:rsidRPr="00CA512C">
        <w:t xml:space="preserve">, which was </w:t>
      </w:r>
      <w:r w:rsidR="00236A32">
        <w:t>published</w:t>
      </w:r>
      <w:r w:rsidR="00A034A8">
        <w:t xml:space="preserve"> in May this year</w:t>
      </w:r>
      <w:r w:rsidR="00A7353A">
        <w:rPr>
          <w:rStyle w:val="FootnoteReference"/>
        </w:rPr>
        <w:footnoteReference w:id="1"/>
      </w:r>
      <w:r w:rsidRPr="00CA512C">
        <w:t>.</w:t>
      </w:r>
    </w:p>
    <w:p w14:paraId="391FF553" w14:textId="4BAAF3F7" w:rsidR="00CA512C" w:rsidRPr="00CA512C" w:rsidRDefault="00CA512C" w:rsidP="00CA512C">
      <w:r w:rsidRPr="00CA512C">
        <w:t>This paper provides an in-depth analysis of current procurement practices and highlights key opportunities and barriers to implementing circular economy principles effectively. It also outlines strategic recommendations tailored for local governments, aiming to promote sustainable procurement and resource efficiency.</w:t>
      </w:r>
    </w:p>
    <w:p w14:paraId="1A134753" w14:textId="227AE619" w:rsidR="00CA512C" w:rsidRDefault="00CA512C" w:rsidP="00CA512C">
      <w:r w:rsidRPr="00CA512C">
        <w:t>Additionally, I am preparing a follow-up discussion paper that will incorporate newly gathered data from</w:t>
      </w:r>
      <w:r w:rsidR="003F26D7">
        <w:t xml:space="preserve"> Oct</w:t>
      </w:r>
      <w:r w:rsidRPr="00CA512C">
        <w:t xml:space="preserve"> 2024. This upcoming paper will build on the findings of the initial white paper, offering updated insights and refined recommendations based on evolving trends and data. Together, these papers aim to support NSW local governments in transitioning towards more sustainable and resilient procurement practices.</w:t>
      </w:r>
    </w:p>
    <w:p w14:paraId="433B7C21" w14:textId="177093E3" w:rsidR="005323D1" w:rsidRDefault="005323D1" w:rsidP="00CA512C">
      <w:r w:rsidRPr="005323D1">
        <w:t>I appreciate the opportunity to share our findings and contribute to this critical dialogue on circular economy advancements, and I look forward to engaging further with the Commission and other stakeholders to explore practical solutions for sustainable procurement and resource efficiency.</w:t>
      </w:r>
    </w:p>
    <w:p w14:paraId="3F1CE3A4" w14:textId="183855C3" w:rsidR="005C79A7" w:rsidRDefault="00400C5E" w:rsidP="00CA512C">
      <w:r>
        <w:t>Your sincerely</w:t>
      </w:r>
    </w:p>
    <w:p w14:paraId="2E47E6D5" w14:textId="04E43F25" w:rsidR="00400C5E" w:rsidRDefault="00400C5E" w:rsidP="00CA512C">
      <w:r>
        <w:t>Dr Hadi Rezaei Vandchali</w:t>
      </w:r>
    </w:p>
    <w:p w14:paraId="7F41971C" w14:textId="624DCFA4" w:rsidR="00400C5E" w:rsidRDefault="00400C5E" w:rsidP="00CA512C">
      <w:r>
        <w:t>ESG and Procurement Services consultant</w:t>
      </w:r>
    </w:p>
    <w:p w14:paraId="26DC3E46" w14:textId="1DD15F56" w:rsidR="00400C5E" w:rsidRPr="00CA512C" w:rsidRDefault="00400C5E" w:rsidP="00CA512C">
      <w:r>
        <w:t>Local Government Procurement</w:t>
      </w:r>
    </w:p>
    <w:p w14:paraId="1A4D7720" w14:textId="77777777" w:rsidR="00F73A46" w:rsidRDefault="00F73A46"/>
    <w:sectPr w:rsidR="00F73A46">
      <w:headerReference w:type="even" r:id="rId11"/>
      <w:head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BE944" w14:textId="77777777" w:rsidR="00A7353A" w:rsidRDefault="00A7353A" w:rsidP="00A7353A">
      <w:pPr>
        <w:spacing w:after="0" w:line="240" w:lineRule="auto"/>
      </w:pPr>
      <w:r>
        <w:separator/>
      </w:r>
    </w:p>
  </w:endnote>
  <w:endnote w:type="continuationSeparator" w:id="0">
    <w:p w14:paraId="7A80E4F6" w14:textId="77777777" w:rsidR="00A7353A" w:rsidRDefault="00A7353A" w:rsidP="00A73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BD138" w14:textId="77777777" w:rsidR="00A7353A" w:rsidRDefault="00A7353A" w:rsidP="00A7353A">
      <w:pPr>
        <w:spacing w:after="0" w:line="240" w:lineRule="auto"/>
      </w:pPr>
      <w:r>
        <w:separator/>
      </w:r>
    </w:p>
  </w:footnote>
  <w:footnote w:type="continuationSeparator" w:id="0">
    <w:p w14:paraId="6A763B55" w14:textId="77777777" w:rsidR="00A7353A" w:rsidRDefault="00A7353A" w:rsidP="00A7353A">
      <w:pPr>
        <w:spacing w:after="0" w:line="240" w:lineRule="auto"/>
      </w:pPr>
      <w:r>
        <w:continuationSeparator/>
      </w:r>
    </w:p>
  </w:footnote>
  <w:footnote w:id="1">
    <w:p w14:paraId="1D8201EC" w14:textId="4D3D81D7" w:rsidR="00A7353A" w:rsidRPr="00A7353A" w:rsidRDefault="00A7353A">
      <w:pPr>
        <w:pStyle w:val="FootnoteText"/>
      </w:pPr>
      <w:r>
        <w:rPr>
          <w:rStyle w:val="FootnoteReference"/>
        </w:rPr>
        <w:footnoteRef/>
      </w:r>
      <w:r>
        <w:t xml:space="preserve"> </w:t>
      </w:r>
      <w:hyperlink r:id="rId1" w:history="1">
        <w:r w:rsidRPr="0037475B">
          <w:rPr>
            <w:rStyle w:val="Hyperlink"/>
          </w:rPr>
          <w:t>https://lgp.org.au/wp-content/uploads/2024/05/Circular-Economy-White-Paper-May-2024.pdf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13CFB" w14:textId="71C070C1" w:rsidR="00535048" w:rsidRDefault="00535048">
    <w:pPr>
      <w:pStyle w:val="Header"/>
    </w:pPr>
    <w:r>
      <w:rPr>
        <w:noProof/>
      </w:rPr>
      <mc:AlternateContent>
        <mc:Choice Requires="wps">
          <w:drawing>
            <wp:anchor distT="0" distB="0" distL="0" distR="0" simplePos="0" relativeHeight="251659264" behindDoc="0" locked="0" layoutInCell="1" allowOverlap="1" wp14:anchorId="7EB284A2" wp14:editId="6E351F64">
              <wp:simplePos x="635" y="635"/>
              <wp:positionH relativeFrom="page">
                <wp:align>center</wp:align>
              </wp:positionH>
              <wp:positionV relativeFrom="page">
                <wp:align>top</wp:align>
              </wp:positionV>
              <wp:extent cx="782320" cy="391160"/>
              <wp:effectExtent l="0" t="0" r="17780" b="8890"/>
              <wp:wrapNone/>
              <wp:docPr id="1352635311" name="Text Box 2" descr=" 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82320" cy="391160"/>
                      </a:xfrm>
                      <a:prstGeom prst="rect">
                        <a:avLst/>
                      </a:prstGeom>
                      <a:noFill/>
                      <a:ln>
                        <a:noFill/>
                      </a:ln>
                    </wps:spPr>
                    <wps:txbx>
                      <w:txbxContent>
                        <w:p w14:paraId="58A2DADE" w14:textId="7AB36550" w:rsidR="00535048" w:rsidRPr="00535048" w:rsidRDefault="00535048" w:rsidP="00535048">
                          <w:pPr>
                            <w:spacing w:after="0"/>
                            <w:rPr>
                              <w:rFonts w:ascii="Calibri" w:eastAsia="Calibri" w:hAnsi="Calibri" w:cs="Calibri"/>
                              <w:noProof/>
                              <w:color w:val="000000"/>
                              <w:sz w:val="24"/>
                              <w:szCs w:val="24"/>
                            </w:rPr>
                          </w:pPr>
                          <w:r w:rsidRPr="00535048">
                            <w:rPr>
                              <w:rFonts w:ascii="Calibri" w:eastAsia="Calibri" w:hAnsi="Calibri" w:cs="Calibri"/>
                              <w:noProof/>
                              <w:color w:val="000000"/>
                              <w:sz w:val="24"/>
                              <w:szCs w:val="24"/>
                            </w:rPr>
                            <w:t xml:space="preserve"> 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B284A2" id="_x0000_t202" coordsize="21600,21600" o:spt="202" path="m,l,21600r21600,l21600,xe">
              <v:stroke joinstyle="miter"/>
              <v:path gradientshapeok="t" o:connecttype="rect"/>
            </v:shapetype>
            <v:shape id="Text Box 2" o:spid="_x0000_s1026" type="#_x0000_t202" alt=" UNOFFICIAL" style="position:absolute;margin-left:0;margin-top:0;width:61.6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" filled="f" stroked="f">
              <v:textbox style="mso-fit-shape-to-text:t" inset="0,15pt,0,0">
                <w:txbxContent>
                  <w:p w14:paraId="58A2DADE" w14:textId="7AB36550" w:rsidR="00535048" w:rsidRPr="00535048" w:rsidRDefault="00535048" w:rsidP="00535048">
                    <w:pPr>
                      <w:spacing w:after="0"/>
                      <w:rPr>
                        <w:rFonts w:ascii="Calibri" w:eastAsia="Calibri" w:hAnsi="Calibri" w:cs="Calibri"/>
                        <w:noProof/>
                        <w:color w:val="000000"/>
                        <w:sz w:val="24"/>
                        <w:szCs w:val="24"/>
                      </w:rPr>
                    </w:pPr>
                    <w:r w:rsidRPr="00535048">
                      <w:rPr>
                        <w:rFonts w:ascii="Calibri" w:eastAsia="Calibri" w:hAnsi="Calibri" w:cs="Calibri"/>
                        <w:noProof/>
                        <w:color w:val="000000"/>
                        <w:sz w:val="24"/>
                        <w:szCs w:val="24"/>
                      </w:rPr>
                      <w:t xml:space="preserve"> 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9FB15" w14:textId="781066FB" w:rsidR="00535048" w:rsidRDefault="00535048">
    <w:pPr>
      <w:pStyle w:val="Header"/>
    </w:pPr>
    <w:r>
      <w:rPr>
        <w:noProof/>
      </w:rPr>
      <mc:AlternateContent>
        <mc:Choice Requires="wps">
          <w:drawing>
            <wp:anchor distT="0" distB="0" distL="0" distR="0" simplePos="0" relativeHeight="251660288" behindDoc="0" locked="0" layoutInCell="1" allowOverlap="1" wp14:anchorId="284BA59E" wp14:editId="58D3DACE">
              <wp:simplePos x="635" y="635"/>
              <wp:positionH relativeFrom="page">
                <wp:align>center</wp:align>
              </wp:positionH>
              <wp:positionV relativeFrom="page">
                <wp:align>top</wp:align>
              </wp:positionV>
              <wp:extent cx="782320" cy="391160"/>
              <wp:effectExtent l="0" t="0" r="17780" b="8890"/>
              <wp:wrapNone/>
              <wp:docPr id="575699731" name="Text Box 3" descr=" 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82320" cy="391160"/>
                      </a:xfrm>
                      <a:prstGeom prst="rect">
                        <a:avLst/>
                      </a:prstGeom>
                      <a:noFill/>
                      <a:ln>
                        <a:noFill/>
                      </a:ln>
                    </wps:spPr>
                    <wps:txbx>
                      <w:txbxContent>
                        <w:p w14:paraId="02BEA0DB" w14:textId="662DA854" w:rsidR="00535048" w:rsidRPr="00535048" w:rsidRDefault="00535048" w:rsidP="00535048">
                          <w:pPr>
                            <w:spacing w:after="0"/>
                            <w:rPr>
                              <w:rFonts w:ascii="Calibri" w:eastAsia="Calibri" w:hAnsi="Calibri" w:cs="Calibri"/>
                              <w:noProof/>
                              <w:color w:val="000000"/>
                              <w:sz w:val="24"/>
                              <w:szCs w:val="24"/>
                            </w:rPr>
                          </w:pPr>
                          <w:r w:rsidRPr="00535048">
                            <w:rPr>
                              <w:rFonts w:ascii="Calibri" w:eastAsia="Calibri" w:hAnsi="Calibri" w:cs="Calibri"/>
                              <w:noProof/>
                              <w:color w:val="000000"/>
                              <w:sz w:val="24"/>
                              <w:szCs w:val="24"/>
                            </w:rPr>
                            <w:t xml:space="preserve"> 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4BA59E" id="_x0000_t202" coordsize="21600,21600" o:spt="202" path="m,l,21600r21600,l21600,xe">
              <v:stroke joinstyle="miter"/>
              <v:path gradientshapeok="t" o:connecttype="rect"/>
            </v:shapetype>
            <v:shape id="Text Box 3" o:spid="_x0000_s1027" type="#_x0000_t202" alt=" UNOFFICIAL" style="position:absolute;margin-left:0;margin-top:0;width:61.6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" filled="f" stroked="f">
              <v:textbox style="mso-fit-shape-to-text:t" inset="0,15pt,0,0">
                <w:txbxContent>
                  <w:p w14:paraId="02BEA0DB" w14:textId="662DA854" w:rsidR="00535048" w:rsidRPr="00535048" w:rsidRDefault="00535048" w:rsidP="00535048">
                    <w:pPr>
                      <w:spacing w:after="0"/>
                      <w:rPr>
                        <w:rFonts w:ascii="Calibri" w:eastAsia="Calibri" w:hAnsi="Calibri" w:cs="Calibri"/>
                        <w:noProof/>
                        <w:color w:val="000000"/>
                        <w:sz w:val="24"/>
                        <w:szCs w:val="24"/>
                      </w:rPr>
                    </w:pPr>
                    <w:r w:rsidRPr="00535048">
                      <w:rPr>
                        <w:rFonts w:ascii="Calibri" w:eastAsia="Calibri" w:hAnsi="Calibri" w:cs="Calibri"/>
                        <w:noProof/>
                        <w:color w:val="000000"/>
                        <w:sz w:val="24"/>
                        <w:szCs w:val="24"/>
                      </w:rPr>
                      <w:t xml:space="preserve"> UNOFFICIAL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04CFF" w14:textId="408FB88D" w:rsidR="00535048" w:rsidRDefault="00535048">
    <w:pPr>
      <w:pStyle w:val="Header"/>
    </w:pPr>
    <w:r>
      <w:rPr>
        <w:noProof/>
      </w:rPr>
      <mc:AlternateContent>
        <mc:Choice Requires="wps">
          <w:drawing>
            <wp:anchor distT="0" distB="0" distL="0" distR="0" simplePos="0" relativeHeight="251658240" behindDoc="0" locked="0" layoutInCell="1" allowOverlap="1" wp14:anchorId="64A7C74C" wp14:editId="24EB1676">
              <wp:simplePos x="635" y="635"/>
              <wp:positionH relativeFrom="page">
                <wp:align>center</wp:align>
              </wp:positionH>
              <wp:positionV relativeFrom="page">
                <wp:align>top</wp:align>
              </wp:positionV>
              <wp:extent cx="782320" cy="391160"/>
              <wp:effectExtent l="0" t="0" r="17780" b="8890"/>
              <wp:wrapNone/>
              <wp:docPr id="1657952371" name="Text Box 1" descr=" 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82320" cy="391160"/>
                      </a:xfrm>
                      <a:prstGeom prst="rect">
                        <a:avLst/>
                      </a:prstGeom>
                      <a:noFill/>
                      <a:ln>
                        <a:noFill/>
                      </a:ln>
                    </wps:spPr>
                    <wps:txbx>
                      <w:txbxContent>
                        <w:p w14:paraId="1ABBAB15" w14:textId="2C9EF9E8" w:rsidR="00535048" w:rsidRPr="00535048" w:rsidRDefault="00535048" w:rsidP="00535048">
                          <w:pPr>
                            <w:spacing w:after="0"/>
                            <w:rPr>
                              <w:rFonts w:ascii="Calibri" w:eastAsia="Calibri" w:hAnsi="Calibri" w:cs="Calibri"/>
                              <w:noProof/>
                              <w:color w:val="000000"/>
                              <w:sz w:val="24"/>
                              <w:szCs w:val="24"/>
                            </w:rPr>
                          </w:pPr>
                          <w:r w:rsidRPr="00535048">
                            <w:rPr>
                              <w:rFonts w:ascii="Calibri" w:eastAsia="Calibri" w:hAnsi="Calibri" w:cs="Calibri"/>
                              <w:noProof/>
                              <w:color w:val="000000"/>
                              <w:sz w:val="24"/>
                              <w:szCs w:val="24"/>
                            </w:rPr>
                            <w:t xml:space="preserve"> 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A7C74C" id="_x0000_t202" coordsize="21600,21600" o:spt="202" path="m,l,21600r21600,l21600,xe">
              <v:stroke joinstyle="miter"/>
              <v:path gradientshapeok="t" o:connecttype="rect"/>
            </v:shapetype>
            <v:shape id="Text Box 1" o:spid="_x0000_s1028" type="#_x0000_t202" alt=" UNOFFICIAL" style="position:absolute;margin-left:0;margin-top:0;width:61.6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" filled="f" stroked="f">
              <v:textbox style="mso-fit-shape-to-text:t" inset="0,15pt,0,0">
                <w:txbxContent>
                  <w:p w14:paraId="1ABBAB15" w14:textId="2C9EF9E8" w:rsidR="00535048" w:rsidRPr="00535048" w:rsidRDefault="00535048" w:rsidP="00535048">
                    <w:pPr>
                      <w:spacing w:after="0"/>
                      <w:rPr>
                        <w:rFonts w:ascii="Calibri" w:eastAsia="Calibri" w:hAnsi="Calibri" w:cs="Calibri"/>
                        <w:noProof/>
                        <w:color w:val="000000"/>
                        <w:sz w:val="24"/>
                        <w:szCs w:val="24"/>
                      </w:rPr>
                    </w:pPr>
                    <w:r w:rsidRPr="00535048">
                      <w:rPr>
                        <w:rFonts w:ascii="Calibri" w:eastAsia="Calibri" w:hAnsi="Calibri" w:cs="Calibri"/>
                        <w:noProof/>
                        <w:color w:val="000000"/>
                        <w:sz w:val="24"/>
                        <w:szCs w:val="24"/>
                      </w:rPr>
                      <w:t xml:space="preserve"> UNOFFICIAL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12"/>
    <w:rsid w:val="00236A32"/>
    <w:rsid w:val="003F26D7"/>
    <w:rsid w:val="00400C5E"/>
    <w:rsid w:val="004E6B33"/>
    <w:rsid w:val="005323D1"/>
    <w:rsid w:val="00535048"/>
    <w:rsid w:val="005C79A7"/>
    <w:rsid w:val="00682722"/>
    <w:rsid w:val="009D5F4C"/>
    <w:rsid w:val="00A034A8"/>
    <w:rsid w:val="00A7353A"/>
    <w:rsid w:val="00C63B13"/>
    <w:rsid w:val="00CA512C"/>
    <w:rsid w:val="00DA3176"/>
    <w:rsid w:val="00DF2B12"/>
    <w:rsid w:val="00E70012"/>
    <w:rsid w:val="00EC1734"/>
    <w:rsid w:val="00F73A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FD4D3"/>
  <w15:chartTrackingRefBased/>
  <w15:docId w15:val="{589FD109-4326-4547-9CD0-B42D8D288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B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2B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2B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2B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2B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2B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2B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2B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2B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B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2B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2B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2B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2B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2B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2B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2B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2B12"/>
    <w:rPr>
      <w:rFonts w:eastAsiaTheme="majorEastAsia" w:cstheme="majorBidi"/>
      <w:color w:val="272727" w:themeColor="text1" w:themeTint="D8"/>
    </w:rPr>
  </w:style>
  <w:style w:type="paragraph" w:styleId="Title">
    <w:name w:val="Title"/>
    <w:basedOn w:val="Normal"/>
    <w:next w:val="Normal"/>
    <w:link w:val="TitleChar"/>
    <w:uiPriority w:val="10"/>
    <w:qFormat/>
    <w:rsid w:val="00DF2B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2B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2B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2B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2B12"/>
    <w:pPr>
      <w:spacing w:before="160"/>
      <w:jc w:val="center"/>
    </w:pPr>
    <w:rPr>
      <w:i/>
      <w:iCs/>
      <w:color w:val="404040" w:themeColor="text1" w:themeTint="BF"/>
    </w:rPr>
  </w:style>
  <w:style w:type="character" w:customStyle="1" w:styleId="QuoteChar">
    <w:name w:val="Quote Char"/>
    <w:basedOn w:val="DefaultParagraphFont"/>
    <w:link w:val="Quote"/>
    <w:uiPriority w:val="29"/>
    <w:rsid w:val="00DF2B12"/>
    <w:rPr>
      <w:i/>
      <w:iCs/>
      <w:color w:val="404040" w:themeColor="text1" w:themeTint="BF"/>
    </w:rPr>
  </w:style>
  <w:style w:type="paragraph" w:styleId="ListParagraph">
    <w:name w:val="List Paragraph"/>
    <w:basedOn w:val="Normal"/>
    <w:uiPriority w:val="34"/>
    <w:qFormat/>
    <w:rsid w:val="00DF2B12"/>
    <w:pPr>
      <w:ind w:left="720"/>
      <w:contextualSpacing/>
    </w:pPr>
  </w:style>
  <w:style w:type="character" w:styleId="IntenseEmphasis">
    <w:name w:val="Intense Emphasis"/>
    <w:basedOn w:val="DefaultParagraphFont"/>
    <w:uiPriority w:val="21"/>
    <w:qFormat/>
    <w:rsid w:val="00DF2B12"/>
    <w:rPr>
      <w:i/>
      <w:iCs/>
      <w:color w:val="0F4761" w:themeColor="accent1" w:themeShade="BF"/>
    </w:rPr>
  </w:style>
  <w:style w:type="paragraph" w:styleId="IntenseQuote">
    <w:name w:val="Intense Quote"/>
    <w:basedOn w:val="Normal"/>
    <w:next w:val="Normal"/>
    <w:link w:val="IntenseQuoteChar"/>
    <w:uiPriority w:val="30"/>
    <w:qFormat/>
    <w:rsid w:val="00DF2B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2B12"/>
    <w:rPr>
      <w:i/>
      <w:iCs/>
      <w:color w:val="0F4761" w:themeColor="accent1" w:themeShade="BF"/>
    </w:rPr>
  </w:style>
  <w:style w:type="character" w:styleId="IntenseReference">
    <w:name w:val="Intense Reference"/>
    <w:basedOn w:val="DefaultParagraphFont"/>
    <w:uiPriority w:val="32"/>
    <w:qFormat/>
    <w:rsid w:val="00DF2B12"/>
    <w:rPr>
      <w:b/>
      <w:bCs/>
      <w:smallCaps/>
      <w:color w:val="0F4761" w:themeColor="accent1" w:themeShade="BF"/>
      <w:spacing w:val="5"/>
    </w:rPr>
  </w:style>
  <w:style w:type="paragraph" w:styleId="FootnoteText">
    <w:name w:val="footnote text"/>
    <w:basedOn w:val="Normal"/>
    <w:link w:val="FootnoteTextChar"/>
    <w:uiPriority w:val="99"/>
    <w:semiHidden/>
    <w:unhideWhenUsed/>
    <w:rsid w:val="00A735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353A"/>
    <w:rPr>
      <w:sz w:val="20"/>
      <w:szCs w:val="20"/>
    </w:rPr>
  </w:style>
  <w:style w:type="character" w:styleId="FootnoteReference">
    <w:name w:val="footnote reference"/>
    <w:basedOn w:val="DefaultParagraphFont"/>
    <w:uiPriority w:val="99"/>
    <w:semiHidden/>
    <w:unhideWhenUsed/>
    <w:rsid w:val="00A7353A"/>
    <w:rPr>
      <w:vertAlign w:val="superscript"/>
    </w:rPr>
  </w:style>
  <w:style w:type="character" w:styleId="Hyperlink">
    <w:name w:val="Hyperlink"/>
    <w:basedOn w:val="DefaultParagraphFont"/>
    <w:uiPriority w:val="99"/>
    <w:unhideWhenUsed/>
    <w:rsid w:val="00A7353A"/>
    <w:rPr>
      <w:color w:val="467886" w:themeColor="hyperlink"/>
      <w:u w:val="single"/>
    </w:rPr>
  </w:style>
  <w:style w:type="character" w:styleId="UnresolvedMention">
    <w:name w:val="Unresolved Mention"/>
    <w:basedOn w:val="DefaultParagraphFont"/>
    <w:uiPriority w:val="99"/>
    <w:semiHidden/>
    <w:unhideWhenUsed/>
    <w:rsid w:val="00A7353A"/>
    <w:rPr>
      <w:color w:val="605E5C"/>
      <w:shd w:val="clear" w:color="auto" w:fill="E1DFDD"/>
    </w:rPr>
  </w:style>
  <w:style w:type="paragraph" w:styleId="Header">
    <w:name w:val="header"/>
    <w:basedOn w:val="Normal"/>
    <w:link w:val="HeaderChar"/>
    <w:uiPriority w:val="99"/>
    <w:unhideWhenUsed/>
    <w:rsid w:val="005350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0571668">
      <w:bodyDiv w:val="1"/>
      <w:marLeft w:val="0"/>
      <w:marRight w:val="0"/>
      <w:marTop w:val="0"/>
      <w:marBottom w:val="0"/>
      <w:divBdr>
        <w:top w:val="none" w:sz="0" w:space="0" w:color="auto"/>
        <w:left w:val="none" w:sz="0" w:space="0" w:color="auto"/>
        <w:bottom w:val="none" w:sz="0" w:space="0" w:color="auto"/>
        <w:right w:val="none" w:sz="0" w:space="0" w:color="auto"/>
      </w:divBdr>
    </w:div>
    <w:div w:id="172537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gp.org.au/wp-content/uploads/2024/05/Circular-Economy-White-Paper-May-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520d412a9375c0bd4cb4d2aa81df912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64f5426ea24bb96f6a5d79357822ec12"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20393cdf-440a-4521-8f19-00ba43423d00">
      <Value>1</Value>
    </TaxCatchAll>
    <thumbnail xmlns="3d385984-9344-419b-a80b-49c06a2bdab8" xsi:nil="true"/>
    <Status xmlns="3d385984-9344-419b-a80b-49c06a2bdab8" xsi:nil="true"/>
    <_Flow_SignoffStatus xmlns="3d385984-9344-419b-a80b-49c06a2bdab8" xsi:nil="true"/>
    <_dlc_DocId xmlns="20393cdf-440a-4521-8f19-00ba43423d00">MPWT-2140667901-70600</_dlc_DocId>
    <_dlc_DocIdUrl xmlns="20393cdf-440a-4521-8f19-00ba43423d00">
      <Url>https://pcgov.sharepoint.com/sites/sceteam/_layouts/15/DocIdRedir.aspx?ID=MPWT-2140667901-70600</Url>
      <Description>MPWT-2140667901-70600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5DCF54-C229-4BE1-B905-26D1AECD9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549A53-D49B-4342-94F0-F8864CC7EE0A}">
  <ds:schemaRefs>
    <ds:schemaRef ds:uri="http://schemas.openxmlformats.org/officeDocument/2006/bibliography"/>
  </ds:schemaRefs>
</ds:datastoreItem>
</file>

<file path=customXml/itemProps3.xml><?xml version="1.0" encoding="utf-8"?>
<ds:datastoreItem xmlns:ds="http://schemas.openxmlformats.org/officeDocument/2006/customXml" ds:itemID="{AA054967-0D49-4CE9-BE05-4E82C3490EDA}">
  <ds:schemaRefs>
    <ds:schemaRef ds:uri="http://schemas.microsoft.com/sharepoint/events"/>
  </ds:schemaRefs>
</ds:datastoreItem>
</file>

<file path=customXml/itemProps4.xml><?xml version="1.0" encoding="utf-8"?>
<ds:datastoreItem xmlns:ds="http://schemas.openxmlformats.org/officeDocument/2006/customXml" ds:itemID="{F0B55C7D-61ED-40D4-85F2-A34026F52A17}">
  <ds:schemaRefs>
    <ds:schemaRef ds:uri="20393cdf-440a-4521-8f19-00ba43423d00"/>
    <ds:schemaRef ds:uri="http://purl.org/dc/dcmitype/"/>
    <ds:schemaRef ds:uri="http://purl.org/dc/terms/"/>
    <ds:schemaRef ds:uri="http://schemas.microsoft.com/office/2006/documentManagement/types"/>
    <ds:schemaRef ds:uri="http://schemas.microsoft.com/office/infopath/2007/PartnerControls"/>
    <ds:schemaRef ds:uri="http://schemas.microsoft.com/office/2006/metadata/properties"/>
    <ds:schemaRef ds:uri="3d385984-9344-419b-a80b-49c06a2bdab8"/>
    <ds:schemaRef ds:uri="http://schemas.openxmlformats.org/package/2006/metadata/core-properties"/>
    <ds:schemaRef ds:uri="http://www.w3.org/XML/1998/namespace"/>
    <ds:schemaRef ds:uri="http://purl.org/dc/elements/1.1/"/>
  </ds:schemaRefs>
</ds:datastoreItem>
</file>

<file path=customXml/itemProps5.xml><?xml version="1.0" encoding="utf-8"?>
<ds:datastoreItem xmlns:ds="http://schemas.openxmlformats.org/officeDocument/2006/customXml" ds:itemID="{DFA74CA3-6D46-4843-988B-67DFE2D608FB}">
  <ds:schemaRefs>
    <ds:schemaRef ds:uri="http://schemas.microsoft.com/sharepoint/v3/contenttype/forms"/>
  </ds:schemaRefs>
</ds:datastoreItem>
</file>

<file path=docMetadata/LabelInfo.xml><?xml version="1.0" encoding="utf-8"?>
<clbl:labelList xmlns:clbl="http://schemas.microsoft.com/office/2020/mipLabelMetadata">
  <clbl:label id="{4e1fa701-3d64-4f30-8fed-44787aaf1f4e}" enabled="1" method="Standard" siteId="{467f019d-1608-476e-86f4-43f4aed1181c}"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Submission 67 - Local Government Procurement (LGP) - Opportunities in the circular economy - Public inquiry</vt:lpstr>
    </vt:vector>
  </TitlesOfParts>
  <Company>Local Government Procurement (LGP)</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67 - Local Government Procurement (LGP) - Opportunities in the circular economy - Public inquiry</dc:title>
  <dc:subject/>
  <dc:creator>Local Government Procurement (LGP)</dc:creator>
  <cp:keywords/>
  <dc:description/>
  <cp:lastModifiedBy>Chris Alston</cp:lastModifiedBy>
  <cp:revision>3</cp:revision>
  <dcterms:created xsi:type="dcterms:W3CDTF">2024-11-08T03:08:00Z</dcterms:created>
  <dcterms:modified xsi:type="dcterms:W3CDTF">2024-11-08T04:35:00Z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62d25873,509f93af,22507b13</vt:lpwstr>
  </property>
  <property fmtid="{D5CDD505-2E9C-101B-9397-08002B2CF9AE}" pid="3" name="ClassificationContentMarkingHeaderFontProps">
    <vt:lpwstr>#000000,12,Calibri</vt:lpwstr>
  </property>
  <property fmtid="{D5CDD505-2E9C-101B-9397-08002B2CF9AE}" pid="4" name="ClassificationContentMarkingHeaderText">
    <vt:lpwstr> UNOFFICIAL</vt:lpwstr>
  </property>
  <property fmtid="{D5CDD505-2E9C-101B-9397-08002B2CF9AE}" pid="5" name="MSIP_Label_bdd3fba5-1b56-4713-bbb1-94d6a3f4b551_Enabled">
    <vt:lpwstr>true</vt:lpwstr>
  </property>
  <property fmtid="{D5CDD505-2E9C-101B-9397-08002B2CF9AE}" pid="6" name="MSIP_Label_bdd3fba5-1b56-4713-bbb1-94d6a3f4b551_SetDate">
    <vt:lpwstr>2024-11-08T03:08:36Z</vt:lpwstr>
  </property>
  <property fmtid="{D5CDD505-2E9C-101B-9397-08002B2CF9AE}" pid="7" name="MSIP_Label_bdd3fba5-1b56-4713-bbb1-94d6a3f4b551_Method">
    <vt:lpwstr>Privileged</vt:lpwstr>
  </property>
  <property fmtid="{D5CDD505-2E9C-101B-9397-08002B2CF9AE}" pid="8" name="MSIP_Label_bdd3fba5-1b56-4713-bbb1-94d6a3f4b551_Name">
    <vt:lpwstr>UNOFFICIAL</vt:lpwstr>
  </property>
  <property fmtid="{D5CDD505-2E9C-101B-9397-08002B2CF9AE}" pid="9" name="MSIP_Label_bdd3fba5-1b56-4713-bbb1-94d6a3f4b551_SiteId">
    <vt:lpwstr>29f9330b-c0fe-4244-830e-ba9f275d6c34</vt:lpwstr>
  </property>
  <property fmtid="{D5CDD505-2E9C-101B-9397-08002B2CF9AE}" pid="10" name="MSIP_Label_bdd3fba5-1b56-4713-bbb1-94d6a3f4b551_ActionId">
    <vt:lpwstr>faaa6d60-7e26-4b95-a0ec-40358a919de9</vt:lpwstr>
  </property>
  <property fmtid="{D5CDD505-2E9C-101B-9397-08002B2CF9AE}" pid="11" name="MSIP_Label_bdd3fba5-1b56-4713-bbb1-94d6a3f4b551_ContentBits">
    <vt:lpwstr>1</vt:lpwstr>
  </property>
  <property fmtid="{D5CDD505-2E9C-101B-9397-08002B2CF9AE}" pid="12" name="ContentTypeId">
    <vt:lpwstr>0x0101006C0B5E815648EF46B6FA6D42F17E5E9F000C963E276195B04F83BC027CFDC94A8D</vt:lpwstr>
  </property>
  <property fmtid="{D5CDD505-2E9C-101B-9397-08002B2CF9AE}" pid="13" name="RevIMBCS">
    <vt:lpwstr>1;#Unclassified|3955eeb1-2d18-4582-aeb2-00144ec3aaf5</vt:lpwstr>
  </property>
  <property fmtid="{D5CDD505-2E9C-101B-9397-08002B2CF9AE}" pid="14" name="_dlc_DocIdItemGuid">
    <vt:lpwstr>11be645b-7248-4141-9f05-72b1c00ce1bc</vt:lpwstr>
  </property>
  <property fmtid="{D5CDD505-2E9C-101B-9397-08002B2CF9AE}" pid="15" name="MediaServiceImageTags">
    <vt:lpwstr/>
  </property>
</Properties>
</file>