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1D07" w14:textId="77777777" w:rsidR="00A572EF" w:rsidRDefault="00A01F72">
      <w:pPr>
        <w:shd w:val="clear" w:color="auto" w:fill="FFFFFF"/>
        <w:jc w:val="right"/>
        <w:rPr>
          <w:rFonts w:ascii="Open Sans" w:eastAsia="Open Sans" w:hAnsi="Open Sans" w:cs="Open Sans"/>
          <w:color w:val="222222"/>
          <w:sz w:val="20"/>
          <w:szCs w:val="20"/>
        </w:rPr>
      </w:pPr>
      <w:r>
        <w:rPr>
          <w:rFonts w:ascii="Open Sans" w:eastAsia="Open Sans" w:hAnsi="Open Sans" w:cs="Open Sans"/>
          <w:color w:val="222222"/>
          <w:sz w:val="20"/>
          <w:szCs w:val="20"/>
        </w:rPr>
        <w:t>Clare Harris</w:t>
      </w:r>
    </w:p>
    <w:p w14:paraId="61B7B7CF" w14:textId="77777777" w:rsidR="006E67D4" w:rsidRDefault="006E67D4">
      <w:pPr>
        <w:shd w:val="clear" w:color="auto" w:fill="FFFFFF"/>
        <w:rPr>
          <w:rFonts w:ascii="Open Sans" w:eastAsia="Open Sans" w:hAnsi="Open Sans" w:cs="Open Sans"/>
          <w:color w:val="222222"/>
          <w:sz w:val="20"/>
          <w:szCs w:val="20"/>
        </w:rPr>
      </w:pPr>
    </w:p>
    <w:p w14:paraId="30441D0A" w14:textId="77777777" w:rsidR="00A572EF" w:rsidRDefault="00A572EF">
      <w:pPr>
        <w:shd w:val="clear" w:color="auto" w:fill="FFFFFF"/>
        <w:jc w:val="right"/>
        <w:rPr>
          <w:rFonts w:ascii="Open Sans" w:eastAsia="Open Sans" w:hAnsi="Open Sans" w:cs="Open Sans"/>
          <w:color w:val="222222"/>
          <w:sz w:val="20"/>
          <w:szCs w:val="20"/>
        </w:rPr>
      </w:pPr>
    </w:p>
    <w:p w14:paraId="30441D0B" w14:textId="77777777" w:rsidR="00A572EF" w:rsidRDefault="00A572EF">
      <w:pPr>
        <w:shd w:val="clear" w:color="auto" w:fill="FFFFFF"/>
        <w:jc w:val="right"/>
        <w:rPr>
          <w:rFonts w:ascii="Open Sans" w:eastAsia="Open Sans" w:hAnsi="Open Sans" w:cs="Open Sans"/>
          <w:color w:val="222222"/>
          <w:sz w:val="20"/>
          <w:szCs w:val="20"/>
        </w:rPr>
      </w:pPr>
    </w:p>
    <w:p w14:paraId="30441D0C" w14:textId="77777777" w:rsidR="00A572EF" w:rsidRDefault="00A01F72">
      <w:pPr>
        <w:shd w:val="clear" w:color="auto" w:fill="FFFFFF"/>
        <w:rPr>
          <w:rFonts w:ascii="Open Sans" w:eastAsia="Open Sans" w:hAnsi="Open Sans" w:cs="Open Sans"/>
          <w:color w:val="222222"/>
          <w:sz w:val="20"/>
          <w:szCs w:val="20"/>
        </w:rPr>
      </w:pPr>
      <w:r>
        <w:rPr>
          <w:rFonts w:ascii="Open Sans" w:eastAsia="Open Sans" w:hAnsi="Open Sans" w:cs="Open Sans"/>
          <w:color w:val="222222"/>
          <w:sz w:val="20"/>
          <w:szCs w:val="20"/>
        </w:rPr>
        <w:t>May 5, 2023</w:t>
      </w:r>
    </w:p>
    <w:p w14:paraId="30441D0D" w14:textId="77777777" w:rsidR="00A572EF" w:rsidRDefault="00A572EF">
      <w:pPr>
        <w:shd w:val="clear" w:color="auto" w:fill="FFFFFF"/>
        <w:rPr>
          <w:rFonts w:ascii="Open Sans" w:eastAsia="Open Sans" w:hAnsi="Open Sans" w:cs="Open Sans"/>
          <w:color w:val="222222"/>
          <w:sz w:val="20"/>
          <w:szCs w:val="20"/>
        </w:rPr>
      </w:pPr>
    </w:p>
    <w:p w14:paraId="30441D0E" w14:textId="77777777" w:rsidR="00A572EF" w:rsidRDefault="00A572EF">
      <w:pPr>
        <w:shd w:val="clear" w:color="auto" w:fill="FFFFFF"/>
        <w:rPr>
          <w:rFonts w:ascii="Open Sans" w:eastAsia="Open Sans" w:hAnsi="Open Sans" w:cs="Open Sans"/>
          <w:color w:val="222222"/>
          <w:sz w:val="20"/>
          <w:szCs w:val="20"/>
        </w:rPr>
      </w:pPr>
    </w:p>
    <w:p w14:paraId="30441D0F" w14:textId="77777777" w:rsidR="00A572EF" w:rsidRDefault="00A01F72">
      <w:pPr>
        <w:shd w:val="clear" w:color="auto" w:fill="FFFFFF"/>
        <w:rPr>
          <w:rFonts w:ascii="Open Sans" w:eastAsia="Open Sans" w:hAnsi="Open Sans" w:cs="Open Sans"/>
          <w:color w:val="222222"/>
          <w:sz w:val="20"/>
          <w:szCs w:val="20"/>
        </w:rPr>
      </w:pPr>
      <w:r>
        <w:rPr>
          <w:rFonts w:ascii="Open Sans" w:eastAsia="Open Sans" w:hAnsi="Open Sans" w:cs="Open Sans"/>
          <w:color w:val="222222"/>
          <w:sz w:val="20"/>
          <w:szCs w:val="20"/>
        </w:rPr>
        <w:t>Commissioners and Associate Commissioners</w:t>
      </w:r>
    </w:p>
    <w:p w14:paraId="30441D10" w14:textId="77777777" w:rsidR="00A572EF" w:rsidRDefault="00A01F72">
      <w:pPr>
        <w:shd w:val="clear" w:color="auto" w:fill="FFFFFF"/>
        <w:rPr>
          <w:rFonts w:ascii="Open Sans" w:eastAsia="Open Sans" w:hAnsi="Open Sans" w:cs="Open Sans"/>
          <w:color w:val="1155CC"/>
          <w:sz w:val="20"/>
          <w:szCs w:val="20"/>
        </w:rPr>
      </w:pPr>
      <w:r>
        <w:rPr>
          <w:rFonts w:ascii="Open Sans" w:eastAsia="Open Sans" w:hAnsi="Open Sans" w:cs="Open Sans"/>
          <w:color w:val="222222"/>
          <w:sz w:val="20"/>
          <w:szCs w:val="20"/>
        </w:rPr>
        <w:t xml:space="preserve">Productivity Commission </w:t>
      </w:r>
    </w:p>
    <w:p w14:paraId="30441D11" w14:textId="77777777" w:rsidR="00A572EF" w:rsidRDefault="00A572EF">
      <w:pPr>
        <w:rPr>
          <w:rFonts w:ascii="Open Sans" w:eastAsia="Open Sans" w:hAnsi="Open Sans" w:cs="Open Sans"/>
          <w:sz w:val="20"/>
          <w:szCs w:val="20"/>
        </w:rPr>
      </w:pPr>
    </w:p>
    <w:p w14:paraId="30441D12" w14:textId="77777777" w:rsidR="00A572EF" w:rsidRDefault="00A572EF">
      <w:pPr>
        <w:rPr>
          <w:rFonts w:ascii="Open Sans" w:eastAsia="Open Sans" w:hAnsi="Open Sans" w:cs="Open Sans"/>
          <w:b/>
          <w:sz w:val="20"/>
          <w:szCs w:val="20"/>
        </w:rPr>
      </w:pPr>
    </w:p>
    <w:p w14:paraId="30441D13" w14:textId="77777777" w:rsidR="00A572EF" w:rsidRDefault="00A01F72">
      <w:pPr>
        <w:jc w:val="center"/>
        <w:rPr>
          <w:rFonts w:ascii="Open Sans" w:eastAsia="Open Sans" w:hAnsi="Open Sans" w:cs="Open Sans"/>
          <w:b/>
          <w:sz w:val="28"/>
          <w:szCs w:val="28"/>
        </w:rPr>
      </w:pPr>
      <w:r>
        <w:rPr>
          <w:rFonts w:ascii="Open Sans" w:eastAsia="Open Sans" w:hAnsi="Open Sans" w:cs="Open Sans"/>
          <w:b/>
          <w:sz w:val="28"/>
          <w:szCs w:val="28"/>
        </w:rPr>
        <w:t>Philanthropy inquiry: submission from a member of the public</w:t>
      </w:r>
    </w:p>
    <w:p w14:paraId="30441D14" w14:textId="77777777" w:rsidR="00A572EF" w:rsidRDefault="00A572EF">
      <w:pPr>
        <w:rPr>
          <w:rFonts w:ascii="Open Sans" w:eastAsia="Open Sans" w:hAnsi="Open Sans" w:cs="Open Sans"/>
          <w:b/>
          <w:sz w:val="20"/>
          <w:szCs w:val="20"/>
        </w:rPr>
      </w:pPr>
    </w:p>
    <w:p w14:paraId="30441D15" w14:textId="77777777" w:rsidR="00A572EF" w:rsidRDefault="00A572EF">
      <w:pPr>
        <w:rPr>
          <w:rFonts w:ascii="Open Sans" w:eastAsia="Open Sans" w:hAnsi="Open Sans" w:cs="Open Sans"/>
          <w:sz w:val="20"/>
          <w:szCs w:val="20"/>
        </w:rPr>
      </w:pPr>
    </w:p>
    <w:p w14:paraId="30441D16"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Dear Dr Alex Robson, Julie Abramson, Krystian Seibert, and others whom it may concern,</w:t>
      </w:r>
    </w:p>
    <w:p w14:paraId="30441D17" w14:textId="77777777" w:rsidR="00A572EF" w:rsidRDefault="00A572EF">
      <w:pPr>
        <w:rPr>
          <w:rFonts w:ascii="Open Sans" w:eastAsia="Open Sans" w:hAnsi="Open Sans" w:cs="Open Sans"/>
          <w:sz w:val="20"/>
          <w:szCs w:val="20"/>
        </w:rPr>
      </w:pPr>
    </w:p>
    <w:p w14:paraId="30441D18" w14:textId="77777777" w:rsidR="00A572EF" w:rsidRDefault="00A572EF">
      <w:pPr>
        <w:rPr>
          <w:rFonts w:ascii="Open Sans" w:eastAsia="Open Sans" w:hAnsi="Open Sans" w:cs="Open Sans"/>
          <w:sz w:val="20"/>
          <w:szCs w:val="20"/>
        </w:rPr>
      </w:pPr>
    </w:p>
    <w:p w14:paraId="30441D19"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Thank you for undertaking this public inquiry into philanthropy in Australia. Like many others, I think that the goals of the inquiry are commendable, and would be del</w:t>
      </w:r>
      <w:r>
        <w:rPr>
          <w:rFonts w:ascii="Open Sans" w:eastAsia="Open Sans" w:hAnsi="Open Sans" w:cs="Open Sans"/>
          <w:sz w:val="20"/>
          <w:szCs w:val="20"/>
        </w:rPr>
        <w:t>ighted to see them come to fruition. My submission focuses on one subset of these goals: those related to the examination of the deductible gift recipient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that applies to charities. In particular, I wish to highlight some ways in which the </w:t>
      </w:r>
      <w:r>
        <w:rPr>
          <w:rFonts w:ascii="Open Sans" w:eastAsia="Open Sans" w:hAnsi="Open Sans" w:cs="Open Sans"/>
          <w:sz w:val="20"/>
          <w:szCs w:val="20"/>
        </w:rPr>
        <w:t>framework could be modified such that it more fairly and effectively serves the priorities of the broader community.</w:t>
      </w:r>
    </w:p>
    <w:p w14:paraId="30441D1A" w14:textId="77777777" w:rsidR="00A572EF" w:rsidRDefault="00A572EF">
      <w:pPr>
        <w:jc w:val="both"/>
        <w:rPr>
          <w:rFonts w:ascii="Open Sans" w:eastAsia="Open Sans" w:hAnsi="Open Sans" w:cs="Open Sans"/>
          <w:sz w:val="20"/>
          <w:szCs w:val="20"/>
        </w:rPr>
      </w:pPr>
    </w:p>
    <w:p w14:paraId="30441D1B"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I agree with the Productivity Commission’s previous recommendation</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 xml:space="preserve"> to “progressively expand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to all charitable institutions an</w:t>
      </w:r>
      <w:r>
        <w:rPr>
          <w:rFonts w:ascii="Open Sans" w:eastAsia="Open Sans" w:hAnsi="Open Sans" w:cs="Open Sans"/>
          <w:sz w:val="20"/>
          <w:szCs w:val="20"/>
        </w:rPr>
        <w:t>d funds endorsed by the Registrar.”</w:t>
      </w:r>
      <w:r>
        <w:rPr>
          <w:rFonts w:ascii="Open Sans" w:eastAsia="Open Sans" w:hAnsi="Open Sans" w:cs="Open Sans"/>
          <w:sz w:val="20"/>
          <w:szCs w:val="20"/>
          <w:vertAlign w:val="superscript"/>
        </w:rPr>
        <w:t xml:space="preserve"> </w:t>
      </w:r>
      <w:r>
        <w:rPr>
          <w:rFonts w:ascii="Open Sans" w:eastAsia="Open Sans" w:hAnsi="Open Sans" w:cs="Open Sans"/>
          <w:sz w:val="20"/>
          <w:szCs w:val="20"/>
        </w:rPr>
        <w:t xml:space="preserve">However, if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is expanded to some classes of charities before others, a question arises: which classes of charities should be prioritised for earlier inclusion when expanding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It stands to reason that</w:t>
      </w:r>
      <w:r>
        <w:rPr>
          <w:rFonts w:ascii="Open Sans" w:eastAsia="Open Sans" w:hAnsi="Open Sans" w:cs="Open Sans"/>
          <w:sz w:val="20"/>
          <w:szCs w:val="20"/>
        </w:rPr>
        <w:t xml:space="preserve"> the expansion should be done in an order that reflects the </w:t>
      </w:r>
      <w:r>
        <w:rPr>
          <w:rFonts w:ascii="Open Sans" w:eastAsia="Open Sans" w:hAnsi="Open Sans" w:cs="Open Sans"/>
          <w:i/>
          <w:sz w:val="20"/>
          <w:szCs w:val="20"/>
        </w:rPr>
        <w:t>purpose</w:t>
      </w:r>
      <w:r>
        <w:rPr>
          <w:rFonts w:ascii="Open Sans" w:eastAsia="Open Sans" w:hAnsi="Open Sans" w:cs="Open Sans"/>
          <w:sz w:val="20"/>
          <w:szCs w:val="20"/>
        </w:rPr>
        <w:t xml:space="preserve"> of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categories and registers, which is “to align the activities of </w:t>
      </w:r>
      <w:proofErr w:type="spellStart"/>
      <w:r>
        <w:rPr>
          <w:rFonts w:ascii="Open Sans" w:eastAsia="Open Sans" w:hAnsi="Open Sans" w:cs="Open Sans"/>
          <w:sz w:val="20"/>
          <w:szCs w:val="20"/>
        </w:rPr>
        <w:t>DGRs</w:t>
      </w:r>
      <w:proofErr w:type="spellEnd"/>
      <w:r>
        <w:rPr>
          <w:rFonts w:ascii="Open Sans" w:eastAsia="Open Sans" w:hAnsi="Open Sans" w:cs="Open Sans"/>
          <w:sz w:val="20"/>
          <w:szCs w:val="20"/>
        </w:rPr>
        <w:t xml:space="preserve"> with community expectations and to ensure the tax concessions deliver clear public benefits.”</w:t>
      </w:r>
      <w:r>
        <w:rPr>
          <w:rFonts w:ascii="Open Sans" w:eastAsia="Open Sans" w:hAnsi="Open Sans" w:cs="Open Sans"/>
          <w:sz w:val="20"/>
          <w:szCs w:val="20"/>
          <w:vertAlign w:val="superscript"/>
        </w:rPr>
        <w:footnoteReference w:id="2"/>
      </w:r>
    </w:p>
    <w:p w14:paraId="30441D1C" w14:textId="77777777" w:rsidR="00A572EF" w:rsidRDefault="00A572EF">
      <w:pPr>
        <w:jc w:val="both"/>
        <w:rPr>
          <w:rFonts w:ascii="Open Sans" w:eastAsia="Open Sans" w:hAnsi="Open Sans" w:cs="Open Sans"/>
          <w:sz w:val="20"/>
          <w:szCs w:val="20"/>
        </w:rPr>
      </w:pPr>
    </w:p>
    <w:p w14:paraId="30441D1D" w14:textId="77777777" w:rsidR="00A572EF" w:rsidRDefault="00A01F72">
      <w:pPr>
        <w:jc w:val="both"/>
        <w:rPr>
          <w:rFonts w:ascii="Open Sans" w:eastAsia="Open Sans" w:hAnsi="Open Sans" w:cs="Open Sans"/>
          <w:b/>
          <w:sz w:val="20"/>
          <w:szCs w:val="20"/>
        </w:rPr>
      </w:pPr>
      <w:r>
        <w:rPr>
          <w:rFonts w:ascii="Open Sans" w:eastAsia="Open Sans" w:hAnsi="Open Sans" w:cs="Open Sans"/>
          <w:sz w:val="20"/>
          <w:szCs w:val="20"/>
        </w:rPr>
        <w:t xml:space="preserve">Below, I highlight two key classes of charities where I see the largest discrepancies between (a) the degree to which their work delivers clear public benefits that are valued by the Australian community (as </w:t>
      </w:r>
      <w:proofErr w:type="spellStart"/>
      <w:r>
        <w:rPr>
          <w:rFonts w:ascii="Open Sans" w:eastAsia="Open Sans" w:hAnsi="Open Sans" w:cs="Open Sans"/>
          <w:sz w:val="20"/>
          <w:szCs w:val="20"/>
        </w:rPr>
        <w:t>DGRs</w:t>
      </w:r>
      <w:proofErr w:type="spellEnd"/>
      <w:r>
        <w:rPr>
          <w:rFonts w:ascii="Open Sans" w:eastAsia="Open Sans" w:hAnsi="Open Sans" w:cs="Open Sans"/>
          <w:sz w:val="20"/>
          <w:szCs w:val="20"/>
        </w:rPr>
        <w:t xml:space="preserve"> should) and (b) the consistency with which </w:t>
      </w:r>
      <w:r>
        <w:rPr>
          <w:rFonts w:ascii="Open Sans" w:eastAsia="Open Sans" w:hAnsi="Open Sans" w:cs="Open Sans"/>
          <w:sz w:val="20"/>
          <w:szCs w:val="20"/>
        </w:rPr>
        <w:t xml:space="preserve">charities in the class are conferred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Due to these discrepancies, I think that conferring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to charities in these two classes should be prioritised if we wish to fulfil the goals of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At first glance, one of the classes</w:t>
      </w:r>
      <w:r>
        <w:rPr>
          <w:rFonts w:ascii="Open Sans" w:eastAsia="Open Sans" w:hAnsi="Open Sans" w:cs="Open Sans"/>
          <w:sz w:val="20"/>
          <w:szCs w:val="20"/>
        </w:rPr>
        <w:t xml:space="preserve"> of charities may seem more surprising than the other, so the rest of this submission is dedicated to outlining why that class should be prioritised. </w:t>
      </w:r>
    </w:p>
    <w:p w14:paraId="30441D1E" w14:textId="77777777" w:rsidR="00A572EF" w:rsidRDefault="00A01F72">
      <w:pPr>
        <w:jc w:val="both"/>
        <w:rPr>
          <w:rFonts w:ascii="Open Sans" w:eastAsia="Open Sans" w:hAnsi="Open Sans" w:cs="Open Sans"/>
          <w:b/>
          <w:sz w:val="24"/>
          <w:szCs w:val="24"/>
        </w:rPr>
      </w:pPr>
      <w:r>
        <w:rPr>
          <w:rFonts w:ascii="Open Sans" w:eastAsia="Open Sans" w:hAnsi="Open Sans" w:cs="Open Sans"/>
          <w:b/>
          <w:sz w:val="24"/>
          <w:szCs w:val="24"/>
        </w:rPr>
        <w:lastRenderedPageBreak/>
        <w:t>The perspective from which I am writing</w:t>
      </w:r>
    </w:p>
    <w:p w14:paraId="30441D1F" w14:textId="77777777" w:rsidR="00A572EF" w:rsidRDefault="00A572EF">
      <w:pPr>
        <w:jc w:val="both"/>
        <w:rPr>
          <w:rFonts w:ascii="Open Sans" w:eastAsia="Open Sans" w:hAnsi="Open Sans" w:cs="Open Sans"/>
          <w:sz w:val="20"/>
          <w:szCs w:val="20"/>
        </w:rPr>
      </w:pPr>
    </w:p>
    <w:p w14:paraId="30441D20"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I provide evidence for the claims I make below. However, I should also note the perspective from which I am writing. I have never been paid for charity work. I am involved with one charity as an unpaid board member, but it is a public health charity that a</w:t>
      </w:r>
      <w:r>
        <w:rPr>
          <w:rFonts w:ascii="Open Sans" w:eastAsia="Open Sans" w:hAnsi="Open Sans" w:cs="Open Sans"/>
          <w:sz w:val="20"/>
          <w:szCs w:val="20"/>
        </w:rPr>
        <w:t xml:space="preserve">lready has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(and already falls outside of the classes of charities I discuss below), so it will not be affected by any of the arguments I lay out below. I am writing from the perspective of a member of the public who, like millions of other Austr</w:t>
      </w:r>
      <w:r>
        <w:rPr>
          <w:rFonts w:ascii="Open Sans" w:eastAsia="Open Sans" w:hAnsi="Open Sans" w:cs="Open Sans"/>
          <w:sz w:val="20"/>
          <w:szCs w:val="20"/>
        </w:rPr>
        <w:t xml:space="preserve">alians, donates to charity. Like many others, my donation behaviour is influenced by which charities have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I care about where I donate, and I care about where others are incentivised to donate. That is why I am writing this submission. </w:t>
      </w:r>
    </w:p>
    <w:p w14:paraId="30441D21" w14:textId="77777777" w:rsidR="00A572EF" w:rsidRDefault="00A572EF">
      <w:pPr>
        <w:jc w:val="both"/>
        <w:rPr>
          <w:rFonts w:ascii="Open Sans" w:eastAsia="Open Sans" w:hAnsi="Open Sans" w:cs="Open Sans"/>
          <w:sz w:val="20"/>
          <w:szCs w:val="20"/>
        </w:rPr>
      </w:pPr>
    </w:p>
    <w:p w14:paraId="30441D22" w14:textId="77777777" w:rsidR="00A572EF" w:rsidRDefault="00A572EF">
      <w:pPr>
        <w:jc w:val="both"/>
        <w:rPr>
          <w:rFonts w:ascii="Open Sans" w:eastAsia="Open Sans" w:hAnsi="Open Sans" w:cs="Open Sans"/>
          <w:sz w:val="20"/>
          <w:szCs w:val="20"/>
        </w:rPr>
      </w:pPr>
    </w:p>
    <w:p w14:paraId="30441D23" w14:textId="77777777" w:rsidR="00A572EF" w:rsidRDefault="00A572EF">
      <w:pPr>
        <w:jc w:val="both"/>
        <w:rPr>
          <w:rFonts w:ascii="Open Sans" w:eastAsia="Open Sans" w:hAnsi="Open Sans" w:cs="Open Sans"/>
          <w:sz w:val="20"/>
          <w:szCs w:val="20"/>
        </w:rPr>
      </w:pPr>
    </w:p>
    <w:p w14:paraId="30441D24" w14:textId="77777777" w:rsidR="00A572EF" w:rsidRDefault="00A01F72">
      <w:pPr>
        <w:jc w:val="both"/>
        <w:rPr>
          <w:rFonts w:ascii="Open Sans" w:eastAsia="Open Sans" w:hAnsi="Open Sans" w:cs="Open Sans"/>
          <w:b/>
          <w:sz w:val="24"/>
          <w:szCs w:val="24"/>
        </w:rPr>
      </w:pPr>
      <w:r>
        <w:rPr>
          <w:rFonts w:ascii="Open Sans" w:eastAsia="Open Sans" w:hAnsi="Open Sans" w:cs="Open Sans"/>
          <w:b/>
          <w:sz w:val="24"/>
          <w:szCs w:val="24"/>
        </w:rPr>
        <w:t>The n</w:t>
      </w:r>
      <w:r>
        <w:rPr>
          <w:rFonts w:ascii="Open Sans" w:eastAsia="Open Sans" w:hAnsi="Open Sans" w:cs="Open Sans"/>
          <w:b/>
          <w:sz w:val="24"/>
          <w:szCs w:val="24"/>
        </w:rPr>
        <w:t xml:space="preserve">ew classes of charities that should be prioritised when conferring </w:t>
      </w:r>
      <w:proofErr w:type="spellStart"/>
      <w:r>
        <w:rPr>
          <w:rFonts w:ascii="Open Sans" w:eastAsia="Open Sans" w:hAnsi="Open Sans" w:cs="Open Sans"/>
          <w:b/>
          <w:sz w:val="24"/>
          <w:szCs w:val="24"/>
        </w:rPr>
        <w:t>DGR</w:t>
      </w:r>
      <w:proofErr w:type="spellEnd"/>
      <w:r>
        <w:rPr>
          <w:rFonts w:ascii="Open Sans" w:eastAsia="Open Sans" w:hAnsi="Open Sans" w:cs="Open Sans"/>
          <w:b/>
          <w:sz w:val="24"/>
          <w:szCs w:val="24"/>
        </w:rPr>
        <w:t xml:space="preserve"> status</w:t>
      </w:r>
    </w:p>
    <w:p w14:paraId="30441D25" w14:textId="77777777" w:rsidR="00A572EF" w:rsidRDefault="00A572EF">
      <w:pPr>
        <w:jc w:val="both"/>
        <w:rPr>
          <w:rFonts w:ascii="Open Sans" w:eastAsia="Open Sans" w:hAnsi="Open Sans" w:cs="Open Sans"/>
          <w:sz w:val="20"/>
          <w:szCs w:val="20"/>
        </w:rPr>
      </w:pPr>
    </w:p>
    <w:p w14:paraId="30441D26"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 xml:space="preserve">There are a number of charities in Australia that are currently not eligible for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w:t>
      </w:r>
      <w:r>
        <w:rPr>
          <w:rFonts w:ascii="Open Sans" w:eastAsia="Open Sans" w:hAnsi="Open Sans" w:cs="Open Sans"/>
          <w:i/>
          <w:sz w:val="20"/>
          <w:szCs w:val="20"/>
        </w:rPr>
        <w:t>despite</w:t>
      </w:r>
      <w:r>
        <w:rPr>
          <w:rFonts w:ascii="Open Sans" w:eastAsia="Open Sans" w:hAnsi="Open Sans" w:cs="Open Sans"/>
          <w:sz w:val="20"/>
          <w:szCs w:val="20"/>
        </w:rPr>
        <w:t xml:space="preserve"> doing highly impactful work that the Australian public values and wants to su</w:t>
      </w:r>
      <w:r>
        <w:rPr>
          <w:rFonts w:ascii="Open Sans" w:eastAsia="Open Sans" w:hAnsi="Open Sans" w:cs="Open Sans"/>
          <w:sz w:val="20"/>
          <w:szCs w:val="20"/>
        </w:rPr>
        <w:t xml:space="preserve">pport. I think that there are two classes of charity that stand out as having particularly large discrepancies between the degree of public benefit they confer and the degree to which the overall class is supported by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w:t>
      </w:r>
    </w:p>
    <w:p w14:paraId="30441D27" w14:textId="77777777" w:rsidR="00A572EF" w:rsidRDefault="00A01F72">
      <w:pPr>
        <w:numPr>
          <w:ilvl w:val="0"/>
          <w:numId w:val="1"/>
        </w:numPr>
        <w:jc w:val="both"/>
        <w:rPr>
          <w:rFonts w:ascii="Open Sans" w:eastAsia="Open Sans" w:hAnsi="Open Sans" w:cs="Open Sans"/>
          <w:sz w:val="20"/>
          <w:szCs w:val="20"/>
        </w:rPr>
      </w:pPr>
      <w:r>
        <w:rPr>
          <w:rFonts w:ascii="Open Sans" w:eastAsia="Open Sans" w:hAnsi="Open Sans" w:cs="Open Sans"/>
          <w:sz w:val="20"/>
          <w:szCs w:val="20"/>
        </w:rPr>
        <w:t xml:space="preserve">Charities working </w:t>
      </w:r>
      <w:r>
        <w:rPr>
          <w:rFonts w:ascii="Open Sans" w:eastAsia="Open Sans" w:hAnsi="Open Sans" w:cs="Open Sans"/>
          <w:sz w:val="20"/>
          <w:szCs w:val="20"/>
        </w:rPr>
        <w:t>to reduce the probability of national and global catastrophic risks, and</w:t>
      </w:r>
    </w:p>
    <w:p w14:paraId="30441D28" w14:textId="77777777" w:rsidR="00A572EF" w:rsidRDefault="00A01F72">
      <w:pPr>
        <w:numPr>
          <w:ilvl w:val="0"/>
          <w:numId w:val="1"/>
        </w:numPr>
        <w:jc w:val="both"/>
        <w:rPr>
          <w:rFonts w:ascii="Open Sans" w:eastAsia="Open Sans" w:hAnsi="Open Sans" w:cs="Open Sans"/>
          <w:sz w:val="20"/>
          <w:szCs w:val="20"/>
        </w:rPr>
      </w:pPr>
      <w:r>
        <w:rPr>
          <w:rFonts w:ascii="Open Sans" w:eastAsia="Open Sans" w:hAnsi="Open Sans" w:cs="Open Sans"/>
          <w:sz w:val="20"/>
          <w:szCs w:val="20"/>
        </w:rPr>
        <w:t>Charities caring for wildlife and other nonhuman animals.</w:t>
      </w:r>
    </w:p>
    <w:p w14:paraId="30441D29" w14:textId="77777777" w:rsidR="00A572EF" w:rsidRDefault="00A572EF">
      <w:pPr>
        <w:jc w:val="both"/>
        <w:rPr>
          <w:rFonts w:ascii="Open Sans" w:eastAsia="Open Sans" w:hAnsi="Open Sans" w:cs="Open Sans"/>
          <w:sz w:val="20"/>
          <w:szCs w:val="20"/>
        </w:rPr>
      </w:pPr>
    </w:p>
    <w:p w14:paraId="30441D2A"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Regarding the first category, I expect that those reading this report are already aware of the degree to which the Australia</w:t>
      </w:r>
      <w:r>
        <w:rPr>
          <w:rFonts w:ascii="Open Sans" w:eastAsia="Open Sans" w:hAnsi="Open Sans" w:cs="Open Sans"/>
          <w:sz w:val="20"/>
          <w:szCs w:val="20"/>
        </w:rPr>
        <w:t>n public cares about the risks we face in our future. There is ample scholarly</w:t>
      </w:r>
      <w:r>
        <w:rPr>
          <w:rFonts w:ascii="Open Sans" w:eastAsia="Open Sans" w:hAnsi="Open Sans" w:cs="Open Sans"/>
          <w:sz w:val="20"/>
          <w:szCs w:val="20"/>
          <w:vertAlign w:val="superscript"/>
        </w:rPr>
        <w:footnoteReference w:id="3"/>
      </w:r>
      <w:r>
        <w:rPr>
          <w:rFonts w:ascii="Open Sans" w:eastAsia="Open Sans" w:hAnsi="Open Sans" w:cs="Open Sans"/>
          <w:sz w:val="20"/>
          <w:szCs w:val="20"/>
        </w:rPr>
        <w:t xml:space="preserve"> and poll-based</w:t>
      </w:r>
      <w:r>
        <w:rPr>
          <w:rFonts w:ascii="Open Sans" w:eastAsia="Open Sans" w:hAnsi="Open Sans" w:cs="Open Sans"/>
          <w:sz w:val="20"/>
          <w:szCs w:val="20"/>
          <w:vertAlign w:val="superscript"/>
        </w:rPr>
        <w:footnoteReference w:id="4"/>
      </w:r>
      <w:r>
        <w:rPr>
          <w:rFonts w:ascii="Open Sans" w:eastAsia="Open Sans" w:hAnsi="Open Sans" w:cs="Open Sans"/>
          <w:sz w:val="20"/>
          <w:szCs w:val="20"/>
        </w:rPr>
        <w:t xml:space="preserve"> evidence that we care about our future. The degree to which donations to environmental charities has been increasing over time</w:t>
      </w:r>
      <w:r>
        <w:rPr>
          <w:rFonts w:ascii="Open Sans" w:eastAsia="Open Sans" w:hAnsi="Open Sans" w:cs="Open Sans"/>
          <w:sz w:val="20"/>
          <w:szCs w:val="20"/>
          <w:vertAlign w:val="superscript"/>
        </w:rPr>
        <w:footnoteReference w:id="5"/>
      </w:r>
      <w:r>
        <w:rPr>
          <w:rFonts w:ascii="Open Sans" w:eastAsia="Open Sans" w:hAnsi="Open Sans" w:cs="Open Sans"/>
          <w:sz w:val="20"/>
          <w:szCs w:val="20"/>
        </w:rPr>
        <w:t xml:space="preserve"> is at least partly attributab</w:t>
      </w:r>
      <w:r>
        <w:rPr>
          <w:rFonts w:ascii="Open Sans" w:eastAsia="Open Sans" w:hAnsi="Open Sans" w:cs="Open Sans"/>
          <w:sz w:val="20"/>
          <w:szCs w:val="20"/>
        </w:rPr>
        <w:t>le to the fact that donors care about the future. Furthermore, the Assistant Minister for Competition, Charities and Treasury, the Honourable Dr Andrew Leigh MP, has written an entire book about global catastrophic risks and why we should care about them.</w:t>
      </w:r>
      <w:r>
        <w:rPr>
          <w:rFonts w:ascii="Open Sans" w:eastAsia="Open Sans" w:hAnsi="Open Sans" w:cs="Open Sans"/>
          <w:sz w:val="20"/>
          <w:szCs w:val="20"/>
          <w:vertAlign w:val="superscript"/>
        </w:rPr>
        <w:footnoteReference w:id="6"/>
      </w:r>
      <w:r>
        <w:rPr>
          <w:rFonts w:ascii="Open Sans" w:eastAsia="Open Sans" w:hAnsi="Open Sans" w:cs="Open Sans"/>
          <w:sz w:val="20"/>
          <w:szCs w:val="20"/>
        </w:rPr>
        <w:t xml:space="preserve"> Multiple other submissions to this inquiry have made strong arguments for why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should be conferred to charities working to reduce these risks.</w:t>
      </w:r>
    </w:p>
    <w:p w14:paraId="30441D2B" w14:textId="77777777" w:rsidR="00A572EF" w:rsidRDefault="00A572EF">
      <w:pPr>
        <w:jc w:val="both"/>
        <w:rPr>
          <w:rFonts w:ascii="Open Sans" w:eastAsia="Open Sans" w:hAnsi="Open Sans" w:cs="Open Sans"/>
          <w:sz w:val="20"/>
          <w:szCs w:val="20"/>
        </w:rPr>
      </w:pPr>
    </w:p>
    <w:p w14:paraId="30441D2C"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The way in which charities in the second category provide public benefit may be less obvious at firs</w:t>
      </w:r>
      <w:r>
        <w:rPr>
          <w:rFonts w:ascii="Open Sans" w:eastAsia="Open Sans" w:hAnsi="Open Sans" w:cs="Open Sans"/>
          <w:sz w:val="20"/>
          <w:szCs w:val="20"/>
        </w:rPr>
        <w:t xml:space="preserve">t glance. However, I think that there is actually clear evidence supporting the fact that charities </w:t>
      </w:r>
      <w:r>
        <w:rPr>
          <w:rFonts w:ascii="Open Sans" w:eastAsia="Open Sans" w:hAnsi="Open Sans" w:cs="Open Sans"/>
          <w:sz w:val="20"/>
          <w:szCs w:val="20"/>
        </w:rPr>
        <w:lastRenderedPageBreak/>
        <w:t xml:space="preserve">in this category </w:t>
      </w:r>
      <w:r>
        <w:rPr>
          <w:rFonts w:ascii="Open Sans" w:eastAsia="Open Sans" w:hAnsi="Open Sans" w:cs="Open Sans"/>
          <w:i/>
          <w:sz w:val="20"/>
          <w:szCs w:val="20"/>
        </w:rPr>
        <w:t>do</w:t>
      </w:r>
      <w:r>
        <w:rPr>
          <w:rFonts w:ascii="Open Sans" w:eastAsia="Open Sans" w:hAnsi="Open Sans" w:cs="Open Sans"/>
          <w:sz w:val="20"/>
          <w:szCs w:val="20"/>
        </w:rPr>
        <w:t xml:space="preserve"> provide large public benefits and </w:t>
      </w:r>
      <w:r>
        <w:rPr>
          <w:rFonts w:ascii="Open Sans" w:eastAsia="Open Sans" w:hAnsi="Open Sans" w:cs="Open Sans"/>
          <w:i/>
          <w:sz w:val="20"/>
          <w:szCs w:val="20"/>
        </w:rPr>
        <w:t>are</w:t>
      </w:r>
      <w:r>
        <w:rPr>
          <w:rFonts w:ascii="Open Sans" w:eastAsia="Open Sans" w:hAnsi="Open Sans" w:cs="Open Sans"/>
          <w:sz w:val="20"/>
          <w:szCs w:val="20"/>
        </w:rPr>
        <w:t xml:space="preserve"> supported by the Australian public. The rest of this submission is primarily dedicated to outlinin</w:t>
      </w:r>
      <w:r>
        <w:rPr>
          <w:rFonts w:ascii="Open Sans" w:eastAsia="Open Sans" w:hAnsi="Open Sans" w:cs="Open Sans"/>
          <w:sz w:val="20"/>
          <w:szCs w:val="20"/>
        </w:rPr>
        <w:t xml:space="preserve">g some of the evidence supporting these claims. I then finish with a concrete suggestion regarding how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Table contained in Section 30.45 of the </w:t>
      </w:r>
      <w:r>
        <w:rPr>
          <w:rFonts w:ascii="Open Sans" w:eastAsia="Open Sans" w:hAnsi="Open Sans" w:cs="Open Sans"/>
          <w:i/>
          <w:sz w:val="20"/>
          <w:szCs w:val="20"/>
        </w:rPr>
        <w:t>Income Tax Assessment Act</w:t>
      </w:r>
      <w:r>
        <w:rPr>
          <w:rFonts w:ascii="Open Sans" w:eastAsia="Open Sans" w:hAnsi="Open Sans" w:cs="Open Sans"/>
          <w:sz w:val="20"/>
          <w:szCs w:val="20"/>
        </w:rPr>
        <w:t xml:space="preserve"> 1997</w:t>
      </w:r>
      <w:r>
        <w:rPr>
          <w:rFonts w:ascii="Open Sans" w:eastAsia="Open Sans" w:hAnsi="Open Sans" w:cs="Open Sans"/>
          <w:sz w:val="20"/>
          <w:szCs w:val="20"/>
          <w:vertAlign w:val="superscript"/>
        </w:rPr>
        <w:footnoteReference w:id="7"/>
      </w:r>
      <w:r>
        <w:rPr>
          <w:rFonts w:ascii="Open Sans" w:eastAsia="Open Sans" w:hAnsi="Open Sans" w:cs="Open Sans"/>
          <w:sz w:val="20"/>
          <w:szCs w:val="20"/>
        </w:rPr>
        <w:t xml:space="preserve"> can better support charities caring for wildlife and other nonhuman anim</w:t>
      </w:r>
      <w:r>
        <w:rPr>
          <w:rFonts w:ascii="Open Sans" w:eastAsia="Open Sans" w:hAnsi="Open Sans" w:cs="Open Sans"/>
          <w:sz w:val="20"/>
          <w:szCs w:val="20"/>
        </w:rPr>
        <w:t>als.</w:t>
      </w:r>
    </w:p>
    <w:p w14:paraId="30441D2D" w14:textId="77777777" w:rsidR="00A572EF" w:rsidRDefault="00A572EF">
      <w:pPr>
        <w:jc w:val="both"/>
        <w:rPr>
          <w:rFonts w:ascii="Open Sans" w:eastAsia="Open Sans" w:hAnsi="Open Sans" w:cs="Open Sans"/>
          <w:b/>
          <w:sz w:val="20"/>
          <w:szCs w:val="20"/>
        </w:rPr>
      </w:pPr>
    </w:p>
    <w:p w14:paraId="30441D2E" w14:textId="77777777" w:rsidR="00A572EF" w:rsidRDefault="00A572EF">
      <w:pPr>
        <w:jc w:val="both"/>
        <w:rPr>
          <w:rFonts w:ascii="Open Sans" w:eastAsia="Open Sans" w:hAnsi="Open Sans" w:cs="Open Sans"/>
          <w:b/>
          <w:sz w:val="20"/>
          <w:szCs w:val="20"/>
        </w:rPr>
      </w:pPr>
    </w:p>
    <w:p w14:paraId="30441D2F" w14:textId="77777777" w:rsidR="00A572EF" w:rsidRDefault="00A572EF">
      <w:pPr>
        <w:jc w:val="both"/>
        <w:rPr>
          <w:rFonts w:ascii="Open Sans" w:eastAsia="Open Sans" w:hAnsi="Open Sans" w:cs="Open Sans"/>
          <w:b/>
          <w:sz w:val="20"/>
          <w:szCs w:val="20"/>
        </w:rPr>
      </w:pPr>
    </w:p>
    <w:p w14:paraId="30441D30" w14:textId="77777777" w:rsidR="00A572EF" w:rsidRDefault="00A01F72">
      <w:pPr>
        <w:jc w:val="both"/>
        <w:rPr>
          <w:rFonts w:ascii="Open Sans" w:eastAsia="Open Sans" w:hAnsi="Open Sans" w:cs="Open Sans"/>
          <w:b/>
          <w:sz w:val="24"/>
          <w:szCs w:val="24"/>
        </w:rPr>
      </w:pPr>
      <w:r>
        <w:rPr>
          <w:rFonts w:ascii="Open Sans" w:eastAsia="Open Sans" w:hAnsi="Open Sans" w:cs="Open Sans"/>
          <w:b/>
          <w:sz w:val="24"/>
          <w:szCs w:val="24"/>
        </w:rPr>
        <w:t>Why charities that care for wildlife and other nonhuman animals also provide benefits to the Australian public</w:t>
      </w:r>
    </w:p>
    <w:p w14:paraId="30441D31" w14:textId="77777777" w:rsidR="00A572EF" w:rsidRDefault="00A572EF">
      <w:pPr>
        <w:jc w:val="both"/>
        <w:rPr>
          <w:rFonts w:ascii="Open Sans" w:eastAsia="Open Sans" w:hAnsi="Open Sans" w:cs="Open Sans"/>
          <w:sz w:val="20"/>
          <w:szCs w:val="20"/>
        </w:rPr>
      </w:pPr>
    </w:p>
    <w:p w14:paraId="30441D32"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As outlined below, multiple studies have documented that the Australian public cares about wildlife and other nonhuman animals, and thin</w:t>
      </w:r>
      <w:r>
        <w:rPr>
          <w:rFonts w:ascii="Open Sans" w:eastAsia="Open Sans" w:hAnsi="Open Sans" w:cs="Open Sans"/>
          <w:sz w:val="20"/>
          <w:szCs w:val="20"/>
        </w:rPr>
        <w:t>ks that cruelty toward them and the infliction of suffering upon them should be prevented. Arising from these values, there are community expectations that we should support and work towards improving our country’s animal welfare outcomes. There is also ev</w:t>
      </w:r>
      <w:r>
        <w:rPr>
          <w:rFonts w:ascii="Open Sans" w:eastAsia="Open Sans" w:hAnsi="Open Sans" w:cs="Open Sans"/>
          <w:sz w:val="20"/>
          <w:szCs w:val="20"/>
        </w:rPr>
        <w:t>idence that meeting these expectations would provide substantial benefits to the public (in addition to benefiting the nonhuman charity recipients).</w:t>
      </w:r>
    </w:p>
    <w:p w14:paraId="30441D33" w14:textId="77777777" w:rsidR="00A572EF" w:rsidRDefault="00A572EF">
      <w:pPr>
        <w:jc w:val="both"/>
        <w:rPr>
          <w:rFonts w:ascii="Open Sans" w:eastAsia="Open Sans" w:hAnsi="Open Sans" w:cs="Open Sans"/>
          <w:sz w:val="20"/>
          <w:szCs w:val="20"/>
        </w:rPr>
      </w:pPr>
    </w:p>
    <w:p w14:paraId="30441D34"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Certain species of Australian wildlife, such as the koala, have been labelled national “icons.”</w:t>
      </w:r>
      <w:r>
        <w:rPr>
          <w:rFonts w:ascii="Open Sans" w:eastAsia="Open Sans" w:hAnsi="Open Sans" w:cs="Open Sans"/>
          <w:sz w:val="20"/>
          <w:szCs w:val="20"/>
          <w:vertAlign w:val="superscript"/>
        </w:rPr>
        <w:footnoteReference w:id="8"/>
      </w:r>
      <w:r>
        <w:rPr>
          <w:rFonts w:ascii="Open Sans" w:eastAsia="Open Sans" w:hAnsi="Open Sans" w:cs="Open Sans"/>
          <w:sz w:val="20"/>
          <w:szCs w:val="20"/>
        </w:rPr>
        <w:t xml:space="preserve"> However, the Australian public also values a range of other species, not just national icons.</w:t>
      </w:r>
      <w:r>
        <w:rPr>
          <w:rFonts w:ascii="Open Sans" w:eastAsia="Open Sans" w:hAnsi="Open Sans" w:cs="Open Sans"/>
          <w:sz w:val="20"/>
          <w:szCs w:val="20"/>
          <w:vertAlign w:val="superscript"/>
        </w:rPr>
        <w:footnoteReference w:id="9"/>
      </w:r>
      <w:r>
        <w:rPr>
          <w:rFonts w:ascii="Open Sans" w:eastAsia="Open Sans" w:hAnsi="Open Sans" w:cs="Open Sans"/>
          <w:sz w:val="20"/>
          <w:szCs w:val="20"/>
        </w:rPr>
        <w:t xml:space="preserve"> In a survey of 1,431 Victorians, including participants from both rural and urban communities, Miller (2003)</w:t>
      </w:r>
      <w:r>
        <w:rPr>
          <w:rFonts w:ascii="Open Sans" w:eastAsia="Open Sans" w:hAnsi="Open Sans" w:cs="Open Sans"/>
          <w:sz w:val="20"/>
          <w:szCs w:val="20"/>
          <w:vertAlign w:val="superscript"/>
        </w:rPr>
        <w:footnoteReference w:id="10"/>
      </w:r>
      <w:r>
        <w:rPr>
          <w:rFonts w:ascii="Open Sans" w:eastAsia="Open Sans" w:hAnsi="Open Sans" w:cs="Open Sans"/>
          <w:sz w:val="20"/>
          <w:szCs w:val="20"/>
        </w:rPr>
        <w:t xml:space="preserve"> found that the two values most strongly expressed in relation to wildlife were: </w:t>
      </w:r>
    </w:p>
    <w:p w14:paraId="30441D35" w14:textId="77777777" w:rsidR="00A572EF" w:rsidRDefault="00A01F72">
      <w:pPr>
        <w:ind w:left="720"/>
        <w:jc w:val="both"/>
        <w:rPr>
          <w:rFonts w:ascii="Open Sans" w:eastAsia="Open Sans" w:hAnsi="Open Sans" w:cs="Open Sans"/>
          <w:sz w:val="20"/>
          <w:szCs w:val="20"/>
        </w:rPr>
      </w:pPr>
      <w:r>
        <w:rPr>
          <w:rFonts w:ascii="Open Sans" w:eastAsia="Open Sans" w:hAnsi="Open Sans" w:cs="Open Sans"/>
          <w:sz w:val="20"/>
          <w:szCs w:val="20"/>
        </w:rPr>
        <w:t xml:space="preserve">(1) a </w:t>
      </w:r>
      <w:r>
        <w:rPr>
          <w:rFonts w:ascii="Open Sans" w:eastAsia="Open Sans" w:hAnsi="Open Sans" w:cs="Open Sans"/>
          <w:i/>
          <w:sz w:val="20"/>
          <w:szCs w:val="20"/>
        </w:rPr>
        <w:t xml:space="preserve">“comparatively strong emotional attachment to individual </w:t>
      </w:r>
      <w:r>
        <w:rPr>
          <w:rFonts w:ascii="Open Sans" w:eastAsia="Open Sans" w:hAnsi="Open Sans" w:cs="Open Sans"/>
          <w:i/>
          <w:sz w:val="20"/>
          <w:szCs w:val="20"/>
        </w:rPr>
        <w:t>animals,”</w:t>
      </w:r>
      <w:r>
        <w:rPr>
          <w:rFonts w:ascii="Open Sans" w:eastAsia="Open Sans" w:hAnsi="Open Sans" w:cs="Open Sans"/>
          <w:sz w:val="20"/>
          <w:szCs w:val="20"/>
        </w:rPr>
        <w:t xml:space="preserve"> and </w:t>
      </w:r>
    </w:p>
    <w:p w14:paraId="30441D36" w14:textId="77777777" w:rsidR="00A572EF" w:rsidRDefault="00A01F72">
      <w:pPr>
        <w:ind w:left="720"/>
        <w:jc w:val="both"/>
        <w:rPr>
          <w:rFonts w:ascii="Open Sans" w:eastAsia="Open Sans" w:hAnsi="Open Sans" w:cs="Open Sans"/>
          <w:sz w:val="20"/>
          <w:szCs w:val="20"/>
        </w:rPr>
      </w:pPr>
      <w:r>
        <w:rPr>
          <w:rFonts w:ascii="Open Sans" w:eastAsia="Open Sans" w:hAnsi="Open Sans" w:cs="Open Sans"/>
          <w:sz w:val="20"/>
          <w:szCs w:val="20"/>
        </w:rPr>
        <w:t xml:space="preserve">(2) an interest in learning about wildlife. </w:t>
      </w:r>
    </w:p>
    <w:p w14:paraId="30441D37"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A more recent survey of NSW residents also found positive attitudes toward a range of species of wildlife, with most residents valuing wildlife and believing that they should be protected, owing t</w:t>
      </w:r>
      <w:r>
        <w:rPr>
          <w:rFonts w:ascii="Open Sans" w:eastAsia="Open Sans" w:hAnsi="Open Sans" w:cs="Open Sans"/>
          <w:sz w:val="20"/>
          <w:szCs w:val="20"/>
        </w:rPr>
        <w:t>o the crucial role they play within the ecosystem.</w:t>
      </w:r>
      <w:r>
        <w:rPr>
          <w:rFonts w:ascii="Open Sans" w:eastAsia="Open Sans" w:hAnsi="Open Sans" w:cs="Open Sans"/>
          <w:sz w:val="20"/>
          <w:szCs w:val="20"/>
          <w:vertAlign w:val="superscript"/>
        </w:rPr>
        <w:footnoteReference w:id="11"/>
      </w:r>
      <w:r>
        <w:rPr>
          <w:rFonts w:ascii="Open Sans" w:eastAsia="Open Sans" w:hAnsi="Open Sans" w:cs="Open Sans"/>
          <w:sz w:val="20"/>
          <w:szCs w:val="20"/>
        </w:rPr>
        <w:t xml:space="preserve"> Our “very positive” attitudes have also been found to extend towards marine wildlife.</w:t>
      </w:r>
      <w:r>
        <w:rPr>
          <w:rFonts w:ascii="Open Sans" w:eastAsia="Open Sans" w:hAnsi="Open Sans" w:cs="Open Sans"/>
          <w:sz w:val="20"/>
          <w:szCs w:val="20"/>
          <w:vertAlign w:val="superscript"/>
        </w:rPr>
        <w:footnoteReference w:id="12"/>
      </w:r>
      <w:r>
        <w:rPr>
          <w:rFonts w:ascii="Open Sans" w:eastAsia="Open Sans" w:hAnsi="Open Sans" w:cs="Open Sans"/>
          <w:sz w:val="20"/>
          <w:szCs w:val="20"/>
        </w:rPr>
        <w:t xml:space="preserve"> </w:t>
      </w:r>
    </w:p>
    <w:p w14:paraId="30441D38" w14:textId="77777777" w:rsidR="00A572EF" w:rsidRDefault="00A572EF">
      <w:pPr>
        <w:jc w:val="both"/>
        <w:rPr>
          <w:rFonts w:ascii="Open Sans" w:eastAsia="Open Sans" w:hAnsi="Open Sans" w:cs="Open Sans"/>
          <w:sz w:val="20"/>
          <w:szCs w:val="20"/>
        </w:rPr>
      </w:pPr>
    </w:p>
    <w:p w14:paraId="30441D39"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lastRenderedPageBreak/>
        <w:t>The public’s belief that nonhuman animals deserve protection pertains not only to wildlife but to other animals a</w:t>
      </w:r>
      <w:r>
        <w:rPr>
          <w:rFonts w:ascii="Open Sans" w:eastAsia="Open Sans" w:hAnsi="Open Sans" w:cs="Open Sans"/>
          <w:sz w:val="20"/>
          <w:szCs w:val="20"/>
        </w:rPr>
        <w:t>s well.</w:t>
      </w:r>
      <w:r>
        <w:rPr>
          <w:rFonts w:ascii="Open Sans" w:eastAsia="Open Sans" w:hAnsi="Open Sans" w:cs="Open Sans"/>
          <w:sz w:val="20"/>
          <w:szCs w:val="20"/>
          <w:vertAlign w:val="superscript"/>
        </w:rPr>
        <w:footnoteReference w:id="13"/>
      </w:r>
      <w:r>
        <w:rPr>
          <w:rFonts w:ascii="Open Sans" w:eastAsia="Open Sans" w:hAnsi="Open Sans" w:cs="Open Sans"/>
          <w:sz w:val="20"/>
          <w:szCs w:val="20"/>
        </w:rPr>
        <w:t xml:space="preserve"> Critically, the majority of the Australian public believe that animals are capable of experiencing pain</w:t>
      </w:r>
      <w:r>
        <w:rPr>
          <w:rFonts w:ascii="Open Sans" w:eastAsia="Open Sans" w:hAnsi="Open Sans" w:cs="Open Sans"/>
          <w:sz w:val="20"/>
          <w:szCs w:val="20"/>
          <w:vertAlign w:val="superscript"/>
        </w:rPr>
        <w:footnoteReference w:id="14"/>
      </w:r>
      <w:r>
        <w:rPr>
          <w:rFonts w:ascii="Open Sans" w:eastAsia="Open Sans" w:hAnsi="Open Sans" w:cs="Open Sans"/>
          <w:sz w:val="20"/>
          <w:szCs w:val="20"/>
        </w:rPr>
        <w:t xml:space="preserve"> and that it is important to prevent animals from suffering.</w:t>
      </w:r>
      <w:r>
        <w:rPr>
          <w:rFonts w:ascii="Open Sans" w:eastAsia="Open Sans" w:hAnsi="Open Sans" w:cs="Open Sans"/>
          <w:sz w:val="20"/>
          <w:szCs w:val="20"/>
          <w:vertAlign w:val="superscript"/>
        </w:rPr>
        <w:footnoteReference w:id="15"/>
      </w:r>
      <w:r>
        <w:rPr>
          <w:rFonts w:ascii="Open Sans" w:eastAsia="Open Sans" w:hAnsi="Open Sans" w:cs="Open Sans"/>
          <w:sz w:val="20"/>
          <w:szCs w:val="20"/>
        </w:rPr>
        <w:t xml:space="preserve">  Indeed, it would be concerning if we did </w:t>
      </w:r>
      <w:r>
        <w:rPr>
          <w:rFonts w:ascii="Open Sans" w:eastAsia="Open Sans" w:hAnsi="Open Sans" w:cs="Open Sans"/>
          <w:i/>
          <w:sz w:val="20"/>
          <w:szCs w:val="20"/>
        </w:rPr>
        <w:t xml:space="preserve">not </w:t>
      </w:r>
      <w:r>
        <w:rPr>
          <w:rFonts w:ascii="Open Sans" w:eastAsia="Open Sans" w:hAnsi="Open Sans" w:cs="Open Sans"/>
          <w:sz w:val="20"/>
          <w:szCs w:val="20"/>
        </w:rPr>
        <w:t>think that suffering should be p</w:t>
      </w:r>
      <w:r>
        <w:rPr>
          <w:rFonts w:ascii="Open Sans" w:eastAsia="Open Sans" w:hAnsi="Open Sans" w:cs="Open Sans"/>
          <w:sz w:val="20"/>
          <w:szCs w:val="20"/>
        </w:rPr>
        <w:t>revented. Empathic concern (and the related desire to prevent and alleviate suffering) is of central importance to our social functioning,</w:t>
      </w:r>
      <w:r>
        <w:rPr>
          <w:rFonts w:ascii="Open Sans" w:eastAsia="Open Sans" w:hAnsi="Open Sans" w:cs="Open Sans"/>
          <w:sz w:val="20"/>
          <w:szCs w:val="20"/>
          <w:vertAlign w:val="superscript"/>
        </w:rPr>
        <w:footnoteReference w:id="16"/>
      </w:r>
      <w:r>
        <w:rPr>
          <w:rFonts w:ascii="Open Sans" w:eastAsia="Open Sans" w:hAnsi="Open Sans" w:cs="Open Sans"/>
          <w:sz w:val="20"/>
          <w:szCs w:val="20"/>
        </w:rPr>
        <w:t xml:space="preserve"> and a deficit in empathic concern for others’ suffering is a hallmark of a psychopathic personality.</w:t>
      </w:r>
      <w:r>
        <w:rPr>
          <w:rFonts w:ascii="Open Sans" w:eastAsia="Open Sans" w:hAnsi="Open Sans" w:cs="Open Sans"/>
          <w:sz w:val="20"/>
          <w:szCs w:val="20"/>
          <w:vertAlign w:val="superscript"/>
        </w:rPr>
        <w:footnoteReference w:id="17"/>
      </w:r>
      <w:r>
        <w:rPr>
          <w:rFonts w:ascii="Open Sans" w:eastAsia="Open Sans" w:hAnsi="Open Sans" w:cs="Open Sans"/>
          <w:sz w:val="20"/>
          <w:szCs w:val="20"/>
        </w:rPr>
        <w:t xml:space="preserve"> </w:t>
      </w:r>
    </w:p>
    <w:p w14:paraId="30441D3A" w14:textId="77777777" w:rsidR="00A572EF" w:rsidRDefault="00A572EF">
      <w:pPr>
        <w:jc w:val="both"/>
        <w:rPr>
          <w:rFonts w:ascii="Open Sans" w:eastAsia="Open Sans" w:hAnsi="Open Sans" w:cs="Open Sans"/>
          <w:sz w:val="20"/>
          <w:szCs w:val="20"/>
        </w:rPr>
      </w:pPr>
    </w:p>
    <w:p w14:paraId="30441D3B"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A 2019 sur</w:t>
      </w:r>
      <w:r>
        <w:rPr>
          <w:rFonts w:ascii="Open Sans" w:eastAsia="Open Sans" w:hAnsi="Open Sans" w:cs="Open Sans"/>
          <w:sz w:val="20"/>
          <w:szCs w:val="20"/>
        </w:rPr>
        <w:t>vey of 1,521 participants from across Australia</w:t>
      </w:r>
      <w:r>
        <w:rPr>
          <w:rFonts w:ascii="Open Sans" w:eastAsia="Open Sans" w:hAnsi="Open Sans" w:cs="Open Sans"/>
          <w:sz w:val="20"/>
          <w:szCs w:val="20"/>
          <w:vertAlign w:val="superscript"/>
        </w:rPr>
        <w:footnoteReference w:id="18"/>
      </w:r>
      <w:r>
        <w:rPr>
          <w:rFonts w:ascii="Open Sans" w:eastAsia="Open Sans" w:hAnsi="Open Sans" w:cs="Open Sans"/>
          <w:sz w:val="20"/>
          <w:szCs w:val="20"/>
        </w:rPr>
        <w:t xml:space="preserve"> found that the vast majority of </w:t>
      </w:r>
      <w:proofErr w:type="spellStart"/>
      <w:r>
        <w:rPr>
          <w:rFonts w:ascii="Open Sans" w:eastAsia="Open Sans" w:hAnsi="Open Sans" w:cs="Open Sans"/>
          <w:sz w:val="20"/>
          <w:szCs w:val="20"/>
        </w:rPr>
        <w:t>Austrlians</w:t>
      </w:r>
      <w:proofErr w:type="spellEnd"/>
      <w:r>
        <w:rPr>
          <w:rFonts w:ascii="Open Sans" w:eastAsia="Open Sans" w:hAnsi="Open Sans" w:cs="Open Sans"/>
          <w:sz w:val="20"/>
          <w:szCs w:val="20"/>
        </w:rPr>
        <w:t xml:space="preserve"> agree that </w:t>
      </w:r>
      <w:r>
        <w:rPr>
          <w:rFonts w:ascii="Open Sans" w:eastAsia="Open Sans" w:hAnsi="Open Sans" w:cs="Open Sans"/>
          <w:i/>
          <w:sz w:val="20"/>
          <w:szCs w:val="20"/>
        </w:rPr>
        <w:t>“animals should not be subjected to unnecessary pain or suffering.”</w:t>
      </w:r>
      <w:r>
        <w:rPr>
          <w:rFonts w:ascii="Open Sans" w:eastAsia="Open Sans" w:hAnsi="Open Sans" w:cs="Open Sans"/>
          <w:sz w:val="20"/>
          <w:szCs w:val="20"/>
        </w:rPr>
        <w:t xml:space="preserve"> In fact, 64% </w:t>
      </w:r>
      <w:r>
        <w:rPr>
          <w:rFonts w:ascii="Open Sans" w:eastAsia="Open Sans" w:hAnsi="Open Sans" w:cs="Open Sans"/>
          <w:i/>
          <w:sz w:val="20"/>
          <w:szCs w:val="20"/>
        </w:rPr>
        <w:t>strongly</w:t>
      </w:r>
      <w:r>
        <w:rPr>
          <w:rFonts w:ascii="Open Sans" w:eastAsia="Open Sans" w:hAnsi="Open Sans" w:cs="Open Sans"/>
          <w:sz w:val="20"/>
          <w:szCs w:val="20"/>
        </w:rPr>
        <w:t xml:space="preserve"> agreed with this statement, 28% agreed, 6% were undecided, and</w:t>
      </w:r>
      <w:r>
        <w:rPr>
          <w:rFonts w:ascii="Open Sans" w:eastAsia="Open Sans" w:hAnsi="Open Sans" w:cs="Open Sans"/>
          <w:sz w:val="20"/>
          <w:szCs w:val="20"/>
        </w:rPr>
        <w:t xml:space="preserve"> only 2% disagreed. Consistent with these observations, the public tends to be very distressed when we learn about animal cruelty.</w:t>
      </w:r>
      <w:r>
        <w:rPr>
          <w:rFonts w:ascii="Open Sans" w:eastAsia="Open Sans" w:hAnsi="Open Sans" w:cs="Open Sans"/>
          <w:sz w:val="20"/>
          <w:szCs w:val="20"/>
          <w:vertAlign w:val="superscript"/>
        </w:rPr>
        <w:footnoteReference w:id="19"/>
      </w:r>
      <w:r>
        <w:rPr>
          <w:rFonts w:ascii="Open Sans" w:eastAsia="Open Sans" w:hAnsi="Open Sans" w:cs="Open Sans"/>
          <w:sz w:val="20"/>
          <w:szCs w:val="20"/>
        </w:rPr>
        <w:t xml:space="preserve"> For example, when footage was released in 2011 showing cattle suffering cruel treatment as part of the live export trade, t</w:t>
      </w:r>
      <w:r>
        <w:rPr>
          <w:rFonts w:ascii="Open Sans" w:eastAsia="Open Sans" w:hAnsi="Open Sans" w:cs="Open Sans"/>
          <w:sz w:val="20"/>
          <w:szCs w:val="20"/>
        </w:rPr>
        <w:t>he common responses of the Australian public ranged from “appalled” to “shocked” and “horrified.”</w:t>
      </w:r>
      <w:r>
        <w:rPr>
          <w:rFonts w:ascii="Open Sans" w:eastAsia="Open Sans" w:hAnsi="Open Sans" w:cs="Open Sans"/>
          <w:sz w:val="20"/>
          <w:szCs w:val="20"/>
          <w:vertAlign w:val="superscript"/>
        </w:rPr>
        <w:footnoteReference w:id="20"/>
      </w:r>
      <w:r>
        <w:rPr>
          <w:rFonts w:ascii="Open Sans" w:eastAsia="Open Sans" w:hAnsi="Open Sans" w:cs="Open Sans"/>
          <w:sz w:val="20"/>
          <w:szCs w:val="20"/>
        </w:rPr>
        <w:t xml:space="preserve"> </w:t>
      </w:r>
    </w:p>
    <w:p w14:paraId="30441D3C" w14:textId="77777777" w:rsidR="00A572EF" w:rsidRDefault="00A572EF">
      <w:pPr>
        <w:jc w:val="both"/>
        <w:rPr>
          <w:rFonts w:ascii="Open Sans" w:eastAsia="Open Sans" w:hAnsi="Open Sans" w:cs="Open Sans"/>
          <w:sz w:val="20"/>
          <w:szCs w:val="20"/>
        </w:rPr>
      </w:pPr>
    </w:p>
    <w:p w14:paraId="30441D3D"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The observations above follow naturally from the increasing recognition (among both scientific and lay communities) that animals are sentient and are capa</w:t>
      </w:r>
      <w:r>
        <w:rPr>
          <w:rFonts w:ascii="Open Sans" w:eastAsia="Open Sans" w:hAnsi="Open Sans" w:cs="Open Sans"/>
          <w:sz w:val="20"/>
          <w:szCs w:val="20"/>
        </w:rPr>
        <w:t>ble of suffering. As soon as one recognises that animals are sentient, it follows that they are capable of experiencing negative emotional states. Consequently, unless one is sadistic or is lacking in empathy,</w:t>
      </w:r>
      <w:r>
        <w:rPr>
          <w:rFonts w:ascii="Open Sans" w:eastAsia="Open Sans" w:hAnsi="Open Sans" w:cs="Open Sans"/>
          <w:sz w:val="20"/>
          <w:szCs w:val="20"/>
          <w:vertAlign w:val="superscript"/>
        </w:rPr>
        <w:footnoteReference w:id="21"/>
      </w:r>
      <w:r>
        <w:rPr>
          <w:rFonts w:ascii="Open Sans" w:eastAsia="Open Sans" w:hAnsi="Open Sans" w:cs="Open Sans"/>
          <w:sz w:val="20"/>
          <w:szCs w:val="20"/>
        </w:rPr>
        <w:t xml:space="preserve"> one will be motivated to prevent animals fro</w:t>
      </w:r>
      <w:r>
        <w:rPr>
          <w:rFonts w:ascii="Open Sans" w:eastAsia="Open Sans" w:hAnsi="Open Sans" w:cs="Open Sans"/>
          <w:sz w:val="20"/>
          <w:szCs w:val="20"/>
        </w:rPr>
        <w:t xml:space="preserve">m being subjected to unnecessary pain and suffering. </w:t>
      </w:r>
    </w:p>
    <w:p w14:paraId="30441D3E" w14:textId="77777777" w:rsidR="00A572EF" w:rsidRDefault="00A572EF">
      <w:pPr>
        <w:jc w:val="both"/>
        <w:rPr>
          <w:rFonts w:ascii="Open Sans" w:eastAsia="Open Sans" w:hAnsi="Open Sans" w:cs="Open Sans"/>
          <w:sz w:val="20"/>
          <w:szCs w:val="20"/>
        </w:rPr>
      </w:pPr>
    </w:p>
    <w:p w14:paraId="30441D3F"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The Cambridge Declaration on Consciousness neatly summarises the neuroscientific evidence that humans are not the only animals capable of consciousness. The Declaration was made by an international gro</w:t>
      </w:r>
      <w:r>
        <w:rPr>
          <w:rFonts w:ascii="Open Sans" w:eastAsia="Open Sans" w:hAnsi="Open Sans" w:cs="Open Sans"/>
          <w:sz w:val="20"/>
          <w:szCs w:val="20"/>
        </w:rPr>
        <w:t>up of prominent cognitive neuroscientists, neuropharmacologists, neurophysiologists, neuroanatomists and computational neuroscientists, and it states that:</w:t>
      </w:r>
    </w:p>
    <w:p w14:paraId="30441D40" w14:textId="77777777" w:rsidR="00A572EF" w:rsidRDefault="00A01F72">
      <w:pPr>
        <w:ind w:left="720"/>
        <w:jc w:val="both"/>
        <w:rPr>
          <w:rFonts w:ascii="Open Sans" w:eastAsia="Open Sans" w:hAnsi="Open Sans" w:cs="Open Sans"/>
          <w:i/>
          <w:sz w:val="20"/>
          <w:szCs w:val="20"/>
        </w:rPr>
      </w:pPr>
      <w:r>
        <w:rPr>
          <w:rFonts w:ascii="Open Sans" w:eastAsia="Open Sans" w:hAnsi="Open Sans" w:cs="Open Sans"/>
          <w:i/>
          <w:sz w:val="20"/>
          <w:szCs w:val="20"/>
        </w:rPr>
        <w:lastRenderedPageBreak/>
        <w:t>“The weight of evidence indicates that humans are not unique in possessing the neurological substrat</w:t>
      </w:r>
      <w:r>
        <w:rPr>
          <w:rFonts w:ascii="Open Sans" w:eastAsia="Open Sans" w:hAnsi="Open Sans" w:cs="Open Sans"/>
          <w:i/>
          <w:sz w:val="20"/>
          <w:szCs w:val="20"/>
        </w:rPr>
        <w:t>es that generate consciousness. Nonhuman animals, including all mammals and birds, and many other creatures, including octopuses, also possess these neurological substrates.”</w:t>
      </w:r>
      <w:r>
        <w:rPr>
          <w:rFonts w:ascii="Open Sans" w:eastAsia="Open Sans" w:hAnsi="Open Sans" w:cs="Open Sans"/>
          <w:i/>
          <w:sz w:val="20"/>
          <w:szCs w:val="20"/>
          <w:vertAlign w:val="superscript"/>
        </w:rPr>
        <w:footnoteReference w:id="22"/>
      </w:r>
      <w:r>
        <w:rPr>
          <w:rFonts w:ascii="Open Sans" w:eastAsia="Open Sans" w:hAnsi="Open Sans" w:cs="Open Sans"/>
          <w:i/>
          <w:sz w:val="20"/>
          <w:szCs w:val="20"/>
        </w:rPr>
        <w:t xml:space="preserve"> </w:t>
      </w:r>
    </w:p>
    <w:p w14:paraId="30441D41" w14:textId="77777777" w:rsidR="00A572EF" w:rsidRDefault="00A572EF">
      <w:pPr>
        <w:jc w:val="both"/>
        <w:rPr>
          <w:rFonts w:ascii="Open Sans" w:eastAsia="Open Sans" w:hAnsi="Open Sans" w:cs="Open Sans"/>
          <w:sz w:val="20"/>
          <w:szCs w:val="20"/>
        </w:rPr>
      </w:pPr>
    </w:p>
    <w:p w14:paraId="30441D42"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In addition to the above scientific consensus on animal consciousness, members of the public are also increasingly understanding of animal sentience, in part thanks to the educational materials available. For example, the Royal Society for the Prevention o</w:t>
      </w:r>
      <w:r>
        <w:rPr>
          <w:rFonts w:ascii="Open Sans" w:eastAsia="Open Sans" w:hAnsi="Open Sans" w:cs="Open Sans"/>
          <w:sz w:val="20"/>
          <w:szCs w:val="20"/>
        </w:rPr>
        <w:t>f Cruelty to Animals provides the public with accessible information on animal sentience so that anyone can freely read and readily understand the information.</w:t>
      </w:r>
      <w:r>
        <w:rPr>
          <w:rFonts w:ascii="Open Sans" w:eastAsia="Open Sans" w:hAnsi="Open Sans" w:cs="Open Sans"/>
          <w:sz w:val="20"/>
          <w:szCs w:val="20"/>
          <w:vertAlign w:val="superscript"/>
        </w:rPr>
        <w:footnoteReference w:id="23"/>
      </w:r>
      <w:r>
        <w:rPr>
          <w:rFonts w:ascii="Open Sans" w:eastAsia="Open Sans" w:hAnsi="Open Sans" w:cs="Open Sans"/>
          <w:sz w:val="20"/>
          <w:szCs w:val="20"/>
        </w:rPr>
        <w:t xml:space="preserve"> </w:t>
      </w:r>
    </w:p>
    <w:p w14:paraId="30441D43" w14:textId="77777777" w:rsidR="00A572EF" w:rsidRDefault="00A572EF">
      <w:pPr>
        <w:jc w:val="both"/>
        <w:rPr>
          <w:rFonts w:ascii="Open Sans" w:eastAsia="Open Sans" w:hAnsi="Open Sans" w:cs="Open Sans"/>
          <w:sz w:val="20"/>
          <w:szCs w:val="20"/>
        </w:rPr>
      </w:pPr>
    </w:p>
    <w:p w14:paraId="30441D44"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In the Australian Capital Territory, the recognition of animal sentience became enshrined in</w:t>
      </w:r>
      <w:r>
        <w:rPr>
          <w:rFonts w:ascii="Open Sans" w:eastAsia="Open Sans" w:hAnsi="Open Sans" w:cs="Open Sans"/>
          <w:sz w:val="20"/>
          <w:szCs w:val="20"/>
        </w:rPr>
        <w:t xml:space="preserve"> legislation on September 26, 2019,</w:t>
      </w:r>
      <w:r>
        <w:rPr>
          <w:rFonts w:ascii="Open Sans" w:eastAsia="Open Sans" w:hAnsi="Open Sans" w:cs="Open Sans"/>
          <w:sz w:val="20"/>
          <w:szCs w:val="20"/>
          <w:vertAlign w:val="superscript"/>
        </w:rPr>
        <w:footnoteReference w:id="24"/>
      </w:r>
      <w:r>
        <w:rPr>
          <w:rFonts w:ascii="Open Sans" w:eastAsia="Open Sans" w:hAnsi="Open Sans" w:cs="Open Sans"/>
          <w:sz w:val="20"/>
          <w:szCs w:val="20"/>
        </w:rPr>
        <w:t xml:space="preserve"> when the Animal Welfare Legislation Amendment Bill was passed to amend the ACT’s </w:t>
      </w:r>
      <w:r>
        <w:rPr>
          <w:rFonts w:ascii="Open Sans" w:eastAsia="Open Sans" w:hAnsi="Open Sans" w:cs="Open Sans"/>
          <w:i/>
          <w:sz w:val="20"/>
          <w:szCs w:val="20"/>
        </w:rPr>
        <w:t>Animal Welfare Act</w:t>
      </w:r>
      <w:r>
        <w:rPr>
          <w:rFonts w:ascii="Open Sans" w:eastAsia="Open Sans" w:hAnsi="Open Sans" w:cs="Open Sans"/>
          <w:sz w:val="20"/>
          <w:szCs w:val="20"/>
        </w:rPr>
        <w:t xml:space="preserve"> (1992).</w:t>
      </w:r>
      <w:r>
        <w:rPr>
          <w:rFonts w:ascii="Open Sans" w:eastAsia="Open Sans" w:hAnsi="Open Sans" w:cs="Open Sans"/>
          <w:sz w:val="20"/>
          <w:szCs w:val="20"/>
          <w:vertAlign w:val="superscript"/>
        </w:rPr>
        <w:footnoteReference w:id="25"/>
      </w:r>
      <w:r>
        <w:rPr>
          <w:rFonts w:ascii="Open Sans" w:eastAsia="Open Sans" w:hAnsi="Open Sans" w:cs="Open Sans"/>
          <w:sz w:val="20"/>
          <w:szCs w:val="20"/>
        </w:rPr>
        <w:t xml:space="preserve"> The main objects of the Act are now to recognise that:</w:t>
      </w:r>
    </w:p>
    <w:p w14:paraId="30441D45" w14:textId="77777777" w:rsidR="00A572EF" w:rsidRDefault="00A572EF">
      <w:pPr>
        <w:jc w:val="both"/>
        <w:rPr>
          <w:rFonts w:ascii="Open Sans" w:eastAsia="Open Sans" w:hAnsi="Open Sans" w:cs="Open Sans"/>
          <w:sz w:val="20"/>
          <w:szCs w:val="20"/>
        </w:rPr>
      </w:pPr>
    </w:p>
    <w:p w14:paraId="30441D46" w14:textId="77777777" w:rsidR="00A572EF" w:rsidRDefault="00A01F72">
      <w:pPr>
        <w:ind w:left="720"/>
        <w:jc w:val="both"/>
        <w:rPr>
          <w:rFonts w:ascii="Open Sans" w:eastAsia="Open Sans" w:hAnsi="Open Sans" w:cs="Open Sans"/>
          <w:i/>
          <w:sz w:val="20"/>
          <w:szCs w:val="20"/>
        </w:rPr>
      </w:pPr>
      <w:r>
        <w:rPr>
          <w:rFonts w:ascii="Open Sans" w:eastAsia="Open Sans" w:hAnsi="Open Sans" w:cs="Open Sans"/>
          <w:i/>
          <w:sz w:val="20"/>
          <w:szCs w:val="20"/>
        </w:rPr>
        <w:t>“(a) animals are sentient beings that are able to su</w:t>
      </w:r>
      <w:r>
        <w:rPr>
          <w:rFonts w:ascii="Open Sans" w:eastAsia="Open Sans" w:hAnsi="Open Sans" w:cs="Open Sans"/>
          <w:i/>
          <w:sz w:val="20"/>
          <w:szCs w:val="20"/>
        </w:rPr>
        <w:t>bjectively feel and perceive the world around them; and</w:t>
      </w:r>
    </w:p>
    <w:p w14:paraId="30441D47" w14:textId="77777777" w:rsidR="00A572EF" w:rsidRDefault="00A572EF">
      <w:pPr>
        <w:ind w:left="720"/>
        <w:jc w:val="both"/>
        <w:rPr>
          <w:rFonts w:ascii="Open Sans" w:eastAsia="Open Sans" w:hAnsi="Open Sans" w:cs="Open Sans"/>
          <w:i/>
          <w:sz w:val="20"/>
          <w:szCs w:val="20"/>
        </w:rPr>
      </w:pPr>
    </w:p>
    <w:p w14:paraId="30441D48" w14:textId="77777777" w:rsidR="00A572EF" w:rsidRDefault="00A01F72">
      <w:pPr>
        <w:ind w:left="720"/>
        <w:jc w:val="both"/>
        <w:rPr>
          <w:rFonts w:ascii="Open Sans" w:eastAsia="Open Sans" w:hAnsi="Open Sans" w:cs="Open Sans"/>
          <w:i/>
          <w:sz w:val="20"/>
          <w:szCs w:val="20"/>
        </w:rPr>
      </w:pPr>
      <w:r>
        <w:rPr>
          <w:rFonts w:ascii="Open Sans" w:eastAsia="Open Sans" w:hAnsi="Open Sans" w:cs="Open Sans"/>
          <w:i/>
          <w:sz w:val="20"/>
          <w:szCs w:val="20"/>
        </w:rPr>
        <w:t xml:space="preserve"> (b) animals have intrinsic value and deserve to be treated with compassion and have a quality of life that reflects their intrinsic value; and</w:t>
      </w:r>
    </w:p>
    <w:p w14:paraId="30441D49" w14:textId="77777777" w:rsidR="00A572EF" w:rsidRDefault="00A572EF">
      <w:pPr>
        <w:ind w:left="720"/>
        <w:jc w:val="both"/>
        <w:rPr>
          <w:rFonts w:ascii="Open Sans" w:eastAsia="Open Sans" w:hAnsi="Open Sans" w:cs="Open Sans"/>
          <w:i/>
          <w:sz w:val="20"/>
          <w:szCs w:val="20"/>
        </w:rPr>
      </w:pPr>
    </w:p>
    <w:p w14:paraId="30441D4A" w14:textId="77777777" w:rsidR="00A572EF" w:rsidRDefault="00A01F72">
      <w:pPr>
        <w:ind w:left="720"/>
        <w:jc w:val="both"/>
        <w:rPr>
          <w:rFonts w:ascii="Open Sans" w:eastAsia="Open Sans" w:hAnsi="Open Sans" w:cs="Open Sans"/>
          <w:i/>
          <w:sz w:val="20"/>
          <w:szCs w:val="20"/>
        </w:rPr>
      </w:pPr>
      <w:r>
        <w:rPr>
          <w:rFonts w:ascii="Open Sans" w:eastAsia="Open Sans" w:hAnsi="Open Sans" w:cs="Open Sans"/>
          <w:i/>
          <w:sz w:val="20"/>
          <w:szCs w:val="20"/>
        </w:rPr>
        <w:t xml:space="preserve"> (c) people have a duty to care for the physical and m</w:t>
      </w:r>
      <w:r>
        <w:rPr>
          <w:rFonts w:ascii="Open Sans" w:eastAsia="Open Sans" w:hAnsi="Open Sans" w:cs="Open Sans"/>
          <w:i/>
          <w:sz w:val="20"/>
          <w:szCs w:val="20"/>
        </w:rPr>
        <w:t>ental welfare of animals.”</w:t>
      </w:r>
    </w:p>
    <w:p w14:paraId="30441D4B" w14:textId="77777777" w:rsidR="00A572EF" w:rsidRDefault="00A572EF">
      <w:pPr>
        <w:jc w:val="both"/>
        <w:rPr>
          <w:rFonts w:ascii="Open Sans" w:eastAsia="Open Sans" w:hAnsi="Open Sans" w:cs="Open Sans"/>
          <w:sz w:val="20"/>
          <w:szCs w:val="20"/>
        </w:rPr>
      </w:pPr>
    </w:p>
    <w:p w14:paraId="30441D4C"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The Victorian government also recognises that animals are sentient in its recent Animal Welfare Action Plan.</w:t>
      </w:r>
      <w:r>
        <w:rPr>
          <w:rFonts w:ascii="Open Sans" w:eastAsia="Open Sans" w:hAnsi="Open Sans" w:cs="Open Sans"/>
          <w:sz w:val="20"/>
          <w:szCs w:val="20"/>
          <w:vertAlign w:val="superscript"/>
        </w:rPr>
        <w:footnoteReference w:id="26"/>
      </w:r>
      <w:r>
        <w:rPr>
          <w:rFonts w:ascii="Open Sans" w:eastAsia="Open Sans" w:hAnsi="Open Sans" w:cs="Open Sans"/>
          <w:sz w:val="20"/>
          <w:szCs w:val="20"/>
        </w:rPr>
        <w:t xml:space="preserve"> Furthermore, even in cases where there </w:t>
      </w:r>
      <w:r>
        <w:rPr>
          <w:rFonts w:ascii="Open Sans" w:eastAsia="Open Sans" w:hAnsi="Open Sans" w:cs="Open Sans"/>
          <w:i/>
          <w:sz w:val="20"/>
          <w:szCs w:val="20"/>
        </w:rPr>
        <w:t xml:space="preserve">isn’t </w:t>
      </w:r>
      <w:r>
        <w:rPr>
          <w:rFonts w:ascii="Open Sans" w:eastAsia="Open Sans" w:hAnsi="Open Sans" w:cs="Open Sans"/>
          <w:sz w:val="20"/>
          <w:szCs w:val="20"/>
        </w:rPr>
        <w:t xml:space="preserve">an explicit mention of animal sentience </w:t>
      </w:r>
      <w:r>
        <w:rPr>
          <w:rFonts w:ascii="Open Sans" w:eastAsia="Open Sans" w:hAnsi="Open Sans" w:cs="Open Sans"/>
          <w:i/>
          <w:sz w:val="20"/>
          <w:szCs w:val="20"/>
        </w:rPr>
        <w:t xml:space="preserve">per se, </w:t>
      </w:r>
      <w:r>
        <w:rPr>
          <w:rFonts w:ascii="Open Sans" w:eastAsia="Open Sans" w:hAnsi="Open Sans" w:cs="Open Sans"/>
          <w:sz w:val="20"/>
          <w:szCs w:val="20"/>
        </w:rPr>
        <w:t>there is still an acknow</w:t>
      </w:r>
      <w:r>
        <w:rPr>
          <w:rFonts w:ascii="Open Sans" w:eastAsia="Open Sans" w:hAnsi="Open Sans" w:cs="Open Sans"/>
          <w:sz w:val="20"/>
          <w:szCs w:val="20"/>
        </w:rPr>
        <w:t>ledgement in multiple pieces of Australian legislation that animals are capable of suffering and that unnecessary suffering should be prevented.</w:t>
      </w:r>
      <w:r>
        <w:rPr>
          <w:rFonts w:ascii="Open Sans" w:eastAsia="Open Sans" w:hAnsi="Open Sans" w:cs="Open Sans"/>
          <w:sz w:val="20"/>
          <w:szCs w:val="20"/>
          <w:vertAlign w:val="superscript"/>
        </w:rPr>
        <w:footnoteReference w:id="27"/>
      </w:r>
      <w:r>
        <w:rPr>
          <w:rFonts w:ascii="Open Sans" w:eastAsia="Open Sans" w:hAnsi="Open Sans" w:cs="Open Sans"/>
          <w:sz w:val="20"/>
          <w:szCs w:val="20"/>
        </w:rPr>
        <w:t xml:space="preserve"> </w:t>
      </w:r>
    </w:p>
    <w:p w14:paraId="30441D4D" w14:textId="77777777" w:rsidR="00A572EF" w:rsidRDefault="00A572EF">
      <w:pPr>
        <w:jc w:val="both"/>
        <w:rPr>
          <w:rFonts w:ascii="Open Sans" w:eastAsia="Open Sans" w:hAnsi="Open Sans" w:cs="Open Sans"/>
          <w:sz w:val="20"/>
          <w:szCs w:val="20"/>
        </w:rPr>
      </w:pPr>
    </w:p>
    <w:p w14:paraId="30441D4E"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In light of the research and attitudes outlined above, the Australian public has high expectations for anim</w:t>
      </w:r>
      <w:r>
        <w:rPr>
          <w:rFonts w:ascii="Open Sans" w:eastAsia="Open Sans" w:hAnsi="Open Sans" w:cs="Open Sans"/>
          <w:sz w:val="20"/>
          <w:szCs w:val="20"/>
        </w:rPr>
        <w:t xml:space="preserve">al welfare. Sinclair and colleagues concisely summarise these expectations as follows: </w:t>
      </w:r>
      <w:r>
        <w:rPr>
          <w:rFonts w:ascii="Open Sans" w:eastAsia="Open Sans" w:hAnsi="Open Sans" w:cs="Open Sans"/>
          <w:i/>
          <w:sz w:val="20"/>
          <w:szCs w:val="20"/>
        </w:rPr>
        <w:t>”The Australian public will not accept cruelty to animals, perceived or otherwise.”</w:t>
      </w:r>
      <w:r>
        <w:rPr>
          <w:rFonts w:ascii="Open Sans" w:eastAsia="Open Sans" w:hAnsi="Open Sans" w:cs="Open Sans"/>
          <w:sz w:val="20"/>
          <w:szCs w:val="20"/>
          <w:vertAlign w:val="superscript"/>
        </w:rPr>
        <w:footnoteReference w:id="28"/>
      </w:r>
      <w:r>
        <w:rPr>
          <w:rFonts w:ascii="Open Sans" w:eastAsia="Open Sans" w:hAnsi="Open Sans" w:cs="Open Sans"/>
          <w:sz w:val="20"/>
          <w:szCs w:val="20"/>
        </w:rPr>
        <w:t xml:space="preserve"> These attitudes give rise to community expectations that we should support and work</w:t>
      </w:r>
      <w:r>
        <w:rPr>
          <w:rFonts w:ascii="Open Sans" w:eastAsia="Open Sans" w:hAnsi="Open Sans" w:cs="Open Sans"/>
          <w:sz w:val="20"/>
          <w:szCs w:val="20"/>
        </w:rPr>
        <w:t xml:space="preserve"> towards improving our country’s </w:t>
      </w:r>
      <w:r>
        <w:rPr>
          <w:rFonts w:ascii="Open Sans" w:eastAsia="Open Sans" w:hAnsi="Open Sans" w:cs="Open Sans"/>
          <w:sz w:val="20"/>
          <w:szCs w:val="20"/>
        </w:rPr>
        <w:lastRenderedPageBreak/>
        <w:t>animal welfare outcomes.</w:t>
      </w:r>
      <w:r>
        <w:rPr>
          <w:rFonts w:ascii="Open Sans" w:eastAsia="Open Sans" w:hAnsi="Open Sans" w:cs="Open Sans"/>
          <w:sz w:val="20"/>
          <w:szCs w:val="20"/>
          <w:vertAlign w:val="superscript"/>
        </w:rPr>
        <w:footnoteReference w:id="29"/>
      </w:r>
      <w:r>
        <w:rPr>
          <w:rFonts w:ascii="Open Sans" w:eastAsia="Open Sans" w:hAnsi="Open Sans" w:cs="Open Sans"/>
          <w:sz w:val="20"/>
          <w:szCs w:val="20"/>
        </w:rPr>
        <w:t xml:space="preserve"> It follows, then, that providing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support for charities which work to reduce animal suffering would serve to bring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into greater alignment with the emotions, expectations and b</w:t>
      </w:r>
      <w:r>
        <w:rPr>
          <w:rFonts w:ascii="Open Sans" w:eastAsia="Open Sans" w:hAnsi="Open Sans" w:cs="Open Sans"/>
          <w:sz w:val="20"/>
          <w:szCs w:val="20"/>
        </w:rPr>
        <w:t>eliefs of the Australian public.</w:t>
      </w:r>
    </w:p>
    <w:p w14:paraId="30441D4F" w14:textId="77777777" w:rsidR="00A572EF" w:rsidRDefault="00A572EF">
      <w:pPr>
        <w:jc w:val="both"/>
        <w:rPr>
          <w:rFonts w:ascii="Open Sans" w:eastAsia="Open Sans" w:hAnsi="Open Sans" w:cs="Open Sans"/>
          <w:sz w:val="20"/>
          <w:szCs w:val="20"/>
        </w:rPr>
      </w:pPr>
    </w:p>
    <w:p w14:paraId="30441D50"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 xml:space="preserve">If animal charities are more effectively supported by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the nonhuman recipients of charities are not the only ones that will benefit: there are multiple reasons to expect that the Australian public will be</w:t>
      </w:r>
      <w:r>
        <w:rPr>
          <w:rFonts w:ascii="Open Sans" w:eastAsia="Open Sans" w:hAnsi="Open Sans" w:cs="Open Sans"/>
          <w:sz w:val="20"/>
          <w:szCs w:val="20"/>
        </w:rPr>
        <w:t>nefit significantly from this development as well. When it comes to general donation behaviours, charitable giving has been found to predict wellbeing in several studies,</w:t>
      </w:r>
      <w:r>
        <w:rPr>
          <w:rFonts w:ascii="Open Sans" w:eastAsia="Open Sans" w:hAnsi="Open Sans" w:cs="Open Sans"/>
          <w:sz w:val="20"/>
          <w:szCs w:val="20"/>
          <w:vertAlign w:val="superscript"/>
        </w:rPr>
        <w:footnoteReference w:id="30"/>
      </w:r>
      <w:r>
        <w:rPr>
          <w:rFonts w:ascii="Open Sans" w:eastAsia="Open Sans" w:hAnsi="Open Sans" w:cs="Open Sans"/>
          <w:sz w:val="20"/>
          <w:szCs w:val="20"/>
        </w:rPr>
        <w:t xml:space="preserve"> so incentivising people to donate is likely to confer benefits to the donors as wel</w:t>
      </w:r>
      <w:r>
        <w:rPr>
          <w:rFonts w:ascii="Open Sans" w:eastAsia="Open Sans" w:hAnsi="Open Sans" w:cs="Open Sans"/>
          <w:sz w:val="20"/>
          <w:szCs w:val="20"/>
        </w:rPr>
        <w:t>l as the recipients. Furthermore, animal welfare and human welfare can directly positively reinforce each other, as explained in detail elsewhere.</w:t>
      </w:r>
      <w:r>
        <w:rPr>
          <w:rFonts w:ascii="Open Sans" w:eastAsia="Open Sans" w:hAnsi="Open Sans" w:cs="Open Sans"/>
          <w:sz w:val="20"/>
          <w:szCs w:val="20"/>
          <w:vertAlign w:val="superscript"/>
        </w:rPr>
        <w:footnoteReference w:id="31"/>
      </w:r>
      <w:r>
        <w:rPr>
          <w:rFonts w:ascii="Open Sans" w:eastAsia="Open Sans" w:hAnsi="Open Sans" w:cs="Open Sans"/>
          <w:sz w:val="20"/>
          <w:szCs w:val="20"/>
        </w:rPr>
        <w:t xml:space="preserve"> Bidirectional relationships between animal welfare and human wellbeing might form part of the explanation f</w:t>
      </w:r>
      <w:r>
        <w:rPr>
          <w:rFonts w:ascii="Open Sans" w:eastAsia="Open Sans" w:hAnsi="Open Sans" w:cs="Open Sans"/>
          <w:sz w:val="20"/>
          <w:szCs w:val="20"/>
        </w:rPr>
        <w:t>or why Rhoads and colleagues (2021) found that, across a sample of 48 countries, there was a statistically significant (</w:t>
      </w:r>
      <w:r>
        <w:rPr>
          <w:rFonts w:ascii="Open Sans" w:eastAsia="Open Sans" w:hAnsi="Open Sans" w:cs="Open Sans"/>
          <w:i/>
          <w:sz w:val="20"/>
          <w:szCs w:val="20"/>
        </w:rPr>
        <w:t>p</w:t>
      </w:r>
      <w:r>
        <w:rPr>
          <w:rFonts w:ascii="Open Sans" w:eastAsia="Open Sans" w:hAnsi="Open Sans" w:cs="Open Sans"/>
          <w:sz w:val="20"/>
          <w:szCs w:val="20"/>
        </w:rPr>
        <w:t xml:space="preserve"> &lt; .001) positive correlation (with a correlation coefficient of 0.649) between the degree to which countries were deemed to treat anim</w:t>
      </w:r>
      <w:r>
        <w:rPr>
          <w:rFonts w:ascii="Open Sans" w:eastAsia="Open Sans" w:hAnsi="Open Sans" w:cs="Open Sans"/>
          <w:sz w:val="20"/>
          <w:szCs w:val="20"/>
        </w:rPr>
        <w:t>als humanely (according to the World Animal Protection Index) and the subjective wellbeing of people in those countries.</w:t>
      </w:r>
      <w:r>
        <w:rPr>
          <w:rFonts w:ascii="Open Sans" w:eastAsia="Open Sans" w:hAnsi="Open Sans" w:cs="Open Sans"/>
          <w:sz w:val="20"/>
          <w:szCs w:val="20"/>
          <w:vertAlign w:val="superscript"/>
        </w:rPr>
        <w:footnoteReference w:id="32"/>
      </w:r>
      <w:r>
        <w:rPr>
          <w:rFonts w:ascii="Open Sans" w:eastAsia="Open Sans" w:hAnsi="Open Sans" w:cs="Open Sans"/>
          <w:sz w:val="20"/>
          <w:szCs w:val="20"/>
        </w:rPr>
        <w:t xml:space="preserve"> </w:t>
      </w:r>
    </w:p>
    <w:p w14:paraId="30441D51" w14:textId="77777777" w:rsidR="00A572EF" w:rsidRDefault="00A572EF">
      <w:pPr>
        <w:jc w:val="both"/>
        <w:rPr>
          <w:rFonts w:ascii="Open Sans" w:eastAsia="Open Sans" w:hAnsi="Open Sans" w:cs="Open Sans"/>
          <w:sz w:val="20"/>
          <w:szCs w:val="20"/>
        </w:rPr>
      </w:pPr>
    </w:p>
    <w:p w14:paraId="30441D52" w14:textId="77777777" w:rsidR="00A572EF" w:rsidRDefault="00A572EF">
      <w:pPr>
        <w:jc w:val="both"/>
        <w:rPr>
          <w:rFonts w:ascii="Open Sans" w:eastAsia="Open Sans" w:hAnsi="Open Sans" w:cs="Open Sans"/>
          <w:sz w:val="20"/>
          <w:szCs w:val="20"/>
        </w:rPr>
      </w:pPr>
    </w:p>
    <w:p w14:paraId="30441D53" w14:textId="77777777" w:rsidR="00A572EF" w:rsidRDefault="00A572EF">
      <w:pPr>
        <w:jc w:val="both"/>
        <w:rPr>
          <w:rFonts w:ascii="Open Sans" w:eastAsia="Open Sans" w:hAnsi="Open Sans" w:cs="Open Sans"/>
          <w:sz w:val="20"/>
          <w:szCs w:val="20"/>
        </w:rPr>
      </w:pPr>
    </w:p>
    <w:p w14:paraId="30441D54" w14:textId="77777777" w:rsidR="00A572EF" w:rsidRDefault="00A01F72">
      <w:pPr>
        <w:jc w:val="both"/>
        <w:rPr>
          <w:rFonts w:ascii="Open Sans" w:eastAsia="Open Sans" w:hAnsi="Open Sans" w:cs="Open Sans"/>
          <w:b/>
          <w:sz w:val="24"/>
          <w:szCs w:val="24"/>
        </w:rPr>
      </w:pPr>
      <w:r>
        <w:rPr>
          <w:rFonts w:ascii="Open Sans" w:eastAsia="Open Sans" w:hAnsi="Open Sans" w:cs="Open Sans"/>
          <w:b/>
          <w:sz w:val="24"/>
          <w:szCs w:val="24"/>
        </w:rPr>
        <w:t xml:space="preserve">How the </w:t>
      </w:r>
      <w:proofErr w:type="spellStart"/>
      <w:r>
        <w:rPr>
          <w:rFonts w:ascii="Open Sans" w:eastAsia="Open Sans" w:hAnsi="Open Sans" w:cs="Open Sans"/>
          <w:b/>
          <w:sz w:val="24"/>
          <w:szCs w:val="24"/>
        </w:rPr>
        <w:t>DGR</w:t>
      </w:r>
      <w:proofErr w:type="spellEnd"/>
      <w:r>
        <w:rPr>
          <w:rFonts w:ascii="Open Sans" w:eastAsia="Open Sans" w:hAnsi="Open Sans" w:cs="Open Sans"/>
          <w:b/>
          <w:sz w:val="24"/>
          <w:szCs w:val="24"/>
        </w:rPr>
        <w:t xml:space="preserve"> categories should be amended in relation to animal charities: a concrete proposal</w:t>
      </w:r>
    </w:p>
    <w:p w14:paraId="30441D55" w14:textId="77777777" w:rsidR="00A572EF" w:rsidRDefault="00A572EF">
      <w:pPr>
        <w:jc w:val="both"/>
        <w:rPr>
          <w:rFonts w:ascii="Open Sans" w:eastAsia="Open Sans" w:hAnsi="Open Sans" w:cs="Open Sans"/>
          <w:b/>
          <w:sz w:val="24"/>
          <w:szCs w:val="24"/>
        </w:rPr>
      </w:pPr>
    </w:p>
    <w:p w14:paraId="30441D56"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 xml:space="preserve">In order for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framework to align with the community values and expectations outlined above, there must be a revision of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provisions set out in Divi</w:t>
      </w:r>
      <w:r>
        <w:rPr>
          <w:rFonts w:ascii="Open Sans" w:eastAsia="Open Sans" w:hAnsi="Open Sans" w:cs="Open Sans"/>
          <w:sz w:val="20"/>
          <w:szCs w:val="20"/>
        </w:rPr>
        <w:t xml:space="preserve">sion 30 of the </w:t>
      </w:r>
      <w:r>
        <w:rPr>
          <w:rFonts w:ascii="Open Sans" w:eastAsia="Open Sans" w:hAnsi="Open Sans" w:cs="Open Sans"/>
          <w:i/>
          <w:sz w:val="20"/>
          <w:szCs w:val="20"/>
        </w:rPr>
        <w:t xml:space="preserve">Income Tax Assessment Act 1997 </w:t>
      </w:r>
      <w:r>
        <w:rPr>
          <w:rFonts w:ascii="Open Sans" w:eastAsia="Open Sans" w:hAnsi="Open Sans" w:cs="Open Sans"/>
          <w:sz w:val="20"/>
          <w:szCs w:val="20"/>
        </w:rPr>
        <w:t>(</w:t>
      </w:r>
      <w:proofErr w:type="spellStart"/>
      <w:r>
        <w:rPr>
          <w:rFonts w:ascii="Open Sans" w:eastAsia="Open Sans" w:hAnsi="Open Sans" w:cs="Open Sans"/>
          <w:sz w:val="20"/>
          <w:szCs w:val="20"/>
        </w:rPr>
        <w:t>Cth</w:t>
      </w:r>
      <w:proofErr w:type="spellEnd"/>
      <w:r>
        <w:rPr>
          <w:rFonts w:ascii="Open Sans" w:eastAsia="Open Sans" w:hAnsi="Open Sans" w:cs="Open Sans"/>
          <w:sz w:val="20"/>
          <w:szCs w:val="20"/>
        </w:rPr>
        <w:t xml:space="preserve">) (Gifts and Contributions). The current provisions do not confer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status to charities that work to prevent cruelty and nonhuman suffering, or to charities that care exclusively for native wildlife. The </w:t>
      </w:r>
      <w:r>
        <w:rPr>
          <w:rFonts w:ascii="Open Sans" w:eastAsia="Open Sans" w:hAnsi="Open Sans" w:cs="Open Sans"/>
          <w:sz w:val="20"/>
          <w:szCs w:val="20"/>
        </w:rPr>
        <w:t>revisions described below will enable the provisions to better reflect the wishes of the Australian public.</w:t>
      </w:r>
    </w:p>
    <w:p w14:paraId="30441D57" w14:textId="77777777" w:rsidR="00A572EF" w:rsidRDefault="00A572EF">
      <w:pPr>
        <w:jc w:val="both"/>
        <w:rPr>
          <w:rFonts w:ascii="Open Sans" w:eastAsia="Open Sans" w:hAnsi="Open Sans" w:cs="Open Sans"/>
          <w:sz w:val="20"/>
          <w:szCs w:val="20"/>
        </w:rPr>
      </w:pPr>
    </w:p>
    <w:p w14:paraId="30441D58"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 xml:space="preserve">Within the current </w:t>
      </w:r>
      <w:r>
        <w:rPr>
          <w:rFonts w:ascii="Open Sans" w:eastAsia="Open Sans" w:hAnsi="Open Sans" w:cs="Open Sans"/>
          <w:i/>
          <w:sz w:val="20"/>
          <w:szCs w:val="20"/>
        </w:rPr>
        <w:t>Welfare and rights</w:t>
      </w:r>
      <w:r>
        <w:rPr>
          <w:rFonts w:ascii="Open Sans" w:eastAsia="Open Sans" w:hAnsi="Open Sans" w:cs="Open Sans"/>
          <w:sz w:val="20"/>
          <w:szCs w:val="20"/>
        </w:rPr>
        <w:t xml:space="preserv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Table contained in Section 30.45 of the </w:t>
      </w:r>
      <w:r>
        <w:rPr>
          <w:rFonts w:ascii="Open Sans" w:eastAsia="Open Sans" w:hAnsi="Open Sans" w:cs="Open Sans"/>
          <w:i/>
          <w:sz w:val="20"/>
          <w:szCs w:val="20"/>
        </w:rPr>
        <w:t xml:space="preserve">Income Tax Assessment Act 1997 </w:t>
      </w:r>
      <w:r>
        <w:rPr>
          <w:rFonts w:ascii="Open Sans" w:eastAsia="Open Sans" w:hAnsi="Open Sans" w:cs="Open Sans"/>
          <w:sz w:val="20"/>
          <w:szCs w:val="20"/>
        </w:rPr>
        <w:t>(</w:t>
      </w:r>
      <w:proofErr w:type="spellStart"/>
      <w:r>
        <w:rPr>
          <w:rFonts w:ascii="Open Sans" w:eastAsia="Open Sans" w:hAnsi="Open Sans" w:cs="Open Sans"/>
          <w:sz w:val="20"/>
          <w:szCs w:val="20"/>
        </w:rPr>
        <w:t>Cth</w:t>
      </w:r>
      <w:proofErr w:type="spellEnd"/>
      <w:r>
        <w:rPr>
          <w:rFonts w:ascii="Open Sans" w:eastAsia="Open Sans" w:hAnsi="Open Sans" w:cs="Open Sans"/>
          <w:sz w:val="20"/>
          <w:szCs w:val="20"/>
        </w:rPr>
        <w:t>), Item 1.4.6 is the only item</w:t>
      </w:r>
      <w:r>
        <w:rPr>
          <w:rFonts w:ascii="Open Sans" w:eastAsia="Open Sans" w:hAnsi="Open Sans" w:cs="Open Sans"/>
          <w:sz w:val="20"/>
          <w:szCs w:val="20"/>
        </w:rPr>
        <w:t xml:space="preserve"> that pertains to charities that care for animals. This item is shown in the following extract from the </w:t>
      </w:r>
      <w:proofErr w:type="spellStart"/>
      <w:r>
        <w:rPr>
          <w:rFonts w:ascii="Open Sans" w:eastAsia="Open Sans" w:hAnsi="Open Sans" w:cs="Open Sans"/>
          <w:sz w:val="20"/>
          <w:szCs w:val="20"/>
        </w:rPr>
        <w:t>DGR</w:t>
      </w:r>
      <w:proofErr w:type="spellEnd"/>
      <w:r>
        <w:rPr>
          <w:rFonts w:ascii="Open Sans" w:eastAsia="Open Sans" w:hAnsi="Open Sans" w:cs="Open Sans"/>
          <w:sz w:val="20"/>
          <w:szCs w:val="20"/>
        </w:rPr>
        <w:t xml:space="preserve"> Table.  </w:t>
      </w:r>
    </w:p>
    <w:p w14:paraId="30441D59" w14:textId="77777777" w:rsidR="00A572EF" w:rsidRDefault="00A572EF">
      <w:pPr>
        <w:rPr>
          <w:rFonts w:ascii="Open Sans" w:eastAsia="Open Sans" w:hAnsi="Open Sans" w:cs="Open Sans"/>
          <w:i/>
          <w:sz w:val="20"/>
          <w:szCs w:val="20"/>
        </w:rPr>
      </w:pPr>
    </w:p>
    <w:p w14:paraId="30441D5A" w14:textId="77777777" w:rsidR="00A572EF" w:rsidRDefault="00A01F72">
      <w:pPr>
        <w:rPr>
          <w:rFonts w:ascii="Open Sans" w:eastAsia="Open Sans" w:hAnsi="Open Sans" w:cs="Open Sans"/>
          <w:i/>
          <w:sz w:val="20"/>
          <w:szCs w:val="20"/>
        </w:rPr>
      </w:pPr>
      <w:r>
        <w:br w:type="page"/>
      </w:r>
    </w:p>
    <w:p w14:paraId="30441D5B" w14:textId="77777777" w:rsidR="00A572EF" w:rsidRDefault="00A01F72">
      <w:pPr>
        <w:rPr>
          <w:rFonts w:ascii="Open Sans" w:eastAsia="Open Sans" w:hAnsi="Open Sans" w:cs="Open Sans"/>
          <w:b/>
          <w:i/>
          <w:sz w:val="20"/>
          <w:szCs w:val="20"/>
        </w:rPr>
      </w:pPr>
      <w:r>
        <w:rPr>
          <w:rFonts w:ascii="Open Sans" w:eastAsia="Open Sans" w:hAnsi="Open Sans" w:cs="Open Sans"/>
          <w:b/>
          <w:i/>
          <w:sz w:val="20"/>
          <w:szCs w:val="20"/>
        </w:rPr>
        <w:lastRenderedPageBreak/>
        <w:t>30‑45  Welfare and rights</w:t>
      </w:r>
    </w:p>
    <w:p w14:paraId="30441D5C" w14:textId="77777777" w:rsidR="00A572EF" w:rsidRDefault="00A572EF">
      <w:pPr>
        <w:rPr>
          <w:rFonts w:ascii="Open Sans" w:eastAsia="Open Sans" w:hAnsi="Open Sans" w:cs="Open Sans"/>
          <w:i/>
          <w:sz w:val="20"/>
          <w:szCs w:val="20"/>
        </w:rPr>
      </w:pPr>
    </w:p>
    <w:p w14:paraId="30441D5D" w14:textId="77777777" w:rsidR="00A572EF" w:rsidRDefault="00A01F72">
      <w:pPr>
        <w:rPr>
          <w:rFonts w:ascii="Open Sans" w:eastAsia="Open Sans" w:hAnsi="Open Sans" w:cs="Open Sans"/>
          <w:i/>
          <w:sz w:val="20"/>
          <w:szCs w:val="20"/>
        </w:rPr>
      </w:pPr>
      <w:r>
        <w:rPr>
          <w:rFonts w:ascii="Open Sans" w:eastAsia="Open Sans" w:hAnsi="Open Sans" w:cs="Open Sans"/>
          <w:i/>
          <w:sz w:val="20"/>
          <w:szCs w:val="20"/>
        </w:rPr>
        <w:t>(1) This table sets out general categories of welfare and rights recipients.</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840"/>
        <w:gridCol w:w="4245"/>
        <w:gridCol w:w="2340"/>
        <w:gridCol w:w="1755"/>
      </w:tblGrid>
      <w:tr w:rsidR="00A572EF" w14:paraId="30441D5F" w14:textId="77777777">
        <w:trPr>
          <w:trHeight w:val="223"/>
        </w:trPr>
        <w:tc>
          <w:tcPr>
            <w:tcW w:w="9180" w:type="dxa"/>
            <w:gridSpan w:val="4"/>
            <w:tcBorders>
              <w:top w:val="single" w:sz="8" w:space="0" w:color="FFFFFF"/>
              <w:left w:val="single" w:sz="8" w:space="0" w:color="FFFFFF"/>
              <w:bottom w:val="single" w:sz="8" w:space="0" w:color="000000"/>
              <w:right w:val="single" w:sz="8" w:space="0" w:color="000000"/>
            </w:tcBorders>
            <w:tcMar>
              <w:top w:w="60" w:type="dxa"/>
              <w:left w:w="60" w:type="dxa"/>
              <w:bottom w:w="60" w:type="dxa"/>
              <w:right w:w="60" w:type="dxa"/>
            </w:tcMar>
          </w:tcPr>
          <w:p w14:paraId="30441D5E" w14:textId="77777777" w:rsidR="00A572EF" w:rsidRDefault="00A572EF">
            <w:pPr>
              <w:ind w:left="60"/>
              <w:rPr>
                <w:rFonts w:ascii="Open Sans" w:eastAsia="Open Sans" w:hAnsi="Open Sans" w:cs="Open Sans"/>
                <w:b/>
                <w:i/>
                <w:sz w:val="8"/>
                <w:szCs w:val="8"/>
              </w:rPr>
            </w:pPr>
          </w:p>
        </w:tc>
      </w:tr>
      <w:tr w:rsidR="00A572EF" w14:paraId="30441D61" w14:textId="77777777">
        <w:trPr>
          <w:trHeight w:val="540"/>
        </w:trPr>
        <w:tc>
          <w:tcPr>
            <w:tcW w:w="9180" w:type="dxa"/>
            <w:gridSpan w:val="4"/>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0" w14:textId="77777777" w:rsidR="00A572EF" w:rsidRDefault="00A01F72">
            <w:pPr>
              <w:ind w:left="60"/>
              <w:rPr>
                <w:rFonts w:ascii="Open Sans" w:eastAsia="Open Sans" w:hAnsi="Open Sans" w:cs="Open Sans"/>
                <w:b/>
                <w:i/>
                <w:sz w:val="20"/>
                <w:szCs w:val="20"/>
              </w:rPr>
            </w:pPr>
            <w:r>
              <w:rPr>
                <w:rFonts w:ascii="Open Sans" w:eastAsia="Open Sans" w:hAnsi="Open Sans" w:cs="Open Sans"/>
                <w:b/>
                <w:i/>
                <w:sz w:val="20"/>
                <w:szCs w:val="20"/>
              </w:rPr>
              <w:t>[Table One: Extract from Secti</w:t>
            </w:r>
            <w:r>
              <w:rPr>
                <w:rFonts w:ascii="Open Sans" w:eastAsia="Open Sans" w:hAnsi="Open Sans" w:cs="Open Sans"/>
                <w:b/>
                <w:i/>
                <w:sz w:val="20"/>
                <w:szCs w:val="20"/>
              </w:rPr>
              <w:t>on 30.45] Welfare and rights—General</w:t>
            </w:r>
          </w:p>
        </w:tc>
      </w:tr>
      <w:tr w:rsidR="00A572EF" w14:paraId="30441D66" w14:textId="77777777">
        <w:trPr>
          <w:trHeight w:val="960"/>
        </w:trPr>
        <w:tc>
          <w:tcPr>
            <w:tcW w:w="840"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2"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Item</w:t>
            </w:r>
          </w:p>
        </w:tc>
        <w:tc>
          <w:tcPr>
            <w:tcW w:w="4245"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3"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Fund, authority or institution</w:t>
            </w:r>
          </w:p>
        </w:tc>
        <w:tc>
          <w:tcPr>
            <w:tcW w:w="2340"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4"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Special conditions—fund, authority or institution</w:t>
            </w:r>
          </w:p>
        </w:tc>
        <w:tc>
          <w:tcPr>
            <w:tcW w:w="175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0441D65"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Special conditions—gift</w:t>
            </w:r>
          </w:p>
        </w:tc>
      </w:tr>
      <w:tr w:rsidR="00A572EF" w14:paraId="30441D6E" w14:textId="77777777">
        <w:trPr>
          <w:trHeight w:val="2480"/>
        </w:trPr>
        <w:tc>
          <w:tcPr>
            <w:tcW w:w="840"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7"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highlight w:val="white"/>
              </w:rPr>
              <w:t>4.1.6</w:t>
            </w:r>
          </w:p>
          <w:p w14:paraId="30441D68"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 xml:space="preserve"> </w:t>
            </w:r>
          </w:p>
        </w:tc>
        <w:tc>
          <w:tcPr>
            <w:tcW w:w="4245"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9"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an institution whose principal activity is one or both of the following:</w:t>
            </w:r>
          </w:p>
          <w:p w14:paraId="30441D6A"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(a) providing short-term direct care to animals (but not only native wildlife) that have been lost or mistreated or are without owners;</w:t>
            </w:r>
          </w:p>
          <w:p w14:paraId="30441D6B"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(b) rehabilitating orphaned, sick or injured an</w:t>
            </w:r>
            <w:r>
              <w:rPr>
                <w:rFonts w:ascii="Open Sans" w:eastAsia="Open Sans" w:hAnsi="Open Sans" w:cs="Open Sans"/>
                <w:i/>
                <w:sz w:val="20"/>
                <w:szCs w:val="20"/>
              </w:rPr>
              <w:t>imals (but not only native wildlife) that have been lost or mistreated or are without owners</w:t>
            </w:r>
          </w:p>
        </w:tc>
        <w:tc>
          <w:tcPr>
            <w:tcW w:w="2340" w:type="dxa"/>
            <w:tcBorders>
              <w:top w:val="nil"/>
              <w:left w:val="single" w:sz="8" w:space="0" w:color="000000"/>
              <w:bottom w:val="single" w:sz="8" w:space="0" w:color="000000"/>
              <w:right w:val="nil"/>
            </w:tcBorders>
            <w:shd w:val="clear" w:color="auto" w:fill="auto"/>
            <w:tcMar>
              <w:top w:w="60" w:type="dxa"/>
              <w:left w:w="60" w:type="dxa"/>
              <w:bottom w:w="60" w:type="dxa"/>
              <w:right w:w="60" w:type="dxa"/>
            </w:tcMar>
          </w:tcPr>
          <w:p w14:paraId="30441D6C"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the institution must be a *registered charity</w:t>
            </w:r>
          </w:p>
        </w:tc>
        <w:tc>
          <w:tcPr>
            <w:tcW w:w="175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0441D6D" w14:textId="77777777" w:rsidR="00A572EF" w:rsidRDefault="00A01F72">
            <w:pPr>
              <w:ind w:left="60"/>
              <w:rPr>
                <w:rFonts w:ascii="Open Sans" w:eastAsia="Open Sans" w:hAnsi="Open Sans" w:cs="Open Sans"/>
                <w:i/>
                <w:sz w:val="20"/>
                <w:szCs w:val="20"/>
              </w:rPr>
            </w:pPr>
            <w:r>
              <w:rPr>
                <w:rFonts w:ascii="Open Sans" w:eastAsia="Open Sans" w:hAnsi="Open Sans" w:cs="Open Sans"/>
                <w:i/>
                <w:sz w:val="20"/>
                <w:szCs w:val="20"/>
              </w:rPr>
              <w:t>none</w:t>
            </w:r>
          </w:p>
        </w:tc>
      </w:tr>
    </w:tbl>
    <w:p w14:paraId="30441D6F" w14:textId="77777777" w:rsidR="00A572EF" w:rsidRDefault="00A572EF">
      <w:pPr>
        <w:jc w:val="both"/>
        <w:rPr>
          <w:rFonts w:ascii="Open Sans" w:eastAsia="Open Sans" w:hAnsi="Open Sans" w:cs="Open Sans"/>
          <w:sz w:val="20"/>
          <w:szCs w:val="20"/>
        </w:rPr>
      </w:pPr>
    </w:p>
    <w:p w14:paraId="30441D70" w14:textId="77777777" w:rsidR="00A572EF" w:rsidRDefault="00A01F72">
      <w:pPr>
        <w:jc w:val="both"/>
        <w:rPr>
          <w:rFonts w:ascii="Open Sans" w:eastAsia="Open Sans" w:hAnsi="Open Sans" w:cs="Open Sans"/>
          <w:sz w:val="20"/>
          <w:szCs w:val="20"/>
        </w:rPr>
      </w:pPr>
      <w:r>
        <w:rPr>
          <w:rFonts w:ascii="Open Sans" w:eastAsia="Open Sans" w:hAnsi="Open Sans" w:cs="Open Sans"/>
          <w:sz w:val="20"/>
          <w:szCs w:val="20"/>
        </w:rPr>
        <w:t>By failing to include charities that work to prevent cruelty and nonhuman suffering, as well as charities that care exclusively for native wildlife, Item 1.4.6 currently fails to reflect both the Australian public’s desire to prevent cruelty and nonhuman s</w:t>
      </w:r>
      <w:r>
        <w:rPr>
          <w:rFonts w:ascii="Open Sans" w:eastAsia="Open Sans" w:hAnsi="Open Sans" w:cs="Open Sans"/>
          <w:sz w:val="20"/>
          <w:szCs w:val="20"/>
        </w:rPr>
        <w:t xml:space="preserve">uffering, and the value we place in our wildlife. </w:t>
      </w:r>
    </w:p>
    <w:p w14:paraId="30441D71" w14:textId="77777777" w:rsidR="00A572EF" w:rsidRDefault="00A572EF">
      <w:pPr>
        <w:jc w:val="both"/>
        <w:rPr>
          <w:rFonts w:ascii="Open Sans" w:eastAsia="Open Sans" w:hAnsi="Open Sans" w:cs="Open Sans"/>
          <w:sz w:val="20"/>
          <w:szCs w:val="20"/>
        </w:rPr>
      </w:pPr>
    </w:p>
    <w:p w14:paraId="30441D72" w14:textId="77777777" w:rsidR="00A572EF" w:rsidRDefault="00A01F72">
      <w:pPr>
        <w:rPr>
          <w:rFonts w:ascii="Open Sans" w:eastAsia="Open Sans" w:hAnsi="Open Sans" w:cs="Open Sans"/>
          <w:b/>
          <w:sz w:val="24"/>
          <w:szCs w:val="24"/>
        </w:rPr>
      </w:pPr>
      <w:r>
        <w:rPr>
          <w:rFonts w:ascii="Open Sans" w:eastAsia="Open Sans" w:hAnsi="Open Sans" w:cs="Open Sans"/>
          <w:b/>
          <w:sz w:val="24"/>
          <w:szCs w:val="24"/>
        </w:rPr>
        <w:t xml:space="preserve">Proposed revision of Section 30.45 for comment </w:t>
      </w:r>
    </w:p>
    <w:p w14:paraId="30441D73" w14:textId="77777777" w:rsidR="00A572EF" w:rsidRDefault="00A572EF">
      <w:pPr>
        <w:rPr>
          <w:rFonts w:ascii="Open Sans" w:eastAsia="Open Sans" w:hAnsi="Open Sans" w:cs="Open Sans"/>
          <w:b/>
          <w:sz w:val="24"/>
          <w:szCs w:val="24"/>
        </w:rPr>
      </w:pPr>
    </w:p>
    <w:p w14:paraId="30441D74"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Within column 2 under Item 1.4.6, the following substitutions are proposed:</w:t>
      </w:r>
    </w:p>
    <w:p w14:paraId="30441D75" w14:textId="77777777" w:rsidR="00A572EF" w:rsidRDefault="00A01F72">
      <w:pPr>
        <w:ind w:left="700"/>
        <w:rPr>
          <w:rFonts w:ascii="Open Sans" w:eastAsia="Open Sans" w:hAnsi="Open Sans" w:cs="Open Sans"/>
          <w:i/>
          <w:sz w:val="20"/>
          <w:szCs w:val="20"/>
        </w:rPr>
      </w:pPr>
      <w:r>
        <w:rPr>
          <w:rFonts w:ascii="Open Sans" w:eastAsia="Open Sans" w:hAnsi="Open Sans" w:cs="Open Sans"/>
          <w:i/>
          <w:sz w:val="20"/>
          <w:szCs w:val="20"/>
        </w:rPr>
        <w:t>an institution whose principal activity is one or all of the following:</w:t>
      </w:r>
    </w:p>
    <w:p w14:paraId="30441D76" w14:textId="77777777" w:rsidR="00A572EF" w:rsidRDefault="00A01F72">
      <w:pPr>
        <w:ind w:left="700"/>
        <w:rPr>
          <w:rFonts w:ascii="Open Sans" w:eastAsia="Open Sans" w:hAnsi="Open Sans" w:cs="Open Sans"/>
          <w:i/>
          <w:sz w:val="20"/>
          <w:szCs w:val="20"/>
        </w:rPr>
      </w:pPr>
      <w:r>
        <w:rPr>
          <w:rFonts w:ascii="Open Sans" w:eastAsia="Open Sans" w:hAnsi="Open Sans" w:cs="Open Sans"/>
          <w:i/>
          <w:sz w:val="20"/>
          <w:szCs w:val="20"/>
        </w:rPr>
        <w:t>(a) pro</w:t>
      </w:r>
      <w:r>
        <w:rPr>
          <w:rFonts w:ascii="Open Sans" w:eastAsia="Open Sans" w:hAnsi="Open Sans" w:cs="Open Sans"/>
          <w:i/>
          <w:sz w:val="20"/>
          <w:szCs w:val="20"/>
        </w:rPr>
        <w:t>viding short-term direct care to animals that have been lost or mistreated or are without owners;</w:t>
      </w:r>
    </w:p>
    <w:p w14:paraId="30441D77" w14:textId="77777777" w:rsidR="00A572EF" w:rsidRDefault="00A01F72">
      <w:pPr>
        <w:ind w:left="700"/>
        <w:rPr>
          <w:rFonts w:ascii="Open Sans" w:eastAsia="Open Sans" w:hAnsi="Open Sans" w:cs="Open Sans"/>
          <w:b/>
          <w:i/>
          <w:color w:val="0000FF"/>
          <w:sz w:val="20"/>
          <w:szCs w:val="20"/>
          <w:u w:val="single"/>
        </w:rPr>
      </w:pPr>
      <w:r>
        <w:rPr>
          <w:rFonts w:ascii="Open Sans" w:eastAsia="Open Sans" w:hAnsi="Open Sans" w:cs="Open Sans"/>
          <w:i/>
          <w:sz w:val="20"/>
          <w:szCs w:val="20"/>
        </w:rPr>
        <w:t>(b) rehabilitating orphaned, sick or injured animals (</w:t>
      </w:r>
      <w:r>
        <w:rPr>
          <w:rFonts w:ascii="Open Sans" w:eastAsia="Open Sans" w:hAnsi="Open Sans" w:cs="Open Sans"/>
          <w:b/>
          <w:i/>
          <w:color w:val="0000FF"/>
          <w:sz w:val="20"/>
          <w:szCs w:val="20"/>
          <w:u w:val="single"/>
        </w:rPr>
        <w:t>including</w:t>
      </w:r>
      <w:r>
        <w:rPr>
          <w:rFonts w:ascii="Open Sans" w:eastAsia="Open Sans" w:hAnsi="Open Sans" w:cs="Open Sans"/>
          <w:i/>
          <w:sz w:val="20"/>
          <w:szCs w:val="20"/>
        </w:rPr>
        <w:t xml:space="preserve"> native wildlife) that have been lost or mistreated or are without owners; </w:t>
      </w:r>
      <w:r>
        <w:rPr>
          <w:rFonts w:ascii="Open Sans" w:eastAsia="Open Sans" w:hAnsi="Open Sans" w:cs="Open Sans"/>
          <w:b/>
          <w:i/>
          <w:color w:val="0000FF"/>
          <w:sz w:val="20"/>
          <w:szCs w:val="20"/>
          <w:u w:val="single"/>
        </w:rPr>
        <w:t>and/or</w:t>
      </w:r>
    </w:p>
    <w:p w14:paraId="30441D78" w14:textId="77777777" w:rsidR="00A572EF" w:rsidRDefault="00A01F72">
      <w:pPr>
        <w:ind w:left="700"/>
        <w:rPr>
          <w:rFonts w:ascii="Open Sans" w:eastAsia="Open Sans" w:hAnsi="Open Sans" w:cs="Open Sans"/>
          <w:b/>
          <w:i/>
          <w:color w:val="0000FF"/>
          <w:sz w:val="20"/>
          <w:szCs w:val="20"/>
          <w:u w:val="single"/>
        </w:rPr>
      </w:pPr>
      <w:r>
        <w:rPr>
          <w:rFonts w:ascii="Open Sans" w:eastAsia="Open Sans" w:hAnsi="Open Sans" w:cs="Open Sans"/>
          <w:b/>
          <w:i/>
          <w:color w:val="0000FF"/>
          <w:sz w:val="20"/>
          <w:szCs w:val="20"/>
          <w:u w:val="single"/>
        </w:rPr>
        <w:t>(c) working t</w:t>
      </w:r>
      <w:r>
        <w:rPr>
          <w:rFonts w:ascii="Open Sans" w:eastAsia="Open Sans" w:hAnsi="Open Sans" w:cs="Open Sans"/>
          <w:b/>
          <w:i/>
          <w:color w:val="0000FF"/>
          <w:sz w:val="20"/>
          <w:szCs w:val="20"/>
          <w:u w:val="single"/>
        </w:rPr>
        <w:t>o promote animal welfare and to prevent cruelty and nonhuman suffering</w:t>
      </w:r>
    </w:p>
    <w:p w14:paraId="30441D79"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 xml:space="preserve"> </w:t>
      </w:r>
    </w:p>
    <w:p w14:paraId="30441D7A" w14:textId="77777777" w:rsidR="00A572EF" w:rsidRDefault="00A572EF">
      <w:pPr>
        <w:jc w:val="both"/>
        <w:rPr>
          <w:rFonts w:ascii="Open Sans" w:eastAsia="Open Sans" w:hAnsi="Open Sans" w:cs="Open Sans"/>
          <w:sz w:val="20"/>
          <w:szCs w:val="20"/>
        </w:rPr>
      </w:pPr>
    </w:p>
    <w:p w14:paraId="30441D7B"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 xml:space="preserve">Once again, thank you for undertaking this inquiry, and thank you for reading this submission. </w:t>
      </w:r>
    </w:p>
    <w:p w14:paraId="30441D7C" w14:textId="77777777" w:rsidR="00A572EF" w:rsidRDefault="00A572EF">
      <w:pPr>
        <w:rPr>
          <w:rFonts w:ascii="Open Sans" w:eastAsia="Open Sans" w:hAnsi="Open Sans" w:cs="Open Sans"/>
          <w:sz w:val="20"/>
          <w:szCs w:val="20"/>
        </w:rPr>
      </w:pPr>
    </w:p>
    <w:p w14:paraId="30441D7D" w14:textId="77777777" w:rsidR="00A572EF" w:rsidRDefault="00A572EF">
      <w:pPr>
        <w:rPr>
          <w:rFonts w:ascii="Open Sans" w:eastAsia="Open Sans" w:hAnsi="Open Sans" w:cs="Open Sans"/>
          <w:sz w:val="20"/>
          <w:szCs w:val="20"/>
        </w:rPr>
      </w:pPr>
    </w:p>
    <w:p w14:paraId="30441D7E"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Best wishes,</w:t>
      </w:r>
    </w:p>
    <w:p w14:paraId="30441D7F" w14:textId="77777777" w:rsidR="00A572EF" w:rsidRDefault="00A572EF">
      <w:pPr>
        <w:rPr>
          <w:rFonts w:ascii="Open Sans" w:eastAsia="Open Sans" w:hAnsi="Open Sans" w:cs="Open Sans"/>
          <w:sz w:val="20"/>
          <w:szCs w:val="20"/>
        </w:rPr>
      </w:pPr>
    </w:p>
    <w:p w14:paraId="30441D80" w14:textId="77777777" w:rsidR="00A572EF" w:rsidRDefault="00A572EF">
      <w:pPr>
        <w:rPr>
          <w:rFonts w:ascii="Open Sans" w:eastAsia="Open Sans" w:hAnsi="Open Sans" w:cs="Open Sans"/>
          <w:sz w:val="20"/>
          <w:szCs w:val="20"/>
        </w:rPr>
      </w:pPr>
    </w:p>
    <w:p w14:paraId="30441D81" w14:textId="77777777" w:rsidR="00A572EF" w:rsidRDefault="00A01F72">
      <w:pPr>
        <w:rPr>
          <w:rFonts w:ascii="Open Sans" w:eastAsia="Open Sans" w:hAnsi="Open Sans" w:cs="Open Sans"/>
          <w:sz w:val="20"/>
          <w:szCs w:val="20"/>
        </w:rPr>
      </w:pPr>
      <w:r>
        <w:rPr>
          <w:rFonts w:ascii="Open Sans" w:eastAsia="Open Sans" w:hAnsi="Open Sans" w:cs="Open Sans"/>
          <w:sz w:val="20"/>
          <w:szCs w:val="20"/>
        </w:rPr>
        <w:t>Clare Harris</w:t>
      </w:r>
    </w:p>
    <w:sectPr w:rsidR="00A572EF">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EB16" w14:textId="77777777" w:rsidR="00000000" w:rsidRDefault="00A01F72">
      <w:pPr>
        <w:spacing w:line="240" w:lineRule="auto"/>
      </w:pPr>
      <w:r>
        <w:separator/>
      </w:r>
    </w:p>
  </w:endnote>
  <w:endnote w:type="continuationSeparator" w:id="0">
    <w:p w14:paraId="29DEC670" w14:textId="77777777" w:rsidR="00000000" w:rsidRDefault="00A01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ACB8" w14:textId="77777777" w:rsidR="00000000" w:rsidRDefault="00A01F72">
      <w:pPr>
        <w:spacing w:line="240" w:lineRule="auto"/>
      </w:pPr>
      <w:r>
        <w:separator/>
      </w:r>
    </w:p>
  </w:footnote>
  <w:footnote w:type="continuationSeparator" w:id="0">
    <w:p w14:paraId="4FCD3F57" w14:textId="77777777" w:rsidR="00000000" w:rsidRDefault="00A01F72">
      <w:pPr>
        <w:spacing w:line="240" w:lineRule="auto"/>
      </w:pPr>
      <w:r>
        <w:continuationSeparator/>
      </w:r>
    </w:p>
  </w:footnote>
  <w:footnote w:id="1">
    <w:p w14:paraId="30441D82" w14:textId="77777777" w:rsidR="00A572EF" w:rsidRDefault="00A01F72">
      <w:pPr>
        <w:spacing w:line="240" w:lineRule="auto"/>
        <w:rPr>
          <w:sz w:val="16"/>
          <w:szCs w:val="16"/>
        </w:rPr>
      </w:pPr>
      <w:r>
        <w:rPr>
          <w:vertAlign w:val="superscript"/>
        </w:rPr>
        <w:footnoteRef/>
      </w:r>
      <w:r>
        <w:rPr>
          <w:sz w:val="16"/>
          <w:szCs w:val="16"/>
        </w:rPr>
        <w:t xml:space="preserve"> Productivity Commission. (2010). </w:t>
      </w:r>
      <w:r>
        <w:rPr>
          <w:i/>
          <w:sz w:val="16"/>
          <w:szCs w:val="16"/>
        </w:rPr>
        <w:t>Contribution of the Not-for-Profit Sector,</w:t>
      </w:r>
      <w:r>
        <w:rPr>
          <w:sz w:val="16"/>
          <w:szCs w:val="16"/>
        </w:rPr>
        <w:t xml:space="preserve"> Research Report, Canberra. Available from: &lt;https://</w:t>
      </w:r>
      <w:r>
        <w:rPr>
          <w:sz w:val="16"/>
          <w:szCs w:val="16"/>
        </w:rPr>
        <w:t>www.pc.gov.au/inquiries/completed/not-for-profit/report/not-for-profit-report.pdf&gt;.</w:t>
      </w:r>
    </w:p>
  </w:footnote>
  <w:footnote w:id="2">
    <w:p w14:paraId="30441D83" w14:textId="77777777" w:rsidR="00A572EF" w:rsidRDefault="00A01F72">
      <w:pPr>
        <w:spacing w:line="240" w:lineRule="auto"/>
        <w:rPr>
          <w:sz w:val="16"/>
          <w:szCs w:val="16"/>
        </w:rPr>
      </w:pPr>
      <w:r>
        <w:rPr>
          <w:vertAlign w:val="superscript"/>
        </w:rPr>
        <w:footnoteRef/>
      </w:r>
      <w:r>
        <w:rPr>
          <w:sz w:val="16"/>
          <w:szCs w:val="16"/>
        </w:rPr>
        <w:t xml:space="preserve"> The Treasury, Australian Government. (2017). </w:t>
      </w:r>
      <w:r>
        <w:rPr>
          <w:i/>
          <w:sz w:val="16"/>
          <w:szCs w:val="16"/>
        </w:rPr>
        <w:t xml:space="preserve">Tax Deductible Gift Recipient Reform Opportunities, Discussion Paper, 15 June 2017. </w:t>
      </w:r>
      <w:r>
        <w:rPr>
          <w:sz w:val="16"/>
          <w:szCs w:val="16"/>
        </w:rPr>
        <w:t>Available from: from: &lt;https://treasury.g</w:t>
      </w:r>
      <w:r>
        <w:rPr>
          <w:sz w:val="16"/>
          <w:szCs w:val="16"/>
        </w:rPr>
        <w:t>ov.au/consultation/tax-deductible-gift-recipient-reform-opportunities/&gt;.</w:t>
      </w:r>
      <w:r>
        <w:rPr>
          <w:i/>
          <w:sz w:val="16"/>
          <w:szCs w:val="16"/>
        </w:rPr>
        <w:t xml:space="preserve"> </w:t>
      </w:r>
      <w:r>
        <w:rPr>
          <w:sz w:val="16"/>
          <w:szCs w:val="16"/>
        </w:rPr>
        <w:t xml:space="preserve">| In this Discussion Paper, The Treasury states that the </w:t>
      </w:r>
      <w:proofErr w:type="spellStart"/>
      <w:r>
        <w:rPr>
          <w:sz w:val="16"/>
          <w:szCs w:val="16"/>
        </w:rPr>
        <w:t>DGR</w:t>
      </w:r>
      <w:proofErr w:type="spellEnd"/>
      <w:r>
        <w:rPr>
          <w:sz w:val="16"/>
          <w:szCs w:val="16"/>
        </w:rPr>
        <w:t xml:space="preserve"> tax arrangements are designed to encourage philanthropy in support of the not-for-profit (</w:t>
      </w:r>
      <w:proofErr w:type="spellStart"/>
      <w:r>
        <w:rPr>
          <w:sz w:val="16"/>
          <w:szCs w:val="16"/>
        </w:rPr>
        <w:t>NFP</w:t>
      </w:r>
      <w:proofErr w:type="spellEnd"/>
      <w:r>
        <w:rPr>
          <w:sz w:val="16"/>
          <w:szCs w:val="16"/>
        </w:rPr>
        <w:t>) sector, which in turn benef</w:t>
      </w:r>
      <w:r>
        <w:rPr>
          <w:sz w:val="16"/>
          <w:szCs w:val="16"/>
        </w:rPr>
        <w:t xml:space="preserve">its the public. </w:t>
      </w:r>
    </w:p>
  </w:footnote>
  <w:footnote w:id="3">
    <w:p w14:paraId="30441D84" w14:textId="77777777" w:rsidR="00A572EF" w:rsidRDefault="00A01F72">
      <w:pPr>
        <w:spacing w:line="240" w:lineRule="auto"/>
        <w:rPr>
          <w:sz w:val="16"/>
          <w:szCs w:val="16"/>
        </w:rPr>
      </w:pPr>
      <w:r>
        <w:rPr>
          <w:vertAlign w:val="superscript"/>
        </w:rPr>
        <w:footnoteRef/>
      </w:r>
      <w:r>
        <w:rPr>
          <w:sz w:val="16"/>
          <w:szCs w:val="16"/>
        </w:rPr>
        <w:t xml:space="preserve"> Albrecht, G., </w:t>
      </w:r>
      <w:proofErr w:type="spellStart"/>
      <w:r>
        <w:rPr>
          <w:sz w:val="16"/>
          <w:szCs w:val="16"/>
        </w:rPr>
        <w:t>Sartore</w:t>
      </w:r>
      <w:proofErr w:type="spellEnd"/>
      <w:r>
        <w:rPr>
          <w:sz w:val="16"/>
          <w:szCs w:val="16"/>
        </w:rPr>
        <w:t xml:space="preserve">, G. M., Connor, L., Higginbotham, N., Freeman, S., Kelly, B., Stain, H., Tonna, A., &amp; Pollard, G. (2007). </w:t>
      </w:r>
      <w:proofErr w:type="spellStart"/>
      <w:r>
        <w:rPr>
          <w:sz w:val="16"/>
          <w:szCs w:val="16"/>
        </w:rPr>
        <w:t>Solastalgia</w:t>
      </w:r>
      <w:proofErr w:type="spellEnd"/>
      <w:r>
        <w:rPr>
          <w:sz w:val="16"/>
          <w:szCs w:val="16"/>
        </w:rPr>
        <w:t xml:space="preserve">: the distress caused by environmental change. </w:t>
      </w:r>
      <w:r>
        <w:rPr>
          <w:i/>
          <w:sz w:val="16"/>
          <w:szCs w:val="16"/>
        </w:rPr>
        <w:t>Australasian psychiatry</w:t>
      </w:r>
      <w:r>
        <w:rPr>
          <w:sz w:val="16"/>
          <w:szCs w:val="16"/>
        </w:rPr>
        <w:t>, 15(</w:t>
      </w:r>
      <w:proofErr w:type="spellStart"/>
      <w:r>
        <w:rPr>
          <w:sz w:val="16"/>
          <w:szCs w:val="16"/>
        </w:rPr>
        <w:t>sup1</w:t>
      </w:r>
      <w:proofErr w:type="spellEnd"/>
      <w:r>
        <w:rPr>
          <w:sz w:val="16"/>
          <w:szCs w:val="16"/>
        </w:rPr>
        <w:t xml:space="preserve">), </w:t>
      </w:r>
      <w:proofErr w:type="spellStart"/>
      <w:r>
        <w:rPr>
          <w:sz w:val="16"/>
          <w:szCs w:val="16"/>
        </w:rPr>
        <w:t>S95-S98</w:t>
      </w:r>
      <w:proofErr w:type="spellEnd"/>
      <w:r>
        <w:rPr>
          <w:sz w:val="16"/>
          <w:szCs w:val="16"/>
        </w:rPr>
        <w:t>. | Scibe</w:t>
      </w:r>
      <w:r>
        <w:rPr>
          <w:sz w:val="16"/>
          <w:szCs w:val="16"/>
        </w:rPr>
        <w:t xml:space="preserve">rras, E., &amp; Fernando, J. W. (2022). Climate change‐related worry among Australian adolescents: an eight‐year longitudinal study. </w:t>
      </w:r>
      <w:r>
        <w:rPr>
          <w:i/>
          <w:sz w:val="16"/>
          <w:szCs w:val="16"/>
        </w:rPr>
        <w:t>Child and adolescent mental health</w:t>
      </w:r>
      <w:r>
        <w:rPr>
          <w:sz w:val="16"/>
          <w:szCs w:val="16"/>
        </w:rPr>
        <w:t>, 27(1), 22-29.</w:t>
      </w:r>
    </w:p>
  </w:footnote>
  <w:footnote w:id="4">
    <w:p w14:paraId="30441D85"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Mission Australia,</w:t>
      </w:r>
      <w:r>
        <w:rPr>
          <w:i/>
          <w:sz w:val="16"/>
          <w:szCs w:val="16"/>
        </w:rPr>
        <w:t xml:space="preserve"> Top three issues that young people care most about in 20</w:t>
      </w:r>
      <w:r>
        <w:rPr>
          <w:i/>
          <w:sz w:val="16"/>
          <w:szCs w:val="16"/>
        </w:rPr>
        <w:t>22,</w:t>
      </w:r>
      <w:r>
        <w:rPr>
          <w:sz w:val="16"/>
          <w:szCs w:val="16"/>
        </w:rPr>
        <w:t xml:space="preserve"> 29 November 2022, Available from: &lt;https://www.missionaustralia.com.au/stories/people-and-communities/top-three-issues-that-young-people-care-most-about-in-2022&gt;.</w:t>
      </w:r>
    </w:p>
  </w:footnote>
  <w:footnote w:id="5">
    <w:p w14:paraId="30441D86"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 xml:space="preserve">The Australian Environmental Grantmakers Network, </w:t>
      </w:r>
      <w:r>
        <w:rPr>
          <w:i/>
          <w:sz w:val="16"/>
          <w:szCs w:val="16"/>
        </w:rPr>
        <w:t>Environmental and Climate Change Givi</w:t>
      </w:r>
      <w:r>
        <w:rPr>
          <w:i/>
          <w:sz w:val="16"/>
          <w:szCs w:val="16"/>
        </w:rPr>
        <w:t>ng Trends 2022,</w:t>
      </w:r>
      <w:r>
        <w:rPr>
          <w:sz w:val="16"/>
          <w:szCs w:val="16"/>
        </w:rPr>
        <w:t xml:space="preserve"> 16 March 2022, Available from: &lt;https://www.aegn.org.au/environmental-and-climate-change-giving-trends-2022/&gt;.</w:t>
      </w:r>
    </w:p>
  </w:footnote>
  <w:footnote w:id="6">
    <w:p w14:paraId="30441D87" w14:textId="77777777" w:rsidR="00A572EF" w:rsidRDefault="00A01F72">
      <w:pPr>
        <w:spacing w:line="240" w:lineRule="auto"/>
        <w:rPr>
          <w:sz w:val="16"/>
          <w:szCs w:val="16"/>
        </w:rPr>
      </w:pPr>
      <w:r>
        <w:rPr>
          <w:vertAlign w:val="superscript"/>
        </w:rPr>
        <w:footnoteRef/>
      </w:r>
      <w:r>
        <w:rPr>
          <w:sz w:val="16"/>
          <w:szCs w:val="16"/>
        </w:rPr>
        <w:t xml:space="preserve"> </w:t>
      </w:r>
      <w:r>
        <w:rPr>
          <w:color w:val="222222"/>
          <w:sz w:val="16"/>
          <w:szCs w:val="16"/>
          <w:highlight w:val="white"/>
        </w:rPr>
        <w:t xml:space="preserve">Leigh, A. (2021). </w:t>
      </w:r>
      <w:r>
        <w:rPr>
          <w:i/>
          <w:color w:val="222222"/>
          <w:sz w:val="16"/>
          <w:szCs w:val="16"/>
          <w:highlight w:val="white"/>
        </w:rPr>
        <w:t>What's the Worst that Could Happen?: Existential Risk and Extreme Politics</w:t>
      </w:r>
      <w:r>
        <w:rPr>
          <w:color w:val="222222"/>
          <w:sz w:val="16"/>
          <w:szCs w:val="16"/>
          <w:highlight w:val="white"/>
        </w:rPr>
        <w:t>. MIT Press.</w:t>
      </w:r>
    </w:p>
  </w:footnote>
  <w:footnote w:id="7">
    <w:p w14:paraId="30441D88" w14:textId="77777777" w:rsidR="00A572EF" w:rsidRDefault="00A01F72">
      <w:pPr>
        <w:spacing w:line="240" w:lineRule="auto"/>
        <w:rPr>
          <w:sz w:val="16"/>
          <w:szCs w:val="16"/>
        </w:rPr>
      </w:pPr>
      <w:r>
        <w:rPr>
          <w:vertAlign w:val="superscript"/>
        </w:rPr>
        <w:footnoteRef/>
      </w:r>
      <w:r>
        <w:rPr>
          <w:i/>
          <w:sz w:val="16"/>
          <w:szCs w:val="16"/>
        </w:rPr>
        <w:t xml:space="preserve"> Income Tax Assessmen</w:t>
      </w:r>
      <w:r>
        <w:rPr>
          <w:i/>
          <w:sz w:val="16"/>
          <w:szCs w:val="16"/>
        </w:rPr>
        <w:t>t Act</w:t>
      </w:r>
      <w:r>
        <w:rPr>
          <w:sz w:val="16"/>
          <w:szCs w:val="16"/>
        </w:rPr>
        <w:t xml:space="preserve"> 1997 (</w:t>
      </w:r>
      <w:proofErr w:type="spellStart"/>
      <w:r>
        <w:rPr>
          <w:sz w:val="16"/>
          <w:szCs w:val="16"/>
        </w:rPr>
        <w:t>Cth</w:t>
      </w:r>
      <w:proofErr w:type="spellEnd"/>
      <w:r>
        <w:rPr>
          <w:sz w:val="16"/>
          <w:szCs w:val="16"/>
        </w:rPr>
        <w:t>). Available from: &lt;https://</w:t>
      </w:r>
      <w:proofErr w:type="spellStart"/>
      <w:r>
        <w:rPr>
          <w:sz w:val="16"/>
          <w:szCs w:val="16"/>
        </w:rPr>
        <w:t>www.legislation.gov.au</w:t>
      </w:r>
      <w:proofErr w:type="spellEnd"/>
      <w:r>
        <w:rPr>
          <w:sz w:val="16"/>
          <w:szCs w:val="16"/>
        </w:rPr>
        <w:t>/Details/</w:t>
      </w:r>
      <w:proofErr w:type="spellStart"/>
      <w:r>
        <w:rPr>
          <w:sz w:val="16"/>
          <w:szCs w:val="16"/>
        </w:rPr>
        <w:t>C2023C00094</w:t>
      </w:r>
      <w:proofErr w:type="spellEnd"/>
      <w:r>
        <w:rPr>
          <w:sz w:val="16"/>
          <w:szCs w:val="16"/>
        </w:rPr>
        <w:t>&gt;.</w:t>
      </w:r>
    </w:p>
  </w:footnote>
  <w:footnote w:id="8">
    <w:p w14:paraId="30441D89" w14:textId="77777777" w:rsidR="00A572EF" w:rsidRDefault="00A01F72">
      <w:pPr>
        <w:spacing w:line="240" w:lineRule="auto"/>
        <w:rPr>
          <w:sz w:val="16"/>
          <w:szCs w:val="16"/>
        </w:rPr>
      </w:pPr>
      <w:r>
        <w:rPr>
          <w:vertAlign w:val="superscript"/>
        </w:rPr>
        <w:footnoteRef/>
      </w:r>
      <w:r>
        <w:rPr>
          <w:sz w:val="16"/>
          <w:szCs w:val="16"/>
        </w:rPr>
        <w:t xml:space="preserve"> ​​Newsome, T. M. (2014). Makings of icons: Alan Newsome, the red kangaroo and the dingo. </w:t>
      </w:r>
      <w:r>
        <w:rPr>
          <w:i/>
          <w:sz w:val="16"/>
          <w:szCs w:val="16"/>
        </w:rPr>
        <w:t xml:space="preserve">Historical Records of Australian Science, </w:t>
      </w:r>
      <w:r>
        <w:rPr>
          <w:sz w:val="16"/>
          <w:szCs w:val="16"/>
        </w:rPr>
        <w:t xml:space="preserve">25(2), 153-171. | Shumway, N., </w:t>
      </w:r>
      <w:proofErr w:type="spellStart"/>
      <w:r>
        <w:rPr>
          <w:sz w:val="16"/>
          <w:szCs w:val="16"/>
        </w:rPr>
        <w:t>Lunn</w:t>
      </w:r>
      <w:r>
        <w:rPr>
          <w:sz w:val="16"/>
          <w:szCs w:val="16"/>
        </w:rPr>
        <w:t>ey</w:t>
      </w:r>
      <w:proofErr w:type="spellEnd"/>
      <w:r>
        <w:rPr>
          <w:sz w:val="16"/>
          <w:szCs w:val="16"/>
        </w:rPr>
        <w:t>, D., Seabrook, L., &amp; McAlpine, C. (2015). Saving our national icon: An ecological analysis of the 2011 Australian Senate inquiry into the status of the koala.</w:t>
      </w:r>
      <w:r>
        <w:rPr>
          <w:i/>
          <w:sz w:val="16"/>
          <w:szCs w:val="16"/>
        </w:rPr>
        <w:t xml:space="preserve"> Environmental Science &amp; Policy,</w:t>
      </w:r>
      <w:r>
        <w:rPr>
          <w:sz w:val="16"/>
          <w:szCs w:val="16"/>
        </w:rPr>
        <w:t xml:space="preserve"> 54, 297-303. </w:t>
      </w:r>
    </w:p>
  </w:footnote>
  <w:footnote w:id="9">
    <w:p w14:paraId="30441D8A" w14:textId="77777777" w:rsidR="00A572EF" w:rsidRDefault="00A01F72">
      <w:pPr>
        <w:spacing w:line="240" w:lineRule="auto"/>
        <w:rPr>
          <w:sz w:val="20"/>
          <w:szCs w:val="20"/>
        </w:rPr>
      </w:pPr>
      <w:r>
        <w:rPr>
          <w:vertAlign w:val="superscript"/>
        </w:rPr>
        <w:footnoteRef/>
      </w:r>
      <w:r>
        <w:rPr>
          <w:sz w:val="16"/>
          <w:szCs w:val="16"/>
        </w:rPr>
        <w:t xml:space="preserve"> Barratt, V., &amp; </w:t>
      </w:r>
      <w:proofErr w:type="spellStart"/>
      <w:r>
        <w:rPr>
          <w:sz w:val="16"/>
          <w:szCs w:val="16"/>
        </w:rPr>
        <w:t>Medvecky</w:t>
      </w:r>
      <w:proofErr w:type="spellEnd"/>
      <w:r>
        <w:rPr>
          <w:sz w:val="16"/>
          <w:szCs w:val="16"/>
        </w:rPr>
        <w:t xml:space="preserve">, F. (2022). Knowledge </w:t>
      </w:r>
      <w:r>
        <w:rPr>
          <w:sz w:val="16"/>
          <w:szCs w:val="16"/>
        </w:rPr>
        <w:t xml:space="preserve">and attitudes towards Australian wildlife rescue services. </w:t>
      </w:r>
      <w:r>
        <w:rPr>
          <w:i/>
          <w:sz w:val="16"/>
          <w:szCs w:val="16"/>
        </w:rPr>
        <w:t>Australian Zoologist,</w:t>
      </w:r>
      <w:r>
        <w:rPr>
          <w:sz w:val="16"/>
          <w:szCs w:val="16"/>
        </w:rPr>
        <w:t xml:space="preserve"> 42(3), 702-718. | Barratt, V. L. (2021). </w:t>
      </w:r>
      <w:r>
        <w:rPr>
          <w:i/>
          <w:sz w:val="16"/>
          <w:szCs w:val="16"/>
        </w:rPr>
        <w:t>Attitudes to wildlife rescue</w:t>
      </w:r>
      <w:r>
        <w:rPr>
          <w:sz w:val="16"/>
          <w:szCs w:val="16"/>
        </w:rPr>
        <w:t xml:space="preserve"> (Doctoral dissertation, University of Otago). |</w:t>
      </w:r>
      <w:r>
        <w:rPr>
          <w:sz w:val="20"/>
          <w:szCs w:val="20"/>
        </w:rPr>
        <w:t xml:space="preserve"> </w:t>
      </w:r>
      <w:proofErr w:type="spellStart"/>
      <w:r>
        <w:rPr>
          <w:color w:val="222222"/>
          <w:sz w:val="16"/>
          <w:szCs w:val="16"/>
          <w:highlight w:val="white"/>
        </w:rPr>
        <w:t>FitzGibbon</w:t>
      </w:r>
      <w:proofErr w:type="spellEnd"/>
      <w:r>
        <w:rPr>
          <w:color w:val="222222"/>
          <w:sz w:val="16"/>
          <w:szCs w:val="16"/>
          <w:highlight w:val="white"/>
        </w:rPr>
        <w:t>, S. I., and Jones, D. N. (2006). A community-b</w:t>
      </w:r>
      <w:r>
        <w:rPr>
          <w:color w:val="222222"/>
          <w:sz w:val="16"/>
          <w:szCs w:val="16"/>
          <w:highlight w:val="white"/>
        </w:rPr>
        <w:t xml:space="preserve">ased wildlife survey: the knowledge and attitudes of residents of suburban Brisbane, with a focus on bandicoots. </w:t>
      </w:r>
      <w:r>
        <w:rPr>
          <w:i/>
          <w:color w:val="222222"/>
          <w:sz w:val="16"/>
          <w:szCs w:val="16"/>
          <w:highlight w:val="white"/>
        </w:rPr>
        <w:t>Wildlife Research</w:t>
      </w:r>
      <w:r>
        <w:rPr>
          <w:color w:val="222222"/>
          <w:sz w:val="16"/>
          <w:szCs w:val="16"/>
          <w:highlight w:val="white"/>
        </w:rPr>
        <w:t xml:space="preserve">, </w:t>
      </w:r>
      <w:r>
        <w:rPr>
          <w:i/>
          <w:color w:val="222222"/>
          <w:sz w:val="16"/>
          <w:szCs w:val="16"/>
          <w:highlight w:val="white"/>
        </w:rPr>
        <w:t>33</w:t>
      </w:r>
      <w:r>
        <w:rPr>
          <w:color w:val="222222"/>
          <w:sz w:val="16"/>
          <w:szCs w:val="16"/>
          <w:highlight w:val="white"/>
        </w:rPr>
        <w:t xml:space="preserve">(3), 233-241. | Miller, K. K. (2003). Public and stakeholder values of wildlife in Victoria, Australia. </w:t>
      </w:r>
      <w:r>
        <w:rPr>
          <w:i/>
          <w:color w:val="222222"/>
          <w:sz w:val="16"/>
          <w:szCs w:val="16"/>
          <w:highlight w:val="white"/>
        </w:rPr>
        <w:t>Wildlife Research</w:t>
      </w:r>
      <w:r>
        <w:rPr>
          <w:color w:val="222222"/>
          <w:sz w:val="16"/>
          <w:szCs w:val="16"/>
          <w:highlight w:val="white"/>
        </w:rPr>
        <w:t xml:space="preserve">, </w:t>
      </w:r>
      <w:r>
        <w:rPr>
          <w:i/>
          <w:color w:val="222222"/>
          <w:sz w:val="16"/>
          <w:szCs w:val="16"/>
          <w:highlight w:val="white"/>
        </w:rPr>
        <w:t>30</w:t>
      </w:r>
      <w:r>
        <w:rPr>
          <w:color w:val="222222"/>
          <w:sz w:val="16"/>
          <w:szCs w:val="16"/>
          <w:highlight w:val="white"/>
        </w:rPr>
        <w:t xml:space="preserve">(5), 465-476. | </w:t>
      </w:r>
      <w:proofErr w:type="spellStart"/>
      <w:r>
        <w:rPr>
          <w:color w:val="222222"/>
          <w:sz w:val="16"/>
          <w:szCs w:val="16"/>
          <w:highlight w:val="white"/>
        </w:rPr>
        <w:t>Tisdell</w:t>
      </w:r>
      <w:proofErr w:type="spellEnd"/>
      <w:r>
        <w:rPr>
          <w:color w:val="222222"/>
          <w:sz w:val="16"/>
          <w:szCs w:val="16"/>
          <w:highlight w:val="white"/>
        </w:rPr>
        <w:t xml:space="preserve">, C., Wilson, C., &amp; </w:t>
      </w:r>
      <w:proofErr w:type="spellStart"/>
      <w:r>
        <w:rPr>
          <w:color w:val="222222"/>
          <w:sz w:val="16"/>
          <w:szCs w:val="16"/>
          <w:highlight w:val="white"/>
        </w:rPr>
        <w:t>Nantha</w:t>
      </w:r>
      <w:proofErr w:type="spellEnd"/>
      <w:r>
        <w:rPr>
          <w:color w:val="222222"/>
          <w:sz w:val="16"/>
          <w:szCs w:val="16"/>
          <w:highlight w:val="white"/>
        </w:rPr>
        <w:t>, H. S. (2005). Policies for saving a rare Australian glider: economics and ecolog</w:t>
      </w:r>
      <w:r>
        <w:rPr>
          <w:color w:val="222222"/>
          <w:sz w:val="16"/>
          <w:szCs w:val="16"/>
          <w:highlight w:val="white"/>
        </w:rPr>
        <w:t xml:space="preserve">y. </w:t>
      </w:r>
      <w:r>
        <w:rPr>
          <w:i/>
          <w:color w:val="222222"/>
          <w:sz w:val="16"/>
          <w:szCs w:val="16"/>
          <w:highlight w:val="white"/>
        </w:rPr>
        <w:t>Biological Conservation,</w:t>
      </w:r>
      <w:r>
        <w:rPr>
          <w:color w:val="222222"/>
          <w:sz w:val="16"/>
          <w:szCs w:val="16"/>
          <w:highlight w:val="white"/>
        </w:rPr>
        <w:t xml:space="preserve"> 123(2), 237-248. | </w:t>
      </w:r>
      <w:proofErr w:type="spellStart"/>
      <w:r>
        <w:rPr>
          <w:color w:val="222222"/>
          <w:sz w:val="16"/>
          <w:szCs w:val="16"/>
          <w:highlight w:val="white"/>
        </w:rPr>
        <w:t>Tisdell</w:t>
      </w:r>
      <w:proofErr w:type="spellEnd"/>
      <w:r>
        <w:rPr>
          <w:color w:val="222222"/>
          <w:sz w:val="16"/>
          <w:szCs w:val="16"/>
          <w:highlight w:val="white"/>
        </w:rPr>
        <w:t>, C., &amp; Wilson, C. (2004). The public's knowledge of and support for conservation of Australia's tree-kangaroos and other animals.</w:t>
      </w:r>
      <w:r>
        <w:rPr>
          <w:i/>
          <w:color w:val="222222"/>
          <w:sz w:val="16"/>
          <w:szCs w:val="16"/>
          <w:highlight w:val="white"/>
        </w:rPr>
        <w:t xml:space="preserve"> Biodiversity &amp; Conservation, </w:t>
      </w:r>
      <w:r>
        <w:rPr>
          <w:color w:val="222222"/>
          <w:sz w:val="16"/>
          <w:szCs w:val="16"/>
          <w:highlight w:val="white"/>
        </w:rPr>
        <w:t xml:space="preserve">13, 2339-2359. </w:t>
      </w:r>
    </w:p>
  </w:footnote>
  <w:footnote w:id="10">
    <w:p w14:paraId="30441D8B" w14:textId="77777777" w:rsidR="00A572EF" w:rsidRDefault="00A01F72">
      <w:pPr>
        <w:spacing w:line="240" w:lineRule="auto"/>
        <w:rPr>
          <w:sz w:val="20"/>
          <w:szCs w:val="20"/>
        </w:rPr>
      </w:pPr>
      <w:r>
        <w:rPr>
          <w:vertAlign w:val="superscript"/>
        </w:rPr>
        <w:footnoteRef/>
      </w:r>
      <w:r>
        <w:rPr>
          <w:sz w:val="20"/>
          <w:szCs w:val="20"/>
        </w:rPr>
        <w:t xml:space="preserve"> </w:t>
      </w:r>
      <w:r>
        <w:rPr>
          <w:color w:val="222222"/>
          <w:sz w:val="16"/>
          <w:szCs w:val="16"/>
          <w:highlight w:val="white"/>
        </w:rPr>
        <w:t>Miller, K. K. (2003). Pu</w:t>
      </w:r>
      <w:r>
        <w:rPr>
          <w:color w:val="222222"/>
          <w:sz w:val="16"/>
          <w:szCs w:val="16"/>
          <w:highlight w:val="white"/>
        </w:rPr>
        <w:t xml:space="preserve">blic and stakeholder values of wildlife in Victoria, Australia. </w:t>
      </w:r>
      <w:r>
        <w:rPr>
          <w:i/>
          <w:color w:val="222222"/>
          <w:sz w:val="16"/>
          <w:szCs w:val="16"/>
          <w:highlight w:val="white"/>
        </w:rPr>
        <w:t>Wildlife Research</w:t>
      </w:r>
      <w:r>
        <w:rPr>
          <w:color w:val="222222"/>
          <w:sz w:val="16"/>
          <w:szCs w:val="16"/>
          <w:highlight w:val="white"/>
        </w:rPr>
        <w:t xml:space="preserve">, </w:t>
      </w:r>
      <w:r>
        <w:rPr>
          <w:i/>
          <w:color w:val="222222"/>
          <w:sz w:val="16"/>
          <w:szCs w:val="16"/>
          <w:highlight w:val="white"/>
        </w:rPr>
        <w:t>30</w:t>
      </w:r>
      <w:r>
        <w:rPr>
          <w:color w:val="222222"/>
          <w:sz w:val="16"/>
          <w:szCs w:val="16"/>
          <w:highlight w:val="white"/>
        </w:rPr>
        <w:t>(5), 465-476.</w:t>
      </w:r>
    </w:p>
  </w:footnote>
  <w:footnote w:id="11">
    <w:p w14:paraId="30441D8C" w14:textId="77777777" w:rsidR="00A572EF" w:rsidRDefault="00A01F72">
      <w:pPr>
        <w:spacing w:line="240" w:lineRule="auto"/>
        <w:rPr>
          <w:sz w:val="16"/>
          <w:szCs w:val="16"/>
        </w:rPr>
      </w:pPr>
      <w:r>
        <w:rPr>
          <w:vertAlign w:val="superscript"/>
        </w:rPr>
        <w:footnoteRef/>
      </w:r>
      <w:r>
        <w:rPr>
          <w:sz w:val="16"/>
          <w:szCs w:val="16"/>
        </w:rPr>
        <w:t xml:space="preserve"> Fabian, M. C., Cook, A. S., &amp; Old, J. M. (2020). Attitudes towards wildlife conservation. </w:t>
      </w:r>
      <w:r>
        <w:rPr>
          <w:i/>
          <w:sz w:val="16"/>
          <w:szCs w:val="16"/>
        </w:rPr>
        <w:t xml:space="preserve">Australian Zoologist, </w:t>
      </w:r>
      <w:r>
        <w:rPr>
          <w:sz w:val="16"/>
          <w:szCs w:val="16"/>
        </w:rPr>
        <w:t>40(4), 585-604.</w:t>
      </w:r>
    </w:p>
  </w:footnote>
  <w:footnote w:id="12">
    <w:p w14:paraId="30441D8D"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Pearson, Mellish, Sanders</w:t>
      </w:r>
      <w:r>
        <w:rPr>
          <w:sz w:val="16"/>
          <w:szCs w:val="16"/>
        </w:rPr>
        <w:t xml:space="preserve">, &amp; Litchfield. (2014). Marine wildlife entanglement: Assessing knowledge, attitudes, and relevant behaviour in the Australian community. </w:t>
      </w:r>
      <w:r>
        <w:rPr>
          <w:i/>
          <w:sz w:val="16"/>
          <w:szCs w:val="16"/>
        </w:rPr>
        <w:t>Marine Pollution Bulletin</w:t>
      </w:r>
      <w:r>
        <w:rPr>
          <w:sz w:val="16"/>
          <w:szCs w:val="16"/>
        </w:rPr>
        <w:t>, 89(1-2), 136-148.</w:t>
      </w:r>
    </w:p>
  </w:footnote>
  <w:footnote w:id="13">
    <w:p w14:paraId="30441D8E" w14:textId="77777777" w:rsidR="00A572EF" w:rsidRDefault="00A01F72">
      <w:pPr>
        <w:spacing w:line="240" w:lineRule="auto"/>
        <w:rPr>
          <w:sz w:val="16"/>
          <w:szCs w:val="16"/>
        </w:rPr>
      </w:pPr>
      <w:r>
        <w:rPr>
          <w:vertAlign w:val="superscript"/>
        </w:rPr>
        <w:footnoteRef/>
      </w:r>
      <w:r>
        <w:rPr>
          <w:sz w:val="16"/>
          <w:szCs w:val="16"/>
        </w:rPr>
        <w:t xml:space="preserve"> Cornish, A., </w:t>
      </w:r>
      <w:proofErr w:type="spellStart"/>
      <w:r>
        <w:rPr>
          <w:sz w:val="16"/>
          <w:szCs w:val="16"/>
        </w:rPr>
        <w:t>Raubenheimer</w:t>
      </w:r>
      <w:proofErr w:type="spellEnd"/>
      <w:r>
        <w:rPr>
          <w:sz w:val="16"/>
          <w:szCs w:val="16"/>
        </w:rPr>
        <w:t>, D., &amp; McGreevy, P. (2016). What we know abou</w:t>
      </w:r>
      <w:r>
        <w:rPr>
          <w:sz w:val="16"/>
          <w:szCs w:val="16"/>
        </w:rPr>
        <w:t xml:space="preserve">t the public’s level of concern for farm animal welfare in food production in developed countries. </w:t>
      </w:r>
      <w:r>
        <w:rPr>
          <w:i/>
          <w:sz w:val="16"/>
          <w:szCs w:val="16"/>
        </w:rPr>
        <w:t>Animals</w:t>
      </w:r>
      <w:r>
        <w:rPr>
          <w:sz w:val="16"/>
          <w:szCs w:val="16"/>
        </w:rPr>
        <w:t xml:space="preserve">, 6(11), 74. | Whittaker, D.A., Buddle, D.E., &amp; Ankeny, R. (2022). </w:t>
      </w:r>
      <w:r>
        <w:rPr>
          <w:i/>
          <w:sz w:val="16"/>
          <w:szCs w:val="16"/>
        </w:rPr>
        <w:t xml:space="preserve">Research Survey on Australian Attitudes to Animal Research. </w:t>
      </w:r>
      <w:r>
        <w:rPr>
          <w:sz w:val="16"/>
          <w:szCs w:val="16"/>
        </w:rPr>
        <w:t>The University of Adela</w:t>
      </w:r>
      <w:r>
        <w:rPr>
          <w:sz w:val="16"/>
          <w:szCs w:val="16"/>
        </w:rPr>
        <w:t>ide.</w:t>
      </w:r>
    </w:p>
  </w:footnote>
  <w:footnote w:id="14">
    <w:p w14:paraId="30441D8F" w14:textId="77777777" w:rsidR="00A572EF" w:rsidRDefault="00A01F72">
      <w:pPr>
        <w:spacing w:line="240" w:lineRule="auto"/>
        <w:rPr>
          <w:sz w:val="16"/>
          <w:szCs w:val="16"/>
        </w:rPr>
      </w:pPr>
      <w:r>
        <w:rPr>
          <w:vertAlign w:val="superscript"/>
        </w:rPr>
        <w:footnoteRef/>
      </w:r>
      <w:r>
        <w:rPr>
          <w:sz w:val="16"/>
          <w:szCs w:val="16"/>
        </w:rPr>
        <w:t xml:space="preserve"> Coleman, G. (2007). Public perceptions of animal pain and animal welfare. </w:t>
      </w:r>
      <w:r>
        <w:rPr>
          <w:i/>
          <w:sz w:val="16"/>
          <w:szCs w:val="16"/>
        </w:rPr>
        <w:t>Proceedings of the Australian Animal Welfare Strategy Science Summit on Pain and Pain Management,</w:t>
      </w:r>
      <w:r>
        <w:rPr>
          <w:sz w:val="16"/>
          <w:szCs w:val="16"/>
        </w:rPr>
        <w:t xml:space="preserve"> 27(1), pp. 1-8.</w:t>
      </w:r>
    </w:p>
  </w:footnote>
  <w:footnote w:id="15">
    <w:p w14:paraId="30441D90" w14:textId="77777777" w:rsidR="00A572EF" w:rsidRDefault="00A01F72">
      <w:pPr>
        <w:spacing w:line="240" w:lineRule="auto"/>
        <w:rPr>
          <w:sz w:val="16"/>
          <w:szCs w:val="16"/>
        </w:rPr>
      </w:pPr>
      <w:r>
        <w:rPr>
          <w:vertAlign w:val="superscript"/>
        </w:rPr>
        <w:footnoteRef/>
      </w:r>
      <w:r>
        <w:rPr>
          <w:sz w:val="20"/>
          <w:szCs w:val="20"/>
        </w:rPr>
        <w:t xml:space="preserve"> </w:t>
      </w:r>
      <w:r>
        <w:rPr>
          <w:color w:val="222222"/>
          <w:sz w:val="16"/>
          <w:szCs w:val="16"/>
          <w:highlight w:val="white"/>
        </w:rPr>
        <w:t>Buddle, E. A., Bray, H. J., &amp; Pitchford, W. S. (2018). Keep</w:t>
      </w:r>
      <w:r>
        <w:rPr>
          <w:color w:val="222222"/>
          <w:sz w:val="16"/>
          <w:szCs w:val="16"/>
          <w:highlight w:val="white"/>
        </w:rPr>
        <w:t xml:space="preserve">ing it ‘inside the fence’: an examination of responses to a farm-animal welfare issue on Twitter. </w:t>
      </w:r>
      <w:r>
        <w:rPr>
          <w:i/>
          <w:color w:val="222222"/>
          <w:sz w:val="16"/>
          <w:szCs w:val="16"/>
          <w:highlight w:val="white"/>
        </w:rPr>
        <w:t>Animal Production Science</w:t>
      </w:r>
      <w:r>
        <w:rPr>
          <w:color w:val="222222"/>
          <w:sz w:val="16"/>
          <w:szCs w:val="16"/>
          <w:highlight w:val="white"/>
        </w:rPr>
        <w:t xml:space="preserve">, </w:t>
      </w:r>
      <w:r>
        <w:rPr>
          <w:i/>
          <w:color w:val="222222"/>
          <w:sz w:val="16"/>
          <w:szCs w:val="16"/>
          <w:highlight w:val="white"/>
        </w:rPr>
        <w:t>58</w:t>
      </w:r>
      <w:r>
        <w:rPr>
          <w:color w:val="222222"/>
          <w:sz w:val="16"/>
          <w:szCs w:val="16"/>
          <w:highlight w:val="white"/>
        </w:rPr>
        <w:t>(3), 435-444</w:t>
      </w:r>
      <w:r>
        <w:rPr>
          <w:sz w:val="16"/>
          <w:szCs w:val="16"/>
        </w:rPr>
        <w:t>.</w:t>
      </w:r>
      <w:r>
        <w:rPr>
          <w:color w:val="222222"/>
          <w:sz w:val="16"/>
          <w:szCs w:val="16"/>
          <w:highlight w:val="white"/>
        </w:rPr>
        <w:t xml:space="preserve"> </w:t>
      </w:r>
      <w:r>
        <w:rPr>
          <w:sz w:val="16"/>
          <w:szCs w:val="16"/>
        </w:rPr>
        <w:t>| Tiplady, C. M., Walsh, D. A. B., and Phillips, C. J. (2013). Public response to media coverage of animal cruelty.</w:t>
      </w:r>
      <w:r>
        <w:rPr>
          <w:sz w:val="16"/>
          <w:szCs w:val="16"/>
        </w:rPr>
        <w:t xml:space="preserve"> </w:t>
      </w:r>
      <w:r>
        <w:rPr>
          <w:i/>
          <w:sz w:val="16"/>
          <w:szCs w:val="16"/>
        </w:rPr>
        <w:t>Journal of agricultural and environmental ethics,</w:t>
      </w:r>
      <w:r>
        <w:rPr>
          <w:sz w:val="16"/>
          <w:szCs w:val="16"/>
        </w:rPr>
        <w:t xml:space="preserve"> 26(4), 869-885.  | Whittaker, D.A., Buddle, D.E., &amp; Ankeny, R. (2022). </w:t>
      </w:r>
      <w:r>
        <w:rPr>
          <w:i/>
          <w:sz w:val="16"/>
          <w:szCs w:val="16"/>
        </w:rPr>
        <w:t xml:space="preserve">Research Survey on Australian Attitudes to Animal Research. </w:t>
      </w:r>
      <w:r>
        <w:rPr>
          <w:sz w:val="16"/>
          <w:szCs w:val="16"/>
        </w:rPr>
        <w:t>The University of Adelaide.</w:t>
      </w:r>
    </w:p>
  </w:footnote>
  <w:footnote w:id="16">
    <w:p w14:paraId="30441D91" w14:textId="77777777" w:rsidR="00A572EF" w:rsidRDefault="00A01F72">
      <w:pPr>
        <w:spacing w:line="240" w:lineRule="auto"/>
        <w:rPr>
          <w:sz w:val="16"/>
          <w:szCs w:val="16"/>
        </w:rPr>
      </w:pPr>
      <w:r>
        <w:rPr>
          <w:vertAlign w:val="superscript"/>
        </w:rPr>
        <w:footnoteRef/>
      </w:r>
      <w:r>
        <w:rPr>
          <w:sz w:val="20"/>
          <w:szCs w:val="20"/>
        </w:rPr>
        <w:t xml:space="preserve"> </w:t>
      </w:r>
      <w:proofErr w:type="spellStart"/>
      <w:r>
        <w:rPr>
          <w:sz w:val="16"/>
          <w:szCs w:val="16"/>
        </w:rPr>
        <w:t>Decety</w:t>
      </w:r>
      <w:proofErr w:type="spellEnd"/>
      <w:r>
        <w:rPr>
          <w:sz w:val="16"/>
          <w:szCs w:val="16"/>
        </w:rPr>
        <w:t xml:space="preserve">, J., &amp; </w:t>
      </w:r>
      <w:proofErr w:type="spellStart"/>
      <w:r>
        <w:rPr>
          <w:sz w:val="16"/>
          <w:szCs w:val="16"/>
        </w:rPr>
        <w:t>Moriguchi</w:t>
      </w:r>
      <w:proofErr w:type="spellEnd"/>
      <w:r>
        <w:rPr>
          <w:sz w:val="16"/>
          <w:szCs w:val="16"/>
        </w:rPr>
        <w:t>, Y. (2007). The empathic brain and its dysfunction in psychiatric populations: Implications for intervention across different clinical co</w:t>
      </w:r>
      <w:r>
        <w:rPr>
          <w:sz w:val="16"/>
          <w:szCs w:val="16"/>
        </w:rPr>
        <w:t xml:space="preserve">nditions. </w:t>
      </w:r>
      <w:r>
        <w:rPr>
          <w:i/>
          <w:sz w:val="16"/>
          <w:szCs w:val="16"/>
        </w:rPr>
        <w:t>Biopsychosocial Medicine</w:t>
      </w:r>
      <w:r>
        <w:rPr>
          <w:sz w:val="16"/>
          <w:szCs w:val="16"/>
        </w:rPr>
        <w:t xml:space="preserve">, 1, 22. | </w:t>
      </w:r>
      <w:proofErr w:type="spellStart"/>
      <w:r>
        <w:rPr>
          <w:sz w:val="16"/>
          <w:szCs w:val="16"/>
        </w:rPr>
        <w:t>Numan</w:t>
      </w:r>
      <w:proofErr w:type="spellEnd"/>
      <w:r>
        <w:rPr>
          <w:sz w:val="16"/>
          <w:szCs w:val="16"/>
        </w:rPr>
        <w:t xml:space="preserve">, M., &amp; </w:t>
      </w:r>
      <w:proofErr w:type="spellStart"/>
      <w:r>
        <w:rPr>
          <w:sz w:val="16"/>
          <w:szCs w:val="16"/>
        </w:rPr>
        <w:t>Ebooks</w:t>
      </w:r>
      <w:proofErr w:type="spellEnd"/>
      <w:r>
        <w:rPr>
          <w:sz w:val="16"/>
          <w:szCs w:val="16"/>
        </w:rPr>
        <w:t xml:space="preserve"> Corporation. (2015). </w:t>
      </w:r>
      <w:r>
        <w:rPr>
          <w:i/>
          <w:sz w:val="16"/>
          <w:szCs w:val="16"/>
        </w:rPr>
        <w:t xml:space="preserve">Neurobiology of social </w:t>
      </w:r>
      <w:proofErr w:type="spellStart"/>
      <w:r>
        <w:rPr>
          <w:i/>
          <w:sz w:val="16"/>
          <w:szCs w:val="16"/>
        </w:rPr>
        <w:t>behavior</w:t>
      </w:r>
      <w:proofErr w:type="spellEnd"/>
      <w:r>
        <w:rPr>
          <w:i/>
          <w:sz w:val="16"/>
          <w:szCs w:val="16"/>
        </w:rPr>
        <w:t>: Toward an understanding of the prosocial and antisocial brain.</w:t>
      </w:r>
      <w:r>
        <w:rPr>
          <w:sz w:val="16"/>
          <w:szCs w:val="16"/>
        </w:rPr>
        <w:t xml:space="preserve"> London, England: Elsevier : Academic Press.</w:t>
      </w:r>
    </w:p>
  </w:footnote>
  <w:footnote w:id="17">
    <w:p w14:paraId="30441D92"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 xml:space="preserve">Campos, C., Pasion, R., </w:t>
      </w:r>
      <w:proofErr w:type="spellStart"/>
      <w:r>
        <w:rPr>
          <w:sz w:val="16"/>
          <w:szCs w:val="16"/>
        </w:rPr>
        <w:t>Azeredo</w:t>
      </w:r>
      <w:proofErr w:type="spellEnd"/>
      <w:r>
        <w:rPr>
          <w:sz w:val="16"/>
          <w:szCs w:val="16"/>
        </w:rPr>
        <w:t xml:space="preserve">, A., </w:t>
      </w:r>
      <w:proofErr w:type="spellStart"/>
      <w:r>
        <w:rPr>
          <w:sz w:val="16"/>
          <w:szCs w:val="16"/>
        </w:rPr>
        <w:t>Ramião</w:t>
      </w:r>
      <w:proofErr w:type="spellEnd"/>
      <w:r>
        <w:rPr>
          <w:sz w:val="16"/>
          <w:szCs w:val="16"/>
        </w:rPr>
        <w:t>,</w:t>
      </w:r>
      <w:r>
        <w:rPr>
          <w:sz w:val="16"/>
          <w:szCs w:val="16"/>
        </w:rPr>
        <w:t xml:space="preserve"> E., Mazer, P., Macedo, I., &amp; Barbosa, F. (2022). Refining the link between psychopathy, antisocial </w:t>
      </w:r>
      <w:proofErr w:type="spellStart"/>
      <w:r>
        <w:rPr>
          <w:sz w:val="16"/>
          <w:szCs w:val="16"/>
        </w:rPr>
        <w:t>behavior</w:t>
      </w:r>
      <w:proofErr w:type="spellEnd"/>
      <w:r>
        <w:rPr>
          <w:sz w:val="16"/>
          <w:szCs w:val="16"/>
        </w:rPr>
        <w:t xml:space="preserve">, and empathy: A meta-analytical approach across different conceptual frameworks. </w:t>
      </w:r>
      <w:r>
        <w:rPr>
          <w:i/>
          <w:sz w:val="16"/>
          <w:szCs w:val="16"/>
        </w:rPr>
        <w:t xml:space="preserve">Clinical Psychology Review, </w:t>
      </w:r>
      <w:r>
        <w:rPr>
          <w:sz w:val="16"/>
          <w:szCs w:val="16"/>
        </w:rPr>
        <w:t>94, 102145.</w:t>
      </w:r>
    </w:p>
  </w:footnote>
  <w:footnote w:id="18">
    <w:p w14:paraId="30441D93" w14:textId="77777777" w:rsidR="00A572EF" w:rsidRDefault="00A01F72">
      <w:pPr>
        <w:spacing w:line="240" w:lineRule="auto"/>
        <w:rPr>
          <w:sz w:val="16"/>
          <w:szCs w:val="16"/>
        </w:rPr>
      </w:pPr>
      <w:r>
        <w:rPr>
          <w:vertAlign w:val="superscript"/>
        </w:rPr>
        <w:footnoteRef/>
      </w:r>
      <w:r>
        <w:rPr>
          <w:sz w:val="16"/>
          <w:szCs w:val="16"/>
        </w:rPr>
        <w:t xml:space="preserve"> </w:t>
      </w:r>
      <w:proofErr w:type="spellStart"/>
      <w:r>
        <w:rPr>
          <w:sz w:val="16"/>
          <w:szCs w:val="16"/>
        </w:rPr>
        <w:t>Futureye</w:t>
      </w:r>
      <w:proofErr w:type="spellEnd"/>
      <w:r>
        <w:rPr>
          <w:sz w:val="16"/>
          <w:szCs w:val="16"/>
        </w:rPr>
        <w:t xml:space="preserve">. (2019). </w:t>
      </w:r>
      <w:r>
        <w:rPr>
          <w:i/>
          <w:sz w:val="16"/>
          <w:szCs w:val="16"/>
        </w:rPr>
        <w:t>Austra</w:t>
      </w:r>
      <w:r>
        <w:rPr>
          <w:i/>
          <w:sz w:val="16"/>
          <w:szCs w:val="16"/>
        </w:rPr>
        <w:t xml:space="preserve">lia’s Shifting Mindset on Farm Animal Welfare. </w:t>
      </w:r>
      <w:r>
        <w:rPr>
          <w:sz w:val="16"/>
          <w:szCs w:val="16"/>
        </w:rPr>
        <w:t>Available from: &lt;https://web.archive.org/web/20191108034242/http://www.agriculture.gov.au/SiteCollectionDocuments/animal/farm-animal-welfare.pdf&gt;.</w:t>
      </w:r>
    </w:p>
  </w:footnote>
  <w:footnote w:id="19">
    <w:p w14:paraId="30441D94" w14:textId="77777777" w:rsidR="00A572EF" w:rsidRDefault="00A01F72">
      <w:pPr>
        <w:spacing w:line="240" w:lineRule="auto"/>
        <w:rPr>
          <w:sz w:val="16"/>
          <w:szCs w:val="16"/>
        </w:rPr>
      </w:pPr>
      <w:r>
        <w:rPr>
          <w:vertAlign w:val="superscript"/>
        </w:rPr>
        <w:footnoteRef/>
      </w:r>
      <w:r>
        <w:rPr>
          <w:sz w:val="20"/>
          <w:szCs w:val="20"/>
        </w:rPr>
        <w:t xml:space="preserve"> </w:t>
      </w:r>
      <w:r>
        <w:rPr>
          <w:color w:val="222222"/>
          <w:sz w:val="16"/>
          <w:szCs w:val="16"/>
          <w:highlight w:val="white"/>
        </w:rPr>
        <w:t>Tiplady, C. M., Walsh, D. A. B., &amp; Phillips, C. J. (2013). P</w:t>
      </w:r>
      <w:r>
        <w:rPr>
          <w:color w:val="222222"/>
          <w:sz w:val="16"/>
          <w:szCs w:val="16"/>
          <w:highlight w:val="white"/>
        </w:rPr>
        <w:t xml:space="preserve">ublic response to media coverage of animal cruelty. </w:t>
      </w:r>
      <w:r>
        <w:rPr>
          <w:i/>
          <w:color w:val="222222"/>
          <w:sz w:val="16"/>
          <w:szCs w:val="16"/>
          <w:highlight w:val="white"/>
        </w:rPr>
        <w:t>Journal of agricultural and environmental ethics</w:t>
      </w:r>
      <w:r>
        <w:rPr>
          <w:color w:val="222222"/>
          <w:sz w:val="16"/>
          <w:szCs w:val="16"/>
          <w:highlight w:val="white"/>
        </w:rPr>
        <w:t xml:space="preserve">, </w:t>
      </w:r>
      <w:r>
        <w:rPr>
          <w:i/>
          <w:color w:val="222222"/>
          <w:sz w:val="16"/>
          <w:szCs w:val="16"/>
          <w:highlight w:val="white"/>
        </w:rPr>
        <w:t>26</w:t>
      </w:r>
      <w:r>
        <w:rPr>
          <w:color w:val="222222"/>
          <w:sz w:val="16"/>
          <w:szCs w:val="16"/>
          <w:highlight w:val="white"/>
        </w:rPr>
        <w:t>(4), 869-885.</w:t>
      </w:r>
    </w:p>
  </w:footnote>
  <w:footnote w:id="20">
    <w:p w14:paraId="30441D95"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 xml:space="preserve">Coghlan, S. (2014). Australia and live animal export: wronging nonhuman animals. </w:t>
      </w:r>
      <w:r>
        <w:rPr>
          <w:i/>
          <w:sz w:val="16"/>
          <w:szCs w:val="16"/>
        </w:rPr>
        <w:t>Journal of Animal Ethics</w:t>
      </w:r>
      <w:r>
        <w:rPr>
          <w:sz w:val="16"/>
          <w:szCs w:val="16"/>
        </w:rPr>
        <w:t>, 4(2), 45-60.</w:t>
      </w:r>
    </w:p>
  </w:footnote>
  <w:footnote w:id="21">
    <w:p w14:paraId="30441D96" w14:textId="77777777" w:rsidR="00A572EF" w:rsidRDefault="00A01F72">
      <w:pPr>
        <w:spacing w:line="240" w:lineRule="auto"/>
        <w:rPr>
          <w:sz w:val="16"/>
          <w:szCs w:val="16"/>
        </w:rPr>
      </w:pPr>
      <w:r>
        <w:rPr>
          <w:vertAlign w:val="superscript"/>
        </w:rPr>
        <w:footnoteRef/>
      </w:r>
      <w:r>
        <w:rPr>
          <w:sz w:val="16"/>
          <w:szCs w:val="16"/>
        </w:rPr>
        <w:t xml:space="preserve"> </w:t>
      </w:r>
      <w:r>
        <w:rPr>
          <w:color w:val="222222"/>
          <w:sz w:val="16"/>
          <w:szCs w:val="16"/>
          <w:highlight w:val="white"/>
        </w:rPr>
        <w:t xml:space="preserve">McPhedran, S. (2009). A review of the evidence for associations between empathy, violence, and animal cruelty. </w:t>
      </w:r>
      <w:r>
        <w:rPr>
          <w:i/>
          <w:color w:val="222222"/>
          <w:sz w:val="16"/>
          <w:szCs w:val="16"/>
          <w:highlight w:val="white"/>
        </w:rPr>
        <w:t xml:space="preserve">Aggression and Violent </w:t>
      </w:r>
      <w:proofErr w:type="spellStart"/>
      <w:r>
        <w:rPr>
          <w:i/>
          <w:color w:val="222222"/>
          <w:sz w:val="16"/>
          <w:szCs w:val="16"/>
          <w:highlight w:val="white"/>
        </w:rPr>
        <w:t>Behavior</w:t>
      </w:r>
      <w:proofErr w:type="spellEnd"/>
      <w:r>
        <w:rPr>
          <w:color w:val="222222"/>
          <w:sz w:val="16"/>
          <w:szCs w:val="16"/>
          <w:highlight w:val="white"/>
        </w:rPr>
        <w:t xml:space="preserve">, </w:t>
      </w:r>
      <w:r>
        <w:rPr>
          <w:i/>
          <w:color w:val="222222"/>
          <w:sz w:val="16"/>
          <w:szCs w:val="16"/>
          <w:highlight w:val="white"/>
        </w:rPr>
        <w:t>14</w:t>
      </w:r>
      <w:r>
        <w:rPr>
          <w:color w:val="222222"/>
          <w:sz w:val="16"/>
          <w:szCs w:val="16"/>
          <w:highlight w:val="white"/>
        </w:rPr>
        <w:t>(1), 1-4.</w:t>
      </w:r>
    </w:p>
  </w:footnote>
  <w:footnote w:id="22">
    <w:p w14:paraId="30441D97" w14:textId="77777777" w:rsidR="00A572EF" w:rsidRDefault="00A01F72">
      <w:pPr>
        <w:spacing w:line="240" w:lineRule="auto"/>
        <w:rPr>
          <w:sz w:val="16"/>
          <w:szCs w:val="16"/>
        </w:rPr>
      </w:pPr>
      <w:r>
        <w:rPr>
          <w:vertAlign w:val="superscript"/>
        </w:rPr>
        <w:footnoteRef/>
      </w:r>
      <w:r>
        <w:rPr>
          <w:sz w:val="16"/>
          <w:szCs w:val="16"/>
        </w:rPr>
        <w:t xml:space="preserve"> Low, P., </w:t>
      </w:r>
      <w:proofErr w:type="spellStart"/>
      <w:r>
        <w:rPr>
          <w:sz w:val="16"/>
          <w:szCs w:val="16"/>
        </w:rPr>
        <w:t>Panksepp</w:t>
      </w:r>
      <w:proofErr w:type="spellEnd"/>
      <w:r>
        <w:rPr>
          <w:sz w:val="16"/>
          <w:szCs w:val="16"/>
        </w:rPr>
        <w:t xml:space="preserve">, J, Reiss, D., Edelman, D., Van </w:t>
      </w:r>
      <w:proofErr w:type="spellStart"/>
      <w:r>
        <w:rPr>
          <w:sz w:val="16"/>
          <w:szCs w:val="16"/>
        </w:rPr>
        <w:t>Swinderen</w:t>
      </w:r>
      <w:proofErr w:type="spellEnd"/>
      <w:r>
        <w:rPr>
          <w:sz w:val="16"/>
          <w:szCs w:val="16"/>
        </w:rPr>
        <w:t xml:space="preserve">, B., &amp; Koch, C. </w:t>
      </w:r>
      <w:r>
        <w:rPr>
          <w:i/>
          <w:sz w:val="16"/>
          <w:szCs w:val="16"/>
        </w:rPr>
        <w:t xml:space="preserve">The Cambridge Declaration on Consciousness. </w:t>
      </w:r>
      <w:r>
        <w:rPr>
          <w:sz w:val="16"/>
          <w:szCs w:val="16"/>
        </w:rPr>
        <w:t>Available from: &lt;http://fcmconference.org/img/CambridgeDeclarationOnConsciousness.pdf&gt;.</w:t>
      </w:r>
    </w:p>
  </w:footnote>
  <w:footnote w:id="23">
    <w:p w14:paraId="30441D98" w14:textId="77777777" w:rsidR="00A572EF" w:rsidRDefault="00A01F72">
      <w:pPr>
        <w:spacing w:line="240" w:lineRule="auto"/>
        <w:rPr>
          <w:sz w:val="16"/>
          <w:szCs w:val="16"/>
        </w:rPr>
      </w:pPr>
      <w:r>
        <w:rPr>
          <w:vertAlign w:val="superscript"/>
        </w:rPr>
        <w:footnoteRef/>
      </w:r>
      <w:r>
        <w:rPr>
          <w:sz w:val="16"/>
          <w:szCs w:val="16"/>
        </w:rPr>
        <w:t xml:space="preserve"> RSPCA. (2018). What is animal sentience and why is it important? Revised March 14 2018. Available from: &lt;https://kb.rspca.org.au/knowledge-base/what-is-animal-sentience-and-why-is-it-important/&gt;.</w:t>
      </w:r>
    </w:p>
  </w:footnote>
  <w:footnote w:id="24">
    <w:p w14:paraId="30441D99"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Pallotta, P. (2019). Australian Capital Territory Enacts New Law Recognizing Animal Sentience. Available from: &lt;https://aldf.org/article/australian-capital-territory-enacts-new-law-recognizing-animal-sentience</w:t>
      </w:r>
      <w:r>
        <w:rPr>
          <w:sz w:val="16"/>
          <w:szCs w:val="16"/>
        </w:rPr>
        <w:t>/&gt;.</w:t>
      </w:r>
    </w:p>
  </w:footnote>
  <w:footnote w:id="25">
    <w:p w14:paraId="30441D9A" w14:textId="77777777" w:rsidR="00A572EF" w:rsidRDefault="00A01F72">
      <w:pPr>
        <w:spacing w:line="240" w:lineRule="auto"/>
        <w:rPr>
          <w:sz w:val="16"/>
          <w:szCs w:val="16"/>
        </w:rPr>
      </w:pPr>
      <w:r>
        <w:rPr>
          <w:vertAlign w:val="superscript"/>
        </w:rPr>
        <w:footnoteRef/>
      </w:r>
      <w:r>
        <w:rPr>
          <w:sz w:val="16"/>
          <w:szCs w:val="16"/>
        </w:rPr>
        <w:t xml:space="preserve"> </w:t>
      </w:r>
      <w:r>
        <w:rPr>
          <w:i/>
          <w:sz w:val="16"/>
          <w:szCs w:val="16"/>
        </w:rPr>
        <w:t>Animal Welfare Act</w:t>
      </w:r>
      <w:r>
        <w:rPr>
          <w:sz w:val="16"/>
          <w:szCs w:val="16"/>
        </w:rPr>
        <w:t xml:space="preserve"> 1992 (ACT). Available from: &lt;https://w</w:t>
      </w:r>
      <w:r>
        <w:rPr>
          <w:sz w:val="16"/>
          <w:szCs w:val="16"/>
        </w:rPr>
        <w:t>ww.legislation.act.gov.au/View/a/1992-45/current/html/1992-45.html&gt;.</w:t>
      </w:r>
    </w:p>
  </w:footnote>
  <w:footnote w:id="26">
    <w:p w14:paraId="30441D9B" w14:textId="77777777" w:rsidR="00A572EF" w:rsidRDefault="00A01F72">
      <w:pPr>
        <w:spacing w:line="240" w:lineRule="auto"/>
        <w:rPr>
          <w:sz w:val="16"/>
          <w:szCs w:val="16"/>
        </w:rPr>
      </w:pPr>
      <w:r>
        <w:rPr>
          <w:vertAlign w:val="superscript"/>
        </w:rPr>
        <w:footnoteRef/>
      </w:r>
      <w:r>
        <w:rPr>
          <w:sz w:val="16"/>
          <w:szCs w:val="16"/>
        </w:rPr>
        <w:t xml:space="preserve"> </w:t>
      </w:r>
      <w:r>
        <w:rPr>
          <w:i/>
          <w:sz w:val="16"/>
          <w:szCs w:val="16"/>
        </w:rPr>
        <w:t xml:space="preserve">Animal Welfare Action Plan </w:t>
      </w:r>
      <w:r>
        <w:rPr>
          <w:sz w:val="16"/>
          <w:szCs w:val="16"/>
        </w:rPr>
        <w:t>2018 (Victoria). Available from: &lt;https://agriculture.vic.gov.au/__data/assets/pdf_file/0003/562386/Animal-Welfare-Action-Plan-Dec-2017.pdf&gt;.</w:t>
      </w:r>
    </w:p>
  </w:footnote>
  <w:footnote w:id="27">
    <w:p w14:paraId="30441D9C" w14:textId="77777777" w:rsidR="00A572EF" w:rsidRDefault="00A01F72">
      <w:pPr>
        <w:spacing w:line="240" w:lineRule="auto"/>
        <w:rPr>
          <w:sz w:val="16"/>
          <w:szCs w:val="16"/>
        </w:rPr>
      </w:pPr>
      <w:r>
        <w:rPr>
          <w:vertAlign w:val="superscript"/>
        </w:rPr>
        <w:footnoteRef/>
      </w:r>
      <w:r>
        <w:rPr>
          <w:sz w:val="20"/>
          <w:szCs w:val="20"/>
        </w:rPr>
        <w:t xml:space="preserve"> </w:t>
      </w:r>
      <w:r>
        <w:rPr>
          <w:sz w:val="16"/>
          <w:szCs w:val="16"/>
        </w:rPr>
        <w:t>Queensland leg</w:t>
      </w:r>
      <w:r>
        <w:rPr>
          <w:sz w:val="16"/>
          <w:szCs w:val="16"/>
        </w:rPr>
        <w:t xml:space="preserve">islation provides one example: </w:t>
      </w:r>
      <w:r>
        <w:rPr>
          <w:i/>
          <w:sz w:val="16"/>
          <w:szCs w:val="16"/>
        </w:rPr>
        <w:t xml:space="preserve">Animal Care and Protection Act </w:t>
      </w:r>
      <w:r>
        <w:rPr>
          <w:sz w:val="16"/>
          <w:szCs w:val="16"/>
        </w:rPr>
        <w:t>2001 (Qld). It includes multiple references to animal suffering. Available from: &lt;https://www.legislation.qld.gov.au/view/pdf/inforce/current/act-2001-064&gt;.</w:t>
      </w:r>
    </w:p>
  </w:footnote>
  <w:footnote w:id="28">
    <w:p w14:paraId="30441D9D" w14:textId="77777777" w:rsidR="00A572EF" w:rsidRDefault="00A01F72">
      <w:pPr>
        <w:spacing w:line="240" w:lineRule="auto"/>
        <w:rPr>
          <w:sz w:val="16"/>
          <w:szCs w:val="16"/>
        </w:rPr>
      </w:pPr>
      <w:r>
        <w:rPr>
          <w:vertAlign w:val="superscript"/>
        </w:rPr>
        <w:footnoteRef/>
      </w:r>
      <w:r>
        <w:rPr>
          <w:sz w:val="16"/>
          <w:szCs w:val="16"/>
        </w:rPr>
        <w:t xml:space="preserve"> Sinclair, K., Curtis, A. L., Atkins</w:t>
      </w:r>
      <w:r>
        <w:rPr>
          <w:sz w:val="16"/>
          <w:szCs w:val="16"/>
        </w:rPr>
        <w:t xml:space="preserve">on, T., &amp; Hacker, R. B. (2020). Public attitudes to animal welfare and landholder resource limitations: implications for total grazing pressure management in the southern rangelands of Australia. </w:t>
      </w:r>
      <w:r>
        <w:rPr>
          <w:i/>
          <w:sz w:val="16"/>
          <w:szCs w:val="16"/>
        </w:rPr>
        <w:t xml:space="preserve">The Rangeland Journal, </w:t>
      </w:r>
      <w:r>
        <w:rPr>
          <w:sz w:val="16"/>
          <w:szCs w:val="16"/>
        </w:rPr>
        <w:t>41(6), 477-484.</w:t>
      </w:r>
    </w:p>
  </w:footnote>
  <w:footnote w:id="29">
    <w:p w14:paraId="30441D9E" w14:textId="77777777" w:rsidR="00A572EF" w:rsidRDefault="00A01F72">
      <w:pPr>
        <w:spacing w:line="240" w:lineRule="auto"/>
        <w:rPr>
          <w:sz w:val="16"/>
          <w:szCs w:val="16"/>
        </w:rPr>
      </w:pPr>
      <w:r>
        <w:rPr>
          <w:vertAlign w:val="superscript"/>
        </w:rPr>
        <w:footnoteRef/>
      </w:r>
      <w:r>
        <w:rPr>
          <w:sz w:val="16"/>
          <w:szCs w:val="16"/>
        </w:rPr>
        <w:t xml:space="preserve"> </w:t>
      </w:r>
      <w:r>
        <w:rPr>
          <w:color w:val="222222"/>
          <w:sz w:val="16"/>
          <w:szCs w:val="16"/>
          <w:highlight w:val="white"/>
        </w:rPr>
        <w:t>de Witte, K. (2009)</w:t>
      </w:r>
      <w:r>
        <w:rPr>
          <w:color w:val="222222"/>
          <w:sz w:val="16"/>
          <w:szCs w:val="16"/>
          <w:highlight w:val="white"/>
        </w:rPr>
        <w:t xml:space="preserve">. Development of the Australian Animal Welfare standards and guidelines for the land transport of livestock: Process and philosophical considerations. </w:t>
      </w:r>
      <w:r>
        <w:rPr>
          <w:i/>
          <w:color w:val="222222"/>
          <w:sz w:val="16"/>
          <w:szCs w:val="16"/>
          <w:highlight w:val="white"/>
        </w:rPr>
        <w:t xml:space="preserve">Journal of Veterinary </w:t>
      </w:r>
      <w:proofErr w:type="spellStart"/>
      <w:r>
        <w:rPr>
          <w:i/>
          <w:color w:val="222222"/>
          <w:sz w:val="16"/>
          <w:szCs w:val="16"/>
          <w:highlight w:val="white"/>
        </w:rPr>
        <w:t>Behavior</w:t>
      </w:r>
      <w:proofErr w:type="spellEnd"/>
      <w:r>
        <w:rPr>
          <w:i/>
          <w:color w:val="222222"/>
          <w:sz w:val="16"/>
          <w:szCs w:val="16"/>
          <w:highlight w:val="white"/>
        </w:rPr>
        <w:t>: Clinical Applications and Research</w:t>
      </w:r>
      <w:r>
        <w:rPr>
          <w:color w:val="222222"/>
          <w:sz w:val="16"/>
          <w:szCs w:val="16"/>
          <w:highlight w:val="white"/>
        </w:rPr>
        <w:t xml:space="preserve">, </w:t>
      </w:r>
      <w:r>
        <w:rPr>
          <w:i/>
          <w:color w:val="222222"/>
          <w:sz w:val="16"/>
          <w:szCs w:val="16"/>
          <w:highlight w:val="white"/>
        </w:rPr>
        <w:t>4</w:t>
      </w:r>
      <w:r>
        <w:rPr>
          <w:color w:val="222222"/>
          <w:sz w:val="16"/>
          <w:szCs w:val="16"/>
          <w:highlight w:val="white"/>
        </w:rPr>
        <w:t>(4), 148-156.</w:t>
      </w:r>
    </w:p>
  </w:footnote>
  <w:footnote w:id="30">
    <w:p w14:paraId="30441D9F" w14:textId="77777777" w:rsidR="00A572EF" w:rsidRDefault="00A01F72">
      <w:pPr>
        <w:spacing w:line="240" w:lineRule="auto"/>
        <w:rPr>
          <w:sz w:val="16"/>
          <w:szCs w:val="16"/>
        </w:rPr>
      </w:pPr>
      <w:r>
        <w:rPr>
          <w:vertAlign w:val="superscript"/>
        </w:rPr>
        <w:footnoteRef/>
      </w:r>
      <w:r>
        <w:rPr>
          <w:sz w:val="16"/>
          <w:szCs w:val="16"/>
        </w:rPr>
        <w:t xml:space="preserve"> Hui, B. P., Ng, J. C</w:t>
      </w:r>
      <w:r>
        <w:rPr>
          <w:sz w:val="16"/>
          <w:szCs w:val="16"/>
        </w:rPr>
        <w:t xml:space="preserve">., </w:t>
      </w:r>
      <w:proofErr w:type="spellStart"/>
      <w:r>
        <w:rPr>
          <w:sz w:val="16"/>
          <w:szCs w:val="16"/>
        </w:rPr>
        <w:t>Berzaghi</w:t>
      </w:r>
      <w:proofErr w:type="spellEnd"/>
      <w:r>
        <w:rPr>
          <w:sz w:val="16"/>
          <w:szCs w:val="16"/>
        </w:rPr>
        <w:t xml:space="preserve">, E., Cunningham-Amos, L. A., &amp; Kogan, A. (2020). Rewards of kindness? A meta-analysis of the link between </w:t>
      </w:r>
      <w:proofErr w:type="spellStart"/>
      <w:r>
        <w:rPr>
          <w:sz w:val="16"/>
          <w:szCs w:val="16"/>
        </w:rPr>
        <w:t>prosociality</w:t>
      </w:r>
      <w:proofErr w:type="spellEnd"/>
      <w:r>
        <w:rPr>
          <w:sz w:val="16"/>
          <w:szCs w:val="16"/>
        </w:rPr>
        <w:t xml:space="preserve"> and well-being. </w:t>
      </w:r>
      <w:r>
        <w:rPr>
          <w:i/>
          <w:sz w:val="16"/>
          <w:szCs w:val="16"/>
        </w:rPr>
        <w:t xml:space="preserve">Psychological Bulletin, </w:t>
      </w:r>
      <w:r>
        <w:rPr>
          <w:sz w:val="16"/>
          <w:szCs w:val="16"/>
        </w:rPr>
        <w:t>146(12), 1084.</w:t>
      </w:r>
    </w:p>
  </w:footnote>
  <w:footnote w:id="31">
    <w:p w14:paraId="30441DA0" w14:textId="77777777" w:rsidR="00A572EF" w:rsidRDefault="00A01F72">
      <w:pPr>
        <w:spacing w:line="240" w:lineRule="auto"/>
        <w:rPr>
          <w:sz w:val="20"/>
          <w:szCs w:val="20"/>
        </w:rPr>
      </w:pPr>
      <w:r>
        <w:rPr>
          <w:vertAlign w:val="superscript"/>
        </w:rPr>
        <w:footnoteRef/>
      </w:r>
      <w:r>
        <w:rPr>
          <w:sz w:val="16"/>
          <w:szCs w:val="16"/>
        </w:rPr>
        <w:t xml:space="preserve"> International Fund for Animal Welfare. (2022). </w:t>
      </w:r>
      <w:r>
        <w:rPr>
          <w:i/>
          <w:sz w:val="16"/>
          <w:szCs w:val="16"/>
        </w:rPr>
        <w:t>One Health</w:t>
      </w:r>
      <w:r>
        <w:rPr>
          <w:sz w:val="16"/>
          <w:szCs w:val="16"/>
        </w:rPr>
        <w:t>. Available</w:t>
      </w:r>
      <w:r>
        <w:rPr>
          <w:sz w:val="16"/>
          <w:szCs w:val="16"/>
        </w:rPr>
        <w:t xml:space="preserve"> from: &lt;https://d1jyxxz9imt9yb.cloudfront.net/resource/1415/attachment/original/FS_ONE_HEALTH_LETTER_US_RGB_FINAL_DIGITAL.pdf&gt;. | International Fund for Animal Welfare. (n.d.). </w:t>
      </w:r>
      <w:r>
        <w:rPr>
          <w:i/>
          <w:sz w:val="16"/>
          <w:szCs w:val="16"/>
        </w:rPr>
        <w:t>Thriving Together Achieving the Sustainable Development Goals and Increasing We</w:t>
      </w:r>
      <w:r>
        <w:rPr>
          <w:i/>
          <w:sz w:val="16"/>
          <w:szCs w:val="16"/>
        </w:rPr>
        <w:t xml:space="preserve">ll-Being for Animals and People. </w:t>
      </w:r>
      <w:r>
        <w:rPr>
          <w:sz w:val="16"/>
          <w:szCs w:val="16"/>
        </w:rPr>
        <w:t>Available from: &lt;https://d1jyxxz9imt9yb.cloudfront.net/resource/225/attachment/original/IFAW_SDG-animals-human-wellbeing-report.pdf&gt;.</w:t>
      </w:r>
    </w:p>
  </w:footnote>
  <w:footnote w:id="32">
    <w:p w14:paraId="30441DA1" w14:textId="77777777" w:rsidR="00A572EF" w:rsidRDefault="00A01F72">
      <w:pPr>
        <w:spacing w:line="240" w:lineRule="auto"/>
        <w:rPr>
          <w:sz w:val="16"/>
          <w:szCs w:val="16"/>
        </w:rPr>
      </w:pPr>
      <w:r>
        <w:rPr>
          <w:vertAlign w:val="superscript"/>
        </w:rPr>
        <w:footnoteRef/>
      </w:r>
      <w:r>
        <w:rPr>
          <w:sz w:val="16"/>
          <w:szCs w:val="16"/>
        </w:rPr>
        <w:t xml:space="preserve"> Rhoads, S. A., Gunter, D., Ryan, R. M., &amp; Marsh, A. A. (2021). Global variation in subj</w:t>
      </w:r>
      <w:r>
        <w:rPr>
          <w:sz w:val="16"/>
          <w:szCs w:val="16"/>
        </w:rPr>
        <w:t xml:space="preserve">ective well-being predicts seven forms of altruism. </w:t>
      </w:r>
      <w:r>
        <w:rPr>
          <w:i/>
          <w:sz w:val="16"/>
          <w:szCs w:val="16"/>
        </w:rPr>
        <w:t xml:space="preserve">Psychological Science, </w:t>
      </w:r>
      <w:r>
        <w:rPr>
          <w:sz w:val="16"/>
          <w:szCs w:val="16"/>
        </w:rPr>
        <w:t>32(8), 1247-1261.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95071"/>
    <w:multiLevelType w:val="multilevel"/>
    <w:tmpl w:val="898E9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50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EF"/>
    <w:rsid w:val="0029255F"/>
    <w:rsid w:val="006E67D4"/>
    <w:rsid w:val="00A01F72"/>
    <w:rsid w:val="00A57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1D07"/>
  <w15:docId w15:val="{AD72CA07-B265-4E5A-A985-E4568CA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5A070-FF4A-4482-826E-DC666A75C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3C851-C8CD-4639-96FA-EF11EB39C4FD}">
  <ds:schemaRefs>
    <ds:schemaRef ds:uri="http://purl.org/dc/dcmitype/"/>
    <ds:schemaRef ds:uri="http://schemas.microsoft.com/office/2006/documentManagement/types"/>
    <ds:schemaRef ds:uri="bef64c59-a3ef-40a9-ab00-88fd54a78ca7"/>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98515d3-35d1-48c7-98b0-9361f3d04ddf"/>
    <ds:schemaRef ds:uri="http://www.w3.org/XML/1998/namespace"/>
  </ds:schemaRefs>
</ds:datastoreItem>
</file>

<file path=customXml/itemProps3.xml><?xml version="1.0" encoding="utf-8"?>
<ds:datastoreItem xmlns:ds="http://schemas.openxmlformats.org/officeDocument/2006/customXml" ds:itemID="{F72266C4-C352-40B6-BFB8-7338850AE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156 - Clare Harris - Philanthropy - Public inquiry</vt:lpstr>
    </vt:vector>
  </TitlesOfParts>
  <Company>Clare Harris</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156 - Clare Harris - Philanthropy - Public inquiry</dc:title>
  <dc:creator>Clare Harris</dc:creator>
  <cp:lastModifiedBy>Alexandra Dazey</cp:lastModifiedBy>
  <cp:revision>4</cp:revision>
  <dcterms:created xsi:type="dcterms:W3CDTF">2023-05-16T06:58:00Z</dcterms:created>
  <dcterms:modified xsi:type="dcterms:W3CDTF">2023-05-16T06:59:00Z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