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F410" w14:textId="72261D71" w:rsidR="000A7223" w:rsidRPr="00C77055" w:rsidRDefault="000A7223" w:rsidP="0053472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70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Circular Economy</w:t>
      </w:r>
      <w:r w:rsidR="00047E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C94EF5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047E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 </w:t>
      </w:r>
      <w:r w:rsidR="00C94EF5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047E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uture of </w:t>
      </w:r>
      <w:r w:rsidR="00C94EF5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047E10">
        <w:rPr>
          <w:rFonts w:ascii="Times New Roman" w:hAnsi="Times New Roman" w:cs="Times New Roman"/>
          <w:b/>
          <w:bCs/>
          <w:sz w:val="24"/>
          <w:szCs w:val="24"/>
          <w:u w:val="single"/>
        </w:rPr>
        <w:t>onstruction</w:t>
      </w:r>
    </w:p>
    <w:p w14:paraId="28C29FFC" w14:textId="3B445FE7" w:rsidR="002007F5" w:rsidRDefault="00FF0D99" w:rsidP="00A10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B1EFB88" wp14:editId="3AE4366B">
            <wp:simplePos x="0" y="0"/>
            <wp:positionH relativeFrom="column">
              <wp:posOffset>3308153</wp:posOffset>
            </wp:positionH>
            <wp:positionV relativeFrom="paragraph">
              <wp:posOffset>153420</wp:posOffset>
            </wp:positionV>
            <wp:extent cx="3084830" cy="2243455"/>
            <wp:effectExtent l="0" t="0" r="1270" b="4445"/>
            <wp:wrapTight wrapText="bothSides">
              <wp:wrapPolygon edited="0">
                <wp:start x="0" y="0"/>
                <wp:lineTo x="0" y="21459"/>
                <wp:lineTo x="21476" y="21459"/>
                <wp:lineTo x="214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23" w:rsidRPr="00C77055">
        <w:rPr>
          <w:rFonts w:ascii="Times New Roman" w:hAnsi="Times New Roman" w:cs="Times New Roman"/>
          <w:sz w:val="24"/>
          <w:szCs w:val="24"/>
        </w:rPr>
        <w:t xml:space="preserve">Circular Economy </w:t>
      </w:r>
      <w:r w:rsidR="00E87CA2">
        <w:rPr>
          <w:rFonts w:ascii="Times New Roman" w:hAnsi="Times New Roman" w:cs="Times New Roman"/>
          <w:sz w:val="24"/>
          <w:szCs w:val="24"/>
        </w:rPr>
        <w:t xml:space="preserve">research </w:t>
      </w:r>
      <w:r w:rsidR="00A95D0E">
        <w:rPr>
          <w:rFonts w:ascii="Times New Roman" w:hAnsi="Times New Roman" w:cs="Times New Roman"/>
          <w:sz w:val="24"/>
          <w:szCs w:val="24"/>
        </w:rPr>
        <w:t xml:space="preserve">is </w:t>
      </w:r>
      <w:r w:rsidR="00E87CA2">
        <w:rPr>
          <w:rFonts w:ascii="Times New Roman" w:hAnsi="Times New Roman" w:cs="Times New Roman"/>
          <w:sz w:val="24"/>
          <w:szCs w:val="24"/>
        </w:rPr>
        <w:t xml:space="preserve">getting a wider attention </w:t>
      </w:r>
      <w:r w:rsidR="00D37F13">
        <w:rPr>
          <w:rFonts w:ascii="Times New Roman" w:hAnsi="Times New Roman" w:cs="Times New Roman"/>
          <w:sz w:val="24"/>
          <w:szCs w:val="24"/>
        </w:rPr>
        <w:t xml:space="preserve">all over the world </w:t>
      </w:r>
      <w:r w:rsidR="00E87CA2">
        <w:rPr>
          <w:rFonts w:ascii="Times New Roman" w:hAnsi="Times New Roman" w:cs="Times New Roman"/>
          <w:sz w:val="24"/>
          <w:szCs w:val="24"/>
        </w:rPr>
        <w:t xml:space="preserve">and is </w:t>
      </w:r>
      <w:r w:rsidR="00A95D0E">
        <w:rPr>
          <w:rFonts w:ascii="Times New Roman" w:hAnsi="Times New Roman" w:cs="Times New Roman"/>
          <w:sz w:val="24"/>
          <w:szCs w:val="24"/>
        </w:rPr>
        <w:t>growing fast in various disciplines. In par with these developments, at</w:t>
      </w:r>
      <w:r w:rsidR="00534726" w:rsidRPr="00C77055">
        <w:rPr>
          <w:rFonts w:ascii="Times New Roman" w:hAnsi="Times New Roman" w:cs="Times New Roman"/>
          <w:sz w:val="24"/>
          <w:szCs w:val="24"/>
        </w:rPr>
        <w:t xml:space="preserve"> the</w:t>
      </w:r>
      <w:r w:rsidR="00D438C5">
        <w:rPr>
          <w:rFonts w:ascii="Times New Roman" w:hAnsi="Times New Roman" w:cs="Times New Roman"/>
          <w:sz w:val="24"/>
          <w:szCs w:val="24"/>
        </w:rPr>
        <w:t xml:space="preserve"> Centre for Smart Modern Construction</w:t>
      </w:r>
      <w:r w:rsidR="000A7223" w:rsidRPr="00C7705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A7223" w:rsidRPr="00575FB5">
          <w:rPr>
            <w:rStyle w:val="Hyperlink"/>
            <w:rFonts w:ascii="Times New Roman" w:hAnsi="Times New Roman" w:cs="Times New Roman"/>
            <w:sz w:val="24"/>
            <w:szCs w:val="24"/>
          </w:rPr>
          <w:t>c4SMC</w:t>
        </w:r>
      </w:hyperlink>
      <w:r w:rsidR="00A95D0E">
        <w:rPr>
          <w:rFonts w:ascii="Times New Roman" w:hAnsi="Times New Roman" w:cs="Times New Roman"/>
          <w:sz w:val="24"/>
          <w:szCs w:val="24"/>
        </w:rPr>
        <w:t>,</w:t>
      </w:r>
      <w:r w:rsidR="000A7223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D438C5">
        <w:rPr>
          <w:rFonts w:ascii="Times New Roman" w:hAnsi="Times New Roman" w:cs="Times New Roman"/>
          <w:sz w:val="24"/>
          <w:szCs w:val="24"/>
        </w:rPr>
        <w:t>at Western Sydney University</w:t>
      </w:r>
      <w:r w:rsidR="009D164E">
        <w:rPr>
          <w:rFonts w:ascii="Times New Roman" w:hAnsi="Times New Roman" w:cs="Times New Roman"/>
          <w:sz w:val="24"/>
          <w:szCs w:val="24"/>
        </w:rPr>
        <w:t xml:space="preserve">, </w:t>
      </w:r>
      <w:r w:rsidR="00A95D0E">
        <w:rPr>
          <w:rFonts w:ascii="Times New Roman" w:hAnsi="Times New Roman" w:cs="Times New Roman"/>
          <w:sz w:val="24"/>
          <w:szCs w:val="24"/>
        </w:rPr>
        <w:t xml:space="preserve">we </w:t>
      </w:r>
      <w:r w:rsidR="00B52AAD" w:rsidRPr="00C77055">
        <w:rPr>
          <w:rFonts w:ascii="Times New Roman" w:hAnsi="Times New Roman" w:cs="Times New Roman"/>
          <w:sz w:val="24"/>
          <w:szCs w:val="24"/>
        </w:rPr>
        <w:t>ha</w:t>
      </w:r>
      <w:r w:rsidR="00A95D0E">
        <w:rPr>
          <w:rFonts w:ascii="Times New Roman" w:hAnsi="Times New Roman" w:cs="Times New Roman"/>
          <w:sz w:val="24"/>
          <w:szCs w:val="24"/>
        </w:rPr>
        <w:t>ve</w:t>
      </w:r>
      <w:r w:rsidR="00B52AAD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C77055">
        <w:rPr>
          <w:rFonts w:ascii="Times New Roman" w:hAnsi="Times New Roman" w:cs="Times New Roman"/>
          <w:sz w:val="24"/>
          <w:szCs w:val="24"/>
        </w:rPr>
        <w:t>initiated</w:t>
      </w:r>
      <w:r w:rsidR="00B52AAD" w:rsidRPr="00C77055">
        <w:rPr>
          <w:rFonts w:ascii="Times New Roman" w:hAnsi="Times New Roman" w:cs="Times New Roman"/>
          <w:sz w:val="24"/>
          <w:szCs w:val="24"/>
        </w:rPr>
        <w:t xml:space="preserve"> multiple research projects </w:t>
      </w:r>
      <w:r w:rsidR="00E87CA2">
        <w:rPr>
          <w:rFonts w:ascii="Times New Roman" w:hAnsi="Times New Roman" w:cs="Times New Roman"/>
          <w:sz w:val="24"/>
          <w:szCs w:val="24"/>
        </w:rPr>
        <w:t>addressing some</w:t>
      </w:r>
      <w:r w:rsidR="00B52AAD" w:rsidRPr="00C77055">
        <w:rPr>
          <w:rFonts w:ascii="Times New Roman" w:hAnsi="Times New Roman" w:cs="Times New Roman"/>
          <w:sz w:val="24"/>
          <w:szCs w:val="24"/>
        </w:rPr>
        <w:t xml:space="preserve"> niche areas of </w:t>
      </w:r>
      <w:r w:rsidR="00E87CA2">
        <w:rPr>
          <w:rFonts w:ascii="Times New Roman" w:hAnsi="Times New Roman" w:cs="Times New Roman"/>
          <w:sz w:val="24"/>
          <w:szCs w:val="24"/>
        </w:rPr>
        <w:t>C</w:t>
      </w:r>
      <w:r w:rsidR="00B52AAD" w:rsidRPr="00C77055">
        <w:rPr>
          <w:rFonts w:ascii="Times New Roman" w:hAnsi="Times New Roman" w:cs="Times New Roman"/>
          <w:sz w:val="24"/>
          <w:szCs w:val="24"/>
        </w:rPr>
        <w:t xml:space="preserve">ircular </w:t>
      </w:r>
      <w:r w:rsidR="00E87CA2">
        <w:rPr>
          <w:rFonts w:ascii="Times New Roman" w:hAnsi="Times New Roman" w:cs="Times New Roman"/>
          <w:sz w:val="24"/>
          <w:szCs w:val="24"/>
        </w:rPr>
        <w:t>E</w:t>
      </w:r>
      <w:r w:rsidR="00B52AAD" w:rsidRPr="00C77055">
        <w:rPr>
          <w:rFonts w:ascii="Times New Roman" w:hAnsi="Times New Roman" w:cs="Times New Roman"/>
          <w:sz w:val="24"/>
          <w:szCs w:val="24"/>
        </w:rPr>
        <w:t xml:space="preserve">conomy (CE) </w:t>
      </w:r>
      <w:r w:rsidR="00E87CA2">
        <w:rPr>
          <w:rFonts w:ascii="Times New Roman" w:hAnsi="Times New Roman" w:cs="Times New Roman"/>
          <w:sz w:val="24"/>
          <w:szCs w:val="24"/>
        </w:rPr>
        <w:t xml:space="preserve">to improve CE implementations within the </w:t>
      </w:r>
      <w:r w:rsidR="00B52AAD" w:rsidRPr="00C77055">
        <w:rPr>
          <w:rFonts w:ascii="Times New Roman" w:hAnsi="Times New Roman" w:cs="Times New Roman"/>
          <w:sz w:val="24"/>
          <w:szCs w:val="24"/>
        </w:rPr>
        <w:t>construction</w:t>
      </w:r>
      <w:r w:rsidR="00534726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B52AAD" w:rsidRPr="00C77055">
        <w:rPr>
          <w:rFonts w:ascii="Times New Roman" w:hAnsi="Times New Roman" w:cs="Times New Roman"/>
          <w:sz w:val="24"/>
          <w:szCs w:val="24"/>
        </w:rPr>
        <w:t xml:space="preserve">industry. </w:t>
      </w:r>
      <w:r w:rsidR="00E87CA2">
        <w:rPr>
          <w:rFonts w:ascii="Times New Roman" w:hAnsi="Times New Roman" w:cs="Times New Roman"/>
          <w:sz w:val="24"/>
          <w:szCs w:val="24"/>
        </w:rPr>
        <w:t>Some key research focuses have been on improving s</w:t>
      </w:r>
      <w:r w:rsidR="00C77055" w:rsidRPr="00C77055">
        <w:rPr>
          <w:rFonts w:ascii="Times New Roman" w:hAnsi="Times New Roman" w:cs="Times New Roman"/>
          <w:sz w:val="24"/>
          <w:szCs w:val="24"/>
        </w:rPr>
        <w:t>takeholder collaboration in CE implementation</w:t>
      </w:r>
      <w:r w:rsidR="00D37F13">
        <w:rPr>
          <w:rFonts w:ascii="Times New Roman" w:hAnsi="Times New Roman" w:cs="Times New Roman"/>
          <w:sz w:val="24"/>
          <w:szCs w:val="24"/>
        </w:rPr>
        <w:t>;</w:t>
      </w:r>
      <w:r w:rsidR="00C77055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A1078B" w:rsidRPr="00C77055">
        <w:rPr>
          <w:rFonts w:ascii="Times New Roman" w:hAnsi="Times New Roman" w:cs="Times New Roman"/>
          <w:sz w:val="24"/>
          <w:szCs w:val="24"/>
        </w:rPr>
        <w:t xml:space="preserve">assessment of the </w:t>
      </w:r>
      <w:r w:rsidR="00C77055" w:rsidRPr="00C77055">
        <w:rPr>
          <w:rFonts w:ascii="Times New Roman" w:hAnsi="Times New Roman" w:cs="Times New Roman"/>
          <w:sz w:val="24"/>
          <w:szCs w:val="24"/>
        </w:rPr>
        <w:t>CE</w:t>
      </w:r>
      <w:r w:rsidR="00A1078B" w:rsidRPr="00C77055">
        <w:rPr>
          <w:rFonts w:ascii="Times New Roman" w:hAnsi="Times New Roman" w:cs="Times New Roman"/>
          <w:sz w:val="24"/>
          <w:szCs w:val="24"/>
        </w:rPr>
        <w:t xml:space="preserve"> implementation</w:t>
      </w:r>
      <w:r w:rsidR="00C77055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E87CA2">
        <w:rPr>
          <w:rFonts w:ascii="Times New Roman" w:hAnsi="Times New Roman" w:cs="Times New Roman"/>
          <w:sz w:val="24"/>
          <w:szCs w:val="24"/>
        </w:rPr>
        <w:t xml:space="preserve">and their </w:t>
      </w:r>
      <w:r w:rsidR="001355FC" w:rsidRPr="00C77055">
        <w:rPr>
          <w:rFonts w:ascii="Times New Roman" w:hAnsi="Times New Roman" w:cs="Times New Roman"/>
          <w:sz w:val="24"/>
          <w:szCs w:val="24"/>
        </w:rPr>
        <w:t xml:space="preserve">economic, social and environmental </w:t>
      </w:r>
      <w:r w:rsidR="00E87CA2">
        <w:rPr>
          <w:rFonts w:ascii="Times New Roman" w:hAnsi="Times New Roman" w:cs="Times New Roman"/>
          <w:sz w:val="24"/>
          <w:szCs w:val="24"/>
        </w:rPr>
        <w:t>impacts</w:t>
      </w:r>
      <w:r w:rsidR="00D37F13">
        <w:rPr>
          <w:rFonts w:ascii="Times New Roman" w:hAnsi="Times New Roman" w:cs="Times New Roman"/>
          <w:sz w:val="24"/>
          <w:szCs w:val="24"/>
        </w:rPr>
        <w:t>;</w:t>
      </w:r>
      <w:r w:rsidR="00E87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CA2">
        <w:rPr>
          <w:rFonts w:ascii="Times New Roman" w:hAnsi="Times New Roman" w:cs="Times New Roman"/>
          <w:sz w:val="24"/>
          <w:szCs w:val="24"/>
        </w:rPr>
        <w:t>and,</w:t>
      </w:r>
      <w:proofErr w:type="gramEnd"/>
      <w:r w:rsidR="00D62DFF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E87CA2">
        <w:rPr>
          <w:rFonts w:ascii="Times New Roman" w:hAnsi="Times New Roman" w:cs="Times New Roman"/>
          <w:sz w:val="24"/>
          <w:szCs w:val="24"/>
        </w:rPr>
        <w:t xml:space="preserve">application of </w:t>
      </w:r>
      <w:r w:rsidR="002007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7CA2">
        <w:rPr>
          <w:rFonts w:ascii="Times New Roman" w:hAnsi="Times New Roman" w:cs="Times New Roman"/>
          <w:sz w:val="24"/>
          <w:szCs w:val="24"/>
        </w:rPr>
        <w:t xml:space="preserve">digital </w:t>
      </w:r>
      <w:r w:rsidR="00D62DFF" w:rsidRPr="00C77055">
        <w:rPr>
          <w:rFonts w:ascii="Times New Roman" w:hAnsi="Times New Roman" w:cs="Times New Roman"/>
          <w:sz w:val="24"/>
          <w:szCs w:val="24"/>
        </w:rPr>
        <w:t>technologi</w:t>
      </w:r>
      <w:r w:rsidR="00E87CA2">
        <w:rPr>
          <w:rFonts w:ascii="Times New Roman" w:hAnsi="Times New Roman" w:cs="Times New Roman"/>
          <w:sz w:val="24"/>
          <w:szCs w:val="24"/>
        </w:rPr>
        <w:t>es to enhance circularity</w:t>
      </w:r>
      <w:r w:rsidR="00D37F13">
        <w:rPr>
          <w:rFonts w:ascii="Times New Roman" w:hAnsi="Times New Roman" w:cs="Times New Roman"/>
          <w:sz w:val="24"/>
          <w:szCs w:val="24"/>
        </w:rPr>
        <w:t xml:space="preserve"> in industrialised construction and road infrastructure projects</w:t>
      </w:r>
      <w:r w:rsidR="00C77055" w:rsidRPr="00C77055">
        <w:rPr>
          <w:rFonts w:ascii="Times New Roman" w:hAnsi="Times New Roman" w:cs="Times New Roman"/>
          <w:sz w:val="24"/>
          <w:szCs w:val="24"/>
        </w:rPr>
        <w:t>.</w:t>
      </w:r>
      <w:r w:rsidR="00E87CA2">
        <w:rPr>
          <w:rFonts w:ascii="Times New Roman" w:hAnsi="Times New Roman" w:cs="Times New Roman"/>
          <w:sz w:val="24"/>
          <w:szCs w:val="24"/>
        </w:rPr>
        <w:t xml:space="preserve"> </w:t>
      </w:r>
      <w:r w:rsidR="001355FC">
        <w:rPr>
          <w:rFonts w:ascii="Times New Roman" w:hAnsi="Times New Roman" w:cs="Times New Roman"/>
          <w:sz w:val="24"/>
          <w:szCs w:val="24"/>
        </w:rPr>
        <w:t xml:space="preserve">These projects will support the </w:t>
      </w:r>
      <w:r w:rsidR="009D164E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1355FC">
        <w:rPr>
          <w:rFonts w:ascii="Times New Roman" w:hAnsi="Times New Roman" w:cs="Times New Roman"/>
          <w:sz w:val="24"/>
          <w:szCs w:val="24"/>
        </w:rPr>
        <w:t xml:space="preserve">industry in various ways, for example, guide organisations </w:t>
      </w:r>
      <w:r w:rsidR="001355FC" w:rsidRPr="00C77055">
        <w:rPr>
          <w:rFonts w:ascii="Times New Roman" w:hAnsi="Times New Roman" w:cs="Times New Roman"/>
          <w:sz w:val="24"/>
          <w:szCs w:val="24"/>
        </w:rPr>
        <w:t xml:space="preserve">in evaluating </w:t>
      </w:r>
      <w:r w:rsidR="001355FC">
        <w:rPr>
          <w:rFonts w:ascii="Times New Roman" w:hAnsi="Times New Roman" w:cs="Times New Roman"/>
          <w:sz w:val="24"/>
          <w:szCs w:val="24"/>
        </w:rPr>
        <w:t>current</w:t>
      </w:r>
      <w:r w:rsidR="001355FC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1355FC">
        <w:rPr>
          <w:rFonts w:ascii="Times New Roman" w:hAnsi="Times New Roman" w:cs="Times New Roman"/>
          <w:sz w:val="24"/>
          <w:szCs w:val="24"/>
        </w:rPr>
        <w:t xml:space="preserve">level of </w:t>
      </w:r>
      <w:r w:rsidR="001355FC" w:rsidRPr="00C77055">
        <w:rPr>
          <w:rFonts w:ascii="Times New Roman" w:hAnsi="Times New Roman" w:cs="Times New Roman"/>
          <w:sz w:val="24"/>
          <w:szCs w:val="24"/>
        </w:rPr>
        <w:t xml:space="preserve">success </w:t>
      </w:r>
      <w:r w:rsidR="002007F5">
        <w:rPr>
          <w:rFonts w:ascii="Times New Roman" w:hAnsi="Times New Roman" w:cs="Times New Roman"/>
          <w:sz w:val="24"/>
          <w:szCs w:val="24"/>
        </w:rPr>
        <w:t xml:space="preserve">and further improvement </w:t>
      </w:r>
      <w:r w:rsidR="001355FC">
        <w:rPr>
          <w:rFonts w:ascii="Times New Roman" w:hAnsi="Times New Roman" w:cs="Times New Roman"/>
          <w:sz w:val="24"/>
          <w:szCs w:val="24"/>
        </w:rPr>
        <w:t xml:space="preserve">in CE implementation; </w:t>
      </w:r>
      <w:r w:rsidR="001355FC" w:rsidRPr="00C77055">
        <w:rPr>
          <w:rFonts w:ascii="Times New Roman" w:hAnsi="Times New Roman" w:cs="Times New Roman"/>
          <w:sz w:val="24"/>
          <w:szCs w:val="24"/>
        </w:rPr>
        <w:t>support construction industry practitioners to adopt the most impactful CE options in their projects</w:t>
      </w:r>
      <w:r w:rsidR="001355F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1355FC">
        <w:rPr>
          <w:rFonts w:ascii="Times New Roman" w:hAnsi="Times New Roman" w:cs="Times New Roman"/>
          <w:sz w:val="24"/>
          <w:szCs w:val="24"/>
        </w:rPr>
        <w:t>and,</w:t>
      </w:r>
      <w:proofErr w:type="gramEnd"/>
      <w:r w:rsidR="001355FC">
        <w:rPr>
          <w:rFonts w:ascii="Times New Roman" w:hAnsi="Times New Roman" w:cs="Times New Roman"/>
          <w:sz w:val="24"/>
          <w:szCs w:val="24"/>
        </w:rPr>
        <w:t xml:space="preserve"> apply blockchain and related technologies to enhance</w:t>
      </w:r>
      <w:r w:rsidR="001355FC" w:rsidRPr="00C77055">
        <w:rPr>
          <w:rFonts w:ascii="Times New Roman" w:hAnsi="Times New Roman" w:cs="Times New Roman"/>
          <w:sz w:val="24"/>
          <w:szCs w:val="24"/>
        </w:rPr>
        <w:t xml:space="preserve"> </w:t>
      </w:r>
      <w:r w:rsidR="00D51D71">
        <w:rPr>
          <w:rFonts w:ascii="Times New Roman" w:hAnsi="Times New Roman" w:cs="Times New Roman"/>
          <w:sz w:val="24"/>
          <w:szCs w:val="24"/>
        </w:rPr>
        <w:t>circularity</w:t>
      </w:r>
      <w:r w:rsidR="001355FC">
        <w:rPr>
          <w:rFonts w:ascii="Times New Roman" w:hAnsi="Times New Roman" w:cs="Times New Roman"/>
          <w:sz w:val="24"/>
          <w:szCs w:val="24"/>
        </w:rPr>
        <w:t>.</w:t>
      </w:r>
      <w:r w:rsidR="001355FC" w:rsidRPr="00C77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0B654" w14:textId="64447DD3" w:rsidR="00BC4E40" w:rsidRDefault="00D51D71" w:rsidP="0020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are</w:t>
      </w:r>
      <w:r w:rsidR="00E87CA2">
        <w:rPr>
          <w:rFonts w:ascii="Times New Roman" w:hAnsi="Times New Roman" w:cs="Times New Roman"/>
          <w:sz w:val="24"/>
          <w:szCs w:val="24"/>
        </w:rPr>
        <w:t xml:space="preserve"> some </w:t>
      </w:r>
      <w:r>
        <w:rPr>
          <w:rFonts w:ascii="Times New Roman" w:hAnsi="Times New Roman" w:cs="Times New Roman"/>
          <w:sz w:val="24"/>
          <w:szCs w:val="24"/>
        </w:rPr>
        <w:t>of our</w:t>
      </w:r>
      <w:r w:rsidR="00E87CA2">
        <w:rPr>
          <w:rFonts w:ascii="Times New Roman" w:hAnsi="Times New Roman" w:cs="Times New Roman"/>
          <w:sz w:val="24"/>
          <w:szCs w:val="24"/>
        </w:rPr>
        <w:t xml:space="preserve"> publications on these </w:t>
      </w:r>
      <w:r w:rsidR="001355FC">
        <w:rPr>
          <w:rFonts w:ascii="Times New Roman" w:hAnsi="Times New Roman" w:cs="Times New Roman"/>
          <w:sz w:val="24"/>
          <w:szCs w:val="24"/>
        </w:rPr>
        <w:t xml:space="preserve">on-going 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E87CA2">
        <w:rPr>
          <w:rFonts w:ascii="Times New Roman" w:hAnsi="Times New Roman" w:cs="Times New Roman"/>
          <w:sz w:val="24"/>
          <w:szCs w:val="24"/>
        </w:rPr>
        <w:t>research projects</w:t>
      </w:r>
      <w:r w:rsidR="002068F7">
        <w:rPr>
          <w:rFonts w:ascii="Times New Roman" w:hAnsi="Times New Roman" w:cs="Times New Roman"/>
          <w:sz w:val="24"/>
          <w:szCs w:val="24"/>
        </w:rPr>
        <w:t xml:space="preserve"> that offer opportunities to enhance </w:t>
      </w:r>
      <w:r w:rsidR="00DA5C49">
        <w:rPr>
          <w:rFonts w:ascii="Times New Roman" w:hAnsi="Times New Roman" w:cs="Times New Roman"/>
          <w:sz w:val="24"/>
          <w:szCs w:val="24"/>
        </w:rPr>
        <w:t xml:space="preserve">circularity </w:t>
      </w:r>
      <w:r w:rsidR="003A79EF">
        <w:rPr>
          <w:rFonts w:ascii="Times New Roman" w:hAnsi="Times New Roman" w:cs="Times New Roman"/>
          <w:sz w:val="24"/>
          <w:szCs w:val="24"/>
        </w:rPr>
        <w:t>in the</w:t>
      </w:r>
      <w:r w:rsidR="00DA5C49">
        <w:rPr>
          <w:rFonts w:ascii="Times New Roman" w:hAnsi="Times New Roman" w:cs="Times New Roman"/>
          <w:sz w:val="24"/>
          <w:szCs w:val="24"/>
        </w:rPr>
        <w:t xml:space="preserve"> built environment</w:t>
      </w:r>
      <w:r w:rsidR="00E87CA2">
        <w:rPr>
          <w:rFonts w:ascii="Times New Roman" w:hAnsi="Times New Roman" w:cs="Times New Roman"/>
          <w:sz w:val="24"/>
          <w:szCs w:val="24"/>
        </w:rPr>
        <w:t>:</w:t>
      </w:r>
    </w:p>
    <w:p w14:paraId="573B9956" w14:textId="172B8A64" w:rsidR="0063626F" w:rsidRPr="009D164E" w:rsidRDefault="00A56C43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164E">
        <w:rPr>
          <w:rFonts w:ascii="Times New Roman" w:hAnsi="Times New Roman" w:cs="Times New Roman"/>
        </w:rPr>
        <w:t xml:space="preserve">Shashini </w:t>
      </w:r>
      <w:proofErr w:type="spellStart"/>
      <w:r w:rsidRPr="009D164E">
        <w:rPr>
          <w:rFonts w:ascii="Times New Roman" w:hAnsi="Times New Roman" w:cs="Times New Roman"/>
        </w:rPr>
        <w:t>Jayakodi</w:t>
      </w:r>
      <w:proofErr w:type="spellEnd"/>
      <w:r w:rsidRPr="009D164E">
        <w:rPr>
          <w:rFonts w:ascii="Times New Roman" w:hAnsi="Times New Roman" w:cs="Times New Roman"/>
        </w:rPr>
        <w:t xml:space="preserve">, </w:t>
      </w:r>
      <w:proofErr w:type="spellStart"/>
      <w:r w:rsidRPr="009D164E">
        <w:rPr>
          <w:rFonts w:ascii="Times New Roman" w:hAnsi="Times New Roman" w:cs="Times New Roman"/>
        </w:rPr>
        <w:t>Sepani</w:t>
      </w:r>
      <w:proofErr w:type="spellEnd"/>
      <w:r w:rsidRPr="009D164E">
        <w:rPr>
          <w:rFonts w:ascii="Times New Roman" w:hAnsi="Times New Roman" w:cs="Times New Roman"/>
        </w:rPr>
        <w:t xml:space="preserve"> Senaratne, Srinath Perera, Keivan </w:t>
      </w:r>
      <w:proofErr w:type="spellStart"/>
      <w:r w:rsidRPr="009D164E">
        <w:rPr>
          <w:rFonts w:ascii="Times New Roman" w:hAnsi="Times New Roman" w:cs="Times New Roman"/>
        </w:rPr>
        <w:t>Bamdad</w:t>
      </w:r>
      <w:proofErr w:type="spellEnd"/>
      <w:r w:rsidRPr="009D164E">
        <w:rPr>
          <w:rFonts w:ascii="Times New Roman" w:hAnsi="Times New Roman" w:cs="Times New Roman"/>
        </w:rPr>
        <w:t xml:space="preserve">, </w:t>
      </w:r>
      <w:hyperlink r:id="rId12" w:history="1">
        <w:r w:rsidRPr="009D164E">
          <w:rPr>
            <w:rStyle w:val="Hyperlink"/>
            <w:rFonts w:ascii="Times New Roman" w:hAnsi="Times New Roman" w:cs="Times New Roman"/>
          </w:rPr>
          <w:t>Circular economy assessment using project-level and organisation-level indicators for construction organisations: A systematic review</w:t>
        </w:r>
      </w:hyperlink>
      <w:r w:rsidRPr="009D164E">
        <w:rPr>
          <w:rFonts w:ascii="Times New Roman" w:hAnsi="Times New Roman" w:cs="Times New Roman"/>
        </w:rPr>
        <w:t>, Sustainable Production and Consumption, Volume 48, 2024, Pages 324-338</w:t>
      </w:r>
    </w:p>
    <w:p w14:paraId="25169B51" w14:textId="35A35D35" w:rsidR="00EC77F3" w:rsidRPr="009D164E" w:rsidRDefault="00EC77F3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164E">
        <w:rPr>
          <w:rFonts w:ascii="Times New Roman" w:hAnsi="Times New Roman" w:cs="Times New Roman"/>
          <w:color w:val="222222"/>
          <w:shd w:val="clear" w:color="auto" w:fill="FFFFFF"/>
        </w:rPr>
        <w:t>Guo, M., Senaratne, S., Almeida, L., and Perera, S. (2024), ‘</w:t>
      </w:r>
      <w:hyperlink r:id="rId13" w:history="1">
        <w:r w:rsidRPr="009D164E">
          <w:rPr>
            <w:rStyle w:val="Hyperlink"/>
            <w:rFonts w:ascii="Times New Roman" w:hAnsi="Times New Roman" w:cs="Times New Roman"/>
          </w:rPr>
          <w:t>Towards Circularity in Roads Infrastructure: A Critical Review</w:t>
        </w:r>
      </w:hyperlink>
      <w:r w:rsidRPr="009D164E">
        <w:rPr>
          <w:rFonts w:ascii="Times New Roman" w:hAnsi="Times New Roman" w:cs="Times New Roman"/>
        </w:rPr>
        <w:t>’, In: Zuo, J., Shen, L., Chang, R. (eds) Circular Economy for Buildings and Infrastructure. Sustainable Development Goals Series. Springer, Cham.</w:t>
      </w:r>
    </w:p>
    <w:p w14:paraId="60F70920" w14:textId="2AB29210" w:rsidR="00BC4E40" w:rsidRPr="009D164E" w:rsidRDefault="00BC4E40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9D164E">
        <w:rPr>
          <w:rFonts w:ascii="Times New Roman" w:hAnsi="Times New Roman" w:cs="Times New Roman"/>
        </w:rPr>
        <w:t xml:space="preserve">Gamage, I., Senaratne, S., Perera, S. and Jin, X. (2024), </w:t>
      </w:r>
      <w:hyperlink r:id="rId14" w:history="1">
        <w:r w:rsidRPr="009D164E">
          <w:rPr>
            <w:rStyle w:val="Hyperlink"/>
            <w:rFonts w:ascii="Times New Roman" w:hAnsi="Times New Roman" w:cs="Times New Roman"/>
          </w:rPr>
          <w:t>'Implementing circular economy throughout the construction project life cycle : a review on potential practices and relationships'</w:t>
        </w:r>
      </w:hyperlink>
      <w:r w:rsidRPr="009D164E">
        <w:rPr>
          <w:rFonts w:ascii="Times New Roman" w:hAnsi="Times New Roman" w:cs="Times New Roman"/>
        </w:rPr>
        <w:t>, Buildings, vol 14, no 3.</w:t>
      </w:r>
    </w:p>
    <w:p w14:paraId="7A6B9E0B" w14:textId="2A5CFCE1" w:rsidR="00BC4E40" w:rsidRPr="009D164E" w:rsidRDefault="00BC4E40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 w:rsidRPr="009D164E">
        <w:rPr>
          <w:rFonts w:ascii="Times New Roman" w:hAnsi="Times New Roman" w:cs="Times New Roman"/>
        </w:rPr>
        <w:t>Jayakodi</w:t>
      </w:r>
      <w:proofErr w:type="spellEnd"/>
      <w:r w:rsidRPr="009D164E">
        <w:rPr>
          <w:rFonts w:ascii="Times New Roman" w:hAnsi="Times New Roman" w:cs="Times New Roman"/>
        </w:rPr>
        <w:t xml:space="preserve">, S., Senaratne, S. and Perera, S. (2024), </w:t>
      </w:r>
      <w:hyperlink r:id="rId15" w:history="1">
        <w:r w:rsidRPr="009D164E">
          <w:rPr>
            <w:rStyle w:val="Hyperlink"/>
            <w:rFonts w:ascii="Times New Roman" w:hAnsi="Times New Roman" w:cs="Times New Roman"/>
          </w:rPr>
          <w:t>'Circular economy business model in the construction industry: a systematic review'</w:t>
        </w:r>
      </w:hyperlink>
      <w:r w:rsidRPr="009D164E">
        <w:rPr>
          <w:rFonts w:ascii="Times New Roman" w:hAnsi="Times New Roman" w:cs="Times New Roman"/>
        </w:rPr>
        <w:t>, Buildings, vol 14, no 2.</w:t>
      </w:r>
    </w:p>
    <w:p w14:paraId="547C5B80" w14:textId="109CDF4D" w:rsidR="00BC4E40" w:rsidRPr="009D164E" w:rsidRDefault="00BC4E40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164E">
        <w:rPr>
          <w:rFonts w:ascii="Times New Roman" w:hAnsi="Times New Roman" w:cs="Times New Roman"/>
        </w:rPr>
        <w:t xml:space="preserve">Senaratne, S., Rodrigo, N., Almeida, L., Perera, S. and Jin, X. (2023), </w:t>
      </w:r>
      <w:hyperlink r:id="rId16" w:history="1">
        <w:r w:rsidRPr="009D164E">
          <w:rPr>
            <w:rStyle w:val="Hyperlink"/>
            <w:rFonts w:ascii="Times New Roman" w:hAnsi="Times New Roman" w:cs="Times New Roman"/>
          </w:rPr>
          <w:t>'Systematic review on stakeholder collaboration for a circular built environment : current research trends, gaps and future directions'</w:t>
        </w:r>
      </w:hyperlink>
      <w:r w:rsidRPr="009D164E">
        <w:rPr>
          <w:rFonts w:ascii="Times New Roman" w:hAnsi="Times New Roman" w:cs="Times New Roman"/>
        </w:rPr>
        <w:t>, Resources, Conservation and Recycling Advances, vol 19.</w:t>
      </w:r>
      <w:r w:rsidR="00D51D71" w:rsidRPr="009D164E">
        <w:t xml:space="preserve"> </w:t>
      </w:r>
      <w:r w:rsidR="00D51D71" w:rsidRPr="009D164E">
        <w:rPr>
          <w:rFonts w:ascii="Times New Roman" w:hAnsi="Times New Roman" w:cs="Times New Roman"/>
        </w:rPr>
        <w:t>No. 200169.</w:t>
      </w:r>
    </w:p>
    <w:p w14:paraId="2B8589E6" w14:textId="375C5D84" w:rsidR="00C91268" w:rsidRPr="009D164E" w:rsidRDefault="00C91268" w:rsidP="0004676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D164E">
        <w:rPr>
          <w:rFonts w:ascii="Times New Roman" w:hAnsi="Times New Roman" w:cs="Times New Roman"/>
        </w:rPr>
        <w:t xml:space="preserve">Senaratne, S., Gamage I., </w:t>
      </w:r>
      <w:proofErr w:type="spellStart"/>
      <w:r w:rsidRPr="009D164E">
        <w:rPr>
          <w:rFonts w:ascii="Times New Roman" w:hAnsi="Times New Roman" w:cs="Times New Roman"/>
        </w:rPr>
        <w:t>Jayakodi</w:t>
      </w:r>
      <w:proofErr w:type="spellEnd"/>
      <w:r w:rsidRPr="009D164E">
        <w:rPr>
          <w:rFonts w:ascii="Times New Roman" w:hAnsi="Times New Roman" w:cs="Times New Roman"/>
        </w:rPr>
        <w:t xml:space="preserve"> S. and Perera, S. (2024), </w:t>
      </w:r>
      <w:r w:rsidR="00990429" w:rsidRPr="009D164E">
        <w:rPr>
          <w:rFonts w:ascii="Times New Roman" w:hAnsi="Times New Roman" w:cs="Times New Roman"/>
        </w:rPr>
        <w:t>‘</w:t>
      </w:r>
      <w:hyperlink r:id="rId17" w:history="1">
        <w:r w:rsidRPr="009D164E">
          <w:rPr>
            <w:rStyle w:val="Hyperlink"/>
            <w:rFonts w:ascii="Times New Roman" w:hAnsi="Times New Roman" w:cs="Times New Roman"/>
            <w:lang w:val="en-AU"/>
          </w:rPr>
          <w:t>Taxonomy of circular economy</w:t>
        </w:r>
        <w:r w:rsidR="00990429" w:rsidRPr="009D164E">
          <w:rPr>
            <w:rStyle w:val="Hyperlink"/>
            <w:rFonts w:ascii="Times New Roman" w:hAnsi="Times New Roman" w:cs="Times New Roman"/>
            <w:lang w:val="en-AU"/>
          </w:rPr>
          <w:t xml:space="preserve"> terminologies</w:t>
        </w:r>
      </w:hyperlink>
      <w:hyperlink r:id="rId18" w:history="1">
        <w:r w:rsidRPr="009D164E">
          <w:rPr>
            <w:rStyle w:val="Hyperlink"/>
            <w:rFonts w:ascii="Times New Roman" w:hAnsi="Times New Roman" w:cs="Times New Roman"/>
          </w:rPr>
          <w:t>'</w:t>
        </w:r>
      </w:hyperlink>
      <w:r w:rsidRPr="009D164E">
        <w:rPr>
          <w:rFonts w:ascii="Times New Roman" w:hAnsi="Times New Roman" w:cs="Times New Roman"/>
        </w:rPr>
        <w:t>, World Construction Symposium, Colombo, Sri Lanka.</w:t>
      </w:r>
    </w:p>
    <w:p w14:paraId="4569AC87" w14:textId="67C2B93A" w:rsidR="00C31EE3" w:rsidRPr="009D164E" w:rsidRDefault="00C31EE3" w:rsidP="0004676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164E">
        <w:rPr>
          <w:rFonts w:ascii="Times New Roman" w:hAnsi="Times New Roman" w:cs="Times New Roman"/>
        </w:rPr>
        <w:t xml:space="preserve">Senaratne, S., Gamage I. and Perera, S. (2024, September), </w:t>
      </w:r>
      <w:hyperlink r:id="rId19" w:history="1">
        <w:r w:rsidRPr="009D164E">
          <w:rPr>
            <w:rStyle w:val="Hyperlink"/>
            <w:rFonts w:ascii="Times New Roman" w:hAnsi="Times New Roman" w:cs="Times New Roman"/>
            <w:lang w:val="en-AU"/>
          </w:rPr>
          <w:t>Quantity surveyor’s role towards a circular construction industry</w:t>
        </w:r>
      </w:hyperlink>
      <w:r w:rsidRPr="009D164E">
        <w:rPr>
          <w:rFonts w:ascii="Times New Roman" w:hAnsi="Times New Roman" w:cs="Times New Roman"/>
        </w:rPr>
        <w:t>, Built Environment Economist - Australia and New Zealand, Australian Institute of Quantity Surveying.</w:t>
      </w:r>
    </w:p>
    <w:p w14:paraId="231D1BA6" w14:textId="3F4A54BB" w:rsidR="00BC4E40" w:rsidRPr="009D164E" w:rsidRDefault="00BC4E40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 w:rsidRPr="009D164E">
        <w:rPr>
          <w:rFonts w:ascii="Times New Roman" w:hAnsi="Times New Roman" w:cs="Times New Roman"/>
        </w:rPr>
        <w:t>Jayakodi</w:t>
      </w:r>
      <w:proofErr w:type="spellEnd"/>
      <w:r w:rsidRPr="009D164E">
        <w:rPr>
          <w:rFonts w:ascii="Times New Roman" w:hAnsi="Times New Roman" w:cs="Times New Roman"/>
        </w:rPr>
        <w:t xml:space="preserve">, S., Senaratne, S., Perera, S. and </w:t>
      </w:r>
      <w:proofErr w:type="spellStart"/>
      <w:r w:rsidRPr="009D164E">
        <w:rPr>
          <w:rFonts w:ascii="Times New Roman" w:hAnsi="Times New Roman" w:cs="Times New Roman"/>
        </w:rPr>
        <w:t>Bamdad</w:t>
      </w:r>
      <w:proofErr w:type="spellEnd"/>
      <w:r w:rsidRPr="009D164E">
        <w:rPr>
          <w:rFonts w:ascii="Times New Roman" w:hAnsi="Times New Roman" w:cs="Times New Roman"/>
        </w:rPr>
        <w:t xml:space="preserve">, K. (2023), </w:t>
      </w:r>
      <w:hyperlink r:id="rId20" w:history="1">
        <w:r w:rsidRPr="009D164E">
          <w:rPr>
            <w:rStyle w:val="Hyperlink"/>
            <w:rFonts w:ascii="Times New Roman" w:hAnsi="Times New Roman" w:cs="Times New Roman"/>
          </w:rPr>
          <w:t>'Digital technology enabled circularity in the construction industry : a bibliometric study'</w:t>
        </w:r>
      </w:hyperlink>
      <w:r w:rsidRPr="009D164E">
        <w:rPr>
          <w:rFonts w:ascii="Times New Roman" w:hAnsi="Times New Roman" w:cs="Times New Roman"/>
        </w:rPr>
        <w:t>, World Construction Symposium, Sri Lanka.</w:t>
      </w:r>
    </w:p>
    <w:p w14:paraId="1AB8A349" w14:textId="69A81B3F" w:rsidR="00BC4E40" w:rsidRPr="009D164E" w:rsidRDefault="00BC4E40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9D164E">
        <w:rPr>
          <w:rFonts w:ascii="Times New Roman" w:hAnsi="Times New Roman" w:cs="Times New Roman"/>
        </w:rPr>
        <w:t xml:space="preserve">Ishan, M., Gamage, I. and </w:t>
      </w:r>
      <w:proofErr w:type="spellStart"/>
      <w:r w:rsidRPr="009D164E">
        <w:rPr>
          <w:rFonts w:ascii="Times New Roman" w:hAnsi="Times New Roman" w:cs="Times New Roman"/>
        </w:rPr>
        <w:t>Lingasabesan</w:t>
      </w:r>
      <w:proofErr w:type="spellEnd"/>
      <w:r w:rsidRPr="009D164E">
        <w:rPr>
          <w:rFonts w:ascii="Times New Roman" w:hAnsi="Times New Roman" w:cs="Times New Roman"/>
        </w:rPr>
        <w:t>, V. (2023), ‘</w:t>
      </w:r>
      <w:hyperlink r:id="rId21" w:history="1">
        <w:r w:rsidRPr="009D164E">
          <w:rPr>
            <w:rStyle w:val="Hyperlink"/>
            <w:rFonts w:ascii="Times New Roman" w:hAnsi="Times New Roman" w:cs="Times New Roman"/>
          </w:rPr>
          <w:t>Highly effective circular economic practices for the life cycle of a construction project</w:t>
        </w:r>
      </w:hyperlink>
      <w:r w:rsidRPr="009D164E">
        <w:rPr>
          <w:rFonts w:ascii="Times New Roman" w:hAnsi="Times New Roman" w:cs="Times New Roman"/>
        </w:rPr>
        <w:t>’, World Construction Symposium, Sri Lanka.</w:t>
      </w:r>
    </w:p>
    <w:p w14:paraId="7B6C6A1C" w14:textId="01C4D4BF" w:rsidR="00BC4E40" w:rsidRPr="009D164E" w:rsidRDefault="00BC4E40" w:rsidP="0004676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Hlk171496866"/>
      <w:r w:rsidRPr="009D164E">
        <w:rPr>
          <w:rFonts w:ascii="Times New Roman" w:hAnsi="Times New Roman" w:cs="Times New Roman"/>
        </w:rPr>
        <w:t xml:space="preserve">Senaratne, S., KC, A., Perera, S. and </w:t>
      </w:r>
      <w:bookmarkEnd w:id="0"/>
      <w:r w:rsidRPr="009D164E">
        <w:rPr>
          <w:rFonts w:ascii="Times New Roman" w:hAnsi="Times New Roman" w:cs="Times New Roman"/>
        </w:rPr>
        <w:t xml:space="preserve">Almeida, L. (2021), </w:t>
      </w:r>
      <w:hyperlink r:id="rId22" w:history="1">
        <w:r w:rsidRPr="009D164E">
          <w:rPr>
            <w:rStyle w:val="Hyperlink"/>
            <w:rFonts w:ascii="Times New Roman" w:hAnsi="Times New Roman" w:cs="Times New Roman"/>
          </w:rPr>
          <w:t>'Promoting stakeholder collaboration in adopting circular economy principles for sustainable construction'</w:t>
        </w:r>
      </w:hyperlink>
      <w:r w:rsidRPr="009D164E">
        <w:rPr>
          <w:rFonts w:ascii="Times New Roman" w:hAnsi="Times New Roman" w:cs="Times New Roman"/>
        </w:rPr>
        <w:t>, World Construction Symposium, Colombo, Sri Lanka.</w:t>
      </w:r>
    </w:p>
    <w:p w14:paraId="696804CF" w14:textId="77777777" w:rsidR="009D164E" w:rsidRDefault="009D164E" w:rsidP="00BC4E40">
      <w:pPr>
        <w:jc w:val="both"/>
        <w:rPr>
          <w:rFonts w:ascii="Times New Roman" w:hAnsi="Times New Roman" w:cs="Times New Roman"/>
        </w:rPr>
      </w:pPr>
    </w:p>
    <w:sectPr w:rsidR="009D164E" w:rsidSect="00452EE8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63BC" w14:textId="77777777" w:rsidR="00824189" w:rsidRDefault="00824189" w:rsidP="00452EE8">
      <w:pPr>
        <w:spacing w:after="0" w:line="240" w:lineRule="auto"/>
      </w:pPr>
      <w:r>
        <w:separator/>
      </w:r>
    </w:p>
  </w:endnote>
  <w:endnote w:type="continuationSeparator" w:id="0">
    <w:p w14:paraId="28271561" w14:textId="77777777" w:rsidR="00824189" w:rsidRDefault="00824189" w:rsidP="0045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FF8D" w14:textId="40C0F0D3" w:rsidR="001A5A1E" w:rsidRDefault="00452EE8" w:rsidP="00452EE8">
    <w:pPr>
      <w:shd w:val="clear" w:color="auto" w:fill="FFFFFF"/>
      <w:spacing w:after="0" w:line="240" w:lineRule="auto"/>
      <w:rPr>
        <w:rFonts w:ascii="Georgia" w:eastAsia="Times New Roman" w:hAnsi="Georgia" w:cs="Segoe UI"/>
        <w:i/>
        <w:iCs/>
        <w:color w:val="1F497D"/>
        <w:kern w:val="0"/>
        <w:sz w:val="16"/>
        <w:szCs w:val="16"/>
        <w:bdr w:val="none" w:sz="0" w:space="0" w:color="auto" w:frame="1"/>
        <w:lang w:val="en-AU" w:eastAsia="en-AU"/>
        <w14:ligatures w14:val="none"/>
      </w:rPr>
    </w:pPr>
    <w:r w:rsidRPr="004459D2">
      <w:rPr>
        <w:rFonts w:ascii="Georgia" w:eastAsia="Times New Roman" w:hAnsi="Georgia" w:cs="Segoe UI"/>
        <w:color w:val="953735"/>
        <w:kern w:val="0"/>
        <w:sz w:val="24"/>
        <w:szCs w:val="24"/>
        <w:bdr w:val="none" w:sz="0" w:space="0" w:color="auto" w:frame="1"/>
        <w:lang w:val="en-AU" w:eastAsia="en-AU"/>
        <w14:ligatures w14:val="none"/>
      </w:rPr>
      <w:t xml:space="preserve">Associate Professor </w:t>
    </w:r>
    <w:proofErr w:type="spellStart"/>
    <w:r w:rsidRPr="004459D2">
      <w:rPr>
        <w:rFonts w:ascii="Georgia" w:eastAsia="Times New Roman" w:hAnsi="Georgia" w:cs="Segoe UI"/>
        <w:color w:val="953735"/>
        <w:kern w:val="0"/>
        <w:sz w:val="24"/>
        <w:szCs w:val="24"/>
        <w:bdr w:val="none" w:sz="0" w:space="0" w:color="auto" w:frame="1"/>
        <w:lang w:val="en-AU" w:eastAsia="en-AU"/>
        <w14:ligatures w14:val="none"/>
      </w:rPr>
      <w:t>Sepani</w:t>
    </w:r>
    <w:proofErr w:type="spellEnd"/>
    <w:r w:rsidRPr="004459D2">
      <w:rPr>
        <w:rFonts w:ascii="Georgia" w:eastAsia="Times New Roman" w:hAnsi="Georgia" w:cs="Segoe UI"/>
        <w:color w:val="953735"/>
        <w:kern w:val="0"/>
        <w:sz w:val="24"/>
        <w:szCs w:val="24"/>
        <w:bdr w:val="none" w:sz="0" w:space="0" w:color="auto" w:frame="1"/>
        <w:lang w:val="en-AU" w:eastAsia="en-AU"/>
        <w14:ligatures w14:val="none"/>
      </w:rPr>
      <w:t xml:space="preserve"> Senaratne </w:t>
    </w:r>
    <w:r w:rsidRPr="004459D2">
      <w:rPr>
        <w:rFonts w:ascii="Georgia" w:eastAsia="Times New Roman" w:hAnsi="Georgia" w:cs="Segoe UI"/>
        <w:i/>
        <w:iCs/>
        <w:color w:val="2F5496"/>
        <w:kern w:val="0"/>
        <w:sz w:val="16"/>
        <w:szCs w:val="16"/>
        <w:bdr w:val="none" w:sz="0" w:space="0" w:color="auto" w:frame="1"/>
        <w:lang w:val="en-AU" w:eastAsia="en-AU"/>
        <w14:ligatures w14:val="none"/>
      </w:rPr>
      <w:t>PhD in UK. BSc in QS,</w:t>
    </w:r>
    <w:r w:rsidRPr="004459D2">
      <w:rPr>
        <w:rFonts w:ascii="Georgia" w:eastAsia="Times New Roman" w:hAnsi="Georgia" w:cs="Segoe UI"/>
        <w:color w:val="953735"/>
        <w:kern w:val="0"/>
        <w:sz w:val="24"/>
        <w:szCs w:val="24"/>
        <w:bdr w:val="none" w:sz="0" w:space="0" w:color="auto" w:frame="1"/>
        <w:lang w:val="en-AU" w:eastAsia="en-AU"/>
        <w14:ligatures w14:val="none"/>
      </w:rPr>
      <w:t> </w:t>
    </w:r>
    <w:r w:rsidRPr="004459D2">
      <w:rPr>
        <w:rFonts w:ascii="Georgia" w:eastAsia="Times New Roman" w:hAnsi="Georgia" w:cs="Segoe UI"/>
        <w:i/>
        <w:iCs/>
        <w:color w:val="1F497D"/>
        <w:kern w:val="0"/>
        <w:sz w:val="16"/>
        <w:szCs w:val="16"/>
        <w:bdr w:val="none" w:sz="0" w:space="0" w:color="auto" w:frame="1"/>
        <w:lang w:val="en-AU" w:eastAsia="en-AU"/>
        <w14:ligatures w14:val="none"/>
      </w:rPr>
      <w:t>AAIQS, FHEA,</w:t>
    </w:r>
    <w:r w:rsidRPr="004459D2">
      <w:rPr>
        <w:rFonts w:ascii="Calibri" w:eastAsia="Times New Roman" w:hAnsi="Calibri" w:cs="Calibri"/>
        <w:color w:val="000000"/>
        <w:kern w:val="0"/>
        <w:bdr w:val="none" w:sz="0" w:space="0" w:color="auto" w:frame="1"/>
        <w:lang w:val="en-AU" w:eastAsia="en-AU"/>
        <w14:ligatures w14:val="none"/>
      </w:rPr>
      <w:t> </w:t>
    </w:r>
    <w:r w:rsidRPr="004459D2">
      <w:rPr>
        <w:rFonts w:ascii="Georgia" w:eastAsia="Times New Roman" w:hAnsi="Georgia" w:cs="Segoe UI"/>
        <w:i/>
        <w:iCs/>
        <w:color w:val="1F497D"/>
        <w:kern w:val="0"/>
        <w:sz w:val="16"/>
        <w:szCs w:val="16"/>
        <w:bdr w:val="none" w:sz="0" w:space="0" w:color="auto" w:frame="1"/>
        <w:lang w:val="en-AU" w:eastAsia="en-AU"/>
        <w14:ligatures w14:val="none"/>
      </w:rPr>
      <w:t>MAIPM,</w:t>
    </w:r>
    <w:r w:rsidR="001A5A1E">
      <w:rPr>
        <w:rFonts w:ascii="Georgia" w:eastAsia="Times New Roman" w:hAnsi="Georgia" w:cs="Segoe UI"/>
        <w:i/>
        <w:iCs/>
        <w:color w:val="1F497D"/>
        <w:kern w:val="0"/>
        <w:sz w:val="16"/>
        <w:szCs w:val="16"/>
        <w:bdr w:val="none" w:sz="0" w:space="0" w:color="auto" w:frame="1"/>
        <w:lang w:val="en-AU" w:eastAsia="en-AU"/>
        <w14:ligatures w14:val="none"/>
      </w:rPr>
      <w:t xml:space="preserve"> </w:t>
    </w:r>
    <w:r w:rsidRPr="004459D2">
      <w:rPr>
        <w:rFonts w:ascii="Georgia" w:eastAsia="Times New Roman" w:hAnsi="Georgia" w:cs="Segoe UI"/>
        <w:i/>
        <w:iCs/>
        <w:color w:val="1F497D"/>
        <w:kern w:val="0"/>
        <w:sz w:val="16"/>
        <w:szCs w:val="16"/>
        <w:bdr w:val="none" w:sz="0" w:space="0" w:color="auto" w:frame="1"/>
        <w:lang w:val="en-AU" w:eastAsia="en-AU"/>
        <w14:ligatures w14:val="none"/>
      </w:rPr>
      <w:t>MICCPM</w:t>
    </w:r>
  </w:p>
  <w:p w14:paraId="2D722D86" w14:textId="10492CFF" w:rsidR="001A5A1E" w:rsidRDefault="00452EE8" w:rsidP="00452EE8">
    <w:pPr>
      <w:shd w:val="clear" w:color="auto" w:fill="FFFFFF"/>
      <w:spacing w:after="0" w:line="240" w:lineRule="auto"/>
      <w:rPr>
        <w:rFonts w:ascii="Georgia" w:eastAsia="Times New Roman" w:hAnsi="Georgia" w:cs="Segoe UI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</w:pPr>
    <w:r w:rsidRPr="004459D2">
      <w:rPr>
        <w:rFonts w:ascii="Georgia" w:eastAsia="Times New Roman" w:hAnsi="Georgia" w:cs="Segoe UI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>Deputy Director Research, </w:t>
    </w:r>
    <w:hyperlink r:id="rId1" w:tgtFrame="_blank" w:history="1">
      <w:r w:rsidRPr="004459D2">
        <w:rPr>
          <w:rFonts w:ascii="Georgia" w:eastAsia="Times New Roman" w:hAnsi="Georgia" w:cs="Segoe UI"/>
          <w:color w:val="0000FF"/>
          <w:kern w:val="0"/>
          <w:sz w:val="20"/>
          <w:szCs w:val="20"/>
          <w:u w:val="single"/>
          <w:bdr w:val="none" w:sz="0" w:space="0" w:color="auto" w:frame="1"/>
          <w:lang w:val="en-AU" w:eastAsia="en-AU"/>
          <w14:ligatures w14:val="none"/>
        </w:rPr>
        <w:t>Centre for Smart Modern Construction</w:t>
      </w:r>
    </w:hyperlink>
    <w:r w:rsidRPr="004459D2">
      <w:rPr>
        <w:rFonts w:ascii="Georgia" w:eastAsia="Times New Roman" w:hAnsi="Georgia" w:cs="Segoe UI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> c4SMC</w:t>
    </w:r>
    <w:r>
      <w:rPr>
        <w:rFonts w:ascii="Georgia" w:eastAsia="Times New Roman" w:hAnsi="Georgia" w:cs="Segoe UI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 xml:space="preserve"> </w:t>
    </w:r>
  </w:p>
  <w:p w14:paraId="69FA2DA6" w14:textId="36E294C5" w:rsidR="00452EE8" w:rsidRPr="004459D2" w:rsidRDefault="00452EE8" w:rsidP="00452EE8">
    <w:pPr>
      <w:shd w:val="clear" w:color="auto" w:fill="FFFFFF"/>
      <w:spacing w:after="0" w:line="240" w:lineRule="auto"/>
      <w:rPr>
        <w:rFonts w:ascii="Segoe UI" w:eastAsia="Times New Roman" w:hAnsi="Segoe UI" w:cs="Segoe UI"/>
        <w:color w:val="000000"/>
        <w:kern w:val="0"/>
        <w:sz w:val="27"/>
        <w:szCs w:val="27"/>
        <w:lang w:val="en-AU" w:eastAsia="en-AU"/>
        <w14:ligatures w14:val="none"/>
      </w:rPr>
    </w:pPr>
    <w:hyperlink r:id="rId2" w:tooltip="https://www.westernsydney.edu.au/staff_profiles/WSU/associate_professor_sepani_senaratne" w:history="1">
      <w:r w:rsidRPr="004459D2">
        <w:rPr>
          <w:rFonts w:ascii="Tahoma" w:eastAsia="Times New Roman" w:hAnsi="Tahoma" w:cs="Tahoma"/>
          <w:color w:val="0000FF"/>
          <w:kern w:val="0"/>
          <w:sz w:val="20"/>
          <w:szCs w:val="20"/>
          <w:u w:val="single"/>
          <w:bdr w:val="none" w:sz="0" w:space="0" w:color="auto" w:frame="1"/>
          <w:lang w:val="en-AU" w:eastAsia="en-AU"/>
          <w14:ligatures w14:val="none"/>
        </w:rPr>
        <w:t>WSU Profile</w:t>
      </w:r>
    </w:hyperlink>
    <w:r w:rsidRPr="004459D2">
      <w:rPr>
        <w:rFonts w:ascii="Tahoma" w:eastAsia="Times New Roman" w:hAnsi="Tahoma" w:cs="Tahoma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>; </w:t>
    </w:r>
    <w:hyperlink r:id="rId3" w:tooltip="https://scholar.google.com/citations?user=Xi0pRkcAAAAJ&amp;hl=en" w:history="1">
      <w:r w:rsidRPr="004459D2">
        <w:rPr>
          <w:rFonts w:ascii="Tahoma" w:eastAsia="Times New Roman" w:hAnsi="Tahoma" w:cs="Tahoma"/>
          <w:color w:val="0000FF"/>
          <w:kern w:val="0"/>
          <w:sz w:val="20"/>
          <w:szCs w:val="20"/>
          <w:u w:val="single"/>
          <w:bdr w:val="none" w:sz="0" w:space="0" w:color="auto" w:frame="1"/>
          <w:lang w:val="en-AU" w:eastAsia="en-AU"/>
          <w14:ligatures w14:val="none"/>
        </w:rPr>
        <w:t>Google Scholar</w:t>
      </w:r>
    </w:hyperlink>
    <w:r w:rsidRPr="004459D2">
      <w:rPr>
        <w:rFonts w:ascii="Tahoma" w:eastAsia="Times New Roman" w:hAnsi="Tahoma" w:cs="Tahoma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>; </w:t>
    </w:r>
    <w:proofErr w:type="spellStart"/>
    <w:r>
      <w:fldChar w:fldCharType="begin"/>
    </w:r>
    <w:r>
      <w:instrText>HYPERLINK "https://orcid.org/0000-0002-9252-7306" \o "https://orcid.org/0000-0002-9252-7306"</w:instrText>
    </w:r>
    <w:r>
      <w:fldChar w:fldCharType="separate"/>
    </w:r>
    <w:r w:rsidRPr="004459D2">
      <w:rPr>
        <w:rFonts w:ascii="Tahoma" w:eastAsia="Times New Roman" w:hAnsi="Tahoma" w:cs="Tahoma"/>
        <w:color w:val="0000FF"/>
        <w:kern w:val="0"/>
        <w:sz w:val="20"/>
        <w:szCs w:val="20"/>
        <w:u w:val="single"/>
        <w:bdr w:val="none" w:sz="0" w:space="0" w:color="auto" w:frame="1"/>
        <w:lang w:val="en-AU" w:eastAsia="en-AU"/>
        <w14:ligatures w14:val="none"/>
      </w:rPr>
      <w:t>Orcid</w:t>
    </w:r>
    <w:proofErr w:type="spellEnd"/>
    <w:r>
      <w:rPr>
        <w:rFonts w:ascii="Tahoma" w:eastAsia="Times New Roman" w:hAnsi="Tahoma" w:cs="Tahoma"/>
        <w:color w:val="0000FF"/>
        <w:kern w:val="0"/>
        <w:sz w:val="20"/>
        <w:szCs w:val="20"/>
        <w:u w:val="single"/>
        <w:bdr w:val="none" w:sz="0" w:space="0" w:color="auto" w:frame="1"/>
        <w:lang w:val="en-AU" w:eastAsia="en-AU"/>
        <w14:ligatures w14:val="none"/>
      </w:rPr>
      <w:fldChar w:fldCharType="end"/>
    </w:r>
    <w:r w:rsidRPr="004459D2">
      <w:rPr>
        <w:rFonts w:ascii="Tahoma" w:eastAsia="Times New Roman" w:hAnsi="Tahoma" w:cs="Tahoma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>; </w:t>
    </w:r>
    <w:proofErr w:type="spellStart"/>
    <w:r>
      <w:fldChar w:fldCharType="begin"/>
    </w:r>
    <w:r>
      <w:instrText>HYPERLINK "https://www.linkedin.com/in/sepani-senaratne-700122105/?originalSubdomain=au" \o "https://www.linkedin.com/in/sepani-senaratne-700122105/?originalSubdomain=au"</w:instrText>
    </w:r>
    <w:r>
      <w:fldChar w:fldCharType="separate"/>
    </w:r>
    <w:r w:rsidRPr="004459D2">
      <w:rPr>
        <w:rFonts w:ascii="Tahoma" w:eastAsia="Times New Roman" w:hAnsi="Tahoma" w:cs="Tahoma"/>
        <w:color w:val="0000FF"/>
        <w:kern w:val="0"/>
        <w:sz w:val="20"/>
        <w:szCs w:val="20"/>
        <w:u w:val="single"/>
        <w:bdr w:val="none" w:sz="0" w:space="0" w:color="auto" w:frame="1"/>
        <w:lang w:val="en-AU" w:eastAsia="en-AU"/>
        <w14:ligatures w14:val="none"/>
      </w:rPr>
      <w:t>Linkedin</w:t>
    </w:r>
    <w:proofErr w:type="spellEnd"/>
    <w:r>
      <w:rPr>
        <w:rFonts w:ascii="Tahoma" w:eastAsia="Times New Roman" w:hAnsi="Tahoma" w:cs="Tahoma"/>
        <w:color w:val="0000FF"/>
        <w:kern w:val="0"/>
        <w:sz w:val="20"/>
        <w:szCs w:val="20"/>
        <w:u w:val="single"/>
        <w:bdr w:val="none" w:sz="0" w:space="0" w:color="auto" w:frame="1"/>
        <w:lang w:val="en-AU" w:eastAsia="en-AU"/>
        <w14:ligatures w14:val="none"/>
      </w:rPr>
      <w:fldChar w:fldCharType="end"/>
    </w:r>
    <w:r>
      <w:rPr>
        <w:rFonts w:ascii="Tahoma" w:eastAsia="Times New Roman" w:hAnsi="Tahoma" w:cs="Tahoma"/>
        <w:color w:val="0000FF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 xml:space="preserve">, </w:t>
    </w:r>
    <w:hyperlink r:id="rId4" w:tooltip="https://cibworld.org/tg124-zero-carbon-building-and-infrastructure-design-and-construction/" w:history="1">
      <w:r w:rsidRPr="004459D2">
        <w:rPr>
          <w:rFonts w:ascii="Tahoma" w:eastAsia="Times New Roman" w:hAnsi="Tahoma" w:cs="Tahoma"/>
          <w:color w:val="0000FF"/>
          <w:kern w:val="0"/>
          <w:sz w:val="20"/>
          <w:szCs w:val="20"/>
          <w:u w:val="single"/>
          <w:bdr w:val="none" w:sz="0" w:space="0" w:color="auto" w:frame="1"/>
          <w:lang w:val="en-AU" w:eastAsia="en-AU"/>
          <w14:ligatures w14:val="none"/>
        </w:rPr>
        <w:t>CIB TG124</w:t>
      </w:r>
    </w:hyperlink>
    <w:r w:rsidRPr="004459D2">
      <w:rPr>
        <w:rFonts w:ascii="Tahoma" w:eastAsia="Times New Roman" w:hAnsi="Tahoma" w:cs="Tahoma"/>
        <w:color w:val="000000"/>
        <w:kern w:val="0"/>
        <w:sz w:val="20"/>
        <w:szCs w:val="20"/>
        <w:bdr w:val="none" w:sz="0" w:space="0" w:color="auto" w:frame="1"/>
        <w:lang w:val="en-AU" w:eastAsia="en-AU"/>
        <w14:ligatures w14:val="none"/>
      </w:rPr>
      <w:t> Joint Coordinator</w:t>
    </w:r>
  </w:p>
  <w:p w14:paraId="2F5D48BE" w14:textId="69E7ABE9" w:rsidR="00452EE8" w:rsidRDefault="00452EE8">
    <w:pPr>
      <w:pStyle w:val="Footer"/>
    </w:pPr>
  </w:p>
  <w:p w14:paraId="0F41A2AB" w14:textId="77777777" w:rsidR="00452EE8" w:rsidRDefault="0045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45F9" w14:textId="77777777" w:rsidR="00824189" w:rsidRDefault="00824189" w:rsidP="00452EE8">
      <w:pPr>
        <w:spacing w:after="0" w:line="240" w:lineRule="auto"/>
      </w:pPr>
      <w:r>
        <w:separator/>
      </w:r>
    </w:p>
  </w:footnote>
  <w:footnote w:type="continuationSeparator" w:id="0">
    <w:p w14:paraId="6F4425E3" w14:textId="77777777" w:rsidR="00824189" w:rsidRDefault="00824189" w:rsidP="0045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194"/>
    <w:multiLevelType w:val="hybridMultilevel"/>
    <w:tmpl w:val="11DEF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708B"/>
    <w:multiLevelType w:val="hybridMultilevel"/>
    <w:tmpl w:val="C1B00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3E12"/>
    <w:multiLevelType w:val="multilevel"/>
    <w:tmpl w:val="D696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D400D"/>
    <w:multiLevelType w:val="hybridMultilevel"/>
    <w:tmpl w:val="F0EA00AC"/>
    <w:lvl w:ilvl="0" w:tplc="0B5AE7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05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C2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C9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EA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8D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09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8F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82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66E05"/>
    <w:multiLevelType w:val="hybridMultilevel"/>
    <w:tmpl w:val="5CA21E58"/>
    <w:lvl w:ilvl="0" w:tplc="1DC212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60E2"/>
    <w:multiLevelType w:val="hybridMultilevel"/>
    <w:tmpl w:val="84066190"/>
    <w:lvl w:ilvl="0" w:tplc="8BDE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8A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2E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C6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9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E4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8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24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EB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596840">
    <w:abstractNumId w:val="1"/>
  </w:num>
  <w:num w:numId="2" w16cid:durableId="184177032">
    <w:abstractNumId w:val="0"/>
  </w:num>
  <w:num w:numId="3" w16cid:durableId="841555454">
    <w:abstractNumId w:val="5"/>
  </w:num>
  <w:num w:numId="4" w16cid:durableId="1821573426">
    <w:abstractNumId w:val="4"/>
  </w:num>
  <w:num w:numId="5" w16cid:durableId="281500143">
    <w:abstractNumId w:val="3"/>
  </w:num>
  <w:num w:numId="6" w16cid:durableId="211721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BB"/>
    <w:rsid w:val="0001159C"/>
    <w:rsid w:val="00046766"/>
    <w:rsid w:val="00047E10"/>
    <w:rsid w:val="00056B70"/>
    <w:rsid w:val="000A7223"/>
    <w:rsid w:val="000C73E4"/>
    <w:rsid w:val="000D2ADC"/>
    <w:rsid w:val="001355FC"/>
    <w:rsid w:val="00146224"/>
    <w:rsid w:val="001A003E"/>
    <w:rsid w:val="001A5A1E"/>
    <w:rsid w:val="001B00C0"/>
    <w:rsid w:val="001F1170"/>
    <w:rsid w:val="002007F5"/>
    <w:rsid w:val="002068F7"/>
    <w:rsid w:val="00225ABB"/>
    <w:rsid w:val="00260778"/>
    <w:rsid w:val="00270321"/>
    <w:rsid w:val="002B0B9E"/>
    <w:rsid w:val="0036148C"/>
    <w:rsid w:val="00370BF3"/>
    <w:rsid w:val="003A79EF"/>
    <w:rsid w:val="004459D2"/>
    <w:rsid w:val="00452EE8"/>
    <w:rsid w:val="004727D7"/>
    <w:rsid w:val="0047351C"/>
    <w:rsid w:val="004B61F5"/>
    <w:rsid w:val="00534726"/>
    <w:rsid w:val="00575FB5"/>
    <w:rsid w:val="005C5179"/>
    <w:rsid w:val="0063626F"/>
    <w:rsid w:val="00690811"/>
    <w:rsid w:val="00693A98"/>
    <w:rsid w:val="006D595C"/>
    <w:rsid w:val="007749E2"/>
    <w:rsid w:val="007951AA"/>
    <w:rsid w:val="0080165C"/>
    <w:rsid w:val="00810FB5"/>
    <w:rsid w:val="00812D84"/>
    <w:rsid w:val="00824189"/>
    <w:rsid w:val="009230BF"/>
    <w:rsid w:val="00990429"/>
    <w:rsid w:val="00992A95"/>
    <w:rsid w:val="009D164E"/>
    <w:rsid w:val="009F3967"/>
    <w:rsid w:val="00A02C2B"/>
    <w:rsid w:val="00A1078B"/>
    <w:rsid w:val="00A270B2"/>
    <w:rsid w:val="00A4029D"/>
    <w:rsid w:val="00A447E9"/>
    <w:rsid w:val="00A56C43"/>
    <w:rsid w:val="00A91EC4"/>
    <w:rsid w:val="00A95D0E"/>
    <w:rsid w:val="00A966B4"/>
    <w:rsid w:val="00AC3504"/>
    <w:rsid w:val="00AE6669"/>
    <w:rsid w:val="00B271C5"/>
    <w:rsid w:val="00B31018"/>
    <w:rsid w:val="00B52AAD"/>
    <w:rsid w:val="00BB7E0A"/>
    <w:rsid w:val="00BC4E40"/>
    <w:rsid w:val="00BD2AB8"/>
    <w:rsid w:val="00C13159"/>
    <w:rsid w:val="00C219F2"/>
    <w:rsid w:val="00C31EE3"/>
    <w:rsid w:val="00C571BC"/>
    <w:rsid w:val="00C7084C"/>
    <w:rsid w:val="00C77055"/>
    <w:rsid w:val="00C91268"/>
    <w:rsid w:val="00C94EF5"/>
    <w:rsid w:val="00CF109B"/>
    <w:rsid w:val="00D06801"/>
    <w:rsid w:val="00D37F13"/>
    <w:rsid w:val="00D438C5"/>
    <w:rsid w:val="00D51D71"/>
    <w:rsid w:val="00D62DFF"/>
    <w:rsid w:val="00DA5C49"/>
    <w:rsid w:val="00DD5626"/>
    <w:rsid w:val="00E76993"/>
    <w:rsid w:val="00E86CD4"/>
    <w:rsid w:val="00E87CA2"/>
    <w:rsid w:val="00EC77F3"/>
    <w:rsid w:val="00EF00D7"/>
    <w:rsid w:val="00F640EA"/>
    <w:rsid w:val="00F6668B"/>
    <w:rsid w:val="00F73891"/>
    <w:rsid w:val="00F777D6"/>
    <w:rsid w:val="00F9314C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92089"/>
  <w15:chartTrackingRefBased/>
  <w15:docId w15:val="{97248B37-5B55-40C8-B1A0-45AFAC9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4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0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1D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2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E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59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nk.springer.com/chapter/10.1007/978-3-031-56241-9_20" TargetMode="External"/><Relationship Id="rId18" Type="http://schemas.openxmlformats.org/officeDocument/2006/relationships/hyperlink" Target="https://researchdirect.westernsydney.edu.au/islandora/object/uws%3A60584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s://researchdirect.westernsydney.edu.au/islandora/object/uws%3A7205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2352550924001556" TargetMode="External"/><Relationship Id="rId17" Type="http://schemas.openxmlformats.org/officeDocument/2006/relationships/hyperlink" Target="https://ciobwcs.com/downloads/papers24/S16008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irect.com/science/article/pii/S266737892300041X" TargetMode="External"/><Relationship Id="rId20" Type="http://schemas.openxmlformats.org/officeDocument/2006/relationships/hyperlink" Target="https://researchdirect.westernsydney.edu.au/islandora/object/uws%3A7181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sternsydney.edu.au/c4smc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dpi.com/2075-5309/14/2/379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issuu.com/aiqs_be/docs/bee24sep_digi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dpi.com/2075-5309/14/3/653" TargetMode="External"/><Relationship Id="rId22" Type="http://schemas.openxmlformats.org/officeDocument/2006/relationships/hyperlink" Target="https://researchdirect.westernsydney.edu.au/islandora/object/uws%3A6058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cholar.google.com/citations?user=Xi0pRkcAAAAJ&amp;hl=en" TargetMode="External"/><Relationship Id="rId2" Type="http://schemas.openxmlformats.org/officeDocument/2006/relationships/hyperlink" Target="https://www.westernsydney.edu.au/staff_profiles/WSU/associate_professor_sepani_senaratne" TargetMode="External"/><Relationship Id="rId1" Type="http://schemas.openxmlformats.org/officeDocument/2006/relationships/hyperlink" Target="http://westernsydney.edu.au/c4smc" TargetMode="External"/><Relationship Id="rId4" Type="http://schemas.openxmlformats.org/officeDocument/2006/relationships/hyperlink" Target="https://cibworld.org/tg124-zero-carbon-building-and-infrastructure-design-and-constru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2</Value>
    </TaxCatchAl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MPWT-2140667901-68511</_dlc_DocId>
    <_dlc_DocIdUrl xmlns="20393cdf-440a-4521-8f19-00ba43423d00">
      <Url>https://pcgov.sharepoint.com/sites/sceteam/_layouts/15/DocIdRedir.aspx?ID=MPWT-2140667901-68511</Url>
      <Description>MPWT-2140667901-68511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70059131a6a51fa3c62d220df1dc162d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74ec6776d0a49c9803497d79cbf2296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A96CCD-4397-40BF-AB80-1F8B51D4C3F4}">
  <ds:schemaRefs>
    <ds:schemaRef ds:uri="http://schemas.microsoft.com/office/2006/metadata/properties"/>
    <ds:schemaRef ds:uri="http://schemas.microsoft.com/office/infopath/2007/PartnerControls"/>
    <ds:schemaRef ds:uri="9a772fc7-43d3-42eb-8ced-0362ea2d3705"/>
  </ds:schemaRefs>
</ds:datastoreItem>
</file>

<file path=customXml/itemProps2.xml><?xml version="1.0" encoding="utf-8"?>
<ds:datastoreItem xmlns:ds="http://schemas.openxmlformats.org/officeDocument/2006/customXml" ds:itemID="{8642114B-2730-4FA1-93BB-296425947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7A7FB-0799-4726-931F-FA9F68AC5AC2}"/>
</file>

<file path=customXml/itemProps4.xml><?xml version="1.0" encoding="utf-8"?>
<ds:datastoreItem xmlns:ds="http://schemas.openxmlformats.org/officeDocument/2006/customXml" ds:itemID="{45EE9A5B-27FA-4703-BCE0-02A86478C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3 - Centre for Smart Modern Construction (c4SMC) - Opportunities in the circular economy - Public inquiry</vt:lpstr>
    </vt:vector>
  </TitlesOfParts>
  <Company>Centre for Smart Modern Construction (c4SMC)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3 - Centre for Smart Modern Construction (c4SMC) - Opportunities in the circular economy - Public inquiry</dc:title>
  <dc:subject/>
  <dc:creator>Centre for Smart Modern Construction (c4SMC)</dc:creator>
  <cp:keywords/>
  <dc:description/>
  <cp:lastModifiedBy>Chris Alston</cp:lastModifiedBy>
  <cp:revision>6</cp:revision>
  <dcterms:created xsi:type="dcterms:W3CDTF">2024-09-19T01:29:00Z</dcterms:created>
  <dcterms:modified xsi:type="dcterms:W3CDTF">2024-10-11T03:50:00Z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1cad31333f284280b71cd3001fac4aa0943c712da6789ac99ed675ade5ce8679</vt:lpwstr>
  </property>
  <property fmtid="{D5CDD505-2E9C-101B-9397-08002B2CF9AE}" pid="3" name="ContentTypeId">
    <vt:lpwstr>0x0101006C0B5E815648EF46B6FA6D42F17E5E9F000C963E276195B04F83BC027CFDC94A8D</vt:lpwstr>
  </property>
  <property fmtid="{D5CDD505-2E9C-101B-9397-08002B2CF9AE}" pid="4" name="RevIMBCS">
    <vt:lpwstr>2;#Unclassified|3955eeb1-2d18-4582-aeb2-00144ec3aaf5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2024-10-11T03:49:32Z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b4e578f1-4190-4c27-b70c-3f14ebd633c9</vt:lpwstr>
  </property>
  <property fmtid="{D5CDD505-2E9C-101B-9397-08002B2CF9AE}" pid="11" name="MSIP_Label_c1f2b1ce-4212-46db-a901-dd8453f57141_ContentBits">
    <vt:lpwstr>0</vt:lpwstr>
  </property>
  <property fmtid="{D5CDD505-2E9C-101B-9397-08002B2CF9AE}" pid="12" name="_dlc_DocIdItemGuid">
    <vt:lpwstr>9d06387f-b085-40d2-adca-29fe2a733527</vt:lpwstr>
  </property>
</Properties>
</file>