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CAD9F" w14:textId="0955CDC6" w:rsidR="00A33DFF" w:rsidRDefault="00AF1E60" w:rsidP="00AF1E60">
      <w:pPr>
        <w:pStyle w:val="Chapter"/>
        <w:ind w:left="907" w:hanging="907"/>
      </w:pPr>
      <w:bookmarkStart w:id="0" w:name="ChapterNumber"/>
      <w:r>
        <w:t>1</w:t>
      </w:r>
      <w:bookmarkEnd w:id="0"/>
      <w:r>
        <w:tab/>
      </w:r>
      <w:bookmarkStart w:id="1" w:name="ChapterTitle"/>
      <w:r>
        <w:t>Structural adjustment in a ‘multi-speed’ economy</w:t>
      </w:r>
      <w:bookmarkEnd w:id="1"/>
    </w:p>
    <w:p w14:paraId="1BAA974A" w14:textId="4FD83410" w:rsidR="00CA1405" w:rsidRDefault="00CA1405" w:rsidP="004B5D40">
      <w:pPr>
        <w:pStyle w:val="ChapterSummary"/>
      </w:pPr>
      <w:r>
        <w:t>Structural change is a pervasive and continuous process. Changes in the structure of an economy</w:t>
      </w:r>
      <w:r w:rsidR="00624FFF">
        <w:t>, and the adjustments needed to bring them about,</w:t>
      </w:r>
      <w:r>
        <w:t xml:space="preserve"> are </w:t>
      </w:r>
      <w:r w:rsidR="00624FFF">
        <w:t xml:space="preserve">essential </w:t>
      </w:r>
      <w:r w:rsidR="0087159E">
        <w:t>to</w:t>
      </w:r>
      <w:r>
        <w:t xml:space="preserve"> economic development</w:t>
      </w:r>
      <w:r w:rsidR="0087159E">
        <w:t xml:space="preserve"> and progress</w:t>
      </w:r>
      <w:r>
        <w:t xml:space="preserve">. As an economy grows, its composition is altered, because output and employment growth </w:t>
      </w:r>
      <w:r w:rsidR="0053242A">
        <w:t>vary among</w:t>
      </w:r>
      <w:r>
        <w:t xml:space="preserve"> firms and industries. Some </w:t>
      </w:r>
      <w:r w:rsidR="0053242A">
        <w:t xml:space="preserve">structural </w:t>
      </w:r>
      <w:r>
        <w:t>trends, such as the relative decline in manufacturing and growth of service</w:t>
      </w:r>
      <w:r w:rsidR="0053242A">
        <w:t>s</w:t>
      </w:r>
      <w:r>
        <w:t xml:space="preserve">, are </w:t>
      </w:r>
      <w:r w:rsidR="0053242A">
        <w:t xml:space="preserve">of </w:t>
      </w:r>
      <w:r w:rsidR="00555327">
        <w:t xml:space="preserve">long </w:t>
      </w:r>
      <w:r>
        <w:t>standing, and are common to all developed countries.</w:t>
      </w:r>
    </w:p>
    <w:p w14:paraId="0E2C7DF3" w14:textId="2B48F538" w:rsidR="004B5D40" w:rsidRDefault="008E23E2" w:rsidP="008E23E2">
      <w:pPr>
        <w:pStyle w:val="ChapterSummary"/>
      </w:pPr>
      <w:r>
        <w:t>The</w:t>
      </w:r>
      <w:r w:rsidR="004B5D40">
        <w:t xml:space="preserve"> </w:t>
      </w:r>
      <w:r w:rsidR="004708E4">
        <w:t xml:space="preserve">recent </w:t>
      </w:r>
      <w:r w:rsidR="004B5D40">
        <w:t>terms of trade boom</w:t>
      </w:r>
      <w:r>
        <w:t>,</w:t>
      </w:r>
      <w:r w:rsidR="004B5D40">
        <w:t xml:space="preserve"> associated </w:t>
      </w:r>
      <w:r w:rsidR="00CA1405">
        <w:t xml:space="preserve">mainly </w:t>
      </w:r>
      <w:r w:rsidR="004B5D40">
        <w:t xml:space="preserve">with mining </w:t>
      </w:r>
      <w:r w:rsidR="00CA1405">
        <w:t>exports</w:t>
      </w:r>
      <w:r w:rsidR="00FA18A9">
        <w:t xml:space="preserve">, </w:t>
      </w:r>
      <w:r>
        <w:t xml:space="preserve">has been clearly beneficial for Australia, accounting for a substantial increase in national income and a general rise in household purchasing power. At the same time, it has </w:t>
      </w:r>
      <w:r w:rsidR="004B5D40">
        <w:t xml:space="preserve">added </w:t>
      </w:r>
      <w:r w:rsidR="004708E4">
        <w:t xml:space="preserve">to the range of </w:t>
      </w:r>
      <w:r w:rsidR="004B5D40">
        <w:t>pressure</w:t>
      </w:r>
      <w:r w:rsidR="004708E4">
        <w:t>s</w:t>
      </w:r>
      <w:r w:rsidR="004B5D40">
        <w:t xml:space="preserve"> for change </w:t>
      </w:r>
      <w:r w:rsidR="004708E4">
        <w:t>facing</w:t>
      </w:r>
      <w:r w:rsidR="004B5D40">
        <w:t xml:space="preserve"> the economy.</w:t>
      </w:r>
      <w:r w:rsidR="00CA1405">
        <w:t xml:space="preserve"> </w:t>
      </w:r>
      <w:r w:rsidR="00E61CBC">
        <w:t xml:space="preserve">However, the </w:t>
      </w:r>
      <w:r w:rsidR="00FA18A9">
        <w:t xml:space="preserve">adjustment challenges </w:t>
      </w:r>
      <w:r w:rsidR="004D19C9">
        <w:t xml:space="preserve">the boom and </w:t>
      </w:r>
      <w:r w:rsidR="00476D7A">
        <w:t>ensuing</w:t>
      </w:r>
      <w:r w:rsidR="004D19C9">
        <w:t xml:space="preserve"> currency appreciation </w:t>
      </w:r>
      <w:r w:rsidR="00FA18A9">
        <w:t xml:space="preserve">have created </w:t>
      </w:r>
      <w:r w:rsidR="004D19C9">
        <w:t xml:space="preserve">for some </w:t>
      </w:r>
      <w:r w:rsidR="001F7A61">
        <w:t>industries</w:t>
      </w:r>
      <w:r w:rsidR="004D19C9">
        <w:t xml:space="preserve"> and </w:t>
      </w:r>
      <w:r w:rsidR="00476D7A">
        <w:t>their workforces</w:t>
      </w:r>
      <w:r w:rsidR="004D19C9">
        <w:t xml:space="preserve"> </w:t>
      </w:r>
      <w:r w:rsidR="002454D5">
        <w:t>are</w:t>
      </w:r>
      <w:r w:rsidR="004D19C9">
        <w:t xml:space="preserve"> not unprecedented</w:t>
      </w:r>
      <w:r w:rsidR="00CA1405">
        <w:t xml:space="preserve">. </w:t>
      </w:r>
      <w:r w:rsidR="00E61CBC">
        <w:t xml:space="preserve">Moreover, improvements </w:t>
      </w:r>
      <w:r w:rsidR="00CA1405">
        <w:t>in the flexibility and adaptability of the Australian economy</w:t>
      </w:r>
      <w:r w:rsidR="0053242A">
        <w:t xml:space="preserve"> due to policy reforms</w:t>
      </w:r>
      <w:r w:rsidR="00CA1405">
        <w:t xml:space="preserve"> have reduced </w:t>
      </w:r>
      <w:r w:rsidR="00624FFF">
        <w:t>adjustment</w:t>
      </w:r>
      <w:r w:rsidR="00CA1405">
        <w:t xml:space="preserve"> costs</w:t>
      </w:r>
      <w:r w:rsidR="0053242A">
        <w:t>,</w:t>
      </w:r>
      <w:r w:rsidR="00CA1405">
        <w:t xml:space="preserve"> </w:t>
      </w:r>
      <w:r w:rsidR="0053242A">
        <w:t>relative to</w:t>
      </w:r>
      <w:r w:rsidR="00CA1405">
        <w:t xml:space="preserve"> past booms. </w:t>
      </w:r>
    </w:p>
    <w:p w14:paraId="0F1D53CD" w14:textId="06085A95" w:rsidR="00B214D3" w:rsidRDefault="00AC0260" w:rsidP="00B9579E">
      <w:pPr>
        <w:pStyle w:val="BodyText"/>
      </w:pPr>
      <w:r>
        <w:t xml:space="preserve">Over the </w:t>
      </w:r>
      <w:r w:rsidR="00332C13">
        <w:t xml:space="preserve">past </w:t>
      </w:r>
      <w:r w:rsidR="000A0CD4">
        <w:t>few years</w:t>
      </w:r>
      <w:r w:rsidR="00457A61">
        <w:t>,</w:t>
      </w:r>
      <w:r w:rsidR="00CD7B40">
        <w:t xml:space="preserve"> there has been an </w:t>
      </w:r>
      <w:r>
        <w:t>intensifying</w:t>
      </w:r>
      <w:r w:rsidR="00CD7B40">
        <w:t xml:space="preserve"> debate</w:t>
      </w:r>
      <w:r w:rsidR="00861742">
        <w:t xml:space="preserve"> </w:t>
      </w:r>
      <w:r w:rsidR="00B214D3">
        <w:t xml:space="preserve">about </w:t>
      </w:r>
      <w:r w:rsidR="000C60AF">
        <w:t xml:space="preserve">the </w:t>
      </w:r>
      <w:r w:rsidR="00B65420">
        <w:t xml:space="preserve">mining boom, </w:t>
      </w:r>
      <w:r w:rsidR="00B214D3">
        <w:t xml:space="preserve">structural change and </w:t>
      </w:r>
      <w:r w:rsidR="00BB7F08">
        <w:t xml:space="preserve">appropriate </w:t>
      </w:r>
      <w:r w:rsidR="00B214D3">
        <w:t>policy responses</w:t>
      </w:r>
      <w:r w:rsidR="00861742">
        <w:t>.</w:t>
      </w:r>
      <w:r w:rsidR="00B214D3">
        <w:t xml:space="preserve"> </w:t>
      </w:r>
      <w:r>
        <w:t>Some key issues in contention are:</w:t>
      </w:r>
    </w:p>
    <w:p w14:paraId="7324AB4C" w14:textId="77777777" w:rsidR="00CD7B40" w:rsidRDefault="00CD7B40" w:rsidP="00217D61">
      <w:pPr>
        <w:pStyle w:val="ListBullet"/>
      </w:pPr>
      <w:r>
        <w:t xml:space="preserve">the </w:t>
      </w:r>
      <w:r w:rsidR="00AC0260">
        <w:t xml:space="preserve">extent to which the mining boom brings benefits to the </w:t>
      </w:r>
      <w:r w:rsidR="00A17790">
        <w:t xml:space="preserve">wider </w:t>
      </w:r>
      <w:r w:rsidR="00AC0260">
        <w:t xml:space="preserve">Australian </w:t>
      </w:r>
      <w:r w:rsidR="00A17790">
        <w:t xml:space="preserve">economy and </w:t>
      </w:r>
      <w:r w:rsidR="00AC0260">
        <w:t>community</w:t>
      </w:r>
    </w:p>
    <w:p w14:paraId="60CC7BEB" w14:textId="77777777" w:rsidR="001B10B0" w:rsidRDefault="00AC0260" w:rsidP="00217D61">
      <w:pPr>
        <w:pStyle w:val="ListBullet"/>
      </w:pPr>
      <w:r>
        <w:t xml:space="preserve">whether the structural pressures and changes </w:t>
      </w:r>
      <w:r w:rsidR="00A17790">
        <w:t>have been</w:t>
      </w:r>
      <w:r>
        <w:t xml:space="preserve"> unprecedented</w:t>
      </w:r>
    </w:p>
    <w:p w14:paraId="1FBAC336" w14:textId="2FA940F3" w:rsidR="001B10B0" w:rsidRDefault="00AC0260" w:rsidP="00217D61">
      <w:pPr>
        <w:pStyle w:val="ListBullet"/>
      </w:pPr>
      <w:r>
        <w:t>whether these will leave the Australian economy vulnerable in the event of a</w:t>
      </w:r>
      <w:r w:rsidR="00417B87">
        <w:t xml:space="preserve"> pronounced </w:t>
      </w:r>
      <w:r>
        <w:t xml:space="preserve">terms </w:t>
      </w:r>
      <w:r w:rsidR="001B10B0">
        <w:t xml:space="preserve">of trade </w:t>
      </w:r>
      <w:r w:rsidR="00A17790">
        <w:t>reversal, and</w:t>
      </w:r>
      <w:r w:rsidR="0053242A">
        <w:t xml:space="preserve"> therefore</w:t>
      </w:r>
    </w:p>
    <w:p w14:paraId="5ADFA41D" w14:textId="21E35641" w:rsidR="00B65420" w:rsidRDefault="00AC0260" w:rsidP="00217D61">
      <w:pPr>
        <w:pStyle w:val="ListBullet"/>
      </w:pPr>
      <w:r>
        <w:t xml:space="preserve">whether governments should intervene to reduce or offset </w:t>
      </w:r>
      <w:r w:rsidR="00A17790">
        <w:t xml:space="preserve">the </w:t>
      </w:r>
      <w:r>
        <w:t>pressures</w:t>
      </w:r>
      <w:r w:rsidR="00BB7F08">
        <w:t xml:space="preserve"> and limit future vulnerability</w:t>
      </w:r>
      <w:r>
        <w:t>.</w:t>
      </w:r>
    </w:p>
    <w:p w14:paraId="50A7E0E6" w14:textId="14AB1350" w:rsidR="002E50CD" w:rsidRDefault="00232244" w:rsidP="00B9579E">
      <w:pPr>
        <w:pStyle w:val="BodyText"/>
      </w:pPr>
      <w:r>
        <w:t>C</w:t>
      </w:r>
      <w:r w:rsidR="008E3B62">
        <w:t>oncerns</w:t>
      </w:r>
      <w:r w:rsidR="00670C30">
        <w:t xml:space="preserve"> </w:t>
      </w:r>
      <w:r>
        <w:t>about recent developments are understandable.</w:t>
      </w:r>
      <w:r w:rsidR="008E3B62">
        <w:t xml:space="preserve"> </w:t>
      </w:r>
      <w:r>
        <w:t>S</w:t>
      </w:r>
      <w:r w:rsidR="008E3B62">
        <w:t xml:space="preserve">tructural change </w:t>
      </w:r>
      <w:r>
        <w:t>involves</w:t>
      </w:r>
      <w:r w:rsidR="00102C23">
        <w:t xml:space="preserve"> losers as well as </w:t>
      </w:r>
      <w:r w:rsidR="00E170DB">
        <w:t>winners</w:t>
      </w:r>
      <w:r w:rsidR="00102C23">
        <w:t xml:space="preserve">. Job </w:t>
      </w:r>
      <w:r w:rsidR="008E3B62">
        <w:t>shedding</w:t>
      </w:r>
      <w:r w:rsidR="00102C23">
        <w:t xml:space="preserve"> and business closures affect many</w:t>
      </w:r>
      <w:r w:rsidR="008E3B62">
        <w:t xml:space="preserve"> individuals, families and communities.</w:t>
      </w:r>
      <w:r w:rsidR="00720545">
        <w:t xml:space="preserve"> </w:t>
      </w:r>
      <w:r w:rsidR="007F40E1">
        <w:t xml:space="preserve">The adjustment </w:t>
      </w:r>
      <w:r w:rsidR="00FD4589">
        <w:t>pressures</w:t>
      </w:r>
      <w:r w:rsidR="007F40E1">
        <w:t xml:space="preserve"> created by </w:t>
      </w:r>
      <w:r w:rsidR="0059400A">
        <w:t>such</w:t>
      </w:r>
      <w:r w:rsidR="00717CB4">
        <w:t xml:space="preserve"> </w:t>
      </w:r>
      <w:r w:rsidR="00717CB4">
        <w:lastRenderedPageBreak/>
        <w:t>events</w:t>
      </w:r>
      <w:r w:rsidR="007F40E1">
        <w:t xml:space="preserve"> can be felt more heavily by</w:t>
      </w:r>
      <w:r w:rsidR="00717CB4">
        <w:t xml:space="preserve"> segments of society that are relatively less adaptable</w:t>
      </w:r>
      <w:r w:rsidR="0059400A">
        <w:t xml:space="preserve"> — </w:t>
      </w:r>
      <w:r w:rsidR="00717CB4">
        <w:t>for a range of reasons</w:t>
      </w:r>
      <w:r w:rsidR="0059400A">
        <w:t xml:space="preserve"> </w:t>
      </w:r>
      <w:r w:rsidR="00026725">
        <w:t>such as</w:t>
      </w:r>
      <w:r w:rsidR="0059400A">
        <w:t xml:space="preserve"> age, </w:t>
      </w:r>
      <w:r w:rsidR="008C4A8E">
        <w:t xml:space="preserve">language </w:t>
      </w:r>
      <w:r w:rsidR="007F40E1">
        <w:t xml:space="preserve">background, </w:t>
      </w:r>
      <w:r w:rsidR="0059400A">
        <w:t>skills</w:t>
      </w:r>
      <w:r w:rsidR="00717CB4">
        <w:t>,</w:t>
      </w:r>
      <w:r w:rsidR="0059400A">
        <w:t xml:space="preserve"> and </w:t>
      </w:r>
      <w:r w:rsidR="009517F5">
        <w:t>marital status</w:t>
      </w:r>
      <w:r w:rsidR="007F40E1">
        <w:t>.</w:t>
      </w:r>
    </w:p>
    <w:p w14:paraId="536BB4C4" w14:textId="5E82E884" w:rsidR="001B10B0" w:rsidRDefault="00792260" w:rsidP="00E6393E">
      <w:pPr>
        <w:pStyle w:val="BodyText"/>
        <w:spacing w:before="200"/>
      </w:pPr>
      <w:r>
        <w:t>At the same time</w:t>
      </w:r>
      <w:r w:rsidR="00AF1B2B">
        <w:t>,</w:t>
      </w:r>
      <w:r w:rsidR="00232244">
        <w:t xml:space="preserve"> it is important that a focus on the costs of </w:t>
      </w:r>
      <w:r w:rsidR="00A17790">
        <w:t xml:space="preserve">structural </w:t>
      </w:r>
      <w:r w:rsidR="00232244">
        <w:t xml:space="preserve">change to some does not overlook the benefits </w:t>
      </w:r>
      <w:r w:rsidR="00A17790">
        <w:t xml:space="preserve">of such change </w:t>
      </w:r>
      <w:r w:rsidR="00232244">
        <w:t>to the community</w:t>
      </w:r>
      <w:r w:rsidR="005D03A2">
        <w:t xml:space="preserve"> as a whole</w:t>
      </w:r>
      <w:r w:rsidR="00417B87">
        <w:t>.</w:t>
      </w:r>
      <w:r w:rsidR="00B96F8B">
        <w:t xml:space="preserve"> </w:t>
      </w:r>
      <w:r w:rsidR="00A344E9">
        <w:t>T</w:t>
      </w:r>
      <w:r w:rsidR="00E23B3D">
        <w:t xml:space="preserve">hough </w:t>
      </w:r>
      <w:r>
        <w:t xml:space="preserve">accompanied by capital and labour </w:t>
      </w:r>
      <w:r w:rsidR="00E23B3D">
        <w:t xml:space="preserve">movements </w:t>
      </w:r>
      <w:r>
        <w:t xml:space="preserve">that </w:t>
      </w:r>
      <w:r w:rsidR="00A77708">
        <w:t>can</w:t>
      </w:r>
      <w:r w:rsidR="00E23B3D">
        <w:t xml:space="preserve"> give rise to transition costs, structural change ultimately enhances </w:t>
      </w:r>
      <w:r>
        <w:t xml:space="preserve">society’s </w:t>
      </w:r>
      <w:r w:rsidR="00E23B3D">
        <w:t xml:space="preserve">welfare, by ensuring that </w:t>
      </w:r>
      <w:r w:rsidR="000D520C">
        <w:t xml:space="preserve">scarce resources are allocated </w:t>
      </w:r>
      <w:r w:rsidR="0053242A">
        <w:t>where they can be most productive</w:t>
      </w:r>
      <w:r w:rsidR="00E23B3D">
        <w:t xml:space="preserve">. For this reason, </w:t>
      </w:r>
      <w:r w:rsidR="00232244">
        <w:t xml:space="preserve">policy responses </w:t>
      </w:r>
      <w:r w:rsidR="00E23B3D">
        <w:t xml:space="preserve">that seek to </w:t>
      </w:r>
      <w:r w:rsidR="00232244">
        <w:t xml:space="preserve">address transitional problems </w:t>
      </w:r>
      <w:r w:rsidR="00227DBE">
        <w:t xml:space="preserve">need to </w:t>
      </w:r>
      <w:r w:rsidR="00A344E9">
        <w:t>avoid</w:t>
      </w:r>
      <w:r w:rsidR="00232244">
        <w:t xml:space="preserve"> compromising</w:t>
      </w:r>
      <w:r w:rsidR="006A31F6">
        <w:t xml:space="preserve"> </w:t>
      </w:r>
      <w:r w:rsidR="00A344E9">
        <w:t>the</w:t>
      </w:r>
      <w:r w:rsidR="00A17790">
        <w:t xml:space="preserve"> </w:t>
      </w:r>
      <w:r w:rsidR="00457A61">
        <w:t xml:space="preserve">timely </w:t>
      </w:r>
      <w:r w:rsidR="00A17790">
        <w:t>adjustment</w:t>
      </w:r>
      <w:r w:rsidR="0053242A">
        <w:t>s</w:t>
      </w:r>
      <w:r w:rsidR="00A344E9">
        <w:t xml:space="preserve"> on which rising living standards depend</w:t>
      </w:r>
      <w:r w:rsidR="00232244">
        <w:t>.</w:t>
      </w:r>
    </w:p>
    <w:p w14:paraId="66029B8B" w14:textId="5682C695" w:rsidR="000C60AF" w:rsidRDefault="006616DB" w:rsidP="00E6393E">
      <w:pPr>
        <w:pStyle w:val="Heading2"/>
      </w:pPr>
      <w:r>
        <w:t>Sectoral pressures from t</w:t>
      </w:r>
      <w:r w:rsidR="00CD7B40">
        <w:t xml:space="preserve">he mining boom </w:t>
      </w:r>
    </w:p>
    <w:p w14:paraId="0D160342" w14:textId="0A26EB59" w:rsidR="006616DB" w:rsidRDefault="00227DBE" w:rsidP="00E6393E">
      <w:pPr>
        <w:pStyle w:val="BodyText"/>
        <w:spacing w:before="200"/>
      </w:pPr>
      <w:r>
        <w:t xml:space="preserve">While the pressures </w:t>
      </w:r>
      <w:r w:rsidR="000D6985">
        <w:t>being</w:t>
      </w:r>
      <w:r w:rsidR="006616DB">
        <w:t xml:space="preserve"> </w:t>
      </w:r>
      <w:r w:rsidR="007F40E1">
        <w:t xml:space="preserve">felt by </w:t>
      </w:r>
      <w:r w:rsidR="006616DB">
        <w:t xml:space="preserve">some industries </w:t>
      </w:r>
      <w:r>
        <w:t xml:space="preserve">have </w:t>
      </w:r>
      <w:r w:rsidR="006616DB">
        <w:t>multiple causes</w:t>
      </w:r>
      <w:r w:rsidR="00A91609">
        <w:t xml:space="preserve"> (</w:t>
      </w:r>
      <w:r w:rsidR="0053242A">
        <w:t>including</w:t>
      </w:r>
      <w:r w:rsidR="006B1628">
        <w:t xml:space="preserve"> </w:t>
      </w:r>
      <w:r>
        <w:t>lower</w:t>
      </w:r>
      <w:r w:rsidR="00BB7F08">
        <w:t xml:space="preserve"> consumer confidence in the aftermath of the </w:t>
      </w:r>
      <w:r w:rsidR="0009365B">
        <w:t>Global Financial Crisis</w:t>
      </w:r>
      <w:r w:rsidR="000D6985">
        <w:t xml:space="preserve"> and the impact of online competition</w:t>
      </w:r>
      <w:r w:rsidR="00A91609">
        <w:t>)</w:t>
      </w:r>
      <w:r w:rsidR="006616DB">
        <w:t xml:space="preserve">, the mining boom has </w:t>
      </w:r>
      <w:r w:rsidR="00764603">
        <w:t>been</w:t>
      </w:r>
      <w:r w:rsidR="006616DB">
        <w:t xml:space="preserve"> a </w:t>
      </w:r>
      <w:r w:rsidR="000D6985">
        <w:t xml:space="preserve">pervasive </w:t>
      </w:r>
      <w:r w:rsidR="007F40E1">
        <w:t xml:space="preserve">driver </w:t>
      </w:r>
      <w:r w:rsidR="002422BA">
        <w:t xml:space="preserve">of change </w:t>
      </w:r>
      <w:r w:rsidR="007F40E1">
        <w:t>across the economy</w:t>
      </w:r>
      <w:r w:rsidR="006616DB">
        <w:t xml:space="preserve">. It is important to understand how this </w:t>
      </w:r>
      <w:r w:rsidR="00A91609">
        <w:t>has been p</w:t>
      </w:r>
      <w:r w:rsidR="006616DB">
        <w:t>laying out.</w:t>
      </w:r>
    </w:p>
    <w:p w14:paraId="2087B3B3" w14:textId="2B2CA101" w:rsidR="00CD7B40" w:rsidRDefault="00A91609" w:rsidP="00E6393E">
      <w:pPr>
        <w:pStyle w:val="BodyText"/>
        <w:spacing w:before="200"/>
      </w:pPr>
      <w:r>
        <w:t>As is well known, t</w:t>
      </w:r>
      <w:r w:rsidR="00CD7B40">
        <w:t xml:space="preserve">he rapid industrialisation </w:t>
      </w:r>
      <w:r w:rsidR="005C0716">
        <w:t xml:space="preserve">and urbanisation </w:t>
      </w:r>
      <w:r w:rsidR="00CD7B40">
        <w:t>of China has led to a surge in its demand for raw materials</w:t>
      </w:r>
      <w:r w:rsidR="000D6985">
        <w:t>, resulting</w:t>
      </w:r>
      <w:r w:rsidR="00CD7B40">
        <w:t xml:space="preserve"> in a </w:t>
      </w:r>
      <w:r w:rsidR="00300103">
        <w:t xml:space="preserve">sharp </w:t>
      </w:r>
      <w:r w:rsidR="00CD7B40">
        <w:t xml:space="preserve">rise in the prices of some of Australia’s </w:t>
      </w:r>
      <w:r w:rsidR="008549FB">
        <w:t xml:space="preserve">major </w:t>
      </w:r>
      <w:r w:rsidR="00CD7B40">
        <w:t>commodity</w:t>
      </w:r>
      <w:r w:rsidR="008549FB">
        <w:t xml:space="preserve"> exports</w:t>
      </w:r>
      <w:r w:rsidR="00A344E9">
        <w:t xml:space="preserve"> — mainly </w:t>
      </w:r>
      <w:r w:rsidR="008549FB">
        <w:t>coal</w:t>
      </w:r>
      <w:r w:rsidR="00A344E9">
        <w:t xml:space="preserve"> and </w:t>
      </w:r>
      <w:r w:rsidR="008549FB">
        <w:t>iron ore</w:t>
      </w:r>
      <w:r w:rsidR="00CD7B40">
        <w:t>.</w:t>
      </w:r>
      <w:r w:rsidR="002E50CD">
        <w:t xml:space="preserve"> </w:t>
      </w:r>
      <w:r w:rsidR="00D83EF6">
        <w:t>These price</w:t>
      </w:r>
      <w:r w:rsidR="00723641">
        <w:t xml:space="preserve"> rises marked the beginning of the first phase of the boom</w:t>
      </w:r>
      <w:r w:rsidR="00CC5AAC">
        <w:t xml:space="preserve"> (box </w:t>
      </w:r>
      <w:r w:rsidR="00D16268">
        <w:t>1</w:t>
      </w:r>
      <w:r w:rsidR="008830F5">
        <w:t>.1</w:t>
      </w:r>
      <w:r w:rsidR="00CC5AAC">
        <w:t>)</w:t>
      </w:r>
      <w:r w:rsidR="00723641">
        <w:t xml:space="preserve">. </w:t>
      </w:r>
      <w:r w:rsidR="000D6985">
        <w:t>At the same time</w:t>
      </w:r>
      <w:r w:rsidR="00CD7B40">
        <w:t xml:space="preserve">, China’s development, and that of East Asia generally, </w:t>
      </w:r>
      <w:r w:rsidR="006A31F6">
        <w:t>ha</w:t>
      </w:r>
      <w:r w:rsidR="00723641">
        <w:t>ve</w:t>
      </w:r>
      <w:r w:rsidR="006A31F6">
        <w:t xml:space="preserve"> </w:t>
      </w:r>
      <w:r w:rsidR="000D6985">
        <w:t>reduced</w:t>
      </w:r>
      <w:r w:rsidR="00CD7B40">
        <w:t xml:space="preserve"> the price</w:t>
      </w:r>
      <w:r>
        <w:t>s</w:t>
      </w:r>
      <w:r w:rsidR="00CD7B40">
        <w:t xml:space="preserve"> of many manufactured goods (electronic</w:t>
      </w:r>
      <w:r w:rsidR="00F46FED">
        <w:t xml:space="preserve"> goods</w:t>
      </w:r>
      <w:r w:rsidR="00CD7B40">
        <w:t xml:space="preserve">, </w:t>
      </w:r>
      <w:r w:rsidR="00300103">
        <w:t>machinery</w:t>
      </w:r>
      <w:r w:rsidR="00CD7B40">
        <w:t xml:space="preserve">) </w:t>
      </w:r>
      <w:r w:rsidR="00C8169B">
        <w:t xml:space="preserve">that </w:t>
      </w:r>
      <w:r w:rsidR="00CD7B40">
        <w:t xml:space="preserve">figure prominently </w:t>
      </w:r>
      <w:r w:rsidR="000D6985">
        <w:t xml:space="preserve">in </w:t>
      </w:r>
      <w:r w:rsidR="00CD7B40">
        <w:t>Australia’s imports.</w:t>
      </w:r>
    </w:p>
    <w:p w14:paraId="1105A0C3" w14:textId="23BEF661" w:rsidR="00CD7B40" w:rsidRDefault="00CD7B40" w:rsidP="00E6393E">
      <w:pPr>
        <w:pStyle w:val="BodyText"/>
        <w:spacing w:before="200"/>
      </w:pPr>
      <w:r>
        <w:t xml:space="preserve">The </w:t>
      </w:r>
      <w:r w:rsidR="008549FB">
        <w:t>net result</w:t>
      </w:r>
      <w:r w:rsidR="00227DBE">
        <w:t xml:space="preserve"> </w:t>
      </w:r>
      <w:r>
        <w:t xml:space="preserve">has been a </w:t>
      </w:r>
      <w:r w:rsidR="004B0075">
        <w:t xml:space="preserve">rise in Australia’s terms of trade </w:t>
      </w:r>
      <w:r w:rsidR="002F6B7D">
        <w:t>on a scale</w:t>
      </w:r>
      <w:r>
        <w:t xml:space="preserve"> </w:t>
      </w:r>
      <w:r w:rsidR="006616DB">
        <w:t>not witnessed since the Korean War boom</w:t>
      </w:r>
      <w:r w:rsidR="00624FFF">
        <w:t xml:space="preserve">, driven </w:t>
      </w:r>
      <w:r w:rsidR="00FB1CCE">
        <w:t>at the time</w:t>
      </w:r>
      <w:r w:rsidR="00EC0CA1">
        <w:t xml:space="preserve"> </w:t>
      </w:r>
      <w:r w:rsidR="00624FFF">
        <w:t xml:space="preserve">by </w:t>
      </w:r>
      <w:r w:rsidR="00AE1CB4">
        <w:t xml:space="preserve">the price of wool </w:t>
      </w:r>
      <w:r w:rsidR="00EC0CA1">
        <w:t>(figure 1</w:t>
      </w:r>
      <w:r w:rsidR="008830F5">
        <w:t>.1</w:t>
      </w:r>
      <w:r w:rsidR="00EC0CA1">
        <w:t>)</w:t>
      </w:r>
      <w:r w:rsidR="006616DB">
        <w:t>.</w:t>
      </w:r>
      <w:r w:rsidR="00F50D1F">
        <w:t xml:space="preserve"> (While </w:t>
      </w:r>
      <w:r w:rsidR="00ED184F">
        <w:t xml:space="preserve">currently </w:t>
      </w:r>
      <w:r w:rsidR="00F50D1F">
        <w:t>waning, the terms of trade remain well above the historical average.)</w:t>
      </w:r>
      <w:r w:rsidR="00A41C37" w:rsidRPr="00A41C37">
        <w:t xml:space="preserve"> </w:t>
      </w:r>
      <w:r w:rsidR="00F50D1F">
        <w:t>U</w:t>
      </w:r>
      <w:r w:rsidR="000D6985">
        <w:t xml:space="preserve">nlike </w:t>
      </w:r>
      <w:r w:rsidR="00A41C37">
        <w:t>that earlier</w:t>
      </w:r>
      <w:r w:rsidR="000D6985">
        <w:t>, short-lived</w:t>
      </w:r>
      <w:r w:rsidR="00A41C37">
        <w:t xml:space="preserve"> boom, th</w:t>
      </w:r>
      <w:r w:rsidR="002454D5">
        <w:t>is</w:t>
      </w:r>
      <w:r w:rsidR="00A41C37">
        <w:t xml:space="preserve"> </w:t>
      </w:r>
      <w:r w:rsidR="00ED184F">
        <w:t>one</w:t>
      </w:r>
      <w:r w:rsidR="00A41C37">
        <w:t xml:space="preserve"> has now lasted </w:t>
      </w:r>
      <w:r w:rsidR="005A3656">
        <w:t xml:space="preserve">almost </w:t>
      </w:r>
      <w:r w:rsidR="00A41C37">
        <w:t>ten years,</w:t>
      </w:r>
      <w:r w:rsidR="005A3656">
        <w:rPr>
          <w:rStyle w:val="FootnoteReference"/>
        </w:rPr>
        <w:footnoteReference w:id="1"/>
      </w:r>
      <w:r w:rsidR="00A41C37">
        <w:t xml:space="preserve"> </w:t>
      </w:r>
      <w:r w:rsidR="00647513">
        <w:t>has linkages with many non-mining industries</w:t>
      </w:r>
      <w:r w:rsidR="00ED184F">
        <w:t xml:space="preserve"> and has extended</w:t>
      </w:r>
      <w:r w:rsidR="000D6985">
        <w:t xml:space="preserve"> </w:t>
      </w:r>
      <w:r w:rsidR="000752F9">
        <w:t>across</w:t>
      </w:r>
      <w:r w:rsidR="00300103">
        <w:t xml:space="preserve"> </w:t>
      </w:r>
      <w:r w:rsidR="00B56706">
        <w:t xml:space="preserve">many </w:t>
      </w:r>
      <w:r w:rsidR="00A41C37">
        <w:t>regions.</w:t>
      </w:r>
    </w:p>
    <w:p w14:paraId="6F615238" w14:textId="77777777" w:rsidR="00CC5AAC" w:rsidRDefault="00CC5AAC">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C5AAC" w14:paraId="19FD3F3F" w14:textId="77777777">
        <w:tc>
          <w:tcPr>
            <w:tcW w:w="8771" w:type="dxa"/>
            <w:tcBorders>
              <w:top w:val="single" w:sz="6" w:space="0" w:color="auto"/>
              <w:bottom w:val="nil"/>
            </w:tcBorders>
          </w:tcPr>
          <w:p w14:paraId="039C3080" w14:textId="701849D4" w:rsidR="00CC5AAC" w:rsidRDefault="008830F5" w:rsidP="00D16268">
            <w:pPr>
              <w:pStyle w:val="BoxTitle"/>
            </w:pPr>
            <w:r>
              <w:rPr>
                <w:b w:val="0"/>
              </w:rPr>
              <w:t>Box 1.</w:t>
            </w:r>
            <w:r w:rsidR="00027B48">
              <w:rPr>
                <w:b w:val="0"/>
                <w:noProof/>
              </w:rPr>
              <w:t>1</w:t>
            </w:r>
            <w:r w:rsidR="00CC5AAC">
              <w:tab/>
              <w:t>The three phases of the mining boom</w:t>
            </w:r>
          </w:p>
        </w:tc>
      </w:tr>
      <w:tr w:rsidR="00CC5AAC" w14:paraId="1E021380" w14:textId="77777777">
        <w:trPr>
          <w:cantSplit/>
        </w:trPr>
        <w:tc>
          <w:tcPr>
            <w:tcW w:w="8771" w:type="dxa"/>
            <w:tcBorders>
              <w:top w:val="nil"/>
              <w:left w:val="single" w:sz="6" w:space="0" w:color="auto"/>
              <w:bottom w:val="nil"/>
              <w:right w:val="single" w:sz="6" w:space="0" w:color="auto"/>
            </w:tcBorders>
          </w:tcPr>
          <w:p w14:paraId="2A77C673" w14:textId="70521FB1" w:rsidR="00CC5AAC" w:rsidRDefault="0053242A">
            <w:pPr>
              <w:pStyle w:val="Box"/>
            </w:pPr>
            <w:r>
              <w:t xml:space="preserve">The mining boom has its origins in an escalation of export demand from China. </w:t>
            </w:r>
            <w:r w:rsidR="00CC5AAC">
              <w:t xml:space="preserve">It is </w:t>
            </w:r>
            <w:r>
              <w:t xml:space="preserve">widely </w:t>
            </w:r>
            <w:r w:rsidR="00CC5AAC">
              <w:t xml:space="preserve">accepted that the boom </w:t>
            </w:r>
            <w:r>
              <w:t>has</w:t>
            </w:r>
            <w:r w:rsidR="00CC5AAC">
              <w:t xml:space="preserve"> three distinct phases:</w:t>
            </w:r>
          </w:p>
          <w:p w14:paraId="75C2B882" w14:textId="19193FC2" w:rsidR="00CC5AAC" w:rsidRDefault="00CC5AAC" w:rsidP="00CC5AAC">
            <w:pPr>
              <w:pStyle w:val="BoxListBullet"/>
            </w:pPr>
            <w:r>
              <w:t>Phase I: the rapid increase in commodity prices, and hence the terms of trade</w:t>
            </w:r>
            <w:r w:rsidR="0053242A">
              <w:t>, as demand exceeds supply</w:t>
            </w:r>
            <w:r>
              <w:t xml:space="preserve">, and </w:t>
            </w:r>
            <w:r w:rsidR="00227DBE">
              <w:t xml:space="preserve">the subsequent </w:t>
            </w:r>
            <w:r>
              <w:t>appreciation of the exchange rate</w:t>
            </w:r>
          </w:p>
          <w:p w14:paraId="75D4C846" w14:textId="1996B5BA" w:rsidR="00CC5AAC" w:rsidRDefault="00CC5AAC" w:rsidP="00CC5AAC">
            <w:pPr>
              <w:pStyle w:val="BoxListBullet"/>
            </w:pPr>
            <w:r>
              <w:t xml:space="preserve">Phase II: the </w:t>
            </w:r>
            <w:r w:rsidR="0053242A">
              <w:t xml:space="preserve">sharp rise in </w:t>
            </w:r>
            <w:r>
              <w:t>mining investment</w:t>
            </w:r>
            <w:r w:rsidR="0053242A">
              <w:t xml:space="preserve"> to increase supply</w:t>
            </w:r>
          </w:p>
          <w:p w14:paraId="2927A2AA" w14:textId="63A1ACE5" w:rsidR="00CC5AAC" w:rsidRDefault="00CC5AAC" w:rsidP="00CC5AAC">
            <w:pPr>
              <w:pStyle w:val="BoxListBullet"/>
            </w:pPr>
            <w:r>
              <w:t xml:space="preserve">Phase III: </w:t>
            </w:r>
            <w:r w:rsidR="0053242A">
              <w:t xml:space="preserve">increased volume of </w:t>
            </w:r>
            <w:r>
              <w:t>mining production and export</w:t>
            </w:r>
            <w:r w:rsidR="0053242A">
              <w:t>s</w:t>
            </w:r>
            <w:r>
              <w:t>.</w:t>
            </w:r>
          </w:p>
          <w:p w14:paraId="76A9F227" w14:textId="0F5BC27C" w:rsidR="00CC5AAC" w:rsidRDefault="00CC5AAC" w:rsidP="00CC5AAC">
            <w:pPr>
              <w:pStyle w:val="Box"/>
            </w:pPr>
            <w:r>
              <w:t xml:space="preserve">These phases are consecutive, though overlapping. The first phase is now waning. </w:t>
            </w:r>
            <w:r w:rsidR="00D7323C">
              <w:t>The second phase is well underway. However, the peak in investment is predicted for 2013-14, and may end up being lower than expected, as some projects ‘on the books’ get reassessed</w:t>
            </w:r>
            <w:r>
              <w:t xml:space="preserve">. The third phase </w:t>
            </w:r>
            <w:r w:rsidR="003716A8">
              <w:t>is</w:t>
            </w:r>
            <w:r>
              <w:t xml:space="preserve"> only just beg</w:t>
            </w:r>
            <w:r w:rsidR="003716A8">
              <w:t>inning</w:t>
            </w:r>
            <w:r w:rsidR="00B93996">
              <w:t xml:space="preserve"> in earnest, with resource exports estimated to at least double in volume between 2010-11 and 2020-21</w:t>
            </w:r>
            <w:r>
              <w:t>.</w:t>
            </w:r>
          </w:p>
          <w:p w14:paraId="237015D3" w14:textId="0A8257D1" w:rsidR="00CC5AAC" w:rsidRDefault="00CC5AAC" w:rsidP="00CC5AAC">
            <w:pPr>
              <w:pStyle w:val="Box"/>
            </w:pPr>
            <w:r w:rsidRPr="00CC5AAC">
              <w:t xml:space="preserve">For a detailed theoretical and empirical treatment of the successive phases of the mining boom, </w:t>
            </w:r>
            <w:r>
              <w:t>refer to the publications below</w:t>
            </w:r>
            <w:r w:rsidRPr="00CC5AAC">
              <w:t>.</w:t>
            </w:r>
          </w:p>
        </w:tc>
      </w:tr>
      <w:tr w:rsidR="00CC5AAC" w14:paraId="774D7F8C" w14:textId="77777777">
        <w:trPr>
          <w:cantSplit/>
        </w:trPr>
        <w:tc>
          <w:tcPr>
            <w:tcW w:w="8771" w:type="dxa"/>
            <w:tcBorders>
              <w:top w:val="nil"/>
              <w:left w:val="single" w:sz="6" w:space="0" w:color="auto"/>
              <w:bottom w:val="nil"/>
              <w:right w:val="single" w:sz="6" w:space="0" w:color="auto"/>
            </w:tcBorders>
          </w:tcPr>
          <w:p w14:paraId="50B2D2CA" w14:textId="3282F1BE" w:rsidR="00CC5AAC" w:rsidRDefault="00713A8B" w:rsidP="00CC5AAC">
            <w:pPr>
              <w:pStyle w:val="BoxSource"/>
            </w:pPr>
            <w:r>
              <w:rPr>
                <w:i/>
              </w:rPr>
              <w:t>Sources</w:t>
            </w:r>
            <w:r w:rsidR="00CC5AAC" w:rsidRPr="00167F06">
              <w:t xml:space="preserve">: </w:t>
            </w:r>
            <w:r w:rsidR="00CC5AAC">
              <w:t>Plumb, Kent and Bishop (2012); Sheehan and Gregory (2012)</w:t>
            </w:r>
            <w:r w:rsidR="00D64247">
              <w:t>; Stevens (2012a)</w:t>
            </w:r>
            <w:r w:rsidR="00CC5AAC">
              <w:t>.</w:t>
            </w:r>
          </w:p>
        </w:tc>
      </w:tr>
      <w:tr w:rsidR="00CC5AAC" w14:paraId="24C9830C" w14:textId="77777777">
        <w:trPr>
          <w:cantSplit/>
        </w:trPr>
        <w:tc>
          <w:tcPr>
            <w:tcW w:w="8771" w:type="dxa"/>
            <w:tcBorders>
              <w:top w:val="nil"/>
              <w:left w:val="single" w:sz="6" w:space="0" w:color="auto"/>
              <w:bottom w:val="single" w:sz="6" w:space="0" w:color="auto"/>
              <w:right w:val="single" w:sz="6" w:space="0" w:color="auto"/>
            </w:tcBorders>
          </w:tcPr>
          <w:p w14:paraId="73231AD6" w14:textId="77777777" w:rsidR="00CC5AAC" w:rsidRDefault="00CC5AAC">
            <w:pPr>
              <w:pStyle w:val="Box"/>
              <w:spacing w:before="0" w:line="120" w:lineRule="exact"/>
            </w:pPr>
          </w:p>
        </w:tc>
      </w:tr>
      <w:tr w:rsidR="00CC5AAC" w:rsidRPr="000863A5" w14:paraId="7EBAB910" w14:textId="77777777">
        <w:trPr>
          <w:hidden/>
        </w:trPr>
        <w:tc>
          <w:tcPr>
            <w:tcW w:w="8771" w:type="dxa"/>
            <w:tcBorders>
              <w:top w:val="nil"/>
              <w:left w:val="nil"/>
              <w:bottom w:val="nil"/>
              <w:right w:val="nil"/>
            </w:tcBorders>
          </w:tcPr>
          <w:p w14:paraId="61B52E36" w14:textId="77777777" w:rsidR="00CC5AAC" w:rsidRPr="000863A5" w:rsidRDefault="00CC5AAC" w:rsidP="00CC5AAC">
            <w:pPr>
              <w:pStyle w:val="Box"/>
              <w:keepNext w:val="0"/>
              <w:spacing w:before="60" w:after="60" w:line="80" w:lineRule="exact"/>
              <w:rPr>
                <w:b/>
                <w:sz w:val="14"/>
              </w:rPr>
            </w:pPr>
            <w:r>
              <w:rPr>
                <w:b/>
                <w:vanish/>
                <w:color w:val="FF00FF"/>
                <w:sz w:val="14"/>
              </w:rPr>
              <w:t>Do not delete this ROW as it gives space between the box and what follows it.</w:t>
            </w:r>
          </w:p>
        </w:tc>
      </w:tr>
    </w:tbl>
    <w:p w14:paraId="0EB42FD6" w14:textId="0FD02369" w:rsidR="00030832" w:rsidRDefault="008830F5" w:rsidP="00030832">
      <w:pPr>
        <w:pStyle w:val="FigureTitle"/>
      </w:pPr>
      <w:r>
        <w:rPr>
          <w:b w:val="0"/>
        </w:rPr>
        <w:t>Figure 1.</w:t>
      </w:r>
      <w:r w:rsidR="00027B48">
        <w:rPr>
          <w:b w:val="0"/>
          <w:noProof/>
        </w:rPr>
        <w:t>1</w:t>
      </w:r>
      <w:r w:rsidR="00030832">
        <w:tab/>
        <w:t>Terms of trade reached an all-time peak in 2011</w:t>
      </w:r>
      <w:r w:rsidR="00030832" w:rsidRPr="00D964D9">
        <w:rPr>
          <w:rStyle w:val="NoteLabel"/>
          <w:b/>
        </w:rPr>
        <w:t>a</w:t>
      </w:r>
    </w:p>
    <w:p w14:paraId="319BDF90" w14:textId="77777777" w:rsidR="00030832" w:rsidRDefault="00030832" w:rsidP="00030832">
      <w:pPr>
        <w:pStyle w:val="Subtitle"/>
      </w:pPr>
      <w:r>
        <w:t>Index values, 1870–2012, year ended June (1901–2000 average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30832" w14:paraId="7A486E46" w14:textId="77777777" w:rsidTr="00BC4D24">
        <w:tc>
          <w:tcPr>
            <w:tcW w:w="8777" w:type="dxa"/>
          </w:tcPr>
          <w:p w14:paraId="43DC6CD8" w14:textId="669EDDA8" w:rsidR="00030832" w:rsidRDefault="00003B7F" w:rsidP="004A1D7C">
            <w:pPr>
              <w:pStyle w:val="Figure"/>
              <w:spacing w:before="40" w:after="40"/>
            </w:pPr>
            <w:r>
              <w:rPr>
                <w:noProof/>
              </w:rPr>
              <w:drawing>
                <wp:inline distT="0" distB="0" distL="0" distR="0" wp14:anchorId="5E4FD909" wp14:editId="028421DB">
                  <wp:extent cx="4907915" cy="2743200"/>
                  <wp:effectExtent l="0" t="0" r="6985" b="0"/>
                  <wp:docPr id="9" name="Picture 9" descr="Figure 1.1 Terms of trade reached an all-time peak in 2011.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07915" cy="2743200"/>
                          </a:xfrm>
                          <a:prstGeom prst="rect">
                            <a:avLst/>
                          </a:prstGeom>
                          <a:noFill/>
                        </pic:spPr>
                      </pic:pic>
                    </a:graphicData>
                  </a:graphic>
                </wp:inline>
              </w:drawing>
            </w:r>
          </w:p>
        </w:tc>
      </w:tr>
    </w:tbl>
    <w:p w14:paraId="47BB66D2" w14:textId="77777777" w:rsidR="00030832" w:rsidRDefault="00030832" w:rsidP="00030832">
      <w:pPr>
        <w:pStyle w:val="Note"/>
      </w:pPr>
      <w:r>
        <w:rPr>
          <w:rStyle w:val="NoteLabel"/>
        </w:rPr>
        <w:t>a</w:t>
      </w:r>
      <w:r>
        <w:t xml:space="preserve"> Based on annual data to 1959, and quarterly data thereafter (dates refer to the June quarter, except the figure for 2012, which refers to the March 2012 quarter).</w:t>
      </w:r>
    </w:p>
    <w:p w14:paraId="7B6455A3" w14:textId="3F4CB0A1" w:rsidR="00030832" w:rsidRPr="007F49AF" w:rsidRDefault="00030832" w:rsidP="00030832">
      <w:pPr>
        <w:pStyle w:val="Source"/>
      </w:pPr>
      <w:r>
        <w:rPr>
          <w:i/>
        </w:rPr>
        <w:t>Data source</w:t>
      </w:r>
      <w:r w:rsidR="00713A8B">
        <w:rPr>
          <w:i/>
        </w:rPr>
        <w:t>s</w:t>
      </w:r>
      <w:r w:rsidRPr="00167F06">
        <w:t xml:space="preserve">: </w:t>
      </w:r>
      <w:r>
        <w:t>RBA (data supplied on request)</w:t>
      </w:r>
      <w:r w:rsidR="00135255">
        <w:t>; RBA (2012)</w:t>
      </w:r>
      <w:r w:rsidR="00713A8B">
        <w:t>,</w:t>
      </w:r>
      <w:r w:rsidR="00135255">
        <w:t xml:space="preserve"> </w:t>
      </w:r>
      <w:r w:rsidR="00135255" w:rsidRPr="00135255">
        <w:rPr>
          <w:i/>
        </w:rPr>
        <w:t>Terms of Trade</w:t>
      </w:r>
      <w:r w:rsidR="00135255">
        <w:t>.</w:t>
      </w:r>
    </w:p>
    <w:p w14:paraId="54769B50" w14:textId="77777777" w:rsidR="00E6393E" w:rsidRDefault="00E6393E">
      <w:pPr>
        <w:rPr>
          <w:szCs w:val="20"/>
        </w:rPr>
      </w:pPr>
      <w:r>
        <w:br w:type="page"/>
      </w:r>
    </w:p>
    <w:p w14:paraId="69C9EAE4" w14:textId="7ABA3455" w:rsidR="005322A8" w:rsidRDefault="005322A8" w:rsidP="00E6393E">
      <w:pPr>
        <w:pStyle w:val="BodyText"/>
      </w:pPr>
      <w:r>
        <w:lastRenderedPageBreak/>
        <w:t>The additional national income generated by the higher terms of trade</w:t>
      </w:r>
      <w:r w:rsidR="00227DBE">
        <w:t xml:space="preserve"> has been</w:t>
      </w:r>
      <w:r>
        <w:t xml:space="preserve"> estimated at 15 per cent or more of Gross Domestic Product (Stevens 2011)</w:t>
      </w:r>
      <w:r w:rsidR="00227DBE">
        <w:t>. It</w:t>
      </w:r>
      <w:r>
        <w:t xml:space="preserve"> stimulated demand for goods and particularly services. Because many services are not traded internationally, and with the economy at close to full employment, growth in non</w:t>
      </w:r>
      <w:r>
        <w:noBreakHyphen/>
        <w:t>traded activities has been accommodated through the relative contraction of other parts of the economy. This has primarily affected exporting ‘non-booming’ industries (traditional exporters, but also providers of inbound tourism services) and import-competing industries.</w:t>
      </w:r>
    </w:p>
    <w:p w14:paraId="064FB67D" w14:textId="6FFE9EFB" w:rsidR="00EC0CA1" w:rsidRDefault="00EC0CA1" w:rsidP="00E6393E">
      <w:pPr>
        <w:pStyle w:val="BodyText"/>
      </w:pPr>
      <w:r>
        <w:t xml:space="preserve">These sectoral shifts </w:t>
      </w:r>
      <w:r w:rsidR="00D74B9C">
        <w:t>result from</w:t>
      </w:r>
      <w:r>
        <w:t xml:space="preserve"> the ‘real’ appreciation of our currency</w:t>
      </w:r>
      <w:r w:rsidR="00C4322D">
        <w:t>, which</w:t>
      </w:r>
      <w:r w:rsidR="00ED7AA8">
        <w:t xml:space="preserve"> has </w:t>
      </w:r>
      <w:r w:rsidR="00C4322D">
        <w:t>seen the price</w:t>
      </w:r>
      <w:r w:rsidR="00227DBE">
        <w:t>s</w:t>
      </w:r>
      <w:r w:rsidR="00C4322D">
        <w:t xml:space="preserve"> of </w:t>
      </w:r>
      <w:r>
        <w:t>domestically-produced</w:t>
      </w:r>
      <w:r w:rsidR="000C1A9D">
        <w:t>,</w:t>
      </w:r>
      <w:r>
        <w:t xml:space="preserve"> </w:t>
      </w:r>
      <w:r w:rsidR="000C1A9D">
        <w:t>non-</w:t>
      </w:r>
      <w:r>
        <w:t>traded products</w:t>
      </w:r>
      <w:r w:rsidR="00C4322D">
        <w:t xml:space="preserve"> rise faster than </w:t>
      </w:r>
      <w:r w:rsidR="00227DBE">
        <w:t xml:space="preserve">those </w:t>
      </w:r>
      <w:r w:rsidR="000C1A9D">
        <w:t xml:space="preserve">of </w:t>
      </w:r>
      <w:r w:rsidR="002A172F">
        <w:t xml:space="preserve">tradeable </w:t>
      </w:r>
      <w:r w:rsidR="000C1A9D">
        <w:t xml:space="preserve">products (figure </w:t>
      </w:r>
      <w:r w:rsidR="008830F5">
        <w:t>1.</w:t>
      </w:r>
      <w:r w:rsidR="000C1A9D">
        <w:t>2). However, b</w:t>
      </w:r>
      <w:r w:rsidR="00C4322D">
        <w:t xml:space="preserve">ecause </w:t>
      </w:r>
      <w:r w:rsidR="000D6985">
        <w:t xml:space="preserve">domestic production of </w:t>
      </w:r>
      <w:r w:rsidR="00C4322D">
        <w:t>the latter</w:t>
      </w:r>
      <w:r w:rsidR="00ED7AA8">
        <w:t xml:space="preserve"> incorporate</w:t>
      </w:r>
      <w:r w:rsidR="000D6985">
        <w:t>s many</w:t>
      </w:r>
      <w:r w:rsidR="00ED7AA8">
        <w:t xml:space="preserve"> non-traded </w:t>
      </w:r>
      <w:r w:rsidR="000D6985">
        <w:t>inputs, Australian traded goods</w:t>
      </w:r>
      <w:r w:rsidR="00C4322D">
        <w:t xml:space="preserve"> have become </w:t>
      </w:r>
      <w:r>
        <w:t>more expensive, reducing demand for them both at home and abroad.</w:t>
      </w:r>
    </w:p>
    <w:p w14:paraId="3A00F9B2" w14:textId="70F4E2A1" w:rsidR="00FD6E9B" w:rsidRDefault="008830F5" w:rsidP="00DB55A2">
      <w:pPr>
        <w:pStyle w:val="FigureTitle"/>
      </w:pPr>
      <w:r>
        <w:rPr>
          <w:b w:val="0"/>
        </w:rPr>
        <w:t>Figure 1.</w:t>
      </w:r>
      <w:r w:rsidR="00027B48">
        <w:rPr>
          <w:b w:val="0"/>
          <w:noProof/>
        </w:rPr>
        <w:t>2</w:t>
      </w:r>
      <w:r w:rsidR="00FD6E9B">
        <w:tab/>
      </w:r>
      <w:r w:rsidR="000752F9">
        <w:t xml:space="preserve">The relative price of </w:t>
      </w:r>
      <w:r w:rsidR="000D6985">
        <w:t>‘</w:t>
      </w:r>
      <w:r w:rsidR="000752F9">
        <w:t>non-</w:t>
      </w:r>
      <w:proofErr w:type="spellStart"/>
      <w:r w:rsidR="000752F9">
        <w:t>tradeables</w:t>
      </w:r>
      <w:proofErr w:type="spellEnd"/>
      <w:r w:rsidR="000D6985">
        <w:t>’</w:t>
      </w:r>
      <w:r w:rsidR="000752F9">
        <w:t xml:space="preserve"> has risen</w:t>
      </w:r>
      <w:r w:rsidR="00FD6E9B" w:rsidRPr="00B1597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D6E9B" w14:paraId="5E298A5B" w14:textId="77777777" w:rsidTr="00EC0CA1">
        <w:tc>
          <w:tcPr>
            <w:tcW w:w="8777" w:type="dxa"/>
          </w:tcPr>
          <w:p w14:paraId="5277EF70" w14:textId="173CCDB2" w:rsidR="00FD6E9B" w:rsidRDefault="00003B7F" w:rsidP="004A1D7C">
            <w:pPr>
              <w:pStyle w:val="Figure"/>
              <w:spacing w:before="40" w:after="40"/>
            </w:pPr>
            <w:r>
              <w:rPr>
                <w:noProof/>
              </w:rPr>
              <w:drawing>
                <wp:inline distT="0" distB="0" distL="0" distR="0" wp14:anchorId="7EAFDA39" wp14:editId="6439FA76">
                  <wp:extent cx="4773295" cy="2573020"/>
                  <wp:effectExtent l="0" t="0" r="8255" b="0"/>
                  <wp:docPr id="12" name="Picture 12" descr="Figure 1.2 The relative price of ‘non-tradeables’ has risen.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3295" cy="2573020"/>
                          </a:xfrm>
                          <a:prstGeom prst="rect">
                            <a:avLst/>
                          </a:prstGeom>
                          <a:noFill/>
                        </pic:spPr>
                      </pic:pic>
                    </a:graphicData>
                  </a:graphic>
                </wp:inline>
              </w:drawing>
            </w:r>
          </w:p>
        </w:tc>
      </w:tr>
    </w:tbl>
    <w:p w14:paraId="7AADA9C2" w14:textId="77777777" w:rsidR="00071417" w:rsidRDefault="00071417" w:rsidP="00071417">
      <w:pPr>
        <w:pStyle w:val="Note"/>
      </w:pPr>
      <w:r>
        <w:rPr>
          <w:rStyle w:val="NoteLabel"/>
        </w:rPr>
        <w:t>a</w:t>
      </w:r>
      <w:r>
        <w:t xml:space="preserve">  Year ended June, annual averages of quarterly data. </w:t>
      </w:r>
    </w:p>
    <w:p w14:paraId="73567C79" w14:textId="6B921F25" w:rsidR="00071417" w:rsidRDefault="00071417" w:rsidP="00071417">
      <w:pPr>
        <w:pStyle w:val="Source"/>
      </w:pPr>
      <w:r>
        <w:rPr>
          <w:i/>
        </w:rPr>
        <w:t>Data source</w:t>
      </w:r>
      <w:r>
        <w:t xml:space="preserve">: </w:t>
      </w:r>
      <w:r w:rsidR="00C75B96">
        <w:t>ABS (2012d)</w:t>
      </w:r>
      <w:r>
        <w:t>.</w:t>
      </w:r>
    </w:p>
    <w:p w14:paraId="57F217AE" w14:textId="4E40D2B5" w:rsidR="00764603" w:rsidRDefault="00764603" w:rsidP="00E6393E">
      <w:pPr>
        <w:pStyle w:val="BodyText"/>
      </w:pPr>
      <w:r>
        <w:t xml:space="preserve">This adjustment process is often referred to as the ‘Dutch Disease’, a term coined </w:t>
      </w:r>
      <w:r w:rsidR="002D405D">
        <w:t xml:space="preserve">in </w:t>
      </w:r>
      <w:r w:rsidR="0053242A">
        <w:t xml:space="preserve">the 1970s </w:t>
      </w:r>
      <w:r>
        <w:t xml:space="preserve">to characterise similar pressures in the Netherlands economy following the discovery and exploitation of North Sea gas reserves. </w:t>
      </w:r>
      <w:r w:rsidR="000D6985">
        <w:t xml:space="preserve">A </w:t>
      </w:r>
      <w:r w:rsidR="00D74B9C">
        <w:t>‘</w:t>
      </w:r>
      <w:r w:rsidR="000D6985">
        <w:t>disease</w:t>
      </w:r>
      <w:r w:rsidR="00D74B9C">
        <w:t>’</w:t>
      </w:r>
      <w:r>
        <w:t xml:space="preserve"> </w:t>
      </w:r>
      <w:r w:rsidR="002F6B7D">
        <w:t>suggests</w:t>
      </w:r>
      <w:r>
        <w:t xml:space="preserve"> harmful</w:t>
      </w:r>
      <w:r w:rsidR="000D6985">
        <w:t xml:space="preserve"> effects, but</w:t>
      </w:r>
      <w:r>
        <w:t xml:space="preserve"> this was not</w:t>
      </w:r>
      <w:r w:rsidR="00B41C61">
        <w:t xml:space="preserve"> </w:t>
      </w:r>
      <w:r w:rsidR="000D6985">
        <w:t>the long-term experience of</w:t>
      </w:r>
      <w:r>
        <w:t xml:space="preserve"> the Netherlands and nor </w:t>
      </w:r>
      <w:r w:rsidR="004B0075">
        <w:t>should</w:t>
      </w:r>
      <w:r w:rsidR="0093560C">
        <w:t xml:space="preserve"> it be </w:t>
      </w:r>
      <w:r w:rsidR="002F13B8">
        <w:t xml:space="preserve">for </w:t>
      </w:r>
      <w:r w:rsidR="0093560C">
        <w:t xml:space="preserve">Australia. </w:t>
      </w:r>
      <w:r w:rsidR="00847815">
        <w:t>A better description is ‘</w:t>
      </w:r>
      <w:r w:rsidR="00847815" w:rsidRPr="00847815">
        <w:rPr>
          <w:i/>
        </w:rPr>
        <w:t>multi</w:t>
      </w:r>
      <w:r w:rsidR="00847815">
        <w:t>-speed’ economy</w:t>
      </w:r>
      <w:r w:rsidR="0093560C">
        <w:t xml:space="preserve">, </w:t>
      </w:r>
      <w:r w:rsidR="0094249A">
        <w:t>which</w:t>
      </w:r>
      <w:r w:rsidR="0093560C">
        <w:t xml:space="preserve"> </w:t>
      </w:r>
      <w:r w:rsidR="000D6985">
        <w:t xml:space="preserve">more accurately conveys </w:t>
      </w:r>
      <w:r w:rsidR="0093560C">
        <w:t xml:space="preserve">that the various parts of an economy rarely move in </w:t>
      </w:r>
      <w:r w:rsidR="000752F9">
        <w:t>unison</w:t>
      </w:r>
      <w:r w:rsidR="00847815">
        <w:t xml:space="preserve">. </w:t>
      </w:r>
      <w:r w:rsidR="002A172F">
        <w:t>Leading and lagging sectors have always been a reality in Australia</w:t>
      </w:r>
      <w:r w:rsidR="00847815">
        <w:t xml:space="preserve">, </w:t>
      </w:r>
      <w:r w:rsidR="002A172F">
        <w:t xml:space="preserve">and </w:t>
      </w:r>
      <w:r w:rsidR="00847815">
        <w:t xml:space="preserve">recent </w:t>
      </w:r>
      <w:r w:rsidR="002A172F">
        <w:t xml:space="preserve">developments </w:t>
      </w:r>
      <w:r w:rsidR="00847815">
        <w:t>are</w:t>
      </w:r>
      <w:r w:rsidR="002A172F">
        <w:t>,</w:t>
      </w:r>
      <w:r w:rsidR="00847815">
        <w:t xml:space="preserve"> in many </w:t>
      </w:r>
      <w:r w:rsidR="002A172F">
        <w:t xml:space="preserve">cases, </w:t>
      </w:r>
      <w:r w:rsidR="00847815">
        <w:t>merely an accentuation of longer</w:t>
      </w:r>
      <w:r w:rsidR="00D7503C">
        <w:t>-</w:t>
      </w:r>
      <w:r w:rsidR="00847815">
        <w:t>term trends.</w:t>
      </w:r>
    </w:p>
    <w:p w14:paraId="7D835370" w14:textId="54AD75B6" w:rsidR="007B6743" w:rsidRDefault="00847815" w:rsidP="00E6393E">
      <w:pPr>
        <w:pStyle w:val="Heading2"/>
      </w:pPr>
      <w:r>
        <w:lastRenderedPageBreak/>
        <w:t>R</w:t>
      </w:r>
      <w:r w:rsidR="008833E2">
        <w:t>ecent</w:t>
      </w:r>
      <w:r w:rsidR="003A330E">
        <w:t xml:space="preserve"> change</w:t>
      </w:r>
      <w:r w:rsidR="008833E2">
        <w:t>s</w:t>
      </w:r>
      <w:r w:rsidR="00861742">
        <w:t xml:space="preserve"> in perspective</w:t>
      </w:r>
    </w:p>
    <w:p w14:paraId="3224D8BD" w14:textId="65F3BD11" w:rsidR="003A330E" w:rsidRDefault="003A330E" w:rsidP="00E6393E">
      <w:pPr>
        <w:pStyle w:val="Heading3"/>
      </w:pPr>
      <w:r w:rsidRPr="00EC7EA8">
        <w:t xml:space="preserve">The rate of </w:t>
      </w:r>
      <w:r w:rsidR="008E1916">
        <w:t xml:space="preserve">structural </w:t>
      </w:r>
      <w:r w:rsidRPr="00EC7EA8">
        <w:t>change is not unprecedented</w:t>
      </w:r>
    </w:p>
    <w:p w14:paraId="0455751F" w14:textId="6B699191" w:rsidR="0009365B" w:rsidRDefault="00DD4AA1" w:rsidP="00E6393E">
      <w:pPr>
        <w:pStyle w:val="BodyText"/>
      </w:pPr>
      <w:r>
        <w:t>The importance of particular industries in the economy typically changes over time</w:t>
      </w:r>
      <w:r w:rsidR="0009365B">
        <w:t xml:space="preserve">, in response to a </w:t>
      </w:r>
      <w:r w:rsidR="0079702C">
        <w:t xml:space="preserve">range of influences affecting supply and demand </w:t>
      </w:r>
      <w:r w:rsidR="006A31F6">
        <w:t xml:space="preserve">in </w:t>
      </w:r>
      <w:r w:rsidR="0065534C">
        <w:t>t</w:t>
      </w:r>
      <w:r w:rsidR="002926DC">
        <w:t>h</w:t>
      </w:r>
      <w:r w:rsidR="0065534C">
        <w:t xml:space="preserve">ose </w:t>
      </w:r>
      <w:r w:rsidR="0079702C">
        <w:t>industries</w:t>
      </w:r>
      <w:r w:rsidR="00AB6510">
        <w:t xml:space="preserve"> (box </w:t>
      </w:r>
      <w:r w:rsidR="00957F2B">
        <w:t>1</w:t>
      </w:r>
      <w:r w:rsidR="008830F5">
        <w:t>.</w:t>
      </w:r>
      <w:r w:rsidR="00D16268">
        <w:t>2</w:t>
      </w:r>
      <w:r w:rsidR="00AB6510">
        <w:t>)</w:t>
      </w:r>
      <w:r>
        <w:t xml:space="preserve">. </w:t>
      </w:r>
      <w:r w:rsidR="00141C55">
        <w:t>Some effect</w:t>
      </w:r>
      <w:r w:rsidR="0009365B">
        <w:t>s</w:t>
      </w:r>
      <w:r w:rsidR="00141C55">
        <w:t xml:space="preserve"> </w:t>
      </w:r>
      <w:r w:rsidR="0009365B">
        <w:t>are</w:t>
      </w:r>
      <w:r w:rsidR="00141C55">
        <w:t xml:space="preserve"> gradual, </w:t>
      </w:r>
      <w:r w:rsidR="00B55E64">
        <w:t xml:space="preserve">such as those arising from demographic change, while </w:t>
      </w:r>
      <w:r w:rsidR="00141C55">
        <w:t xml:space="preserve">others </w:t>
      </w:r>
      <w:r w:rsidR="00B55E64">
        <w:t xml:space="preserve">are much </w:t>
      </w:r>
      <w:r w:rsidR="00141C55">
        <w:t>more rapid</w:t>
      </w:r>
      <w:r w:rsidR="00B55E64">
        <w:t xml:space="preserve">, </w:t>
      </w:r>
      <w:r w:rsidR="007557B2">
        <w:t xml:space="preserve">such as </w:t>
      </w:r>
      <w:r w:rsidR="00B55E64">
        <w:t xml:space="preserve">when </w:t>
      </w:r>
      <w:r w:rsidR="00E61CBC">
        <w:t xml:space="preserve">significant </w:t>
      </w:r>
      <w:r w:rsidR="00B55E64">
        <w:t xml:space="preserve">technological advances </w:t>
      </w:r>
      <w:r w:rsidR="00E61CBC">
        <w:t>take place</w:t>
      </w:r>
      <w:r w:rsidR="00B55E64">
        <w:t>.</w:t>
      </w:r>
    </w:p>
    <w:p w14:paraId="50E31F9C" w14:textId="77777777" w:rsidR="005322A8" w:rsidRDefault="005322A8" w:rsidP="00E6393E">
      <w:pPr>
        <w:pStyle w:val="BodyText"/>
      </w:pPr>
      <w:r>
        <w:t>To illustrate how a single technological breakthrough can have a transformational impact on a range of industries, consider how the worldwide web and electronic commerce have revolutionised the market for books. Thirty years ago, the selection and purchase of a new-release overseas novel by Australians would typically have involved: reading a book review on newsprint; waiting for up to thirty days after the release of the overseas edition; withdrawing cash via a (non-automatic) bank teller, during banking hours on a weekday; and visiting the local bookstore, during business hours. Today, web-based instruments such as Google, Amazon, PayPal and iTunes have compressed and simplified this process greatly, with consequences for industries such as book and newspaper publishing and printing, traditional banking and ‘bricks and mortar’ retail.</w:t>
      </w:r>
    </w:p>
    <w:p w14:paraId="3440750C" w14:textId="77777777" w:rsidR="005322A8" w:rsidRDefault="005322A8" w:rsidP="00E6393E">
      <w:pPr>
        <w:pStyle w:val="BodyText"/>
      </w:pPr>
      <w:r>
        <w:t>In addition to technological ‘shocks’, the Australian economy has experienced a number of external trade shocks throughout its history, including a series of booms in export commodities. Both domestic and external pressures for change have tended to set in train economic adjustments resulting in changes in the composition of output and employment.</w:t>
      </w:r>
    </w:p>
    <w:p w14:paraId="27D70AE1" w14:textId="4C2BB566" w:rsidR="005322A8" w:rsidRDefault="005322A8" w:rsidP="00E6393E">
      <w:pPr>
        <w:pStyle w:val="BodyText"/>
      </w:pPr>
      <w:r>
        <w:t xml:space="preserve">The extent of these changes over the course of the past four decades can be illustrated by employing a synthetic measure of structural change called a ‘Structural Change Index’. This commonly-used indicator measures the rate at which sectoral (or state and territory) shares of employment (or output or investment) are changing over time (figure </w:t>
      </w:r>
      <w:r w:rsidR="008830F5">
        <w:t>1.</w:t>
      </w:r>
      <w:r>
        <w:t xml:space="preserve">3). For example, in the third panel of figure </w:t>
      </w:r>
      <w:r w:rsidR="008830F5">
        <w:t>1.</w:t>
      </w:r>
      <w:r>
        <w:t>3, the employment index reflects the percentage of jobs that have notionally relocated between sectors over time. The higher the index, the larger the proportion of total jobs</w:t>
      </w:r>
      <w:r w:rsidRPr="00C5632B">
        <w:t xml:space="preserve"> </w:t>
      </w:r>
      <w:r>
        <w:t>that has ‘changed’ sectors. (</w:t>
      </w:r>
      <w:r w:rsidR="00227DBE">
        <w:t xml:space="preserve">Jobs do not have to be lost in one </w:t>
      </w:r>
      <w:r w:rsidR="00B964B4">
        <w:t>sector</w:t>
      </w:r>
      <w:r w:rsidR="00227DBE">
        <w:t xml:space="preserve"> and gained in another for the index to be </w:t>
      </w:r>
      <w:r w:rsidR="000C24BB">
        <w:t xml:space="preserve">above </w:t>
      </w:r>
      <w:r w:rsidR="00227DBE">
        <w:t xml:space="preserve">zero. If </w:t>
      </w:r>
      <w:r w:rsidR="00B964B4">
        <w:t>different sectors</w:t>
      </w:r>
      <w:r w:rsidR="00227DBE">
        <w:t xml:space="preserve"> </w:t>
      </w:r>
      <w:r w:rsidR="0071047F">
        <w:t>create</w:t>
      </w:r>
      <w:r w:rsidR="00227DBE">
        <w:t xml:space="preserve"> net jobs </w:t>
      </w:r>
      <w:r w:rsidR="006F1CEF">
        <w:t>at</w:t>
      </w:r>
      <w:r w:rsidR="00227DBE">
        <w:t xml:space="preserve"> different rates, the index will show this as structural change</w:t>
      </w:r>
      <w:r>
        <w:t>.)</w:t>
      </w:r>
    </w:p>
    <w:p w14:paraId="4E0E6AAD" w14:textId="77777777" w:rsidR="00AB6510" w:rsidRDefault="00AB6510">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6510" w14:paraId="3B5CEED2" w14:textId="77777777">
        <w:tc>
          <w:tcPr>
            <w:tcW w:w="8771" w:type="dxa"/>
            <w:tcBorders>
              <w:top w:val="single" w:sz="6" w:space="0" w:color="auto"/>
              <w:bottom w:val="nil"/>
            </w:tcBorders>
          </w:tcPr>
          <w:p w14:paraId="1A1F3C67" w14:textId="183CF487" w:rsidR="00AB6510" w:rsidRDefault="008830F5" w:rsidP="00D16268">
            <w:pPr>
              <w:pStyle w:val="BoxTitle"/>
            </w:pPr>
            <w:r>
              <w:rPr>
                <w:b w:val="0"/>
              </w:rPr>
              <w:t>Box 1.</w:t>
            </w:r>
            <w:r w:rsidR="00027B48">
              <w:rPr>
                <w:b w:val="0"/>
                <w:noProof/>
              </w:rPr>
              <w:t>2</w:t>
            </w:r>
            <w:r w:rsidR="00AB6510">
              <w:tab/>
              <w:t>Drivers of structural change</w:t>
            </w:r>
          </w:p>
        </w:tc>
      </w:tr>
      <w:tr w:rsidR="00AB6510" w14:paraId="3AB8C445" w14:textId="77777777">
        <w:trPr>
          <w:cantSplit/>
        </w:trPr>
        <w:tc>
          <w:tcPr>
            <w:tcW w:w="8771" w:type="dxa"/>
            <w:tcBorders>
              <w:top w:val="nil"/>
              <w:left w:val="single" w:sz="6" w:space="0" w:color="auto"/>
              <w:bottom w:val="nil"/>
              <w:right w:val="single" w:sz="6" w:space="0" w:color="auto"/>
            </w:tcBorders>
          </w:tcPr>
          <w:p w14:paraId="7742B8FD" w14:textId="62A7F93C" w:rsidR="00AB6510" w:rsidRDefault="00E65338" w:rsidP="00AB6510">
            <w:pPr>
              <w:pStyle w:val="Box"/>
            </w:pPr>
            <w:r>
              <w:t xml:space="preserve">The forces </w:t>
            </w:r>
            <w:r w:rsidR="00AB6510">
              <w:t xml:space="preserve">exerting pressure for structural change </w:t>
            </w:r>
            <w:r w:rsidR="007E7330">
              <w:t>are</w:t>
            </w:r>
            <w:r w:rsidR="00AB6510">
              <w:t xml:space="preserve"> </w:t>
            </w:r>
            <w:r w:rsidR="00D05A6C">
              <w:t>diverse</w:t>
            </w:r>
            <w:r w:rsidR="00AB6510">
              <w:t>.</w:t>
            </w:r>
            <w:r w:rsidR="00AF0AB1">
              <w:t xml:space="preserve"> They </w:t>
            </w:r>
            <w:r w:rsidR="0087078C">
              <w:t>arise</w:t>
            </w:r>
            <w:r w:rsidR="004C297E">
              <w:t xml:space="preserve"> </w:t>
            </w:r>
            <w:r>
              <w:t xml:space="preserve">on </w:t>
            </w:r>
            <w:r w:rsidR="004C297E">
              <w:t>both the supply and the demand side</w:t>
            </w:r>
            <w:r w:rsidR="00C9080E">
              <w:t>s</w:t>
            </w:r>
            <w:r>
              <w:t xml:space="preserve"> of markets</w:t>
            </w:r>
            <w:r w:rsidR="004C297E">
              <w:t>.</w:t>
            </w:r>
            <w:r w:rsidR="00AB6510">
              <w:t xml:space="preserve"> </w:t>
            </w:r>
            <w:r w:rsidR="004C297E">
              <w:t>T</w:t>
            </w:r>
            <w:r w:rsidR="00AB6510">
              <w:t xml:space="preserve">he key drivers </w:t>
            </w:r>
            <w:r w:rsidR="004C297E">
              <w:t xml:space="preserve">of structural change </w:t>
            </w:r>
            <w:r w:rsidR="00EB2CFC">
              <w:t>in developed countries</w:t>
            </w:r>
            <w:r w:rsidR="00AB6510">
              <w:t xml:space="preserve"> include:</w:t>
            </w:r>
          </w:p>
          <w:p w14:paraId="55BFC5C8" w14:textId="43AFEC72" w:rsidR="00AB6510" w:rsidRDefault="00AB6510" w:rsidP="00AB6510">
            <w:pPr>
              <w:pStyle w:val="BoxListBullet"/>
            </w:pPr>
            <w:r>
              <w:t xml:space="preserve">Technological change — for example, the Information and Communication </w:t>
            </w:r>
            <w:r w:rsidR="00AA1CE6">
              <w:t>T</w:t>
            </w:r>
            <w:r>
              <w:t xml:space="preserve">echnology </w:t>
            </w:r>
            <w:r w:rsidR="00AA1CE6">
              <w:t xml:space="preserve">revolution </w:t>
            </w:r>
            <w:r>
              <w:t>ha</w:t>
            </w:r>
            <w:r w:rsidR="00AA1CE6">
              <w:t>s</w:t>
            </w:r>
            <w:r>
              <w:t xml:space="preserve"> </w:t>
            </w:r>
            <w:r w:rsidR="0087078C">
              <w:t xml:space="preserve">affected </w:t>
            </w:r>
            <w:r w:rsidR="00046755">
              <w:t>most economies</w:t>
            </w:r>
            <w:r w:rsidR="00633A9E">
              <w:t>, with</w:t>
            </w:r>
            <w:r>
              <w:t xml:space="preserve"> profound </w:t>
            </w:r>
            <w:r w:rsidR="00633A9E">
              <w:t>consequences for</w:t>
            </w:r>
            <w:r>
              <w:t xml:space="preserve"> production</w:t>
            </w:r>
            <w:r w:rsidR="00B41C61">
              <w:t xml:space="preserve"> and distribution</w:t>
            </w:r>
            <w:r>
              <w:t xml:space="preserve"> </w:t>
            </w:r>
            <w:r w:rsidR="00AA1CE6">
              <w:t>processes</w:t>
            </w:r>
            <w:r w:rsidR="00046755">
              <w:t>, as well as</w:t>
            </w:r>
            <w:r w:rsidR="00227DBE">
              <w:t xml:space="preserve"> the</w:t>
            </w:r>
            <w:r>
              <w:t xml:space="preserve"> consumption </w:t>
            </w:r>
            <w:r w:rsidR="00AA1CE6">
              <w:t>patterns</w:t>
            </w:r>
            <w:r w:rsidR="000752F9">
              <w:t>, in industries such as banking, communication and retail</w:t>
            </w:r>
            <w:r>
              <w:t>.</w:t>
            </w:r>
          </w:p>
          <w:p w14:paraId="39137DDF" w14:textId="2E550497" w:rsidR="00EB2CFC" w:rsidRDefault="00AB6510" w:rsidP="00EB2CFC">
            <w:pPr>
              <w:pStyle w:val="BoxListBullet"/>
            </w:pPr>
            <w:r>
              <w:t xml:space="preserve">Consumer </w:t>
            </w:r>
            <w:r w:rsidR="007857A7">
              <w:t>behaviour</w:t>
            </w:r>
            <w:r>
              <w:t xml:space="preserve"> — consumption and saving decisions </w:t>
            </w:r>
            <w:r w:rsidR="00EB2CFC">
              <w:t xml:space="preserve">by households are capable of influencing the fortunes of </w:t>
            </w:r>
            <w:r w:rsidR="002806FE">
              <w:t xml:space="preserve">whole </w:t>
            </w:r>
            <w:r w:rsidR="00EB2CFC">
              <w:t xml:space="preserve">industries and occupations. </w:t>
            </w:r>
            <w:r w:rsidR="00046755">
              <w:t>A case in point is</w:t>
            </w:r>
            <w:r w:rsidR="00EB2CFC">
              <w:t xml:space="preserve"> the </w:t>
            </w:r>
            <w:r w:rsidR="002806FE">
              <w:t>early 2000s</w:t>
            </w:r>
            <w:r w:rsidR="00EB2CFC">
              <w:t xml:space="preserve"> turnaround in the Australian </w:t>
            </w:r>
            <w:r w:rsidR="002806FE">
              <w:t xml:space="preserve">household </w:t>
            </w:r>
            <w:r w:rsidR="00EB2CFC">
              <w:t xml:space="preserve">saving rate, </w:t>
            </w:r>
            <w:r w:rsidR="00B21387">
              <w:t>following</w:t>
            </w:r>
            <w:r w:rsidR="00EB2CFC">
              <w:t xml:space="preserve"> decades</w:t>
            </w:r>
            <w:r w:rsidR="007857A7">
              <w:t>-long</w:t>
            </w:r>
            <w:r w:rsidR="00EB2CFC">
              <w:t xml:space="preserve"> decline</w:t>
            </w:r>
            <w:r w:rsidR="00046755">
              <w:t>. This change in behaviour</w:t>
            </w:r>
            <w:r w:rsidR="00546906">
              <w:t xml:space="preserve"> </w:t>
            </w:r>
            <w:r w:rsidR="0059400A">
              <w:t xml:space="preserve">and the </w:t>
            </w:r>
            <w:r w:rsidR="002422BA">
              <w:t>subsequent</w:t>
            </w:r>
            <w:r w:rsidR="0059400A">
              <w:t xml:space="preserve"> deleveraging that</w:t>
            </w:r>
            <w:r w:rsidR="00046755">
              <w:t xml:space="preserve"> </w:t>
            </w:r>
            <w:r w:rsidR="0059400A">
              <w:t xml:space="preserve">followed </w:t>
            </w:r>
            <w:r w:rsidR="00046755">
              <w:t xml:space="preserve">the </w:t>
            </w:r>
            <w:r w:rsidR="0009365B">
              <w:t>Global Financial Crisis</w:t>
            </w:r>
            <w:r w:rsidR="00546906">
              <w:t xml:space="preserve"> — regarded as permanent by some</w:t>
            </w:r>
            <w:r w:rsidR="00330FC6">
              <w:t xml:space="preserve"> </w:t>
            </w:r>
            <w:r w:rsidR="00546906">
              <w:t>(Stevens 2012</w:t>
            </w:r>
            <w:r w:rsidR="0088264E">
              <w:t>b</w:t>
            </w:r>
            <w:r w:rsidR="00546906">
              <w:t xml:space="preserve">) — </w:t>
            </w:r>
            <w:r w:rsidR="00046755">
              <w:t>has had adverse</w:t>
            </w:r>
            <w:r w:rsidR="00EB2CFC">
              <w:t xml:space="preserve"> implications for </w:t>
            </w:r>
            <w:r w:rsidR="00B21387">
              <w:t>such</w:t>
            </w:r>
            <w:r w:rsidR="00EB2CFC">
              <w:t xml:space="preserve"> industries</w:t>
            </w:r>
            <w:r w:rsidR="00B21387">
              <w:t xml:space="preserve"> as</w:t>
            </w:r>
            <w:r w:rsidR="00EB2CFC">
              <w:t xml:space="preserve"> financial</w:t>
            </w:r>
            <w:r w:rsidR="00FE1E10">
              <w:t>, retail</w:t>
            </w:r>
            <w:r w:rsidR="00C45617">
              <w:t xml:space="preserve"> and real estate services.</w:t>
            </w:r>
          </w:p>
          <w:p w14:paraId="3BD0A349" w14:textId="721735BC" w:rsidR="00932AA0" w:rsidRDefault="00DE1F8F" w:rsidP="002806FE">
            <w:pPr>
              <w:pStyle w:val="BoxListBullet"/>
            </w:pPr>
            <w:r>
              <w:t>Demography</w:t>
            </w:r>
            <w:r w:rsidR="00EB2CFC">
              <w:t xml:space="preserve"> — the </w:t>
            </w:r>
            <w:r w:rsidR="00F146A0">
              <w:t xml:space="preserve">gradual </w:t>
            </w:r>
            <w:r w:rsidR="00EB2CFC">
              <w:t>move into retirement of the ‘baby boomer’ cohort is pr</w:t>
            </w:r>
            <w:r w:rsidR="002806FE">
              <w:t>oje</w:t>
            </w:r>
            <w:r w:rsidR="00EB2CFC">
              <w:t xml:space="preserve">cted to add considerably to the demand for aged and health care services. Demand for these services </w:t>
            </w:r>
            <w:r w:rsidR="002806FE">
              <w:t>was</w:t>
            </w:r>
            <w:r w:rsidR="00EB2CFC">
              <w:t xml:space="preserve"> </w:t>
            </w:r>
            <w:r w:rsidR="007E7330">
              <w:t xml:space="preserve">already on a upward </w:t>
            </w:r>
            <w:r w:rsidR="002806FE">
              <w:t>trajectory</w:t>
            </w:r>
            <w:r w:rsidR="007E7330">
              <w:t xml:space="preserve"> due to </w:t>
            </w:r>
            <w:r w:rsidR="00FE1E10">
              <w:t xml:space="preserve">consumers’ </w:t>
            </w:r>
            <w:r w:rsidR="00EB2CFC">
              <w:t xml:space="preserve">propensity </w:t>
            </w:r>
            <w:r w:rsidR="007E7330">
              <w:t xml:space="preserve">to spend </w:t>
            </w:r>
            <w:r w:rsidR="00C13E3D">
              <w:t xml:space="preserve">an </w:t>
            </w:r>
            <w:r w:rsidR="002806FE">
              <w:t>increasing proportion of rising incomes on</w:t>
            </w:r>
            <w:r w:rsidR="007E7330">
              <w:t xml:space="preserve"> these </w:t>
            </w:r>
            <w:r w:rsidR="002806FE">
              <w:t>services.</w:t>
            </w:r>
          </w:p>
          <w:p w14:paraId="4E15081A" w14:textId="0E9DF272" w:rsidR="00932AA0" w:rsidRDefault="00C45617" w:rsidP="00932AA0">
            <w:pPr>
              <w:pStyle w:val="BoxListBullet"/>
            </w:pPr>
            <w:r>
              <w:t>Global</w:t>
            </w:r>
            <w:r w:rsidR="00932AA0">
              <w:t xml:space="preserve"> </w:t>
            </w:r>
            <w:r w:rsidR="00030343">
              <w:t>shocks and transformations</w:t>
            </w:r>
            <w:r w:rsidR="00932AA0">
              <w:t xml:space="preserve"> — as already mentioned in this </w:t>
            </w:r>
            <w:r w:rsidR="00030343">
              <w:t>chapter</w:t>
            </w:r>
            <w:r w:rsidR="00932AA0">
              <w:t xml:space="preserve">, recurring trade booms and busts </w:t>
            </w:r>
            <w:r w:rsidR="00030343">
              <w:t xml:space="preserve">can </w:t>
            </w:r>
            <w:r w:rsidR="00932AA0">
              <w:t xml:space="preserve">have ramifications for Australian producers in general, and exporters and importers in particular. Even </w:t>
            </w:r>
            <w:r w:rsidR="00227DBE">
              <w:t xml:space="preserve">without </w:t>
            </w:r>
            <w:r w:rsidR="00932AA0">
              <w:t xml:space="preserve">such abrupt shocks, </w:t>
            </w:r>
            <w:r w:rsidR="00030343">
              <w:t>the development process</w:t>
            </w:r>
            <w:r w:rsidR="00932AA0">
              <w:t xml:space="preserve"> in </w:t>
            </w:r>
            <w:r w:rsidR="00C6303E">
              <w:t>emerging</w:t>
            </w:r>
            <w:r w:rsidR="004C297E">
              <w:t>-market</w:t>
            </w:r>
            <w:r w:rsidR="002D405D">
              <w:t xml:space="preserve"> economies</w:t>
            </w:r>
            <w:r w:rsidR="00932AA0">
              <w:t xml:space="preserve">, </w:t>
            </w:r>
            <w:r w:rsidR="00030343">
              <w:t>marked by</w:t>
            </w:r>
            <w:r w:rsidR="00932AA0">
              <w:t xml:space="preserve"> urbanisation and industrialisation, </w:t>
            </w:r>
            <w:r>
              <w:t>ha</w:t>
            </w:r>
            <w:r w:rsidR="00030343">
              <w:t>s</w:t>
            </w:r>
            <w:r>
              <w:t xml:space="preserve"> the </w:t>
            </w:r>
            <w:r w:rsidR="00030343">
              <w:t>capacity</w:t>
            </w:r>
            <w:r>
              <w:t xml:space="preserve"> to alter</w:t>
            </w:r>
            <w:r w:rsidR="00932AA0">
              <w:t xml:space="preserve"> demand and supply conditions for Australia</w:t>
            </w:r>
            <w:r>
              <w:t>n</w:t>
            </w:r>
            <w:r w:rsidR="00932AA0">
              <w:t xml:space="preserve"> </w:t>
            </w:r>
            <w:r>
              <w:t>output</w:t>
            </w:r>
            <w:r w:rsidR="00932AA0">
              <w:t>.</w:t>
            </w:r>
          </w:p>
          <w:p w14:paraId="1E25FFDA" w14:textId="2588E689" w:rsidR="00AB6510" w:rsidRDefault="00932AA0" w:rsidP="00030343">
            <w:pPr>
              <w:pStyle w:val="BoxListBullet"/>
            </w:pPr>
            <w:r>
              <w:t xml:space="preserve">Natural resources discoveries — </w:t>
            </w:r>
            <w:r w:rsidR="00FE1E10">
              <w:t xml:space="preserve">the discovery of </w:t>
            </w:r>
            <w:r w:rsidR="00030343">
              <w:t>commodities</w:t>
            </w:r>
            <w:r w:rsidR="00FE1E10">
              <w:t xml:space="preserve"> such as minerals or oil has, at times, significantly </w:t>
            </w:r>
            <w:r w:rsidR="00615F13">
              <w:t>modified</w:t>
            </w:r>
            <w:r w:rsidR="00FE1E10">
              <w:t xml:space="preserve"> the industrial landscape, </w:t>
            </w:r>
            <w:r w:rsidR="00615F13">
              <w:t>through</w:t>
            </w:r>
            <w:r w:rsidR="00FE1E10">
              <w:t xml:space="preserve"> the </w:t>
            </w:r>
            <w:r w:rsidR="004C297E">
              <w:t xml:space="preserve">relative </w:t>
            </w:r>
            <w:r w:rsidR="00FE1E10">
              <w:t>price effects and factor movements that such discoveries can trigger</w:t>
            </w:r>
            <w:r w:rsidR="00615F13">
              <w:t>. These effects are</w:t>
            </w:r>
            <w:r w:rsidR="00FE1E10">
              <w:t xml:space="preserve"> encapsulated in the</w:t>
            </w:r>
            <w:r w:rsidR="00C5632B">
              <w:t xml:space="preserve"> related</w:t>
            </w:r>
            <w:r w:rsidR="00FE1E10">
              <w:t xml:space="preserve"> ‘Gregory thesis’</w:t>
            </w:r>
            <w:r w:rsidR="002C5444">
              <w:t>,</w:t>
            </w:r>
            <w:r w:rsidR="00FE1E10">
              <w:t xml:space="preserve"> ‘Dutch Disease’ </w:t>
            </w:r>
            <w:r w:rsidR="002C5444">
              <w:t xml:space="preserve">and ‘resource curse’ </w:t>
            </w:r>
            <w:r w:rsidR="00FE1E10">
              <w:t>constructs.</w:t>
            </w:r>
            <w:r w:rsidR="007A35ED">
              <w:t xml:space="preserve"> </w:t>
            </w:r>
          </w:p>
          <w:p w14:paraId="17E4AC75" w14:textId="5C6AADDE" w:rsidR="00A05A3D" w:rsidRDefault="00A05A3D" w:rsidP="00227DBE">
            <w:pPr>
              <w:pStyle w:val="BoxListBullet"/>
            </w:pPr>
            <w:r>
              <w:t xml:space="preserve">Government policy — reforms undertaken by governments have the capacity to </w:t>
            </w:r>
            <w:r w:rsidR="000752F9">
              <w:t>create</w:t>
            </w:r>
            <w:r>
              <w:t xml:space="preserve"> </w:t>
            </w:r>
            <w:r w:rsidR="00ED6AE4">
              <w:t xml:space="preserve">pressures for </w:t>
            </w:r>
            <w:r>
              <w:t xml:space="preserve">change </w:t>
            </w:r>
            <w:r w:rsidR="000752F9">
              <w:t xml:space="preserve">within </w:t>
            </w:r>
            <w:r w:rsidR="00E65338">
              <w:t xml:space="preserve">and </w:t>
            </w:r>
            <w:r w:rsidR="000752F9">
              <w:t>between</w:t>
            </w:r>
            <w:r w:rsidR="00FE00EA">
              <w:t xml:space="preserve"> </w:t>
            </w:r>
            <w:r>
              <w:t xml:space="preserve">industries. </w:t>
            </w:r>
            <w:r w:rsidR="00ED184F">
              <w:t>Certain industries</w:t>
            </w:r>
            <w:r>
              <w:t xml:space="preserve"> may be the direct target of</w:t>
            </w:r>
            <w:r w:rsidR="00ED184F">
              <w:t xml:space="preserve"> policy initiatives or</w:t>
            </w:r>
            <w:r>
              <w:t xml:space="preserve"> reform, or may be </w:t>
            </w:r>
            <w:r w:rsidR="002C5444">
              <w:t xml:space="preserve">indirectly affected by </w:t>
            </w:r>
            <w:r w:rsidR="00FE00EA">
              <w:t xml:space="preserve">policy </w:t>
            </w:r>
            <w:r w:rsidR="002C5444">
              <w:t xml:space="preserve">changes </w:t>
            </w:r>
            <w:r w:rsidR="00FE00EA">
              <w:t>to</w:t>
            </w:r>
            <w:r w:rsidR="002C5444">
              <w:t xml:space="preserve"> </w:t>
            </w:r>
            <w:r w:rsidR="009257D2">
              <w:t xml:space="preserve">aspects of </w:t>
            </w:r>
            <w:r w:rsidR="00ED184F">
              <w:t xml:space="preserve">their </w:t>
            </w:r>
            <w:r w:rsidR="002C5444">
              <w:t xml:space="preserve">regulatory or commercial environment. In Australia, there have been examples of both types of </w:t>
            </w:r>
            <w:r w:rsidR="000752F9">
              <w:t xml:space="preserve">change-inducing </w:t>
            </w:r>
            <w:r w:rsidR="002C5444">
              <w:t xml:space="preserve">reform, </w:t>
            </w:r>
            <w:r w:rsidR="00ED184F">
              <w:t xml:space="preserve">reversing earlier policy stances, </w:t>
            </w:r>
            <w:r w:rsidR="002C5444">
              <w:t xml:space="preserve">such as the </w:t>
            </w:r>
            <w:r w:rsidR="009257D2">
              <w:t>deregulation</w:t>
            </w:r>
            <w:r w:rsidR="002C5444">
              <w:t xml:space="preserve"> of the dairy industry and </w:t>
            </w:r>
            <w:r w:rsidR="004C297E">
              <w:t xml:space="preserve">across-the-board </w:t>
            </w:r>
            <w:r w:rsidR="002C5444">
              <w:t xml:space="preserve">tariff </w:t>
            </w:r>
            <w:r w:rsidR="009257D2">
              <w:t>cuts</w:t>
            </w:r>
            <w:r w:rsidR="002C5444">
              <w:t xml:space="preserve">, respectively. </w:t>
            </w:r>
          </w:p>
        </w:tc>
      </w:tr>
      <w:tr w:rsidR="00BC2DF3" w14:paraId="21122605" w14:textId="77777777" w:rsidTr="001262F0">
        <w:trPr>
          <w:cantSplit/>
        </w:trPr>
        <w:tc>
          <w:tcPr>
            <w:tcW w:w="8771" w:type="dxa"/>
            <w:tcBorders>
              <w:top w:val="nil"/>
              <w:left w:val="single" w:sz="6" w:space="0" w:color="auto"/>
              <w:bottom w:val="nil"/>
              <w:right w:val="single" w:sz="6" w:space="0" w:color="auto"/>
            </w:tcBorders>
          </w:tcPr>
          <w:p w14:paraId="5D4E54A5" w14:textId="29075601" w:rsidR="00BC2DF3" w:rsidRDefault="00BC2DF3" w:rsidP="00031B14">
            <w:pPr>
              <w:pStyle w:val="BoxSource"/>
            </w:pPr>
            <w:r>
              <w:rPr>
                <w:i/>
              </w:rPr>
              <w:t>Source</w:t>
            </w:r>
            <w:r w:rsidRPr="00167F06">
              <w:t xml:space="preserve">: </w:t>
            </w:r>
            <w:r>
              <w:t xml:space="preserve">PC </w:t>
            </w:r>
            <w:r w:rsidR="00E15DAA">
              <w:t>(</w:t>
            </w:r>
            <w:r w:rsidR="00031B14">
              <w:t>2012c</w:t>
            </w:r>
            <w:r w:rsidR="00E15DAA">
              <w:t>)</w:t>
            </w:r>
            <w:r>
              <w:t>.</w:t>
            </w:r>
          </w:p>
        </w:tc>
      </w:tr>
      <w:tr w:rsidR="00AB6510" w14:paraId="27127822" w14:textId="77777777">
        <w:trPr>
          <w:cantSplit/>
        </w:trPr>
        <w:tc>
          <w:tcPr>
            <w:tcW w:w="8771" w:type="dxa"/>
            <w:tcBorders>
              <w:top w:val="nil"/>
              <w:left w:val="single" w:sz="6" w:space="0" w:color="auto"/>
              <w:bottom w:val="single" w:sz="6" w:space="0" w:color="auto"/>
              <w:right w:val="single" w:sz="6" w:space="0" w:color="auto"/>
            </w:tcBorders>
          </w:tcPr>
          <w:p w14:paraId="50494CC1" w14:textId="77777777" w:rsidR="00AB6510" w:rsidRDefault="00AB6510">
            <w:pPr>
              <w:pStyle w:val="Box"/>
              <w:spacing w:before="0" w:line="120" w:lineRule="exact"/>
            </w:pPr>
          </w:p>
        </w:tc>
      </w:tr>
      <w:tr w:rsidR="00AB6510" w14:paraId="700B0916" w14:textId="77777777">
        <w:tc>
          <w:tcPr>
            <w:tcW w:w="8771" w:type="dxa"/>
            <w:tcBorders>
              <w:top w:val="nil"/>
              <w:left w:val="nil"/>
              <w:bottom w:val="nil"/>
              <w:right w:val="nil"/>
            </w:tcBorders>
          </w:tcPr>
          <w:p w14:paraId="0A977909" w14:textId="77777777" w:rsidR="00AB6510" w:rsidRDefault="00AB6510">
            <w:pPr>
              <w:pStyle w:val="Box"/>
              <w:keepNext w:val="0"/>
              <w:spacing w:before="60" w:after="60" w:line="80" w:lineRule="exact"/>
              <w:rPr>
                <w:b/>
                <w:color w:val="FF00FF"/>
                <w:sz w:val="14"/>
              </w:rPr>
            </w:pPr>
          </w:p>
        </w:tc>
      </w:tr>
    </w:tbl>
    <w:p w14:paraId="7E864386" w14:textId="77777777" w:rsidR="00E6393E" w:rsidRDefault="00E6393E" w:rsidP="00E6393E">
      <w:pPr>
        <w:pStyle w:val="BodyText"/>
      </w:pPr>
    </w:p>
    <w:p w14:paraId="50DEE7F0" w14:textId="77777777" w:rsidR="00E6393E" w:rsidRDefault="00E6393E">
      <w:pPr>
        <w:rPr>
          <w:szCs w:val="20"/>
        </w:rPr>
      </w:pPr>
      <w:r>
        <w:br w:type="page"/>
      </w:r>
    </w:p>
    <w:p w14:paraId="372CBBEC" w14:textId="43DAF49A" w:rsidR="00E6393E" w:rsidRDefault="00E6393E" w:rsidP="00E6393E">
      <w:pPr>
        <w:pStyle w:val="BodyText"/>
      </w:pPr>
      <w:r>
        <w:lastRenderedPageBreak/>
        <w:t>The i</w:t>
      </w:r>
      <w:r w:rsidRPr="00795973">
        <w:t>ndex</w:t>
      </w:r>
      <w:r>
        <w:t xml:space="preserve">es included in figure </w:t>
      </w:r>
      <w:r w:rsidR="008830F5">
        <w:t>1.</w:t>
      </w:r>
      <w:r>
        <w:t>3</w:t>
      </w:r>
      <w:r w:rsidRPr="00795973">
        <w:t xml:space="preserve"> </w:t>
      </w:r>
      <w:r>
        <w:t xml:space="preserve">— which update those provided in Connolly and </w:t>
      </w:r>
      <w:proofErr w:type="spellStart"/>
      <w:r>
        <w:t>Orsmond</w:t>
      </w:r>
      <w:proofErr w:type="spellEnd"/>
      <w:r>
        <w:t xml:space="preserve"> (2011) — </w:t>
      </w:r>
      <w:r w:rsidRPr="00795973">
        <w:t xml:space="preserve">reveal </w:t>
      </w:r>
      <w:r>
        <w:t>that there have been several periods of rapid structural change at the industry level since the late 1950s</w:t>
      </w:r>
      <w:r w:rsidRPr="00795973">
        <w:t>.</w:t>
      </w:r>
      <w:r>
        <w:t xml:space="preserve"> While the change in nominal output and investment has been rapid in the last decade, this has not been unprecedented. Moreover, recent industry-level changes in real output and employment shares have remained below the peaks recorded in the 1970s.</w:t>
      </w:r>
    </w:p>
    <w:p w14:paraId="15493758" w14:textId="1B0861A0" w:rsidR="000C580D" w:rsidRPr="00DB55A2" w:rsidRDefault="008830F5" w:rsidP="00DB55A2">
      <w:pPr>
        <w:pStyle w:val="FigureTitle"/>
        <w:rPr>
          <w:position w:val="6"/>
          <w:sz w:val="18"/>
        </w:rPr>
      </w:pPr>
      <w:r>
        <w:rPr>
          <w:b w:val="0"/>
        </w:rPr>
        <w:t>Figure 1.</w:t>
      </w:r>
      <w:r w:rsidR="00027B48">
        <w:rPr>
          <w:b w:val="0"/>
          <w:noProof/>
        </w:rPr>
        <w:t>3</w:t>
      </w:r>
      <w:r w:rsidR="000C580D">
        <w:tab/>
        <w:t>Structural change indexes</w:t>
      </w:r>
      <w:r w:rsidR="000C580D" w:rsidRPr="00FF42E9">
        <w:rPr>
          <w:rStyle w:val="NoteLabel"/>
          <w:b/>
        </w:rPr>
        <w:t>a</w:t>
      </w:r>
      <w:r w:rsidR="000C580D">
        <w:t xml:space="preserve"> reveal precedents</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71417" w14:paraId="4BCA433D" w14:textId="77777777" w:rsidTr="00071417">
        <w:tc>
          <w:tcPr>
            <w:tcW w:w="8777" w:type="dxa"/>
          </w:tcPr>
          <w:p w14:paraId="5D153003" w14:textId="52AA0C72" w:rsidR="00853AC7" w:rsidRDefault="00003B7F" w:rsidP="004A1D7C">
            <w:pPr>
              <w:pStyle w:val="Figure"/>
              <w:spacing w:before="40" w:after="40"/>
            </w:pPr>
            <w:r>
              <w:rPr>
                <w:noProof/>
              </w:rPr>
              <w:drawing>
                <wp:inline distT="0" distB="0" distL="0" distR="0" wp14:anchorId="36DB0A0C" wp14:editId="5912DA20">
                  <wp:extent cx="4572635" cy="975360"/>
                  <wp:effectExtent l="0" t="0" r="0" b="0"/>
                  <wp:docPr id="14" name="Picture 14" descr="Figure 1.3 Structural change indexesa reveal precedents - Nominal output.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635" cy="975360"/>
                          </a:xfrm>
                          <a:prstGeom prst="rect">
                            <a:avLst/>
                          </a:prstGeom>
                          <a:noFill/>
                        </pic:spPr>
                      </pic:pic>
                    </a:graphicData>
                  </a:graphic>
                </wp:inline>
              </w:drawing>
            </w:r>
          </w:p>
          <w:p w14:paraId="4BA99A6F" w14:textId="301B587F" w:rsidR="00853AC7" w:rsidRDefault="00003B7F" w:rsidP="004A1D7C">
            <w:pPr>
              <w:pStyle w:val="Figure"/>
              <w:spacing w:before="40" w:after="40"/>
            </w:pPr>
            <w:r>
              <w:rPr>
                <w:noProof/>
              </w:rPr>
              <w:drawing>
                <wp:inline distT="0" distB="0" distL="0" distR="0" wp14:anchorId="72C7E7AE" wp14:editId="4AAE2D94">
                  <wp:extent cx="4572635" cy="975360"/>
                  <wp:effectExtent l="0" t="0" r="0" b="0"/>
                  <wp:docPr id="18" name="Picture 18" descr="Figure 1.3 Structural change indexesa reveal precedents - Real output.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635" cy="975360"/>
                          </a:xfrm>
                          <a:prstGeom prst="rect">
                            <a:avLst/>
                          </a:prstGeom>
                          <a:noFill/>
                        </pic:spPr>
                      </pic:pic>
                    </a:graphicData>
                  </a:graphic>
                </wp:inline>
              </w:drawing>
            </w:r>
          </w:p>
          <w:p w14:paraId="20FF15E2" w14:textId="6BBCBD94" w:rsidR="00853AC7" w:rsidRDefault="00003B7F" w:rsidP="004A1D7C">
            <w:pPr>
              <w:pStyle w:val="Figure"/>
              <w:spacing w:before="40" w:after="40"/>
            </w:pPr>
            <w:r>
              <w:rPr>
                <w:noProof/>
              </w:rPr>
              <w:drawing>
                <wp:inline distT="0" distB="0" distL="0" distR="0" wp14:anchorId="2BDA01DF" wp14:editId="23DB3551">
                  <wp:extent cx="4572635" cy="1000125"/>
                  <wp:effectExtent l="0" t="0" r="0" b="9525"/>
                  <wp:docPr id="20" name="Picture 20" descr="Figure 1.3 Structural change indexesa reveal precedents - Employment.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635" cy="1000125"/>
                          </a:xfrm>
                          <a:prstGeom prst="rect">
                            <a:avLst/>
                          </a:prstGeom>
                          <a:noFill/>
                        </pic:spPr>
                      </pic:pic>
                    </a:graphicData>
                  </a:graphic>
                </wp:inline>
              </w:drawing>
            </w:r>
          </w:p>
          <w:p w14:paraId="0112DD8E" w14:textId="6E3694BE" w:rsidR="00071417" w:rsidRDefault="00003B7F" w:rsidP="004A1D7C">
            <w:pPr>
              <w:pStyle w:val="Figure"/>
              <w:spacing w:before="40" w:after="40"/>
            </w:pPr>
            <w:r>
              <w:rPr>
                <w:noProof/>
              </w:rPr>
              <w:drawing>
                <wp:inline distT="0" distB="0" distL="0" distR="0" wp14:anchorId="359409C8" wp14:editId="53E27507">
                  <wp:extent cx="4620895" cy="1078865"/>
                  <wp:effectExtent l="0" t="0" r="8255" b="6985"/>
                  <wp:docPr id="23" name="Picture 23" descr="Figure 1.3 Structural change indexesa reveal precedents - Investment.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0895" cy="1078865"/>
                          </a:xfrm>
                          <a:prstGeom prst="rect">
                            <a:avLst/>
                          </a:prstGeom>
                          <a:noFill/>
                        </pic:spPr>
                      </pic:pic>
                    </a:graphicData>
                  </a:graphic>
                </wp:inline>
              </w:drawing>
            </w:r>
          </w:p>
        </w:tc>
      </w:tr>
    </w:tbl>
    <w:p w14:paraId="783CC432" w14:textId="1E51062D" w:rsidR="000C580D" w:rsidRDefault="000C580D" w:rsidP="000C580D">
      <w:pPr>
        <w:pStyle w:val="Note"/>
      </w:pPr>
      <w:r>
        <w:rPr>
          <w:rStyle w:val="NoteLabel"/>
        </w:rPr>
        <w:t>a</w:t>
      </w:r>
      <w:r>
        <w:t xml:space="preserve"> Calculated as half the sum of the (absolute) five-year change in the five-year moving average of industry or State shares, with the final year indicated. </w:t>
      </w:r>
      <w:r w:rsidR="009773CE">
        <w:t>See</w:t>
      </w:r>
      <w:r>
        <w:t xml:space="preserve"> Connolly and Lewis (2010), footnote 8</w:t>
      </w:r>
      <w:r w:rsidR="009773CE">
        <w:t>, for industry and state and territory aggregations, and for variable definitions</w:t>
      </w:r>
      <w:r>
        <w:t xml:space="preserve">. </w:t>
      </w:r>
    </w:p>
    <w:p w14:paraId="4E3FBC2E" w14:textId="505FCEDA" w:rsidR="000C580D" w:rsidRPr="00625C01" w:rsidRDefault="000C580D" w:rsidP="000C580D">
      <w:pPr>
        <w:pStyle w:val="Source"/>
      </w:pPr>
      <w:r>
        <w:rPr>
          <w:i/>
        </w:rPr>
        <w:t>Data sources</w:t>
      </w:r>
      <w:r w:rsidRPr="00167F06">
        <w:t xml:space="preserve">: </w:t>
      </w:r>
      <w:r>
        <w:t>ABS (2012</w:t>
      </w:r>
      <w:r w:rsidR="009773CE">
        <w:t>a, 201</w:t>
      </w:r>
      <w:r w:rsidR="000674B6">
        <w:t>2b</w:t>
      </w:r>
      <w:r w:rsidR="009773CE">
        <w:t>, 2011</w:t>
      </w:r>
      <w:r w:rsidR="000674B6">
        <w:t>a</w:t>
      </w:r>
      <w:r w:rsidR="009773CE">
        <w:t>)</w:t>
      </w:r>
      <w:r>
        <w:t>;</w:t>
      </w:r>
      <w:r w:rsidRPr="00674DDD">
        <w:t xml:space="preserve"> </w:t>
      </w:r>
      <w:r>
        <w:t xml:space="preserve">Connolly and </w:t>
      </w:r>
      <w:proofErr w:type="spellStart"/>
      <w:r>
        <w:t>Orsmond</w:t>
      </w:r>
      <w:proofErr w:type="spellEnd"/>
      <w:r>
        <w:t xml:space="preserve"> (2011); Connolly (2012), pers. comm. (data for years prior to available ABS data).</w:t>
      </w:r>
    </w:p>
    <w:p w14:paraId="3ECC811A" w14:textId="57D124FA" w:rsidR="005322A8" w:rsidRDefault="005322A8" w:rsidP="005322A8">
      <w:pPr>
        <w:pStyle w:val="BodyText"/>
      </w:pPr>
      <w:r>
        <w:t>At the state and territory level, index values reveal the size and geographic concentration of the mining boom of the past decade. Real output and employment have been high, but broadly in line with earlier periods. The nominal output and investment indexes, on the other hand, are at their highest since</w:t>
      </w:r>
      <w:r w:rsidR="00536825">
        <w:t xml:space="preserve"> at least</w:t>
      </w:r>
      <w:r>
        <w:t xml:space="preserve"> the</w:t>
      </w:r>
      <w:r w:rsidR="00F22282">
        <w:t xml:space="preserve"> late</w:t>
      </w:r>
      <w:r>
        <w:t xml:space="preserve"> 1950s, reflecting the effect of high commodity prices on the output of selected states, and the magnitude of the associated mining investment effort in those jurisdictions. This effort underpins the second, ‘construction phase’ of the boom which, unlike the first ‘price phase’, has yet to reach its peak (Sheehan and </w:t>
      </w:r>
      <w:r>
        <w:lastRenderedPageBreak/>
        <w:t>Gregory</w:t>
      </w:r>
      <w:r w:rsidR="006162DD">
        <w:t> </w:t>
      </w:r>
      <w:r>
        <w:t>2012). The large investment pipeline currently projected for the resources sector should, therefore, continue to foster structural change in investment.</w:t>
      </w:r>
      <w:r>
        <w:rPr>
          <w:rStyle w:val="FootnoteReference"/>
        </w:rPr>
        <w:footnoteReference w:id="2"/>
      </w:r>
      <w:r>
        <w:t xml:space="preserve"> This investment phase will be followed by a third, ‘production’ phase, during which additional mining productive capacity will come on stream, and raise the pace of structural change in real output. </w:t>
      </w:r>
    </w:p>
    <w:p w14:paraId="0B0457FA" w14:textId="52EA5912" w:rsidR="003F6005" w:rsidRDefault="003F6005" w:rsidP="00175FCA">
      <w:pPr>
        <w:pStyle w:val="Heading3"/>
      </w:pPr>
      <w:r>
        <w:t xml:space="preserve">Unemployment and inflation </w:t>
      </w:r>
      <w:r w:rsidR="001600FD">
        <w:t xml:space="preserve">have remained low throughout </w:t>
      </w:r>
      <w:r w:rsidR="00710B49">
        <w:t>this</w:t>
      </w:r>
      <w:r w:rsidR="001600FD">
        <w:t xml:space="preserve"> </w:t>
      </w:r>
      <w:r w:rsidR="00BB7F08">
        <w:t xml:space="preserve">mining </w:t>
      </w:r>
      <w:r w:rsidR="001600FD">
        <w:t>boom</w:t>
      </w:r>
    </w:p>
    <w:p w14:paraId="4CC630DD" w14:textId="41E69D06" w:rsidR="00FD0FDA" w:rsidRDefault="00FD0FDA" w:rsidP="00B9579E">
      <w:pPr>
        <w:pStyle w:val="BodyText"/>
      </w:pPr>
      <w:r>
        <w:t xml:space="preserve">As mentioned, Australia has experienced many </w:t>
      </w:r>
      <w:r w:rsidR="00AE1CB4">
        <w:t xml:space="preserve">commodities </w:t>
      </w:r>
      <w:r>
        <w:t xml:space="preserve">booms </w:t>
      </w:r>
      <w:r w:rsidR="001F429A">
        <w:t>throughout its history</w:t>
      </w:r>
      <w:r>
        <w:t xml:space="preserve">. </w:t>
      </w:r>
      <w:r w:rsidR="001F429A">
        <w:t xml:space="preserve">However, the </w:t>
      </w:r>
      <w:r w:rsidR="00283381">
        <w:t xml:space="preserve">current </w:t>
      </w:r>
      <w:r w:rsidR="00710B49">
        <w:t>mining</w:t>
      </w:r>
      <w:r w:rsidR="00BB7F08">
        <w:t xml:space="preserve"> </w:t>
      </w:r>
      <w:r w:rsidR="005747DD">
        <w:t>boom</w:t>
      </w:r>
      <w:r w:rsidR="00710B49">
        <w:t xml:space="preserve"> has taken place</w:t>
      </w:r>
      <w:r w:rsidR="005747DD">
        <w:t xml:space="preserve"> in very different domestic </w:t>
      </w:r>
      <w:r w:rsidR="00710B49">
        <w:t xml:space="preserve">circumstances to earlier </w:t>
      </w:r>
      <w:r w:rsidR="00173CED">
        <w:t>booms</w:t>
      </w:r>
      <w:r w:rsidR="003923E7">
        <w:t xml:space="preserve">, </w:t>
      </w:r>
      <w:r w:rsidR="00710B49">
        <w:t xml:space="preserve">both </w:t>
      </w:r>
      <w:r w:rsidR="003923E7">
        <w:t>institutionally and economically</w:t>
      </w:r>
      <w:r w:rsidR="005747DD">
        <w:t xml:space="preserve">. </w:t>
      </w:r>
      <w:r w:rsidR="00710B49">
        <w:t>The</w:t>
      </w:r>
      <w:r w:rsidR="003923E7">
        <w:t xml:space="preserve"> outcomes</w:t>
      </w:r>
      <w:r w:rsidR="00710B49">
        <w:t xml:space="preserve"> have differed significantly</w:t>
      </w:r>
      <w:r w:rsidR="00B828A2">
        <w:t>,</w:t>
      </w:r>
      <w:r w:rsidR="00710B49">
        <w:t xml:space="preserve"> as a result</w:t>
      </w:r>
      <w:r w:rsidR="003923E7">
        <w:t>.</w:t>
      </w:r>
      <w:r w:rsidR="0094249A">
        <w:t xml:space="preserve"> </w:t>
      </w:r>
      <w:r w:rsidR="00F30E8F">
        <w:t xml:space="preserve">For example, </w:t>
      </w:r>
      <w:proofErr w:type="spellStart"/>
      <w:r w:rsidR="00F30E8F">
        <w:t>Gruen</w:t>
      </w:r>
      <w:proofErr w:type="spellEnd"/>
      <w:r w:rsidR="00F30E8F">
        <w:t xml:space="preserve"> (2011) </w:t>
      </w:r>
      <w:r w:rsidR="00AE1CB4">
        <w:t xml:space="preserve">contrasted </w:t>
      </w:r>
      <w:r w:rsidR="00F30E8F">
        <w:t xml:space="preserve">the current boom with the one </w:t>
      </w:r>
      <w:r w:rsidR="00227DBE">
        <w:t xml:space="preserve">that began </w:t>
      </w:r>
      <w:r w:rsidR="00AE1CB4">
        <w:t>in 1971-72</w:t>
      </w:r>
      <w:r w:rsidR="00F30E8F">
        <w:t xml:space="preserve"> </w:t>
      </w:r>
      <w:r w:rsidR="00CF0B48">
        <w:t>with</w:t>
      </w:r>
      <w:r w:rsidR="00175F4E">
        <w:t xml:space="preserve"> a rise in the price of </w:t>
      </w:r>
      <w:r w:rsidR="00AE1CB4">
        <w:t>rural commodities</w:t>
      </w:r>
      <w:r w:rsidR="00175F4E">
        <w:t xml:space="preserve">. He found </w:t>
      </w:r>
      <w:r w:rsidR="00F30E8F">
        <w:t>that</w:t>
      </w:r>
      <w:r w:rsidR="00942FA2">
        <w:t xml:space="preserve"> inflation</w:t>
      </w:r>
      <w:r w:rsidR="0056550B">
        <w:t>, wages and unemployment</w:t>
      </w:r>
      <w:r w:rsidR="00942FA2">
        <w:t xml:space="preserve"> </w:t>
      </w:r>
      <w:r w:rsidR="0081727D">
        <w:t>remain</w:t>
      </w:r>
      <w:r w:rsidR="006912F4">
        <w:t>ed</w:t>
      </w:r>
      <w:r w:rsidR="0081727D">
        <w:t xml:space="preserve"> </w:t>
      </w:r>
      <w:r w:rsidR="00942FA2">
        <w:t>subdued during the latest boom</w:t>
      </w:r>
      <w:r w:rsidR="00D7503C">
        <w:t>,</w:t>
      </w:r>
      <w:r w:rsidR="002F6B7D">
        <w:t xml:space="preserve"> </w:t>
      </w:r>
      <w:r w:rsidR="005D03A2">
        <w:t>in contrast</w:t>
      </w:r>
      <w:r w:rsidR="002F6B7D">
        <w:t xml:space="preserve"> to the sharp rises </w:t>
      </w:r>
      <w:r w:rsidR="004E7864">
        <w:t>recorded during</w:t>
      </w:r>
      <w:r w:rsidR="002F6B7D">
        <w:t xml:space="preserve"> the earlier episode</w:t>
      </w:r>
      <w:r w:rsidR="00A47451">
        <w:t>, even allowing for one-off factors</w:t>
      </w:r>
      <w:r w:rsidR="002F6B7D">
        <w:t>.</w:t>
      </w:r>
      <w:r w:rsidR="00B90E0B">
        <w:t xml:space="preserve"> Figure </w:t>
      </w:r>
      <w:r w:rsidR="008830F5">
        <w:t>1.</w:t>
      </w:r>
      <w:r w:rsidR="00B90E0B">
        <w:t xml:space="preserve">4 traces out the time path of these indicators </w:t>
      </w:r>
      <w:r w:rsidR="00470221">
        <w:t xml:space="preserve">separately </w:t>
      </w:r>
      <w:r w:rsidR="00B90E0B">
        <w:t>throughout the 1970s and the 2000s (beginning a year or so before rising commodity prices signalled the beginning of each boom).</w:t>
      </w:r>
    </w:p>
    <w:p w14:paraId="3484DFB3" w14:textId="781CE1C5" w:rsidR="004712F9" w:rsidRDefault="004712F9" w:rsidP="004712F9">
      <w:pPr>
        <w:pStyle w:val="BodyText"/>
      </w:pPr>
      <w:r>
        <w:t>The contrast between the outcomes from the two booms is the more noteworthy because this terms of trade boom has been much larger and more enduring than its predecessor.</w:t>
      </w:r>
      <w:r>
        <w:rPr>
          <w:rStyle w:val="FootnoteReference"/>
        </w:rPr>
        <w:footnoteReference w:id="3"/>
      </w:r>
      <w:r>
        <w:t xml:space="preserve"> That it has been accompanied by far less economic turmoil is a matter of continuing interest for policy makers and researchers. </w:t>
      </w:r>
    </w:p>
    <w:p w14:paraId="3BEB53C3" w14:textId="3700B859" w:rsidR="0042245E" w:rsidRDefault="008830F5" w:rsidP="0042245E">
      <w:pPr>
        <w:pStyle w:val="FigureTitle"/>
      </w:pPr>
      <w:r>
        <w:rPr>
          <w:b w:val="0"/>
        </w:rPr>
        <w:lastRenderedPageBreak/>
        <w:t>Figure 1.</w:t>
      </w:r>
      <w:r w:rsidR="00027B48">
        <w:rPr>
          <w:b w:val="0"/>
          <w:noProof/>
        </w:rPr>
        <w:t>4</w:t>
      </w:r>
      <w:r w:rsidR="0042245E">
        <w:tab/>
        <w:t>A tale of two booms: inflation, wages and unemployment</w:t>
      </w:r>
      <w:r w:rsidR="0042245E" w:rsidRPr="007F2A8B">
        <w:rPr>
          <w:rStyle w:val="NoteLabel"/>
          <w:b/>
        </w:rPr>
        <w:t>a</w:t>
      </w:r>
    </w:p>
    <w:p w14:paraId="4DF92C44" w14:textId="77777777" w:rsidR="0042245E" w:rsidRDefault="0042245E" w:rsidP="0042245E">
      <w:pPr>
        <w:pStyle w:val="Subtitle"/>
      </w:pPr>
      <w:r>
        <w:t>Annual CPI and wages growth, and unemployment during the 1970s and current booms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2245E" w14:paraId="61AE4210" w14:textId="77777777" w:rsidTr="00592358">
        <w:trPr>
          <w:trHeight w:val="3302"/>
        </w:trPr>
        <w:tc>
          <w:tcPr>
            <w:tcW w:w="8777" w:type="dxa"/>
          </w:tcPr>
          <w:p w14:paraId="6B241108" w14:textId="3C41030D" w:rsidR="0042245E" w:rsidRDefault="0042245E" w:rsidP="004A1D7C">
            <w:pPr>
              <w:pStyle w:val="Figure"/>
              <w:spacing w:after="0"/>
              <w:jc w:val="left"/>
            </w:pPr>
            <w:r>
              <w:rPr>
                <w:noProof/>
              </w:rPr>
              <mc:AlternateContent>
                <mc:Choice Requires="wps">
                  <w:drawing>
                    <wp:anchor distT="0" distB="0" distL="114300" distR="114300" simplePos="0" relativeHeight="251659264" behindDoc="0" locked="0" layoutInCell="1" allowOverlap="1" wp14:anchorId="2358D58A" wp14:editId="2204E11B">
                      <wp:simplePos x="0" y="0"/>
                      <wp:positionH relativeFrom="column">
                        <wp:posOffset>4582236</wp:posOffset>
                      </wp:positionH>
                      <wp:positionV relativeFrom="paragraph">
                        <wp:posOffset>81534</wp:posOffset>
                      </wp:positionV>
                      <wp:extent cx="1031443" cy="694944"/>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31443" cy="6949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11293" w14:textId="77777777" w:rsidR="00E05EA2" w:rsidRPr="00866B71" w:rsidRDefault="00E05EA2" w:rsidP="0042245E">
                                  <w:pPr>
                                    <w:rPr>
                                      <w:rFonts w:ascii="Arial" w:hAnsi="Arial" w:cs="Arial"/>
                                      <w:i/>
                                      <w:sz w:val="22"/>
                                      <w:szCs w:val="22"/>
                                    </w:rPr>
                                  </w:pPr>
                                  <w:r w:rsidRPr="00866B71">
                                    <w:rPr>
                                      <w:rFonts w:ascii="Arial" w:hAnsi="Arial" w:cs="Arial"/>
                                      <w:i/>
                                      <w:sz w:val="22"/>
                                      <w:szCs w:val="22"/>
                                    </w:rPr>
                                    <w:t>Consumer prices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60.8pt;margin-top:6.4pt;width:81.2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" filled="f" stroked="f" strokeweight=".5pt">
                      <v:textbox>
                        <w:txbxContent>
                          <w:p w14:paraId="47A11293" w14:textId="77777777" w:rsidR="00E05EA2" w:rsidRPr="00866B71" w:rsidRDefault="00E05EA2" w:rsidP="0042245E">
                            <w:pPr>
                              <w:rPr>
                                <w:rFonts w:ascii="Arial" w:hAnsi="Arial" w:cs="Arial"/>
                                <w:i/>
                                <w:sz w:val="22"/>
                                <w:szCs w:val="22"/>
                              </w:rPr>
                            </w:pPr>
                            <w:r w:rsidRPr="00866B71">
                              <w:rPr>
                                <w:rFonts w:ascii="Arial" w:hAnsi="Arial" w:cs="Arial"/>
                                <w:i/>
                                <w:sz w:val="22"/>
                                <w:szCs w:val="22"/>
                              </w:rPr>
                              <w:t>Consumer prices</w:t>
                            </w:r>
                          </w:p>
                        </w:txbxContent>
                      </v:textbox>
                    </v:shape>
                  </w:pict>
                </mc:Fallback>
              </mc:AlternateContent>
            </w:r>
            <w:r w:rsidR="00003B7F">
              <w:rPr>
                <w:noProof/>
              </w:rPr>
              <w:drawing>
                <wp:inline distT="0" distB="0" distL="0" distR="0" wp14:anchorId="496F635A" wp14:editId="563F78FA">
                  <wp:extent cx="4572635" cy="1975485"/>
                  <wp:effectExtent l="0" t="0" r="0" b="5715"/>
                  <wp:docPr id="25" name="Picture 25" descr="Figure 1.4 A tale of two booms: inflation, wages and unemployment - Consumer prices.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635" cy="1975485"/>
                          </a:xfrm>
                          <a:prstGeom prst="rect">
                            <a:avLst/>
                          </a:prstGeom>
                          <a:noFill/>
                        </pic:spPr>
                      </pic:pic>
                    </a:graphicData>
                  </a:graphic>
                </wp:inline>
              </w:drawing>
            </w:r>
          </w:p>
        </w:tc>
      </w:tr>
      <w:tr w:rsidR="0042245E" w14:paraId="494AD0B4" w14:textId="77777777" w:rsidTr="00592358">
        <w:tc>
          <w:tcPr>
            <w:tcW w:w="8777" w:type="dxa"/>
          </w:tcPr>
          <w:p w14:paraId="752937B3" w14:textId="4D47CA6B" w:rsidR="0042245E" w:rsidRPr="005D3317" w:rsidRDefault="0042245E" w:rsidP="004A1D7C">
            <w:pPr>
              <w:pStyle w:val="Figure"/>
              <w:spacing w:after="0"/>
              <w:jc w:val="left"/>
              <w:rPr>
                <w:noProof/>
              </w:rPr>
            </w:pPr>
            <w:r>
              <w:rPr>
                <w:noProof/>
              </w:rPr>
              <mc:AlternateContent>
                <mc:Choice Requires="wps">
                  <w:drawing>
                    <wp:anchor distT="0" distB="0" distL="114300" distR="114300" simplePos="0" relativeHeight="251660288" behindDoc="0" locked="0" layoutInCell="1" allowOverlap="1" wp14:anchorId="2D366B2D" wp14:editId="1175C3AA">
                      <wp:simplePos x="0" y="0"/>
                      <wp:positionH relativeFrom="column">
                        <wp:posOffset>4487545</wp:posOffset>
                      </wp:positionH>
                      <wp:positionV relativeFrom="paragraph">
                        <wp:posOffset>69850</wp:posOffset>
                      </wp:positionV>
                      <wp:extent cx="1126490" cy="694944"/>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126490" cy="6949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80E4CA" w14:textId="2FDAA41F" w:rsidR="00E05EA2" w:rsidRPr="00866B71" w:rsidRDefault="00E05EA2" w:rsidP="0042245E">
                                  <w:pPr>
                                    <w:rPr>
                                      <w:rFonts w:ascii="Arial" w:hAnsi="Arial" w:cs="Arial"/>
                                      <w:i/>
                                      <w:sz w:val="22"/>
                                      <w:szCs w:val="22"/>
                                    </w:rPr>
                                  </w:pPr>
                                  <w:r w:rsidRPr="00866B71">
                                    <w:rPr>
                                      <w:rFonts w:ascii="Arial" w:hAnsi="Arial" w:cs="Arial"/>
                                      <w:i/>
                                      <w:sz w:val="22"/>
                                      <w:szCs w:val="22"/>
                                    </w:rPr>
                                    <w:t>Average</w:t>
                                  </w:r>
                                  <w:r>
                                    <w:rPr>
                                      <w:rFonts w:ascii="Arial" w:hAnsi="Arial" w:cs="Arial"/>
                                      <w:i/>
                                      <w:sz w:val="22"/>
                                      <w:szCs w:val="22"/>
                                    </w:rPr>
                                    <w:t xml:space="preserve"> </w:t>
                                  </w:r>
                                  <w:r w:rsidRPr="00866B71">
                                    <w:rPr>
                                      <w:rFonts w:ascii="Arial" w:hAnsi="Arial" w:cs="Arial"/>
                                      <w:i/>
                                      <w:sz w:val="22"/>
                                      <w:szCs w:val="22"/>
                                    </w:rPr>
                                    <w:t>Weekly</w:t>
                                  </w:r>
                                  <w:r>
                                    <w:rPr>
                                      <w:rFonts w:ascii="Arial" w:hAnsi="Arial" w:cs="Arial"/>
                                      <w:i/>
                                      <w:sz w:val="22"/>
                                      <w:szCs w:val="22"/>
                                    </w:rPr>
                                    <w:t xml:space="preserve"> </w:t>
                                  </w:r>
                                  <w:r w:rsidRPr="00866B71">
                                    <w:rPr>
                                      <w:rFonts w:ascii="Arial" w:hAnsi="Arial" w:cs="Arial"/>
                                      <w:i/>
                                      <w:sz w:val="22"/>
                                      <w:szCs w:val="22"/>
                                    </w:rPr>
                                    <w:t>Earnings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margin-left:353.35pt;margin-top:5.5pt;width:88.7pt;height:5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" filled="f" stroked="f" strokeweight=".5pt">
                      <v:textbox>
                        <w:txbxContent>
                          <w:p w14:paraId="4F80E4CA" w14:textId="2FDAA41F" w:rsidR="00E05EA2" w:rsidRPr="00866B71" w:rsidRDefault="00E05EA2" w:rsidP="0042245E">
                            <w:pPr>
                              <w:rPr>
                                <w:rFonts w:ascii="Arial" w:hAnsi="Arial" w:cs="Arial"/>
                                <w:i/>
                                <w:sz w:val="22"/>
                                <w:szCs w:val="22"/>
                              </w:rPr>
                            </w:pPr>
                            <w:r w:rsidRPr="00866B71">
                              <w:rPr>
                                <w:rFonts w:ascii="Arial" w:hAnsi="Arial" w:cs="Arial"/>
                                <w:i/>
                                <w:sz w:val="22"/>
                                <w:szCs w:val="22"/>
                              </w:rPr>
                              <w:t>Average</w:t>
                            </w:r>
                            <w:r>
                              <w:rPr>
                                <w:rFonts w:ascii="Arial" w:hAnsi="Arial" w:cs="Arial"/>
                                <w:i/>
                                <w:sz w:val="22"/>
                                <w:szCs w:val="22"/>
                              </w:rPr>
                              <w:t xml:space="preserve"> </w:t>
                            </w:r>
                            <w:r w:rsidRPr="00866B71">
                              <w:rPr>
                                <w:rFonts w:ascii="Arial" w:hAnsi="Arial" w:cs="Arial"/>
                                <w:i/>
                                <w:sz w:val="22"/>
                                <w:szCs w:val="22"/>
                              </w:rPr>
                              <w:t>Weekly</w:t>
                            </w:r>
                            <w:r>
                              <w:rPr>
                                <w:rFonts w:ascii="Arial" w:hAnsi="Arial" w:cs="Arial"/>
                                <w:i/>
                                <w:sz w:val="22"/>
                                <w:szCs w:val="22"/>
                              </w:rPr>
                              <w:t xml:space="preserve"> </w:t>
                            </w:r>
                            <w:r w:rsidRPr="00866B71">
                              <w:rPr>
                                <w:rFonts w:ascii="Arial" w:hAnsi="Arial" w:cs="Arial"/>
                                <w:i/>
                                <w:sz w:val="22"/>
                                <w:szCs w:val="22"/>
                              </w:rPr>
                              <w:t>Earnings</w:t>
                            </w:r>
                          </w:p>
                        </w:txbxContent>
                      </v:textbox>
                    </v:shape>
                  </w:pict>
                </mc:Fallback>
              </mc:AlternateContent>
            </w:r>
            <w:r w:rsidR="00003B7F">
              <w:rPr>
                <w:noProof/>
              </w:rPr>
              <w:drawing>
                <wp:inline distT="0" distB="0" distL="0" distR="0" wp14:anchorId="5B7D929E" wp14:editId="71C390F3">
                  <wp:extent cx="4572635" cy="2011680"/>
                  <wp:effectExtent l="0" t="0" r="0" b="7620"/>
                  <wp:docPr id="26" name="Picture 26" descr="Figure 1.4 A tale of two booms: inflation, wages and unemployment - Average weekly earnings.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2011680"/>
                          </a:xfrm>
                          <a:prstGeom prst="rect">
                            <a:avLst/>
                          </a:prstGeom>
                          <a:noFill/>
                        </pic:spPr>
                      </pic:pic>
                    </a:graphicData>
                  </a:graphic>
                </wp:inline>
              </w:drawing>
            </w:r>
          </w:p>
        </w:tc>
      </w:tr>
      <w:tr w:rsidR="0042245E" w14:paraId="57EAAE97" w14:textId="77777777" w:rsidTr="00592358">
        <w:tc>
          <w:tcPr>
            <w:tcW w:w="8777" w:type="dxa"/>
          </w:tcPr>
          <w:p w14:paraId="56355AD6" w14:textId="41CB6075" w:rsidR="0042245E" w:rsidRDefault="0042245E" w:rsidP="004A1D7C">
            <w:pPr>
              <w:pStyle w:val="Figure"/>
              <w:spacing w:after="0"/>
              <w:jc w:val="left"/>
              <w:rPr>
                <w:noProof/>
              </w:rPr>
            </w:pPr>
            <w:r>
              <w:rPr>
                <w:noProof/>
              </w:rPr>
              <mc:AlternateContent>
                <mc:Choice Requires="wps">
                  <w:drawing>
                    <wp:anchor distT="0" distB="0" distL="114300" distR="114300" simplePos="0" relativeHeight="251661312" behindDoc="0" locked="0" layoutInCell="1" allowOverlap="1" wp14:anchorId="3C4E33E8" wp14:editId="1124F9C6">
                      <wp:simplePos x="0" y="0"/>
                      <wp:positionH relativeFrom="column">
                        <wp:posOffset>4411345</wp:posOffset>
                      </wp:positionH>
                      <wp:positionV relativeFrom="paragraph">
                        <wp:posOffset>79375</wp:posOffset>
                      </wp:positionV>
                      <wp:extent cx="1136015" cy="694944"/>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136015" cy="6949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1F8984" w14:textId="3CC3D2D4" w:rsidR="00E05EA2" w:rsidRPr="00866B71" w:rsidRDefault="00E05EA2" w:rsidP="0042245E">
                                  <w:pPr>
                                    <w:rPr>
                                      <w:rFonts w:ascii="Arial" w:hAnsi="Arial" w:cs="Arial"/>
                                      <w:i/>
                                      <w:sz w:val="22"/>
                                      <w:szCs w:val="22"/>
                                    </w:rPr>
                                  </w:pPr>
                                  <w:r>
                                    <w:rPr>
                                      <w:rFonts w:ascii="Arial" w:hAnsi="Arial" w:cs="Arial"/>
                                      <w:i/>
                                      <w:sz w:val="22"/>
                                      <w:szCs w:val="22"/>
                                    </w:rPr>
                                    <w:t>Unem</w:t>
                                  </w:r>
                                  <w:r w:rsidRPr="00866B71">
                                    <w:rPr>
                                      <w:rFonts w:ascii="Arial" w:hAnsi="Arial" w:cs="Arial"/>
                                      <w:i/>
                                      <w:sz w:val="22"/>
                                      <w:szCs w:val="22"/>
                                    </w:rPr>
                                    <w:t>ployment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margin-left:347.35pt;margin-top:6.25pt;width:89.45pt;height:5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" filled="f" stroked="f" strokeweight=".5pt">
                      <v:textbox>
                        <w:txbxContent>
                          <w:p w14:paraId="131F8984" w14:textId="3CC3D2D4" w:rsidR="00E05EA2" w:rsidRPr="00866B71" w:rsidRDefault="00E05EA2" w:rsidP="0042245E">
                            <w:pPr>
                              <w:rPr>
                                <w:rFonts w:ascii="Arial" w:hAnsi="Arial" w:cs="Arial"/>
                                <w:i/>
                                <w:sz w:val="22"/>
                                <w:szCs w:val="22"/>
                              </w:rPr>
                            </w:pPr>
                            <w:r>
                              <w:rPr>
                                <w:rFonts w:ascii="Arial" w:hAnsi="Arial" w:cs="Arial"/>
                                <w:i/>
                                <w:sz w:val="22"/>
                                <w:szCs w:val="22"/>
                              </w:rPr>
                              <w:t>Unem</w:t>
                            </w:r>
                            <w:r w:rsidRPr="00866B71">
                              <w:rPr>
                                <w:rFonts w:ascii="Arial" w:hAnsi="Arial" w:cs="Arial"/>
                                <w:i/>
                                <w:sz w:val="22"/>
                                <w:szCs w:val="22"/>
                              </w:rPr>
                              <w:t>ployment</w:t>
                            </w:r>
                          </w:p>
                        </w:txbxContent>
                      </v:textbox>
                    </v:shape>
                  </w:pict>
                </mc:Fallback>
              </mc:AlternateContent>
            </w:r>
            <w:r w:rsidR="00003B7F">
              <w:rPr>
                <w:noProof/>
              </w:rPr>
              <w:drawing>
                <wp:inline distT="0" distB="0" distL="0" distR="0" wp14:anchorId="241E8D8F" wp14:editId="63DCC8FE">
                  <wp:extent cx="4572635" cy="1975485"/>
                  <wp:effectExtent l="0" t="0" r="0" b="5715"/>
                  <wp:docPr id="27" name="Picture 27" descr="Figure 1.4 A tale of two booms: inflation, wages and unemployment - Unemployment.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635" cy="1975485"/>
                          </a:xfrm>
                          <a:prstGeom prst="rect">
                            <a:avLst/>
                          </a:prstGeom>
                          <a:noFill/>
                        </pic:spPr>
                      </pic:pic>
                    </a:graphicData>
                  </a:graphic>
                </wp:inline>
              </w:drawing>
            </w:r>
          </w:p>
        </w:tc>
      </w:tr>
    </w:tbl>
    <w:p w14:paraId="6138B171" w14:textId="7A9B661E" w:rsidR="0042245E" w:rsidRDefault="0042245E" w:rsidP="0042245E">
      <w:pPr>
        <w:pStyle w:val="Source"/>
      </w:pPr>
      <w:r>
        <w:rPr>
          <w:rStyle w:val="NoteLabel"/>
        </w:rPr>
        <w:t>a</w:t>
      </w:r>
      <w:r>
        <w:t xml:space="preserve"> See </w:t>
      </w:r>
      <w:proofErr w:type="spellStart"/>
      <w:r>
        <w:t>Gruen</w:t>
      </w:r>
      <w:proofErr w:type="spellEnd"/>
      <w:r>
        <w:t xml:space="preserve"> (2011) for details of time-series construction. </w:t>
      </w:r>
      <w:r w:rsidR="00C75B96">
        <w:t>Time series begin at</w:t>
      </w:r>
      <w:r>
        <w:t xml:space="preserve"> June 1970 (1970s boom) and = June 2002 (current boom). These dates are chosen to begin a year or so </w:t>
      </w:r>
      <w:r w:rsidRPr="000C23BA">
        <w:rPr>
          <w:i/>
        </w:rPr>
        <w:t>before</w:t>
      </w:r>
      <w:r>
        <w:t xml:space="preserve"> commodity prices started to </w:t>
      </w:r>
      <w:r w:rsidR="00C75B96">
        <w:t>increase</w:t>
      </w:r>
      <w:r>
        <w:t>.</w:t>
      </w:r>
    </w:p>
    <w:p w14:paraId="56FC2D0B" w14:textId="77777777" w:rsidR="0042245E" w:rsidRDefault="0042245E" w:rsidP="0042245E">
      <w:pPr>
        <w:pStyle w:val="Source"/>
      </w:pPr>
      <w:r>
        <w:rPr>
          <w:i/>
        </w:rPr>
        <w:t>Data sources</w:t>
      </w:r>
      <w:r>
        <w:t xml:space="preserve">: Adapted from </w:t>
      </w:r>
      <w:proofErr w:type="spellStart"/>
      <w:r>
        <w:t>Gruen</w:t>
      </w:r>
      <w:proofErr w:type="spellEnd"/>
      <w:r>
        <w:t xml:space="preserve"> (2011), using ABS (2012c, 2012d, 2012e).</w:t>
      </w:r>
    </w:p>
    <w:p w14:paraId="71284FB0" w14:textId="77777777" w:rsidR="00866B71" w:rsidRDefault="00866B71">
      <w:pPr>
        <w:rPr>
          <w:szCs w:val="20"/>
        </w:rPr>
      </w:pPr>
      <w:r>
        <w:br w:type="page"/>
      </w:r>
    </w:p>
    <w:p w14:paraId="2CE93EC4" w14:textId="5E2023DE" w:rsidR="00866B71" w:rsidRDefault="006B0BA7" w:rsidP="00866B71">
      <w:pPr>
        <w:pStyle w:val="BodyText"/>
      </w:pPr>
      <w:r>
        <w:lastRenderedPageBreak/>
        <w:t>T</w:t>
      </w:r>
      <w:r w:rsidR="00866B71">
        <w:t>he more benign macroeconomic outcomes accompanying this recent boom may, in part, be a reflection of the ‘great moderation’ — a decline in the volatility of output, employment and inflation in most advanced economies, lasting from the early 1980s until recent global downturns. Explanations for the ‘great moderation’ include improved monetary policy, increased global integration, and better inventory control methods. Structural change favouring the (more stable) production of services is also thought to have played a role, at least for some countries (Davis and Kahn 2008), as have reforms to enhance the flexibility of product and labour markets (Kent et al. 2005). Reforms of this nature — such as the move away from centralised wage-fixing to enterprise-level bargaining in Australia — have facilitated the reallocation of factors and resources in response to sector</w:t>
      </w:r>
      <w:r w:rsidR="00866B71">
        <w:noBreakHyphen/>
        <w:t xml:space="preserve"> and firm-specific shocks, thus reducing overall instability. Notwithstanding the advent of the Global Financial Crisis and subsequent international economic turmoil, Australia has continued to reap the benefits of these reforms. </w:t>
      </w:r>
    </w:p>
    <w:p w14:paraId="739CD6A0" w14:textId="77777777" w:rsidR="00457E58" w:rsidRPr="003A330E" w:rsidRDefault="00457E58" w:rsidP="00175FCA">
      <w:pPr>
        <w:pStyle w:val="Heading3"/>
      </w:pPr>
      <w:r>
        <w:t>Assisted by a floating exchange rate</w:t>
      </w:r>
    </w:p>
    <w:p w14:paraId="62E2ADFC" w14:textId="4722CA4B" w:rsidR="00457E58" w:rsidRDefault="00457E58" w:rsidP="00457E58">
      <w:pPr>
        <w:pStyle w:val="BodyText"/>
      </w:pPr>
      <w:r>
        <w:t>A key difference, in Australia’s case, is that the recent boom has been the first to occur under a floating exchange rate. The value of the $</w:t>
      </w:r>
      <w:r w:rsidR="007640DC">
        <w:t>A</w:t>
      </w:r>
      <w:r>
        <w:t xml:space="preserve"> relative to the basket of currencies in the Trade-Weighted Index has generally mirrored the rise in Australia’s terms of trade (figure </w:t>
      </w:r>
      <w:r w:rsidR="008830F5">
        <w:t>1.</w:t>
      </w:r>
      <w:r>
        <w:t>5).</w:t>
      </w:r>
    </w:p>
    <w:p w14:paraId="113BBED6" w14:textId="01D3B59A" w:rsidR="00EB11D2" w:rsidRDefault="008830F5" w:rsidP="00A547B2">
      <w:pPr>
        <w:pStyle w:val="FigureTitle"/>
      </w:pPr>
      <w:r>
        <w:rPr>
          <w:b w:val="0"/>
        </w:rPr>
        <w:t>Figure 1.</w:t>
      </w:r>
      <w:r w:rsidR="00027B48">
        <w:rPr>
          <w:b w:val="0"/>
          <w:noProof/>
        </w:rPr>
        <w:t>5</w:t>
      </w:r>
      <w:r w:rsidR="00EB11D2">
        <w:tab/>
      </w:r>
      <w:r w:rsidR="00DB216B">
        <w:t xml:space="preserve">A ‘commodity currency’: </w:t>
      </w:r>
      <w:r w:rsidR="00D23DE0">
        <w:t xml:space="preserve">the </w:t>
      </w:r>
      <w:r w:rsidR="00DB216B">
        <w:t>rising dollar and</w:t>
      </w:r>
      <w:r w:rsidR="00D23DE0">
        <w:t xml:space="preserve"> the</w:t>
      </w:r>
      <w:r w:rsidR="00DB216B">
        <w:t xml:space="preserve"> terms of trade</w:t>
      </w:r>
      <w:r w:rsidR="00EB11D2" w:rsidRPr="00894231">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11D2" w14:paraId="0440BAF8" w14:textId="77777777" w:rsidTr="001318AD">
        <w:tc>
          <w:tcPr>
            <w:tcW w:w="8777" w:type="dxa"/>
          </w:tcPr>
          <w:p w14:paraId="3C14C7C6" w14:textId="6326F66E" w:rsidR="00EB11D2" w:rsidRDefault="00003B7F" w:rsidP="004A1D7C">
            <w:pPr>
              <w:pStyle w:val="Figure"/>
              <w:spacing w:before="0" w:after="0"/>
            </w:pPr>
            <w:r>
              <w:rPr>
                <w:noProof/>
              </w:rPr>
              <w:drawing>
                <wp:inline distT="0" distB="0" distL="0" distR="0" wp14:anchorId="6AA7B94E" wp14:editId="02D16011">
                  <wp:extent cx="4755515" cy="2743200"/>
                  <wp:effectExtent l="0" t="0" r="6985" b="0"/>
                  <wp:docPr id="28" name="Picture 28" descr="Figure 1.5 A ‘commodity currency’: the rising dollar and the terms of trade.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5515" cy="2743200"/>
                          </a:xfrm>
                          <a:prstGeom prst="rect">
                            <a:avLst/>
                          </a:prstGeom>
                          <a:noFill/>
                        </pic:spPr>
                      </pic:pic>
                    </a:graphicData>
                  </a:graphic>
                </wp:inline>
              </w:drawing>
            </w:r>
          </w:p>
        </w:tc>
      </w:tr>
    </w:tbl>
    <w:p w14:paraId="42516CDF" w14:textId="4A7C6A5A" w:rsidR="00EB11D2" w:rsidRDefault="00EB11D2" w:rsidP="00EB11D2">
      <w:pPr>
        <w:pStyle w:val="Note"/>
      </w:pPr>
      <w:r>
        <w:rPr>
          <w:rStyle w:val="NoteLabel"/>
        </w:rPr>
        <w:t>a</w:t>
      </w:r>
      <w:r>
        <w:t xml:space="preserve"> Terms of trade</w:t>
      </w:r>
      <w:r w:rsidR="00D81DCB">
        <w:t xml:space="preserve">: seasonally adjusted </w:t>
      </w:r>
      <w:r w:rsidR="00E56A27">
        <w:t xml:space="preserve">quarterly </w:t>
      </w:r>
      <w:r w:rsidR="00D81DCB">
        <w:t>data</w:t>
      </w:r>
      <w:r>
        <w:t>. Trade-</w:t>
      </w:r>
      <w:r w:rsidR="004A56E7">
        <w:t>Weighted I</w:t>
      </w:r>
      <w:r>
        <w:t>ndex</w:t>
      </w:r>
      <w:r w:rsidR="00D81DCB">
        <w:t>: end of quarter data</w:t>
      </w:r>
      <w:r w:rsidR="001318AD">
        <w:t>. Both indexes have been rebased to March 2002.</w:t>
      </w:r>
    </w:p>
    <w:p w14:paraId="48CA8A5E" w14:textId="1E6C54AA" w:rsidR="00EB11D2" w:rsidRDefault="00EB11D2" w:rsidP="00EB11D2">
      <w:pPr>
        <w:pStyle w:val="Source"/>
      </w:pPr>
      <w:r>
        <w:rPr>
          <w:i/>
        </w:rPr>
        <w:t>Data source</w:t>
      </w:r>
      <w:r w:rsidR="00C75B96">
        <w:rPr>
          <w:i/>
        </w:rPr>
        <w:t>s</w:t>
      </w:r>
      <w:r w:rsidRPr="00167F06">
        <w:t xml:space="preserve">: </w:t>
      </w:r>
      <w:r w:rsidR="00D343C3">
        <w:t>ABS (2012</w:t>
      </w:r>
      <w:r w:rsidR="006B1DCF">
        <w:t>f</w:t>
      </w:r>
      <w:r w:rsidR="00135255">
        <w:t>, 2012g</w:t>
      </w:r>
      <w:r w:rsidR="00D343C3">
        <w:t>)</w:t>
      </w:r>
      <w:r>
        <w:t>.</w:t>
      </w:r>
    </w:p>
    <w:p w14:paraId="14A715CA" w14:textId="1CB7744B" w:rsidR="00457E58" w:rsidRDefault="00457E58" w:rsidP="00457E58">
      <w:pPr>
        <w:pStyle w:val="BodyText"/>
      </w:pPr>
      <w:r>
        <w:lastRenderedPageBreak/>
        <w:t xml:space="preserve">The flexibility of the Australian dollar has served to insulate the </w:t>
      </w:r>
      <w:proofErr w:type="spellStart"/>
      <w:r>
        <w:t>macroeconomy</w:t>
      </w:r>
      <w:proofErr w:type="spellEnd"/>
      <w:r>
        <w:t xml:space="preserve"> from the possible downsides of recent external shocks. For example, the exchange rate acted as a ‘shock absorber’ during the Global Financial Crisis. Conversely, when the terms of trade increased, and national income expanded, the exchange rate was instrumental in spreading the benefits of the boom. This allowed consumers and producers to enjoy cheaper prices for imported goods, services and inputs, which limited the inflationary impact of the extra household income. In addition, as illustrated in figure </w:t>
      </w:r>
      <w:r w:rsidR="008830F5">
        <w:t>1.</w:t>
      </w:r>
      <w:r>
        <w:t xml:space="preserve">2, the increase in the </w:t>
      </w:r>
      <w:r w:rsidR="00E57364">
        <w:t>$</w:t>
      </w:r>
      <w:r>
        <w:t>A brought about changes in the relative prices of traded and non-traded products, prompting production shifts. Those shifts, in turn, eased pressures on domestic prices.</w:t>
      </w:r>
    </w:p>
    <w:p w14:paraId="1D2B0C72" w14:textId="6F4FEB40" w:rsidR="00F2298D" w:rsidRDefault="00010BFF" w:rsidP="00B9579E">
      <w:pPr>
        <w:pStyle w:val="BodyText"/>
      </w:pPr>
      <w:r>
        <w:t>By the same token</w:t>
      </w:r>
      <w:r w:rsidR="000F20D1">
        <w:t>,</w:t>
      </w:r>
      <w:r>
        <w:t xml:space="preserve"> t</w:t>
      </w:r>
      <w:r w:rsidR="00F2298D">
        <w:t xml:space="preserve">he floating dollar </w:t>
      </w:r>
      <w:r w:rsidR="002403AB">
        <w:t xml:space="preserve">could be expected to </w:t>
      </w:r>
      <w:r w:rsidR="00F2298D">
        <w:t xml:space="preserve">cushion the economy on the </w:t>
      </w:r>
      <w:r>
        <w:t>‘</w:t>
      </w:r>
      <w:r w:rsidR="00F2298D">
        <w:t>way down</w:t>
      </w:r>
      <w:r>
        <w:t xml:space="preserve">’ if the </w:t>
      </w:r>
      <w:r w:rsidR="00F2298D">
        <w:t xml:space="preserve">terms of trade </w:t>
      </w:r>
      <w:r w:rsidR="00C63386">
        <w:t xml:space="preserve">continue to </w:t>
      </w:r>
      <w:r w:rsidR="00F2298D">
        <w:t>unwind</w:t>
      </w:r>
      <w:r w:rsidR="008D75DD">
        <w:t>. (T</w:t>
      </w:r>
      <w:r w:rsidR="00F2298D">
        <w:t xml:space="preserve">hey are </w:t>
      </w:r>
      <w:r w:rsidR="000F20D1">
        <w:t>currently around</w:t>
      </w:r>
      <w:r w:rsidR="00F2298D">
        <w:t xml:space="preserve"> </w:t>
      </w:r>
      <w:r w:rsidR="006B703C">
        <w:t xml:space="preserve">10 </w:t>
      </w:r>
      <w:r w:rsidR="00F2298D">
        <w:t>per cent below their</w:t>
      </w:r>
      <w:r w:rsidR="006B703C">
        <w:t xml:space="preserve"> </w:t>
      </w:r>
      <w:r w:rsidR="00F2298D">
        <w:t xml:space="preserve">peak of </w:t>
      </w:r>
      <w:r w:rsidR="006B703C">
        <w:t xml:space="preserve">September </w:t>
      </w:r>
      <w:r w:rsidR="00F2298D">
        <w:t>2011</w:t>
      </w:r>
      <w:r>
        <w:t>.</w:t>
      </w:r>
      <w:r w:rsidR="008D75DD">
        <w:t>)</w:t>
      </w:r>
      <w:r>
        <w:t xml:space="preserve"> This would</w:t>
      </w:r>
      <w:r w:rsidR="009B16BC">
        <w:t>,</w:t>
      </w:r>
      <w:r>
        <w:t xml:space="preserve"> </w:t>
      </w:r>
      <w:r w:rsidR="000F20D1">
        <w:t>in turn</w:t>
      </w:r>
      <w:r w:rsidR="009B16BC">
        <w:t>,</w:t>
      </w:r>
      <w:r w:rsidR="000F20D1">
        <w:t xml:space="preserve"> </w:t>
      </w:r>
      <w:r>
        <w:t>favour trade</w:t>
      </w:r>
      <w:r w:rsidR="000C24BB">
        <w:noBreakHyphen/>
      </w:r>
      <w:r>
        <w:t>exposed industries</w:t>
      </w:r>
      <w:r w:rsidR="002403AB">
        <w:t>.</w:t>
      </w:r>
      <w:r w:rsidR="009249FC">
        <w:t xml:space="preserve"> </w:t>
      </w:r>
      <w:r w:rsidR="0036162A">
        <w:t>The importance of a floating exchange rate was underscored</w:t>
      </w:r>
      <w:r w:rsidR="009249FC">
        <w:t xml:space="preserve"> during the 1997</w:t>
      </w:r>
      <w:r w:rsidR="0036162A">
        <w:t>–</w:t>
      </w:r>
      <w:r w:rsidR="009249FC">
        <w:t xml:space="preserve">98 Asian Financial Crisis, when </w:t>
      </w:r>
      <w:r w:rsidR="0036162A">
        <w:t xml:space="preserve">exposure to East Asia led to a significant decline in </w:t>
      </w:r>
      <w:r w:rsidR="008A571C">
        <w:t>Australia’s</w:t>
      </w:r>
      <w:r w:rsidR="0036162A">
        <w:t xml:space="preserve"> terms of trade. As a result of the ensuing depreciation in the Australian dollar, Australia’s </w:t>
      </w:r>
      <w:r w:rsidR="00F5144C">
        <w:t>exports were</w:t>
      </w:r>
      <w:r w:rsidR="0036162A">
        <w:t xml:space="preserve"> able to be re</w:t>
      </w:r>
      <w:r w:rsidR="00EC2FF0">
        <w:noBreakHyphen/>
      </w:r>
      <w:r w:rsidR="0036162A">
        <w:t>directed to</w:t>
      </w:r>
      <w:r w:rsidR="00F5144C">
        <w:t>wards</w:t>
      </w:r>
      <w:r w:rsidR="0036162A">
        <w:t xml:space="preserve"> Europe and North America (Anderson 2000). </w:t>
      </w:r>
    </w:p>
    <w:p w14:paraId="0555D99D" w14:textId="77777777" w:rsidR="003A330E" w:rsidRPr="003A330E" w:rsidRDefault="00C2691D" w:rsidP="00175FCA">
      <w:pPr>
        <w:pStyle w:val="Heading3"/>
      </w:pPr>
      <w:r>
        <w:t>Labour market a</w:t>
      </w:r>
      <w:r w:rsidR="003A330E">
        <w:t xml:space="preserve">djustments have been </w:t>
      </w:r>
      <w:r w:rsidR="00D97B37">
        <w:t>taking place</w:t>
      </w:r>
      <w:r w:rsidR="003A330E">
        <w:t xml:space="preserve"> relatively smoothly</w:t>
      </w:r>
    </w:p>
    <w:p w14:paraId="498A0E89" w14:textId="44F51AF1" w:rsidR="00451451" w:rsidRDefault="00741FB7" w:rsidP="00B9579E">
      <w:pPr>
        <w:pStyle w:val="BodyText"/>
      </w:pPr>
      <w:r>
        <w:t xml:space="preserve">When Australia’s terms of trade </w:t>
      </w:r>
      <w:r w:rsidR="00B003A6">
        <w:t xml:space="preserve">last </w:t>
      </w:r>
      <w:r>
        <w:t xml:space="preserve">peaked </w:t>
      </w:r>
      <w:r w:rsidR="000F20D1">
        <w:t>in 1973-74</w:t>
      </w:r>
      <w:r>
        <w:t xml:space="preserve">, demand pressures translated into high </w:t>
      </w:r>
      <w:r w:rsidR="002403AB">
        <w:t xml:space="preserve">nominal </w:t>
      </w:r>
      <w:r>
        <w:t xml:space="preserve">wages, with rising </w:t>
      </w:r>
      <w:r w:rsidR="002403AB">
        <w:t xml:space="preserve">inflation and </w:t>
      </w:r>
      <w:r>
        <w:t>unemployment to follow</w:t>
      </w:r>
      <w:r w:rsidR="009B16BC">
        <w:t xml:space="preserve"> (figure </w:t>
      </w:r>
      <w:r w:rsidR="008830F5">
        <w:t>1.</w:t>
      </w:r>
      <w:r w:rsidR="007F55B1">
        <w:t>4</w:t>
      </w:r>
      <w:r w:rsidR="009B16BC">
        <w:t>)</w:t>
      </w:r>
      <w:r>
        <w:t xml:space="preserve">. </w:t>
      </w:r>
      <w:r w:rsidR="00803BA3">
        <w:t xml:space="preserve">The large real wage ‘overhang’ from the disparity between </w:t>
      </w:r>
      <w:r w:rsidR="00CA3700">
        <w:t>average nominal</w:t>
      </w:r>
      <w:r w:rsidR="00803BA3">
        <w:t xml:space="preserve"> wages and </w:t>
      </w:r>
      <w:r w:rsidR="00CA3700">
        <w:t xml:space="preserve">labour </w:t>
      </w:r>
      <w:r w:rsidR="00803BA3">
        <w:t>productivity took several years to unwind.</w:t>
      </w:r>
    </w:p>
    <w:p w14:paraId="505C87F1" w14:textId="3E69BC0E" w:rsidR="00741FB7" w:rsidRDefault="002403AB" w:rsidP="00B9579E">
      <w:pPr>
        <w:pStyle w:val="BodyText"/>
      </w:pPr>
      <w:r>
        <w:t>D</w:t>
      </w:r>
      <w:r w:rsidR="00741FB7">
        <w:t xml:space="preserve">ecentralised </w:t>
      </w:r>
      <w:r>
        <w:t>wage</w:t>
      </w:r>
      <w:r w:rsidR="009B16BC">
        <w:t>-</w:t>
      </w:r>
      <w:r w:rsidR="00741FB7">
        <w:t xml:space="preserve">setting in </w:t>
      </w:r>
      <w:r>
        <w:t>more</w:t>
      </w:r>
      <w:r w:rsidR="00741FB7">
        <w:t xml:space="preserve"> recent </w:t>
      </w:r>
      <w:r>
        <w:t>years</w:t>
      </w:r>
      <w:r w:rsidR="00741FB7">
        <w:t xml:space="preserve"> has made it possible for relative wages to change across jurisdictions</w:t>
      </w:r>
      <w:r w:rsidR="009B16BC">
        <w:t>,</w:t>
      </w:r>
      <w:r w:rsidR="001874CD">
        <w:t xml:space="preserve"> industries and firms</w:t>
      </w:r>
      <w:r>
        <w:t xml:space="preserve"> in response to differential</w:t>
      </w:r>
      <w:r w:rsidR="00741FB7">
        <w:t xml:space="preserve"> lab</w:t>
      </w:r>
      <w:r>
        <w:t xml:space="preserve">our market pressures (figure </w:t>
      </w:r>
      <w:r w:rsidR="008830F5">
        <w:t>1.</w:t>
      </w:r>
      <w:r w:rsidR="001874CD">
        <w:t>6</w:t>
      </w:r>
      <w:r w:rsidR="00741FB7">
        <w:t xml:space="preserve">). </w:t>
      </w:r>
      <w:r w:rsidR="009B16BC">
        <w:t xml:space="preserve">Further, </w:t>
      </w:r>
      <w:r w:rsidR="00FF07DB">
        <w:t xml:space="preserve">as seen in figure </w:t>
      </w:r>
      <w:r w:rsidR="008830F5">
        <w:t>1.</w:t>
      </w:r>
      <w:r w:rsidR="00FF07DB">
        <w:t xml:space="preserve">4, </w:t>
      </w:r>
      <w:r w:rsidR="009B16BC">
        <w:t xml:space="preserve">decentralised </w:t>
      </w:r>
      <w:r w:rsidR="00741FB7">
        <w:t>wage</w:t>
      </w:r>
      <w:r w:rsidR="003F324F">
        <w:noBreakHyphen/>
      </w:r>
      <w:r w:rsidR="00741FB7">
        <w:t xml:space="preserve">setting </w:t>
      </w:r>
      <w:r>
        <w:t>has avoided</w:t>
      </w:r>
      <w:r w:rsidR="00741FB7">
        <w:t xml:space="preserve"> demand pressures being transmitted from expanding parts of the economy </w:t>
      </w:r>
      <w:r w:rsidR="000F20D1">
        <w:t>in</w:t>
      </w:r>
      <w:r w:rsidR="00741FB7">
        <w:t xml:space="preserve">to aggregate </w:t>
      </w:r>
      <w:r>
        <w:t xml:space="preserve">nominal </w:t>
      </w:r>
      <w:r w:rsidR="00741FB7">
        <w:t>wage outcomes</w:t>
      </w:r>
      <w:r>
        <w:t>.</w:t>
      </w:r>
    </w:p>
    <w:p w14:paraId="2962ACE5" w14:textId="76F10E83" w:rsidR="00FF07DB" w:rsidRDefault="008830F5" w:rsidP="00A547B2">
      <w:pPr>
        <w:pStyle w:val="FigureTitle"/>
      </w:pPr>
      <w:r>
        <w:rPr>
          <w:b w:val="0"/>
        </w:rPr>
        <w:lastRenderedPageBreak/>
        <w:t>Figure 1.</w:t>
      </w:r>
      <w:r w:rsidR="00027B48">
        <w:rPr>
          <w:b w:val="0"/>
          <w:noProof/>
        </w:rPr>
        <w:t>6</w:t>
      </w:r>
      <w:r w:rsidR="00FF07DB">
        <w:tab/>
      </w:r>
      <w:r w:rsidR="008D75DD">
        <w:t>W</w:t>
      </w:r>
      <w:r w:rsidR="00E56A27">
        <w:t>age</w:t>
      </w:r>
      <w:r w:rsidR="008D75DD">
        <w:t xml:space="preserve"> movements</w:t>
      </w:r>
      <w:r w:rsidR="00E56A27">
        <w:t xml:space="preserve"> </w:t>
      </w:r>
      <w:r w:rsidR="00DB216B">
        <w:t>have reflected</w:t>
      </w:r>
      <w:r w:rsidR="00E56A27">
        <w:t xml:space="preserve"> local conditions</w:t>
      </w:r>
      <w:r w:rsidR="00A547B2" w:rsidRPr="00A547B2">
        <w:rPr>
          <w:rStyle w:val="NoteLabel"/>
          <w:b/>
        </w:rPr>
        <w:t>a</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FF07DB" w14:paraId="2408321C" w14:textId="77777777" w:rsidTr="00FF07DB">
        <w:tc>
          <w:tcPr>
            <w:tcW w:w="8777" w:type="dxa"/>
            <w:tcBorders>
              <w:top w:val="single" w:sz="6" w:space="0" w:color="auto"/>
              <w:left w:val="nil"/>
              <w:bottom w:val="single" w:sz="6" w:space="0" w:color="auto"/>
              <w:right w:val="nil"/>
            </w:tcBorders>
            <w:hideMark/>
          </w:tcPr>
          <w:p w14:paraId="498F9306" w14:textId="6FADBF95" w:rsidR="00FF07DB" w:rsidRDefault="00003B7F" w:rsidP="004A1D7C">
            <w:pPr>
              <w:pStyle w:val="Figure"/>
              <w:spacing w:before="60" w:after="0"/>
            </w:pPr>
            <w:r>
              <w:rPr>
                <w:noProof/>
              </w:rPr>
              <w:drawing>
                <wp:inline distT="0" distB="0" distL="0" distR="0" wp14:anchorId="53AB133D" wp14:editId="0B4A1743">
                  <wp:extent cx="5438140" cy="3773805"/>
                  <wp:effectExtent l="0" t="0" r="0" b="0"/>
                  <wp:docPr id="29" name="Picture 29" descr="Figure 1.6 Wage movements have reflected local conditions.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38140" cy="3773805"/>
                          </a:xfrm>
                          <a:prstGeom prst="rect">
                            <a:avLst/>
                          </a:prstGeom>
                          <a:noFill/>
                        </pic:spPr>
                      </pic:pic>
                    </a:graphicData>
                  </a:graphic>
                </wp:inline>
              </w:drawing>
            </w:r>
          </w:p>
        </w:tc>
      </w:tr>
    </w:tbl>
    <w:p w14:paraId="69772959" w14:textId="77777777" w:rsidR="00FF07DB" w:rsidRDefault="00FF07DB" w:rsidP="00FF07DB">
      <w:pPr>
        <w:pStyle w:val="Source"/>
        <w:rPr>
          <w:rStyle w:val="NoteLabel"/>
        </w:rPr>
      </w:pPr>
      <w:r>
        <w:rPr>
          <w:rStyle w:val="NoteLabel"/>
        </w:rPr>
        <w:t xml:space="preserve">a </w:t>
      </w:r>
      <w:r>
        <w:t>Productivity Commission calculations using full-time adult total earnings, seasonally adjusted series.</w:t>
      </w:r>
    </w:p>
    <w:p w14:paraId="1B7A189F" w14:textId="61A6B38E" w:rsidR="00FF07DB" w:rsidRDefault="00FF07DB" w:rsidP="00FF07DB">
      <w:pPr>
        <w:pStyle w:val="Source"/>
      </w:pPr>
      <w:r>
        <w:rPr>
          <w:i/>
        </w:rPr>
        <w:t>Data source</w:t>
      </w:r>
      <w:r>
        <w:t>: ABS (2012</w:t>
      </w:r>
      <w:r w:rsidR="006B1DCF">
        <w:t>e</w:t>
      </w:r>
      <w:r>
        <w:t>).</w:t>
      </w:r>
    </w:p>
    <w:p w14:paraId="2FC86271" w14:textId="120CF0D7" w:rsidR="006B1628" w:rsidRDefault="008B147D" w:rsidP="008A79F3">
      <w:pPr>
        <w:pStyle w:val="BodyText"/>
      </w:pPr>
      <w:r>
        <w:t xml:space="preserve">Additional </w:t>
      </w:r>
      <w:r w:rsidR="006050D1">
        <w:t xml:space="preserve">benefits have been </w:t>
      </w:r>
      <w:r w:rsidR="000F20D1">
        <w:t>fewer</w:t>
      </w:r>
      <w:r w:rsidR="006050D1">
        <w:t xml:space="preserve"> job losses from cyclical </w:t>
      </w:r>
      <w:r w:rsidR="00E56A27">
        <w:t>fluctuations</w:t>
      </w:r>
      <w:r w:rsidR="006050D1">
        <w:t xml:space="preserve"> and structural shocks th</w:t>
      </w:r>
      <w:r w:rsidR="00F43B5F">
        <w:t>a</w:t>
      </w:r>
      <w:r w:rsidR="006050D1">
        <w:t xml:space="preserve">n in </w:t>
      </w:r>
      <w:r w:rsidR="00F14037">
        <w:t xml:space="preserve">the past, as hours worked have been </w:t>
      </w:r>
      <w:r w:rsidR="00E252EF">
        <w:t>a preferred source of adjustment, limiting the number of</w:t>
      </w:r>
      <w:r w:rsidR="00F43B5F">
        <w:t xml:space="preserve"> layoffs</w:t>
      </w:r>
      <w:r w:rsidR="00F14037">
        <w:t>. Moreover</w:t>
      </w:r>
      <w:r w:rsidR="009B16BC">
        <w:t>,</w:t>
      </w:r>
      <w:r w:rsidR="00D05DFC">
        <w:t xml:space="preserve"> </w:t>
      </w:r>
      <w:r w:rsidR="008D75DD">
        <w:t xml:space="preserve">displaced </w:t>
      </w:r>
      <w:r w:rsidR="00D05DFC">
        <w:t xml:space="preserve">workers </w:t>
      </w:r>
      <w:r w:rsidR="008D75DD">
        <w:t>have</w:t>
      </w:r>
      <w:r w:rsidR="009B710F">
        <w:t xml:space="preserve"> </w:t>
      </w:r>
      <w:r w:rsidR="006F7F17">
        <w:t>tend</w:t>
      </w:r>
      <w:r w:rsidR="008D75DD">
        <w:t>ed</w:t>
      </w:r>
      <w:r w:rsidR="006F7F17">
        <w:t xml:space="preserve"> to </w:t>
      </w:r>
      <w:r w:rsidR="009B710F">
        <w:t>spend less time unemployed than they used to</w:t>
      </w:r>
      <w:r w:rsidR="00F14037">
        <w:t xml:space="preserve">, including in jurisdictions where there is little </w:t>
      </w:r>
      <w:r w:rsidR="00485E65">
        <w:t xml:space="preserve">or no </w:t>
      </w:r>
      <w:r w:rsidR="00F14037">
        <w:t>mining activity</w:t>
      </w:r>
      <w:r w:rsidR="00485E65">
        <w:t xml:space="preserve">. </w:t>
      </w:r>
      <w:r>
        <w:t>For example</w:t>
      </w:r>
      <w:r w:rsidR="00485E65">
        <w:t xml:space="preserve">, average unemployment duration decreased in all </w:t>
      </w:r>
      <w:r w:rsidR="00365EE8">
        <w:t>jurisdic</w:t>
      </w:r>
      <w:r w:rsidR="00D74B9C">
        <w:t>t</w:t>
      </w:r>
      <w:r w:rsidR="00365EE8">
        <w:t>i</w:t>
      </w:r>
      <w:r w:rsidR="00D74B9C">
        <w:t>ons apart from the Northern Territory</w:t>
      </w:r>
      <w:r w:rsidR="00485E65">
        <w:t xml:space="preserve"> between 2001–03 and 2010–12</w:t>
      </w:r>
      <w:r>
        <w:t xml:space="preserve"> (table 1</w:t>
      </w:r>
      <w:r w:rsidR="006B0BA7">
        <w:t>.1</w:t>
      </w:r>
      <w:r>
        <w:t>)</w:t>
      </w:r>
      <w:r w:rsidR="00F14037">
        <w:t>.</w:t>
      </w:r>
    </w:p>
    <w:p w14:paraId="4741114A" w14:textId="77777777" w:rsidR="004A1D7C" w:rsidRDefault="004A1D7C" w:rsidP="004A1D7C">
      <w:pPr>
        <w:pStyle w:val="BodyText"/>
      </w:pPr>
      <w:r>
        <w:t>This is also true for a particular demographic group that is traditionally vulnerable to lengthy unemployment spells. The average unemployment duration for males aged 55 years and over was around 72 weeks in 2010–2012, down from 111 weeks in 2001–03. A note of caution is injected by Gregory (2012), who observes that, in the 2000s, older, unemployed unskilled males have continued the previous trend of moving from long-term unemployment to the disability support pension. He also notes that the mining boom does not appear to have durably altered the long-term decline in the full-time employment-to-population ratio for males aged 15–64, even in the mining states of Western Australia and Queensland.</w:t>
      </w:r>
    </w:p>
    <w:p w14:paraId="5E5710CD" w14:textId="426588AE" w:rsidR="00485E65" w:rsidRPr="003A3689" w:rsidRDefault="008830F5" w:rsidP="007640DC">
      <w:pPr>
        <w:pStyle w:val="TableTitle"/>
      </w:pPr>
      <w:r>
        <w:rPr>
          <w:b w:val="0"/>
        </w:rPr>
        <w:lastRenderedPageBreak/>
        <w:t>Table 1.</w:t>
      </w:r>
      <w:r w:rsidR="00027B48">
        <w:rPr>
          <w:b w:val="0"/>
          <w:noProof/>
        </w:rPr>
        <w:t>1</w:t>
      </w:r>
      <w:r w:rsidR="00485E65" w:rsidRPr="008C4F14">
        <w:tab/>
      </w:r>
      <w:r w:rsidR="00CF1A63">
        <w:t>Average u</w:t>
      </w:r>
      <w:r w:rsidR="008B147D">
        <w:t>nemployment duration has fallen</w:t>
      </w:r>
      <w:r w:rsidR="00485E65" w:rsidRPr="008C4F14">
        <w:rPr>
          <w:position w:val="6"/>
          <w:sz w:val="18"/>
        </w:rPr>
        <w:t>a</w:t>
      </w:r>
    </w:p>
    <w:tbl>
      <w:tblPr>
        <w:tblW w:w="5000" w:type="pct"/>
        <w:tblCellMar>
          <w:left w:w="0" w:type="dxa"/>
          <w:right w:w="0" w:type="dxa"/>
        </w:tblCellMar>
        <w:tblLook w:val="0000" w:firstRow="0" w:lastRow="0" w:firstColumn="0" w:lastColumn="0" w:noHBand="0" w:noVBand="0"/>
      </w:tblPr>
      <w:tblGrid>
        <w:gridCol w:w="2977"/>
        <w:gridCol w:w="2906"/>
        <w:gridCol w:w="2906"/>
      </w:tblGrid>
      <w:tr w:rsidR="00485E65" w:rsidRPr="008C4F14" w14:paraId="069069AD" w14:textId="77777777" w:rsidTr="00485E65">
        <w:tc>
          <w:tcPr>
            <w:tcW w:w="1694" w:type="pct"/>
            <w:tcBorders>
              <w:top w:val="single" w:sz="6" w:space="0" w:color="auto"/>
              <w:bottom w:val="single" w:sz="6" w:space="0" w:color="auto"/>
            </w:tcBorders>
            <w:shd w:val="clear" w:color="auto" w:fill="auto"/>
          </w:tcPr>
          <w:p w14:paraId="4D2C7AE3" w14:textId="77777777" w:rsidR="00485E65" w:rsidRPr="008C4F14" w:rsidRDefault="00485E65" w:rsidP="004A1D7C">
            <w:pPr>
              <w:pStyle w:val="TableColumnHeading"/>
              <w:jc w:val="left"/>
            </w:pPr>
            <w:r w:rsidRPr="008C4F14">
              <w:t>State or Territory</w:t>
            </w:r>
          </w:p>
        </w:tc>
        <w:tc>
          <w:tcPr>
            <w:tcW w:w="1653" w:type="pct"/>
            <w:tcBorders>
              <w:top w:val="single" w:sz="6" w:space="0" w:color="auto"/>
              <w:bottom w:val="single" w:sz="6" w:space="0" w:color="auto"/>
            </w:tcBorders>
            <w:shd w:val="clear" w:color="auto" w:fill="auto"/>
          </w:tcPr>
          <w:p w14:paraId="3E733E51" w14:textId="27E011D3" w:rsidR="00485E65" w:rsidRPr="008C4F14" w:rsidRDefault="00485E65" w:rsidP="004A1D7C">
            <w:pPr>
              <w:pStyle w:val="TableColumnHeading"/>
            </w:pPr>
            <w:r w:rsidRPr="008C4F14">
              <w:t xml:space="preserve">Average duration </w:t>
            </w:r>
            <w:r>
              <w:t>2001–03</w:t>
            </w:r>
          </w:p>
        </w:tc>
        <w:tc>
          <w:tcPr>
            <w:tcW w:w="1653" w:type="pct"/>
            <w:tcBorders>
              <w:top w:val="single" w:sz="6" w:space="0" w:color="auto"/>
              <w:bottom w:val="single" w:sz="6" w:space="0" w:color="auto"/>
            </w:tcBorders>
          </w:tcPr>
          <w:p w14:paraId="662A79D2" w14:textId="79F988B5" w:rsidR="00485E65" w:rsidRPr="008C4F14" w:rsidRDefault="00485E65" w:rsidP="004A1D7C">
            <w:pPr>
              <w:pStyle w:val="TableColumnHeading"/>
            </w:pPr>
            <w:r w:rsidRPr="008C4F14">
              <w:t xml:space="preserve">Average duration </w:t>
            </w:r>
            <w:r>
              <w:t>2010–</w:t>
            </w:r>
            <w:r w:rsidRPr="008C4F14">
              <w:t>12</w:t>
            </w:r>
          </w:p>
        </w:tc>
      </w:tr>
      <w:tr w:rsidR="00485E65" w:rsidRPr="008C4F14" w14:paraId="05007CC0" w14:textId="77777777" w:rsidTr="00485E65">
        <w:tc>
          <w:tcPr>
            <w:tcW w:w="1694" w:type="pct"/>
            <w:tcBorders>
              <w:top w:val="single" w:sz="6" w:space="0" w:color="auto"/>
            </w:tcBorders>
          </w:tcPr>
          <w:p w14:paraId="6D32B30A" w14:textId="77777777" w:rsidR="00485E65" w:rsidRPr="008C4F14" w:rsidRDefault="00485E65" w:rsidP="004A1D7C">
            <w:pPr>
              <w:pStyle w:val="TableUnitsRow"/>
            </w:pPr>
          </w:p>
        </w:tc>
        <w:tc>
          <w:tcPr>
            <w:tcW w:w="1653" w:type="pct"/>
            <w:tcBorders>
              <w:top w:val="single" w:sz="6" w:space="0" w:color="auto"/>
            </w:tcBorders>
          </w:tcPr>
          <w:p w14:paraId="4D0B7261" w14:textId="77777777" w:rsidR="00485E65" w:rsidRPr="008C4F14" w:rsidRDefault="00485E65" w:rsidP="004A1D7C">
            <w:pPr>
              <w:pStyle w:val="TableUnitsRow"/>
            </w:pPr>
            <w:r w:rsidRPr="008C4F14">
              <w:t>Weeks</w:t>
            </w:r>
          </w:p>
        </w:tc>
        <w:tc>
          <w:tcPr>
            <w:tcW w:w="1653" w:type="pct"/>
            <w:tcBorders>
              <w:top w:val="single" w:sz="6" w:space="0" w:color="auto"/>
            </w:tcBorders>
          </w:tcPr>
          <w:p w14:paraId="4B2FD4B8" w14:textId="77777777" w:rsidR="00485E65" w:rsidRPr="008C4F14" w:rsidRDefault="00485E65" w:rsidP="004A1D7C">
            <w:pPr>
              <w:pStyle w:val="TableUnitsRow"/>
            </w:pPr>
            <w:r w:rsidRPr="008C4F14">
              <w:t>Weeks</w:t>
            </w:r>
          </w:p>
        </w:tc>
      </w:tr>
      <w:tr w:rsidR="00135255" w:rsidRPr="008C4F14" w14:paraId="638E290D" w14:textId="77777777" w:rsidTr="00485E65">
        <w:tc>
          <w:tcPr>
            <w:tcW w:w="1694" w:type="pct"/>
          </w:tcPr>
          <w:p w14:paraId="7EBE866C" w14:textId="7A02840B" w:rsidR="00135255" w:rsidRPr="008C4F14" w:rsidRDefault="00135255" w:rsidP="00135255">
            <w:pPr>
              <w:pStyle w:val="TableBodyText"/>
              <w:jc w:val="left"/>
            </w:pPr>
            <w:r w:rsidRPr="003E28D9">
              <w:t>New South Wales</w:t>
            </w:r>
          </w:p>
        </w:tc>
        <w:tc>
          <w:tcPr>
            <w:tcW w:w="1653" w:type="pct"/>
          </w:tcPr>
          <w:p w14:paraId="6E37D1AC" w14:textId="3C5F0BF8" w:rsidR="00135255" w:rsidRPr="008C4F14" w:rsidRDefault="00135255" w:rsidP="00135255">
            <w:pPr>
              <w:pStyle w:val="TableBodyText"/>
            </w:pPr>
            <w:r w:rsidRPr="003E28D9">
              <w:t>53.6</w:t>
            </w:r>
          </w:p>
        </w:tc>
        <w:tc>
          <w:tcPr>
            <w:tcW w:w="1653" w:type="pct"/>
          </w:tcPr>
          <w:p w14:paraId="6E7397A9" w14:textId="2E810886" w:rsidR="00135255" w:rsidRPr="008C4F14" w:rsidRDefault="00135255" w:rsidP="00135255">
            <w:pPr>
              <w:pStyle w:val="TableBodyText"/>
            </w:pPr>
            <w:r w:rsidRPr="003E28D9">
              <w:t>43.8</w:t>
            </w:r>
          </w:p>
        </w:tc>
      </w:tr>
      <w:tr w:rsidR="00135255" w:rsidRPr="008C4F14" w14:paraId="2C95F782" w14:textId="77777777" w:rsidTr="00485E65">
        <w:tc>
          <w:tcPr>
            <w:tcW w:w="1694" w:type="pct"/>
            <w:shd w:val="clear" w:color="auto" w:fill="auto"/>
          </w:tcPr>
          <w:p w14:paraId="5FC9BEE6" w14:textId="1782DF6A" w:rsidR="00135255" w:rsidRPr="008C4F14" w:rsidRDefault="00135255" w:rsidP="00135255">
            <w:pPr>
              <w:pStyle w:val="TableBodyText"/>
              <w:jc w:val="left"/>
            </w:pPr>
            <w:r w:rsidRPr="003E28D9">
              <w:t>Victoria</w:t>
            </w:r>
          </w:p>
        </w:tc>
        <w:tc>
          <w:tcPr>
            <w:tcW w:w="1653" w:type="pct"/>
            <w:shd w:val="clear" w:color="auto" w:fill="auto"/>
          </w:tcPr>
          <w:p w14:paraId="59AD5BF7" w14:textId="2910E1F8" w:rsidR="00135255" w:rsidRPr="008C4F14" w:rsidRDefault="00135255" w:rsidP="00135255">
            <w:pPr>
              <w:pStyle w:val="TableBodyText"/>
            </w:pPr>
            <w:r w:rsidRPr="003E28D9">
              <w:t>44.0</w:t>
            </w:r>
          </w:p>
        </w:tc>
        <w:tc>
          <w:tcPr>
            <w:tcW w:w="1653" w:type="pct"/>
          </w:tcPr>
          <w:p w14:paraId="6AADE779" w14:textId="7A1D5A29" w:rsidR="00135255" w:rsidRPr="008C4F14" w:rsidRDefault="00135255" w:rsidP="00135255">
            <w:pPr>
              <w:pStyle w:val="TableBodyText"/>
            </w:pPr>
            <w:r w:rsidRPr="003E28D9">
              <w:t>35.2</w:t>
            </w:r>
          </w:p>
        </w:tc>
      </w:tr>
      <w:tr w:rsidR="00135255" w:rsidRPr="008C4F14" w14:paraId="7C2D6A87" w14:textId="77777777" w:rsidTr="00485E65">
        <w:tc>
          <w:tcPr>
            <w:tcW w:w="1694" w:type="pct"/>
            <w:shd w:val="clear" w:color="auto" w:fill="auto"/>
          </w:tcPr>
          <w:p w14:paraId="1044F4F2" w14:textId="78F86329" w:rsidR="00135255" w:rsidRPr="008C4F14" w:rsidRDefault="00135255" w:rsidP="00135255">
            <w:pPr>
              <w:pStyle w:val="TableBodyText"/>
              <w:jc w:val="left"/>
            </w:pPr>
            <w:r w:rsidRPr="003E28D9">
              <w:t>Queensland</w:t>
            </w:r>
          </w:p>
        </w:tc>
        <w:tc>
          <w:tcPr>
            <w:tcW w:w="1653" w:type="pct"/>
            <w:shd w:val="clear" w:color="auto" w:fill="auto"/>
          </w:tcPr>
          <w:p w14:paraId="40759CAA" w14:textId="7E5B4262" w:rsidR="00135255" w:rsidRPr="008C4F14" w:rsidRDefault="00135255" w:rsidP="00135255">
            <w:pPr>
              <w:pStyle w:val="TableBodyText"/>
            </w:pPr>
            <w:r w:rsidRPr="003E28D9">
              <w:t>42.4</w:t>
            </w:r>
          </w:p>
        </w:tc>
        <w:tc>
          <w:tcPr>
            <w:tcW w:w="1653" w:type="pct"/>
          </w:tcPr>
          <w:p w14:paraId="7B07FACC" w14:textId="65050507" w:rsidR="00135255" w:rsidRPr="008C4F14" w:rsidRDefault="00135255" w:rsidP="00135255">
            <w:pPr>
              <w:pStyle w:val="TableBodyText"/>
            </w:pPr>
            <w:r w:rsidRPr="003E28D9">
              <w:t>30.9</w:t>
            </w:r>
          </w:p>
        </w:tc>
      </w:tr>
      <w:tr w:rsidR="00135255" w:rsidRPr="008C4F14" w14:paraId="0B2E8167" w14:textId="77777777" w:rsidTr="00485E65">
        <w:tc>
          <w:tcPr>
            <w:tcW w:w="1694" w:type="pct"/>
            <w:shd w:val="clear" w:color="auto" w:fill="auto"/>
          </w:tcPr>
          <w:p w14:paraId="755CB7FF" w14:textId="42580078" w:rsidR="00135255" w:rsidRPr="008C4F14" w:rsidRDefault="00135255" w:rsidP="00135255">
            <w:pPr>
              <w:pStyle w:val="TableBodyText"/>
              <w:jc w:val="left"/>
            </w:pPr>
            <w:r w:rsidRPr="003E28D9">
              <w:t>South Australia</w:t>
            </w:r>
          </w:p>
        </w:tc>
        <w:tc>
          <w:tcPr>
            <w:tcW w:w="1653" w:type="pct"/>
            <w:shd w:val="clear" w:color="auto" w:fill="auto"/>
          </w:tcPr>
          <w:p w14:paraId="010BB4B1" w14:textId="1768BC1D" w:rsidR="00135255" w:rsidRPr="008C4F14" w:rsidRDefault="00135255" w:rsidP="00135255">
            <w:pPr>
              <w:pStyle w:val="TableBodyText"/>
            </w:pPr>
            <w:r w:rsidRPr="003E28D9">
              <w:t>60.0</w:t>
            </w:r>
          </w:p>
        </w:tc>
        <w:tc>
          <w:tcPr>
            <w:tcW w:w="1653" w:type="pct"/>
          </w:tcPr>
          <w:p w14:paraId="391F91F0" w14:textId="6F75E39D" w:rsidR="00135255" w:rsidRPr="008C4F14" w:rsidRDefault="00135255" w:rsidP="00135255">
            <w:pPr>
              <w:pStyle w:val="TableBodyText"/>
            </w:pPr>
            <w:r w:rsidRPr="003E28D9">
              <w:t>44.2</w:t>
            </w:r>
          </w:p>
        </w:tc>
      </w:tr>
      <w:tr w:rsidR="00135255" w:rsidRPr="008C4F14" w14:paraId="053FCE0B" w14:textId="77777777" w:rsidTr="00485E65">
        <w:tc>
          <w:tcPr>
            <w:tcW w:w="1694" w:type="pct"/>
            <w:shd w:val="clear" w:color="auto" w:fill="auto"/>
          </w:tcPr>
          <w:p w14:paraId="122709DD" w14:textId="4AB6B0E9" w:rsidR="00135255" w:rsidRPr="008C4F14" w:rsidRDefault="00135255" w:rsidP="00135255">
            <w:pPr>
              <w:pStyle w:val="TableBodyText"/>
              <w:jc w:val="left"/>
            </w:pPr>
            <w:r w:rsidRPr="003E28D9">
              <w:t>Western Australia</w:t>
            </w:r>
          </w:p>
        </w:tc>
        <w:tc>
          <w:tcPr>
            <w:tcW w:w="1653" w:type="pct"/>
            <w:shd w:val="clear" w:color="auto" w:fill="auto"/>
          </w:tcPr>
          <w:p w14:paraId="7EB214A9" w14:textId="6ECEC9BD" w:rsidR="00135255" w:rsidRPr="008C4F14" w:rsidRDefault="00135255" w:rsidP="00135255">
            <w:pPr>
              <w:pStyle w:val="TableBodyText"/>
            </w:pPr>
            <w:r w:rsidRPr="003E28D9">
              <w:t>37.9</w:t>
            </w:r>
          </w:p>
        </w:tc>
        <w:tc>
          <w:tcPr>
            <w:tcW w:w="1653" w:type="pct"/>
          </w:tcPr>
          <w:p w14:paraId="10CF8C23" w14:textId="3ACA85BA" w:rsidR="00135255" w:rsidRPr="008C4F14" w:rsidRDefault="00135255" w:rsidP="00135255">
            <w:pPr>
              <w:pStyle w:val="TableBodyText"/>
            </w:pPr>
            <w:r w:rsidRPr="003E28D9">
              <w:t>26.8</w:t>
            </w:r>
          </w:p>
        </w:tc>
      </w:tr>
      <w:tr w:rsidR="00135255" w:rsidRPr="008C4F14" w14:paraId="7EC28CE8" w14:textId="77777777" w:rsidTr="00485E65">
        <w:tc>
          <w:tcPr>
            <w:tcW w:w="1694" w:type="pct"/>
            <w:shd w:val="clear" w:color="auto" w:fill="auto"/>
          </w:tcPr>
          <w:p w14:paraId="7BD03FBA" w14:textId="6DDBC0F1" w:rsidR="00135255" w:rsidRPr="008C4F14" w:rsidRDefault="00135255" w:rsidP="00135255">
            <w:pPr>
              <w:pStyle w:val="TableBodyText"/>
              <w:jc w:val="left"/>
            </w:pPr>
            <w:r w:rsidRPr="003E28D9">
              <w:t>Tasmania</w:t>
            </w:r>
          </w:p>
        </w:tc>
        <w:tc>
          <w:tcPr>
            <w:tcW w:w="1653" w:type="pct"/>
            <w:shd w:val="clear" w:color="auto" w:fill="auto"/>
          </w:tcPr>
          <w:p w14:paraId="7F29CA90" w14:textId="027F7EF9" w:rsidR="00135255" w:rsidRPr="008C4F14" w:rsidRDefault="00135255" w:rsidP="00135255">
            <w:pPr>
              <w:pStyle w:val="TableBodyText"/>
            </w:pPr>
            <w:r w:rsidRPr="003E28D9">
              <w:t>77.6</w:t>
            </w:r>
          </w:p>
        </w:tc>
        <w:tc>
          <w:tcPr>
            <w:tcW w:w="1653" w:type="pct"/>
          </w:tcPr>
          <w:p w14:paraId="014CEA3B" w14:textId="015DC275" w:rsidR="00135255" w:rsidRPr="008C4F14" w:rsidRDefault="00135255" w:rsidP="00135255">
            <w:pPr>
              <w:pStyle w:val="TableBodyText"/>
            </w:pPr>
            <w:r w:rsidRPr="003E28D9">
              <w:t>44.8</w:t>
            </w:r>
          </w:p>
        </w:tc>
      </w:tr>
      <w:tr w:rsidR="00135255" w:rsidRPr="008C4F14" w14:paraId="23D6CB16" w14:textId="77777777" w:rsidTr="00485E65">
        <w:tc>
          <w:tcPr>
            <w:tcW w:w="1694" w:type="pct"/>
            <w:shd w:val="clear" w:color="auto" w:fill="auto"/>
          </w:tcPr>
          <w:p w14:paraId="08A49852" w14:textId="7D119579" w:rsidR="00135255" w:rsidRPr="008C4F14" w:rsidRDefault="00135255" w:rsidP="00135255">
            <w:pPr>
              <w:pStyle w:val="TableBodyText"/>
              <w:jc w:val="left"/>
            </w:pPr>
            <w:r w:rsidRPr="003E28D9">
              <w:t>Northern Territory</w:t>
            </w:r>
          </w:p>
        </w:tc>
        <w:tc>
          <w:tcPr>
            <w:tcW w:w="1653" w:type="pct"/>
            <w:shd w:val="clear" w:color="auto" w:fill="auto"/>
          </w:tcPr>
          <w:p w14:paraId="2D74405B" w14:textId="69A406FA" w:rsidR="00135255" w:rsidRPr="008C4F14" w:rsidRDefault="00135255" w:rsidP="00135255">
            <w:pPr>
              <w:pStyle w:val="TableBodyText"/>
            </w:pPr>
            <w:r w:rsidRPr="003E28D9">
              <w:t>23.7</w:t>
            </w:r>
          </w:p>
        </w:tc>
        <w:tc>
          <w:tcPr>
            <w:tcW w:w="1653" w:type="pct"/>
          </w:tcPr>
          <w:p w14:paraId="5FD5B03C" w14:textId="7A63F577" w:rsidR="00135255" w:rsidRPr="008C4F14" w:rsidRDefault="00135255" w:rsidP="00135255">
            <w:pPr>
              <w:pStyle w:val="TableBodyText"/>
            </w:pPr>
            <w:r w:rsidRPr="003E28D9">
              <w:t>28.0</w:t>
            </w:r>
          </w:p>
        </w:tc>
      </w:tr>
      <w:tr w:rsidR="00135255" w:rsidRPr="008C4F14" w14:paraId="0BC6A9AD" w14:textId="77777777" w:rsidTr="00485E65">
        <w:tc>
          <w:tcPr>
            <w:tcW w:w="1694" w:type="pct"/>
            <w:shd w:val="clear" w:color="auto" w:fill="auto"/>
          </w:tcPr>
          <w:p w14:paraId="0239C3F1" w14:textId="38930EC4" w:rsidR="00135255" w:rsidRPr="008C4F14" w:rsidRDefault="00135255" w:rsidP="00135255">
            <w:pPr>
              <w:pStyle w:val="TableBodyText"/>
              <w:jc w:val="left"/>
            </w:pPr>
            <w:r w:rsidRPr="003E28D9">
              <w:t>Australian Capital Territory</w:t>
            </w:r>
          </w:p>
        </w:tc>
        <w:tc>
          <w:tcPr>
            <w:tcW w:w="1653" w:type="pct"/>
            <w:shd w:val="clear" w:color="auto" w:fill="auto"/>
          </w:tcPr>
          <w:p w14:paraId="7D1EA9D2" w14:textId="28A4F8D7" w:rsidR="00135255" w:rsidRPr="008C4F14" w:rsidRDefault="00135255" w:rsidP="00135255">
            <w:pPr>
              <w:pStyle w:val="TableBodyText"/>
            </w:pPr>
            <w:r w:rsidRPr="003E28D9">
              <w:t>36.7</w:t>
            </w:r>
          </w:p>
        </w:tc>
        <w:tc>
          <w:tcPr>
            <w:tcW w:w="1653" w:type="pct"/>
          </w:tcPr>
          <w:p w14:paraId="1C65E31E" w14:textId="63E9664C" w:rsidR="00135255" w:rsidRPr="008C4F14" w:rsidRDefault="00135255" w:rsidP="00135255">
            <w:pPr>
              <w:pStyle w:val="TableBodyText"/>
            </w:pPr>
            <w:r w:rsidRPr="003E28D9">
              <w:t>25.2</w:t>
            </w:r>
          </w:p>
        </w:tc>
      </w:tr>
      <w:tr w:rsidR="00135255" w:rsidRPr="008C4F14" w14:paraId="222D938D" w14:textId="77777777" w:rsidTr="00485E65">
        <w:tc>
          <w:tcPr>
            <w:tcW w:w="1694" w:type="pct"/>
            <w:tcBorders>
              <w:bottom w:val="single" w:sz="4" w:space="0" w:color="auto"/>
            </w:tcBorders>
            <w:shd w:val="clear" w:color="auto" w:fill="auto"/>
          </w:tcPr>
          <w:p w14:paraId="5F681907" w14:textId="6A3E38CA" w:rsidR="00135255" w:rsidRPr="008C4F14" w:rsidRDefault="00135255" w:rsidP="00135255">
            <w:pPr>
              <w:pStyle w:val="TableBodyText"/>
              <w:jc w:val="left"/>
            </w:pPr>
            <w:r w:rsidRPr="003E28D9">
              <w:t>Australia</w:t>
            </w:r>
            <w:r w:rsidRPr="00135255">
              <w:rPr>
                <w:rStyle w:val="NoteLabel"/>
              </w:rPr>
              <w:t>b</w:t>
            </w:r>
          </w:p>
        </w:tc>
        <w:tc>
          <w:tcPr>
            <w:tcW w:w="1653" w:type="pct"/>
            <w:tcBorders>
              <w:bottom w:val="single" w:sz="4" w:space="0" w:color="auto"/>
            </w:tcBorders>
            <w:shd w:val="clear" w:color="auto" w:fill="auto"/>
          </w:tcPr>
          <w:p w14:paraId="379510D0" w14:textId="06572BAC" w:rsidR="00135255" w:rsidRPr="008C4F14" w:rsidRDefault="00135255" w:rsidP="00135255">
            <w:pPr>
              <w:pStyle w:val="TableBodyText"/>
            </w:pPr>
            <w:r w:rsidRPr="003E28D9">
              <w:t>48.0</w:t>
            </w:r>
          </w:p>
        </w:tc>
        <w:tc>
          <w:tcPr>
            <w:tcW w:w="1653" w:type="pct"/>
            <w:tcBorders>
              <w:bottom w:val="single" w:sz="4" w:space="0" w:color="auto"/>
            </w:tcBorders>
          </w:tcPr>
          <w:p w14:paraId="6CB2CB49" w14:textId="1679FC40" w:rsidR="00135255" w:rsidRPr="008C4F14" w:rsidRDefault="00135255" w:rsidP="00135255">
            <w:pPr>
              <w:pStyle w:val="TableBodyText"/>
            </w:pPr>
            <w:r w:rsidRPr="003E28D9">
              <w:t>36.9</w:t>
            </w:r>
          </w:p>
        </w:tc>
      </w:tr>
    </w:tbl>
    <w:p w14:paraId="49824E94" w14:textId="4EE50912" w:rsidR="00485E65" w:rsidRPr="008C4F14" w:rsidRDefault="00485E65" w:rsidP="00485E65">
      <w:pPr>
        <w:keepLines/>
        <w:spacing w:before="80" w:after="120" w:line="220" w:lineRule="exact"/>
        <w:jc w:val="both"/>
        <w:rPr>
          <w:rFonts w:ascii="Arial" w:hAnsi="Arial"/>
          <w:sz w:val="18"/>
          <w:szCs w:val="20"/>
        </w:rPr>
      </w:pPr>
      <w:r w:rsidRPr="008C4F14">
        <w:rPr>
          <w:rFonts w:ascii="Arial" w:hAnsi="Arial"/>
          <w:b/>
          <w:position w:val="6"/>
          <w:sz w:val="18"/>
          <w:szCs w:val="20"/>
        </w:rPr>
        <w:t>a</w:t>
      </w:r>
      <w:r w:rsidRPr="008C4F14">
        <w:rPr>
          <w:rFonts w:ascii="Arial" w:hAnsi="Arial"/>
          <w:sz w:val="18"/>
          <w:szCs w:val="20"/>
        </w:rPr>
        <w:t xml:space="preserve"> </w:t>
      </w:r>
      <w:r w:rsidR="003A3689">
        <w:rPr>
          <w:rFonts w:ascii="Arial" w:hAnsi="Arial"/>
          <w:sz w:val="18"/>
          <w:szCs w:val="20"/>
        </w:rPr>
        <w:t>Each column contains duration</w:t>
      </w:r>
      <w:r w:rsidR="005D1508">
        <w:rPr>
          <w:rFonts w:ascii="Arial" w:hAnsi="Arial"/>
          <w:sz w:val="18"/>
          <w:szCs w:val="20"/>
        </w:rPr>
        <w:t xml:space="preserve"> data</w:t>
      </w:r>
      <w:r w:rsidR="003A3689">
        <w:rPr>
          <w:rFonts w:ascii="Arial" w:hAnsi="Arial"/>
          <w:sz w:val="18"/>
          <w:szCs w:val="20"/>
        </w:rPr>
        <w:t xml:space="preserve"> on the two years to </w:t>
      </w:r>
      <w:r w:rsidR="00135255">
        <w:rPr>
          <w:rFonts w:ascii="Arial" w:hAnsi="Arial"/>
          <w:sz w:val="18"/>
          <w:szCs w:val="20"/>
        </w:rPr>
        <w:t>August</w:t>
      </w:r>
      <w:r w:rsidR="003A3689">
        <w:rPr>
          <w:rFonts w:ascii="Arial" w:hAnsi="Arial"/>
          <w:sz w:val="18"/>
          <w:szCs w:val="20"/>
        </w:rPr>
        <w:t xml:space="preserve">. </w:t>
      </w:r>
      <w:r w:rsidRPr="008C4F14">
        <w:rPr>
          <w:rFonts w:ascii="Arial" w:hAnsi="Arial"/>
          <w:sz w:val="18"/>
          <w:szCs w:val="20"/>
        </w:rPr>
        <w:t xml:space="preserve">Note that </w:t>
      </w:r>
      <w:r w:rsidRPr="008C4F14">
        <w:rPr>
          <w:rFonts w:ascii="Arial" w:hAnsi="Arial"/>
          <w:i/>
          <w:sz w:val="18"/>
          <w:szCs w:val="20"/>
        </w:rPr>
        <w:t>average</w:t>
      </w:r>
      <w:r w:rsidRPr="008C4F14">
        <w:rPr>
          <w:rFonts w:ascii="Arial" w:hAnsi="Arial"/>
          <w:sz w:val="18"/>
          <w:szCs w:val="20"/>
        </w:rPr>
        <w:t xml:space="preserve"> duration is considerably longer than </w:t>
      </w:r>
      <w:r w:rsidRPr="008C4F14">
        <w:rPr>
          <w:rFonts w:ascii="Arial" w:hAnsi="Arial"/>
          <w:i/>
          <w:sz w:val="18"/>
          <w:szCs w:val="20"/>
        </w:rPr>
        <w:t>median</w:t>
      </w:r>
      <w:r w:rsidRPr="008C4F14">
        <w:rPr>
          <w:rFonts w:ascii="Arial" w:hAnsi="Arial"/>
          <w:sz w:val="18"/>
          <w:szCs w:val="20"/>
        </w:rPr>
        <w:t xml:space="preserve"> duration, due to the weight of the long-term unemployed in the former</w:t>
      </w:r>
      <w:r>
        <w:rPr>
          <w:rFonts w:ascii="Arial" w:hAnsi="Arial"/>
          <w:sz w:val="18"/>
          <w:szCs w:val="20"/>
        </w:rPr>
        <w:t xml:space="preserve"> indicator</w:t>
      </w:r>
      <w:r w:rsidRPr="008C4F14">
        <w:rPr>
          <w:rFonts w:ascii="Arial" w:hAnsi="Arial"/>
          <w:sz w:val="18"/>
          <w:szCs w:val="20"/>
        </w:rPr>
        <w:t>.</w:t>
      </w:r>
      <w:r w:rsidRPr="008C4F14">
        <w:rPr>
          <w:rFonts w:ascii="Arial" w:hAnsi="Arial"/>
          <w:b/>
          <w:position w:val="6"/>
          <w:sz w:val="18"/>
          <w:szCs w:val="20"/>
        </w:rPr>
        <w:t xml:space="preserve">  </w:t>
      </w:r>
      <w:r w:rsidR="005D1508">
        <w:rPr>
          <w:rFonts w:ascii="Arial" w:hAnsi="Arial"/>
          <w:b/>
          <w:position w:val="6"/>
          <w:sz w:val="18"/>
          <w:szCs w:val="20"/>
        </w:rPr>
        <w:br/>
      </w:r>
      <w:r w:rsidRPr="008C4F14">
        <w:rPr>
          <w:rFonts w:ascii="Arial" w:hAnsi="Arial"/>
          <w:b/>
          <w:position w:val="6"/>
          <w:sz w:val="18"/>
          <w:szCs w:val="20"/>
        </w:rPr>
        <w:t>b</w:t>
      </w:r>
      <w:r w:rsidRPr="008C4F14">
        <w:rPr>
          <w:rFonts w:ascii="Arial" w:hAnsi="Arial"/>
          <w:sz w:val="18"/>
          <w:szCs w:val="20"/>
        </w:rPr>
        <w:t xml:space="preserve"> A</w:t>
      </w:r>
      <w:r w:rsidR="00C75B96">
        <w:rPr>
          <w:rFonts w:ascii="Arial" w:hAnsi="Arial"/>
          <w:sz w:val="18"/>
          <w:szCs w:val="20"/>
        </w:rPr>
        <w:t>verage duration for A</w:t>
      </w:r>
      <w:r w:rsidRPr="008C4F14">
        <w:rPr>
          <w:rFonts w:ascii="Arial" w:hAnsi="Arial"/>
          <w:sz w:val="18"/>
          <w:szCs w:val="20"/>
        </w:rPr>
        <w:t>ustralia calculated by summing state components.</w:t>
      </w:r>
    </w:p>
    <w:p w14:paraId="270D731C" w14:textId="558C0B93" w:rsidR="00485E65" w:rsidRDefault="00485E65" w:rsidP="00485E65">
      <w:pPr>
        <w:keepLines/>
        <w:spacing w:before="80" w:after="120" w:line="220" w:lineRule="exact"/>
        <w:jc w:val="both"/>
        <w:rPr>
          <w:rFonts w:ascii="Arial" w:hAnsi="Arial"/>
          <w:sz w:val="18"/>
          <w:szCs w:val="20"/>
        </w:rPr>
      </w:pPr>
      <w:r w:rsidRPr="008C4F14">
        <w:rPr>
          <w:rFonts w:ascii="Arial" w:hAnsi="Arial"/>
          <w:i/>
          <w:sz w:val="18"/>
          <w:szCs w:val="20"/>
        </w:rPr>
        <w:t>Source</w:t>
      </w:r>
      <w:r w:rsidRPr="008C4F14">
        <w:rPr>
          <w:rFonts w:ascii="Arial" w:hAnsi="Arial"/>
          <w:sz w:val="18"/>
          <w:szCs w:val="20"/>
        </w:rPr>
        <w:t xml:space="preserve">: ABS </w:t>
      </w:r>
      <w:r w:rsidR="006B1DCF">
        <w:rPr>
          <w:rFonts w:ascii="Arial" w:hAnsi="Arial"/>
          <w:sz w:val="18"/>
          <w:szCs w:val="20"/>
        </w:rPr>
        <w:t>(2012a)</w:t>
      </w:r>
      <w:r w:rsidRPr="008C4F14">
        <w:rPr>
          <w:rFonts w:ascii="Arial" w:hAnsi="Arial"/>
          <w:sz w:val="18"/>
          <w:szCs w:val="20"/>
        </w:rPr>
        <w:t xml:space="preserve">. </w:t>
      </w:r>
    </w:p>
    <w:p w14:paraId="739DEB38" w14:textId="5FAA2E45" w:rsidR="00667106" w:rsidRDefault="00667106" w:rsidP="00667106">
      <w:pPr>
        <w:pStyle w:val="BodyText"/>
      </w:pPr>
      <w:r>
        <w:t>Nonetheless, older males are now remaining in the labour market</w:t>
      </w:r>
      <w:r w:rsidR="00E601F3" w:rsidRPr="00E601F3">
        <w:t xml:space="preserve"> </w:t>
      </w:r>
      <w:r w:rsidR="00C75B96">
        <w:t xml:space="preserve">for </w:t>
      </w:r>
      <w:r w:rsidR="00E601F3">
        <w:t>longer</w:t>
      </w:r>
      <w:r w:rsidR="008B147D">
        <w:t>, on average,</w:t>
      </w:r>
      <w:r>
        <w:t xml:space="preserve"> than they used to, including by working part-time. </w:t>
      </w:r>
      <w:r w:rsidR="00667AB6">
        <w:t xml:space="preserve">Borland </w:t>
      </w:r>
      <w:r w:rsidR="008B147D">
        <w:t>partly</w:t>
      </w:r>
      <w:r w:rsidR="00667AB6">
        <w:t xml:space="preserve"> attributes the significant increase in the labour force participation rate of males aged 55 and over, during the 2000s (following a long decline), to the ‘growth in services jobs which are less physically demanding’</w:t>
      </w:r>
      <w:r w:rsidR="00DF2BE3">
        <w:t xml:space="preserve"> (2011, p. 179)</w:t>
      </w:r>
      <w:r w:rsidR="00667AB6">
        <w:t xml:space="preserve">. </w:t>
      </w:r>
    </w:p>
    <w:p w14:paraId="423DC29D" w14:textId="77777777" w:rsidR="00B214D3" w:rsidRDefault="00187846" w:rsidP="00175FCA">
      <w:pPr>
        <w:pStyle w:val="Heading2"/>
      </w:pPr>
      <w:r>
        <w:t>A closer look at sectoral changes</w:t>
      </w:r>
    </w:p>
    <w:p w14:paraId="565FD421" w14:textId="79602C0A" w:rsidR="00795973" w:rsidRDefault="006A3944" w:rsidP="00B9579E">
      <w:pPr>
        <w:pStyle w:val="BodyText"/>
      </w:pPr>
      <w:r>
        <w:t>As in previous decades, s</w:t>
      </w:r>
      <w:r w:rsidRPr="00795973">
        <w:t xml:space="preserve">ectoral </w:t>
      </w:r>
      <w:r w:rsidR="00795973" w:rsidRPr="00795973">
        <w:t>shares of value added and employment have changed over the last ten years</w:t>
      </w:r>
      <w:r>
        <w:t>. In the case of agriculture and manufacturing, these changes</w:t>
      </w:r>
      <w:r w:rsidR="00795973" w:rsidRPr="00795973">
        <w:t xml:space="preserve"> have </w:t>
      </w:r>
      <w:r w:rsidR="00E33ED3">
        <w:t>reinforced long-standing</w:t>
      </w:r>
      <w:r w:rsidR="00795973">
        <w:t xml:space="preserve"> trends</w:t>
      </w:r>
      <w:r w:rsidR="00720B54">
        <w:t xml:space="preserve"> (</w:t>
      </w:r>
      <w:r w:rsidR="001D3DF1">
        <w:t xml:space="preserve">figure </w:t>
      </w:r>
      <w:r w:rsidR="008830F5">
        <w:t>1.</w:t>
      </w:r>
      <w:r w:rsidR="001874CD">
        <w:t>7</w:t>
      </w:r>
      <w:r w:rsidR="00720B54">
        <w:t>)</w:t>
      </w:r>
      <w:r>
        <w:t xml:space="preserve">. </w:t>
      </w:r>
      <w:r w:rsidR="00E33ED3">
        <w:t>M</w:t>
      </w:r>
      <w:r>
        <w:t xml:space="preserve">ining, </w:t>
      </w:r>
      <w:r w:rsidR="00CF1A63">
        <w:t>by contrast</w:t>
      </w:r>
      <w:r w:rsidR="00E33ED3">
        <w:t xml:space="preserve">, </w:t>
      </w:r>
      <w:r>
        <w:t>increased its share</w:t>
      </w:r>
      <w:r w:rsidR="00352424">
        <w:t xml:space="preserve"> of both output and employment. </w:t>
      </w:r>
      <w:r w:rsidR="00E33ED3">
        <w:t>Finally, while s</w:t>
      </w:r>
      <w:r>
        <w:t>ervices</w:t>
      </w:r>
      <w:r w:rsidR="00352424">
        <w:t xml:space="preserve"> continued to increase </w:t>
      </w:r>
      <w:r w:rsidR="00E33ED3">
        <w:t>their</w:t>
      </w:r>
      <w:r w:rsidR="00352424">
        <w:t xml:space="preserve"> share of employment, </w:t>
      </w:r>
      <w:r w:rsidR="00E33ED3">
        <w:t>their</w:t>
      </w:r>
      <w:r w:rsidR="00352424">
        <w:t xml:space="preserve"> weight in </w:t>
      </w:r>
      <w:r w:rsidR="00DC4527">
        <w:t>nominal</w:t>
      </w:r>
      <w:r w:rsidR="00352424">
        <w:t xml:space="preserve"> output </w:t>
      </w:r>
      <w:r w:rsidR="008D75DD">
        <w:t xml:space="preserve">terms </w:t>
      </w:r>
      <w:r w:rsidR="00352424">
        <w:t xml:space="preserve">appears </w:t>
      </w:r>
      <w:r w:rsidR="008D75DD">
        <w:t>have been</w:t>
      </w:r>
      <w:r w:rsidR="00DC4527">
        <w:t xml:space="preserve"> plateauing </w:t>
      </w:r>
      <w:r w:rsidR="00352424">
        <w:t>in the last ten years or so</w:t>
      </w:r>
      <w:r w:rsidR="00DC4527">
        <w:t xml:space="preserve">. This trend is </w:t>
      </w:r>
      <w:r w:rsidR="00F8655C">
        <w:t>an artefact of</w:t>
      </w:r>
      <w:r w:rsidR="00DC4527">
        <w:t xml:space="preserve"> the growth in the share of mining output, and </w:t>
      </w:r>
      <w:r w:rsidR="00F8655C">
        <w:t>of the way in which the output of some services is measured</w:t>
      </w:r>
      <w:r w:rsidR="00352424">
        <w:t>.</w:t>
      </w:r>
      <w:r w:rsidR="00352424">
        <w:rPr>
          <w:rStyle w:val="FootnoteReference"/>
        </w:rPr>
        <w:footnoteReference w:id="4"/>
      </w:r>
      <w:r w:rsidR="00352424">
        <w:t xml:space="preserve"> </w:t>
      </w:r>
    </w:p>
    <w:p w14:paraId="7A66CD16" w14:textId="65C74A33" w:rsidR="0042245E" w:rsidRDefault="008830F5" w:rsidP="0042245E">
      <w:pPr>
        <w:pStyle w:val="FigureTitle"/>
      </w:pPr>
      <w:r>
        <w:rPr>
          <w:b w:val="0"/>
        </w:rPr>
        <w:lastRenderedPageBreak/>
        <w:t>Figure 1.</w:t>
      </w:r>
      <w:r w:rsidR="00027B48">
        <w:rPr>
          <w:b w:val="0"/>
          <w:noProof/>
        </w:rPr>
        <w:t>7</w:t>
      </w:r>
      <w:r w:rsidR="0042245E">
        <w:tab/>
        <w:t>Secular trends in sectoral shares since WWII</w:t>
      </w:r>
    </w:p>
    <w:p w14:paraId="54D6BEE6" w14:textId="77777777" w:rsidR="0042245E" w:rsidRDefault="0042245E" w:rsidP="0042245E">
      <w:pPr>
        <w:pStyle w:val="Subtitle"/>
      </w:pPr>
      <w:r>
        <w:t>Gross value added and employment by broad industry, year ended June</w:t>
      </w:r>
      <w:r w:rsidRPr="00071417">
        <w:rPr>
          <w:rStyle w:val="NoteLabel"/>
        </w:rPr>
        <w:t>a</w:t>
      </w:r>
    </w:p>
    <w:tbl>
      <w:tblPr>
        <w:tblW w:w="8777" w:type="dxa"/>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42245E" w14:paraId="6D416C2F" w14:textId="77777777" w:rsidTr="00592358">
        <w:tc>
          <w:tcPr>
            <w:tcW w:w="8777" w:type="dxa"/>
            <w:tcBorders>
              <w:top w:val="single" w:sz="6" w:space="0" w:color="auto"/>
              <w:left w:val="nil"/>
              <w:bottom w:val="single" w:sz="6" w:space="0" w:color="auto"/>
              <w:right w:val="nil"/>
            </w:tcBorders>
          </w:tcPr>
          <w:p w14:paraId="4D666BC6" w14:textId="099E33CB" w:rsidR="0042245E" w:rsidRDefault="0042245E" w:rsidP="00592358">
            <w:pPr>
              <w:pStyle w:val="Figure"/>
              <w:jc w:val="left"/>
            </w:pPr>
            <w:r w:rsidDel="00817F67">
              <w:rPr>
                <w:noProof/>
              </w:rPr>
              <w:t xml:space="preserve"> </w:t>
            </w:r>
            <w:r w:rsidR="000B0B6A">
              <w:rPr>
                <w:noProof/>
              </w:rPr>
              <w:drawing>
                <wp:inline distT="0" distB="0" distL="0" distR="0" wp14:anchorId="153595D1" wp14:editId="131A240C">
                  <wp:extent cx="4572635" cy="2676525"/>
                  <wp:effectExtent l="0" t="0" r="0" b="9525"/>
                  <wp:docPr id="1" name="Picture 1" descr="Figure 1.7 Secular trends in sectoral shares since WWII - Output. More details can be found within the text immediately before this image" title="Secular trends in sectoral shares since WW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635" cy="2676525"/>
                          </a:xfrm>
                          <a:prstGeom prst="rect">
                            <a:avLst/>
                          </a:prstGeom>
                          <a:noFill/>
                        </pic:spPr>
                      </pic:pic>
                    </a:graphicData>
                  </a:graphic>
                </wp:inline>
              </w:drawing>
            </w:r>
            <w:r w:rsidDel="00817F67">
              <w:rPr>
                <w:noProof/>
              </w:rPr>
              <w:t xml:space="preserve"> </w:t>
            </w:r>
            <w:r w:rsidR="000B0B6A">
              <w:rPr>
                <w:noProof/>
              </w:rPr>
              <w:drawing>
                <wp:inline distT="0" distB="0" distL="0" distR="0" wp14:anchorId="4FC2C862" wp14:editId="4E8572B5">
                  <wp:extent cx="5324475" cy="2600325"/>
                  <wp:effectExtent l="0" t="0" r="0" b="9525"/>
                  <wp:docPr id="2" name="Picture 2" descr="Figure 1.7 Secular trends in sectoral shares since WWII - Employment. More details can be found within the text immediately before this image" title="Secular trends in sectoral shares since WW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22570" cy="2599395"/>
                          </a:xfrm>
                          <a:prstGeom prst="rect">
                            <a:avLst/>
                          </a:prstGeom>
                          <a:noFill/>
                        </pic:spPr>
                      </pic:pic>
                    </a:graphicData>
                  </a:graphic>
                </wp:inline>
              </w:drawing>
            </w:r>
          </w:p>
        </w:tc>
      </w:tr>
    </w:tbl>
    <w:p w14:paraId="01E03E70" w14:textId="77777777" w:rsidR="0042245E" w:rsidRDefault="0042245E" w:rsidP="0042245E">
      <w:pPr>
        <w:pStyle w:val="Note"/>
      </w:pPr>
      <w:r>
        <w:rPr>
          <w:rStyle w:val="NoteLabel"/>
        </w:rPr>
        <w:t>a</w:t>
      </w:r>
      <w:r>
        <w:t xml:space="preserve"> Current price data used for gross value added, due to data availability.</w:t>
      </w:r>
    </w:p>
    <w:p w14:paraId="12C80FCE" w14:textId="77777777" w:rsidR="0042245E" w:rsidRDefault="0042245E" w:rsidP="0042245E">
      <w:pPr>
        <w:pStyle w:val="Source"/>
      </w:pPr>
      <w:r>
        <w:rPr>
          <w:i/>
        </w:rPr>
        <w:t>Data sources</w:t>
      </w:r>
      <w:r w:rsidRPr="00167F06">
        <w:t xml:space="preserve">: </w:t>
      </w:r>
      <w:r>
        <w:t>ABS (2012a, 2012b);</w:t>
      </w:r>
      <w:r w:rsidRPr="00674DDD">
        <w:t xml:space="preserve"> </w:t>
      </w:r>
      <w:r>
        <w:t xml:space="preserve">Connolly (2012), pers. comm. (data for years prior to available ABS data); </w:t>
      </w:r>
      <w:r>
        <w:rPr>
          <w:rFonts w:cs="Arial"/>
          <w:szCs w:val="18"/>
        </w:rPr>
        <w:t xml:space="preserve">Withers, </w:t>
      </w:r>
      <w:proofErr w:type="spellStart"/>
      <w:r>
        <w:rPr>
          <w:rFonts w:cs="Arial"/>
          <w:szCs w:val="18"/>
        </w:rPr>
        <w:t>Endres</w:t>
      </w:r>
      <w:proofErr w:type="spellEnd"/>
      <w:r>
        <w:rPr>
          <w:rFonts w:cs="Arial"/>
          <w:szCs w:val="18"/>
        </w:rPr>
        <w:t xml:space="preserve"> and Perry (1985)</w:t>
      </w:r>
      <w:r>
        <w:t>.</w:t>
      </w:r>
    </w:p>
    <w:p w14:paraId="4CAB5660" w14:textId="77777777" w:rsidR="004A1D7C" w:rsidRDefault="004A1D7C" w:rsidP="004A1D7C">
      <w:pPr>
        <w:pStyle w:val="BodyText"/>
      </w:pPr>
      <w:r>
        <w:t>The value-added share of mining is now approximately back to where it was at the turn of the twentieth century. However, mining’s share of total employment is much smaller than it was then, because of the much greater capital intensity of production. Nevertheless, between 2002-03 and 2011-12, mining added 160 000 workers, more than doubling the size of its workforce (an annual growth rate of 12 per cent). In WA alone, mining added 65 000 workers over that period, amounting to almost a quarter of all employment growth in that jurisdiction.</w:t>
      </w:r>
    </w:p>
    <w:p w14:paraId="641D81C1" w14:textId="77777777" w:rsidR="004A1D7C" w:rsidRDefault="004A1D7C" w:rsidP="004A1D7C">
      <w:pPr>
        <w:pStyle w:val="BodyText"/>
      </w:pPr>
      <w:r>
        <w:lastRenderedPageBreak/>
        <w:t>The employment gains of the mining sector outweighed the 117 000 reduction in manufacturing employment over the same period. However, only a small proportion of the additional mining employees appear to have previously worked in domestic manufacturing. More significantly, employment changes in both sectors have been swamped by the 2 million jobs created in the services sector since 2002, with that sector now accounting for nearly nine jobs in ten.</w:t>
      </w:r>
    </w:p>
    <w:p w14:paraId="5B07C3FF" w14:textId="77777777" w:rsidR="004A1D7C" w:rsidRDefault="004A1D7C" w:rsidP="00217D61">
      <w:pPr>
        <w:pStyle w:val="Heading3"/>
      </w:pPr>
      <w:r>
        <w:t>Continuing growth in services</w:t>
      </w:r>
    </w:p>
    <w:p w14:paraId="53F6E347" w14:textId="79867C5B" w:rsidR="004A1D7C" w:rsidRDefault="004A1D7C" w:rsidP="004A1D7C">
      <w:pPr>
        <w:pStyle w:val="BodyText"/>
      </w:pPr>
      <w:r>
        <w:t>Mining aside, the long-term pattern of structural change at the sectoral level</w:t>
      </w:r>
      <w:r w:rsidRPr="00157F4E">
        <w:t xml:space="preserve"> </w:t>
      </w:r>
      <w:r>
        <w:t>in Australia — a growing services share and declining agriculture and manufacturing shares — is replicated in most other advanced economies (figure </w:t>
      </w:r>
      <w:r w:rsidR="008830F5">
        <w:t>1.</w:t>
      </w:r>
      <w:r>
        <w:t>8). This phenomenon has had several causes, some of which are more relevant to Australia:</w:t>
      </w:r>
    </w:p>
    <w:p w14:paraId="32EA51A5" w14:textId="02749BE9" w:rsidR="00C33255" w:rsidRPr="000C5FB7" w:rsidRDefault="008830F5" w:rsidP="005D1508">
      <w:pPr>
        <w:pStyle w:val="FigureTitle"/>
      </w:pPr>
      <w:r>
        <w:rPr>
          <w:b w:val="0"/>
        </w:rPr>
        <w:t>Figure 1.</w:t>
      </w:r>
      <w:r w:rsidR="00027B48">
        <w:rPr>
          <w:b w:val="0"/>
          <w:noProof/>
        </w:rPr>
        <w:t>8</w:t>
      </w:r>
      <w:r w:rsidR="00C33255">
        <w:tab/>
      </w:r>
      <w:r w:rsidR="008B2B12">
        <w:t>S</w:t>
      </w:r>
      <w:r w:rsidR="00C33255">
        <w:t>ectoral shares of employment in the OECD</w:t>
      </w:r>
      <w:r w:rsidR="005D1508" w:rsidRPr="005D1508">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33255" w14:paraId="6EEBD28C" w14:textId="77777777" w:rsidTr="00FD3B0F">
        <w:tc>
          <w:tcPr>
            <w:tcW w:w="8777" w:type="dxa"/>
          </w:tcPr>
          <w:p w14:paraId="624AE97A" w14:textId="485C7BD1" w:rsidR="00C33255" w:rsidRDefault="00003B7F" w:rsidP="00FD3B0F">
            <w:pPr>
              <w:pStyle w:val="Figure"/>
            </w:pPr>
            <w:r>
              <w:rPr>
                <w:noProof/>
              </w:rPr>
              <w:drawing>
                <wp:inline distT="0" distB="0" distL="0" distR="0" wp14:anchorId="73EC81DA" wp14:editId="50DD42CE">
                  <wp:extent cx="5414010" cy="2828925"/>
                  <wp:effectExtent l="0" t="0" r="0" b="9525"/>
                  <wp:docPr id="32" name="Picture 32" descr="Figure 1.8 Sectoral shares of employment in the OECD.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14010" cy="2828925"/>
                          </a:xfrm>
                          <a:prstGeom prst="rect">
                            <a:avLst/>
                          </a:prstGeom>
                          <a:noFill/>
                        </pic:spPr>
                      </pic:pic>
                    </a:graphicData>
                  </a:graphic>
                </wp:inline>
              </w:drawing>
            </w:r>
          </w:p>
        </w:tc>
      </w:tr>
    </w:tbl>
    <w:p w14:paraId="67F92DE8" w14:textId="5B8435AE" w:rsidR="00C33255" w:rsidRDefault="00C33255" w:rsidP="00C33255">
      <w:pPr>
        <w:pStyle w:val="Note"/>
      </w:pPr>
      <w:r>
        <w:rPr>
          <w:rStyle w:val="NoteLabel"/>
        </w:rPr>
        <w:t>a</w:t>
      </w:r>
      <w:r>
        <w:t xml:space="preserve"> Productivity Commission calculations of yearly OECD average. New entrants to the OECD in 1993–1997 affected </w:t>
      </w:r>
      <w:r w:rsidR="00284E5B">
        <w:t xml:space="preserve">calculation of </w:t>
      </w:r>
      <w:r>
        <w:t>the mean</w:t>
      </w:r>
      <w:r w:rsidR="00284E5B">
        <w:t xml:space="preserve"> shares.</w:t>
      </w:r>
    </w:p>
    <w:p w14:paraId="5D631072" w14:textId="77777777" w:rsidR="00C33255" w:rsidRPr="00CB3409" w:rsidRDefault="00C33255" w:rsidP="00C33255">
      <w:pPr>
        <w:pStyle w:val="Source"/>
      </w:pPr>
      <w:r>
        <w:rPr>
          <w:i/>
        </w:rPr>
        <w:t>Data source</w:t>
      </w:r>
      <w:r w:rsidRPr="00275CC0">
        <w:rPr>
          <w:i/>
        </w:rPr>
        <w:t xml:space="preserve">: </w:t>
      </w:r>
      <w:r>
        <w:t xml:space="preserve">OECD (2010), </w:t>
      </w:r>
      <w:r w:rsidRPr="005E3F19">
        <w:rPr>
          <w:i/>
        </w:rPr>
        <w:t>STAN Database for Structural Analysis</w:t>
      </w:r>
      <w:r>
        <w:t>.</w:t>
      </w:r>
    </w:p>
    <w:p w14:paraId="2E09D8C0" w14:textId="4C026628" w:rsidR="004A1D7C" w:rsidRDefault="004A1D7C" w:rsidP="004A1D7C">
      <w:pPr>
        <w:pStyle w:val="ListBullet"/>
      </w:pPr>
      <w:r>
        <w:t xml:space="preserve">As mentioned in box </w:t>
      </w:r>
      <w:r w:rsidR="00957F2B">
        <w:t>1.</w:t>
      </w:r>
      <w:r>
        <w:t>2, it is widely observed that, as incomes have grown in developed countries, the proportion of consumption devoted to services has tended to rise. This is particularly apparent of expenditure on so-called ‘superior goods’, such as health, education, recreational and financial services.</w:t>
      </w:r>
    </w:p>
    <w:p w14:paraId="4ACD14BE" w14:textId="77777777" w:rsidR="004A1D7C" w:rsidRDefault="004A1D7C" w:rsidP="004A1D7C">
      <w:pPr>
        <w:pStyle w:val="ListBullet2"/>
      </w:pPr>
      <w:r>
        <w:t>Rapid increases in health spending are even more evident in countries where population ageing is occurring, and where it is accompanied by the rapid adoption of advanced medical technologies.</w:t>
      </w:r>
    </w:p>
    <w:p w14:paraId="38A19271" w14:textId="77777777" w:rsidR="004A1D7C" w:rsidRDefault="004A1D7C" w:rsidP="004A1D7C">
      <w:pPr>
        <w:pStyle w:val="ListBullet"/>
      </w:pPr>
      <w:r>
        <w:lastRenderedPageBreak/>
        <w:t>Outsourcing has also made a difference to the classification of activities. Some that were previously carried out in-house by manufacturers, such as accounting, computing and cleaning, have been progressively contracted out to external providers and are now classified as part of the services sector.</w:t>
      </w:r>
      <w:r w:rsidRPr="00C0737C">
        <w:t xml:space="preserve"> </w:t>
      </w:r>
      <w:r>
        <w:t>Similarly, with rising female labour force participation, many services that had been provided as unpaid work from within the family or household, such as childcare and property maintenance, are being outsourced. Again, this results in increased market services employment.</w:t>
      </w:r>
    </w:p>
    <w:p w14:paraId="297BD597" w14:textId="77777777" w:rsidR="004A1D7C" w:rsidRDefault="004A1D7C" w:rsidP="004A1D7C">
      <w:pPr>
        <w:pStyle w:val="ListBullet2"/>
      </w:pPr>
      <w:r>
        <w:t>For example, it is estimated that the number of young children attending either Long Day Care or Outside School Hours Care increased from around 390 000 in 1996-97 to about 755 000 in 2010. This rapid growth rate was mirrored by the number of workers providing early childhood education and care services, which almost doubled over the same period (PC 2011h).</w:t>
      </w:r>
    </w:p>
    <w:p w14:paraId="0EBDC1D9" w14:textId="77777777" w:rsidR="004A1D7C" w:rsidRDefault="004A1D7C" w:rsidP="004A1D7C">
      <w:pPr>
        <w:pStyle w:val="ListBullet"/>
      </w:pPr>
      <w:r>
        <w:t>With China and East Asia increasingly specialising in the provision of low</w:t>
      </w:r>
      <w:r>
        <w:noBreakHyphen/>
        <w:t>cost manufactured goods, Australia and others have moved to exploit their comparative advantage in ‘knowledge-intensive’ activities, most of which are in services.</w:t>
      </w:r>
    </w:p>
    <w:p w14:paraId="20C259F5" w14:textId="77777777" w:rsidR="004A1D7C" w:rsidRDefault="004A1D7C" w:rsidP="004A1D7C">
      <w:pPr>
        <w:pStyle w:val="ListBullet"/>
      </w:pPr>
      <w:r>
        <w:t xml:space="preserve">Competition reforms also played a key role in Australia, including through the reduction in previously high levels of protection afforded to manufacturing and the removal or loosening of regulatory constraints on firm performance. These reforms enabled consumers to enjoy lower-priced imported goods (clothing, cars, household appliances), but also domestic services (real estate, finance). Competition reforms also saw reform to government enterprises, for example, in rail transport and utilities. This led to efficiency gains, at least initially, which saw output of these services expand, despite workforce reductions. </w:t>
      </w:r>
    </w:p>
    <w:p w14:paraId="57C35406" w14:textId="12434AE8" w:rsidR="004823D6" w:rsidRDefault="004823D6" w:rsidP="00A2583D">
      <w:pPr>
        <w:pStyle w:val="BodyText"/>
      </w:pPr>
      <w:r>
        <w:t xml:space="preserve">Given its size, the heterogeneity of the services sector is to be expected. It comprises a multitude of activities, which are more or less </w:t>
      </w:r>
      <w:r w:rsidR="00E919ED">
        <w:t xml:space="preserve">closely related and </w:t>
      </w:r>
      <w:r w:rsidR="006B795A">
        <w:t xml:space="preserve">can be difficult </w:t>
      </w:r>
      <w:r w:rsidR="00E919ED">
        <w:t xml:space="preserve">to </w:t>
      </w:r>
      <w:r w:rsidR="006B795A">
        <w:t xml:space="preserve">categorise </w:t>
      </w:r>
      <w:r>
        <w:t>(box </w:t>
      </w:r>
      <w:r w:rsidR="00957F2B">
        <w:t>1.</w:t>
      </w:r>
      <w:r w:rsidR="00D16268">
        <w:t>3</w:t>
      </w:r>
      <w:r>
        <w:t>).</w:t>
      </w:r>
    </w:p>
    <w:p w14:paraId="32D4FAC6" w14:textId="417DB9AA" w:rsidR="00FE10BB" w:rsidRDefault="00FE10BB" w:rsidP="00FE10BB">
      <w:pPr>
        <w:pStyle w:val="BodyText"/>
      </w:pPr>
      <w:r>
        <w:t xml:space="preserve">The diversity of the services sector is also apparent in the differential growth of its constituent activities. Figure </w:t>
      </w:r>
      <w:r w:rsidR="008830F5">
        <w:t>1.</w:t>
      </w:r>
      <w:r>
        <w:t xml:space="preserve">9 charts employment in </w:t>
      </w:r>
      <w:r w:rsidR="000F2E53">
        <w:t xml:space="preserve">aggregated </w:t>
      </w:r>
      <w:r>
        <w:t xml:space="preserve">services industries from 1985 to 2012. The growth of social services and business services employment from the beginning of the 2000s stands out, as does the rise in construction employment, linked in part to the mining boom. These trends are an indication that structural change is also occurring </w:t>
      </w:r>
      <w:r w:rsidRPr="00B77C4E">
        <w:rPr>
          <w:i/>
        </w:rPr>
        <w:t>within</w:t>
      </w:r>
      <w:r>
        <w:t xml:space="preserve"> the services sector, in response to the various press</w:t>
      </w:r>
      <w:r w:rsidR="00957F2B">
        <w:t>ures mentioned previously (box 1.2</w:t>
      </w:r>
      <w:r>
        <w:t xml:space="preserve">). </w:t>
      </w:r>
    </w:p>
    <w:p w14:paraId="30B9EE50" w14:textId="77777777" w:rsidR="001518CD" w:rsidRDefault="001518CD">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518CD" w14:paraId="3A469BA0" w14:textId="77777777">
        <w:tc>
          <w:tcPr>
            <w:tcW w:w="8771" w:type="dxa"/>
            <w:tcBorders>
              <w:top w:val="single" w:sz="6" w:space="0" w:color="auto"/>
              <w:bottom w:val="nil"/>
            </w:tcBorders>
          </w:tcPr>
          <w:p w14:paraId="67F8439C" w14:textId="4B191B5C" w:rsidR="001518CD" w:rsidRDefault="008830F5" w:rsidP="00D16268">
            <w:pPr>
              <w:pStyle w:val="BoxTitle"/>
            </w:pPr>
            <w:r>
              <w:rPr>
                <w:b w:val="0"/>
              </w:rPr>
              <w:t>Box 1.</w:t>
            </w:r>
            <w:r w:rsidR="00027B48">
              <w:rPr>
                <w:b w:val="0"/>
                <w:noProof/>
              </w:rPr>
              <w:t>3</w:t>
            </w:r>
            <w:r w:rsidR="001518CD">
              <w:tab/>
              <w:t>The services sector: a study in diversity</w:t>
            </w:r>
          </w:p>
        </w:tc>
      </w:tr>
      <w:tr w:rsidR="001518CD" w14:paraId="77895AF7" w14:textId="77777777">
        <w:trPr>
          <w:cantSplit/>
        </w:trPr>
        <w:tc>
          <w:tcPr>
            <w:tcW w:w="8771" w:type="dxa"/>
            <w:tcBorders>
              <w:top w:val="nil"/>
              <w:left w:val="single" w:sz="6" w:space="0" w:color="auto"/>
              <w:bottom w:val="nil"/>
              <w:right w:val="single" w:sz="6" w:space="0" w:color="auto"/>
            </w:tcBorders>
          </w:tcPr>
          <w:p w14:paraId="311B8274" w14:textId="4A421C1A" w:rsidR="004823D6" w:rsidRDefault="004823D6" w:rsidP="004823D6">
            <w:pPr>
              <w:pStyle w:val="Box"/>
            </w:pPr>
            <w:r>
              <w:t xml:space="preserve">The services sector </w:t>
            </w:r>
            <w:r w:rsidR="00DA0ABA">
              <w:t>may be</w:t>
            </w:r>
            <w:r>
              <w:t xml:space="preserve"> defined by what it is not: agriculture</w:t>
            </w:r>
            <w:r w:rsidR="006B795A">
              <w:t>,</w:t>
            </w:r>
            <w:r>
              <w:t xml:space="preserve"> mining</w:t>
            </w:r>
            <w:r w:rsidR="006B795A">
              <w:t xml:space="preserve">, </w:t>
            </w:r>
            <w:r>
              <w:t xml:space="preserve">or manufacturing. In this sense, it is </w:t>
            </w:r>
            <w:r w:rsidR="006B795A">
              <w:t xml:space="preserve">the </w:t>
            </w:r>
            <w:r w:rsidRPr="001518CD">
              <w:rPr>
                <w:i/>
              </w:rPr>
              <w:t>residual</w:t>
            </w:r>
            <w:r>
              <w:t xml:space="preserve"> sector. A more </w:t>
            </w:r>
            <w:r w:rsidR="006B795A">
              <w:t xml:space="preserve">informative </w:t>
            </w:r>
            <w:r>
              <w:t xml:space="preserve">definition </w:t>
            </w:r>
            <w:r w:rsidR="006B795A">
              <w:t>relates to</w:t>
            </w:r>
            <w:r>
              <w:t xml:space="preserve"> some common features that set services apart from other forms of economic activity</w:t>
            </w:r>
            <w:r w:rsidR="0083439C">
              <w:t xml:space="preserve">, namely </w:t>
            </w:r>
            <w:proofErr w:type="spellStart"/>
            <w:r w:rsidR="0083439C">
              <w:t>their</w:t>
            </w:r>
            <w:proofErr w:type="spellEnd"/>
            <w:r>
              <w:t>:</w:t>
            </w:r>
            <w:r w:rsidR="00FF03C5">
              <w:t xml:space="preserve"> (</w:t>
            </w:r>
            <w:proofErr w:type="spellStart"/>
            <w:r w:rsidR="00FF03C5">
              <w:t>i</w:t>
            </w:r>
            <w:proofErr w:type="spellEnd"/>
            <w:r w:rsidR="00FF03C5">
              <w:t>) intangible or immaterial nature; (ii) non-storability and non</w:t>
            </w:r>
            <w:r w:rsidR="004A56E7">
              <w:noBreakHyphen/>
            </w:r>
            <w:r w:rsidR="00FF03C5">
              <w:t>transferability; and (iii) provision through the direct interaction of the producer and the consumer.</w:t>
            </w:r>
          </w:p>
          <w:p w14:paraId="65EB46BC" w14:textId="1DEF8A6B" w:rsidR="004823D6" w:rsidRDefault="004823D6" w:rsidP="004823D6">
            <w:pPr>
              <w:pStyle w:val="Box"/>
            </w:pPr>
            <w:r>
              <w:t>There are, however, services that do not possess all of these features (for example, a restaurant meal is</w:t>
            </w:r>
            <w:r w:rsidR="006B795A">
              <w:t xml:space="preserve"> clearly</w:t>
            </w:r>
            <w:r>
              <w:t xml:space="preserve"> tangible, storable and transferable). Moreover, there can be </w:t>
            </w:r>
            <w:r w:rsidR="00427343">
              <w:t>some overlap</w:t>
            </w:r>
            <w:r>
              <w:t xml:space="preserve"> between sectors (for example, between the activities of an automobile manufacturing plant and those of a car </w:t>
            </w:r>
            <w:r w:rsidR="00E671CF">
              <w:t>servicing</w:t>
            </w:r>
            <w:r>
              <w:t xml:space="preserve"> </w:t>
            </w:r>
            <w:r w:rsidR="00E671CF">
              <w:t>garage</w:t>
            </w:r>
            <w:r>
              <w:t>).</w:t>
            </w:r>
          </w:p>
          <w:p w14:paraId="0E0590E9" w14:textId="15801EE2" w:rsidR="004823D6" w:rsidRDefault="004823D6" w:rsidP="004823D6">
            <w:pPr>
              <w:pStyle w:val="Box"/>
            </w:pPr>
            <w:r>
              <w:t xml:space="preserve">The diversity of the services sector is reflected in the large number of industry divisions it comprises, as well as in the relative sizes of these (table </w:t>
            </w:r>
            <w:r w:rsidR="006B0BA7">
              <w:t>1.</w:t>
            </w:r>
            <w:r>
              <w:t>2).</w:t>
            </w:r>
          </w:p>
          <w:p w14:paraId="4A7F5810" w14:textId="080DC55D" w:rsidR="001B1169" w:rsidRPr="00E12049" w:rsidRDefault="008830F5" w:rsidP="00FF03C5">
            <w:pPr>
              <w:pStyle w:val="TableTitle"/>
              <w:ind w:left="1254" w:hanging="1276"/>
              <w:rPr>
                <w:sz w:val="22"/>
                <w:szCs w:val="22"/>
              </w:rPr>
            </w:pPr>
            <w:r>
              <w:rPr>
                <w:b w:val="0"/>
              </w:rPr>
              <w:t>Table 1.</w:t>
            </w:r>
            <w:r w:rsidR="00027B48">
              <w:rPr>
                <w:b w:val="0"/>
                <w:noProof/>
              </w:rPr>
              <w:t>2</w:t>
            </w:r>
            <w:r w:rsidR="000D7F66">
              <w:rPr>
                <w:sz w:val="22"/>
                <w:szCs w:val="22"/>
              </w:rPr>
              <w:tab/>
              <w:t>Service</w:t>
            </w:r>
            <w:r w:rsidR="001B1169" w:rsidRPr="00E12049">
              <w:rPr>
                <w:sz w:val="22"/>
                <w:szCs w:val="22"/>
              </w:rPr>
              <w:t xml:space="preserve"> industries shares of </w:t>
            </w:r>
            <w:r w:rsidR="00373887">
              <w:rPr>
                <w:sz w:val="22"/>
                <w:szCs w:val="22"/>
              </w:rPr>
              <w:t xml:space="preserve">sectoral </w:t>
            </w:r>
            <w:r w:rsidR="001B1169" w:rsidRPr="00E12049">
              <w:rPr>
                <w:sz w:val="22"/>
                <w:szCs w:val="22"/>
              </w:rPr>
              <w:t>value added and employment</w:t>
            </w:r>
            <w:r w:rsidR="00FF03C5" w:rsidRPr="00FF03C5">
              <w:rPr>
                <w:rStyle w:val="NoteLabel"/>
                <w:b/>
              </w:rPr>
              <w:t>a</w:t>
            </w:r>
          </w:p>
          <w:p w14:paraId="126232C9" w14:textId="18DFB039" w:rsidR="001B1169" w:rsidRPr="00E12049" w:rsidRDefault="001B1169" w:rsidP="00FF03C5">
            <w:pPr>
              <w:pStyle w:val="Subtitle"/>
              <w:ind w:left="1254"/>
              <w:rPr>
                <w:sz w:val="18"/>
                <w:szCs w:val="18"/>
              </w:rPr>
            </w:pPr>
            <w:r w:rsidRPr="00E12049">
              <w:rPr>
                <w:sz w:val="18"/>
                <w:szCs w:val="18"/>
              </w:rPr>
              <w:t>Average</w:t>
            </w:r>
            <w:r w:rsidR="00DA0ABA">
              <w:rPr>
                <w:sz w:val="18"/>
                <w:szCs w:val="18"/>
              </w:rPr>
              <w:t>,</w:t>
            </w:r>
            <w:r w:rsidR="0072384D" w:rsidRPr="00E12049">
              <w:rPr>
                <w:sz w:val="18"/>
                <w:szCs w:val="18"/>
              </w:rPr>
              <w:t xml:space="preserve"> </w:t>
            </w:r>
            <w:r w:rsidRPr="00E12049">
              <w:rPr>
                <w:sz w:val="18"/>
                <w:szCs w:val="18"/>
              </w:rPr>
              <w:t>20</w:t>
            </w:r>
            <w:r w:rsidR="0072384D" w:rsidRPr="00E12049">
              <w:rPr>
                <w:sz w:val="18"/>
                <w:szCs w:val="18"/>
              </w:rPr>
              <w:t>1</w:t>
            </w:r>
            <w:r w:rsidRPr="00E12049">
              <w:rPr>
                <w:sz w:val="18"/>
                <w:szCs w:val="18"/>
              </w:rPr>
              <w:t>1-12</w:t>
            </w:r>
            <w:r w:rsidR="00AF2321">
              <w:rPr>
                <w:sz w:val="18"/>
                <w:szCs w:val="18"/>
              </w:rPr>
              <w:t xml:space="preserve"> </w:t>
            </w:r>
          </w:p>
          <w:tbl>
            <w:tblPr>
              <w:tblW w:w="0" w:type="auto"/>
              <w:tblLayout w:type="fixed"/>
              <w:tblCellMar>
                <w:left w:w="0" w:type="dxa"/>
                <w:right w:w="0" w:type="dxa"/>
              </w:tblCellMar>
              <w:tblLook w:val="0000" w:firstRow="0" w:lastRow="0" w:firstColumn="0" w:lastColumn="0" w:noHBand="0" w:noVBand="0"/>
            </w:tblPr>
            <w:tblGrid>
              <w:gridCol w:w="4824"/>
              <w:gridCol w:w="1835"/>
              <w:gridCol w:w="9"/>
              <w:gridCol w:w="1815"/>
            </w:tblGrid>
            <w:tr w:rsidR="001B1169" w:rsidRPr="00E12049" w14:paraId="6871400D" w14:textId="77777777" w:rsidTr="0072384D">
              <w:tc>
                <w:tcPr>
                  <w:tcW w:w="4824" w:type="dxa"/>
                  <w:tcBorders>
                    <w:top w:val="single" w:sz="6" w:space="0" w:color="auto"/>
                    <w:bottom w:val="single" w:sz="6" w:space="0" w:color="auto"/>
                  </w:tcBorders>
                  <w:shd w:val="clear" w:color="auto" w:fill="auto"/>
                </w:tcPr>
                <w:p w14:paraId="5C42FBBF" w14:textId="556621EA" w:rsidR="001B1169" w:rsidRPr="00E12049" w:rsidRDefault="00DD32C8" w:rsidP="001B1169">
                  <w:pPr>
                    <w:pStyle w:val="TableColumnHeading"/>
                    <w:jc w:val="left"/>
                    <w:rPr>
                      <w:sz w:val="18"/>
                      <w:szCs w:val="18"/>
                    </w:rPr>
                  </w:pPr>
                  <w:r>
                    <w:rPr>
                      <w:sz w:val="18"/>
                      <w:szCs w:val="18"/>
                    </w:rPr>
                    <w:t>Industry division</w:t>
                  </w:r>
                  <w:r w:rsidR="008C6EE3">
                    <w:rPr>
                      <w:sz w:val="18"/>
                      <w:szCs w:val="18"/>
                    </w:rPr>
                    <w:t>s and groupings</w:t>
                  </w:r>
                </w:p>
              </w:tc>
              <w:tc>
                <w:tcPr>
                  <w:tcW w:w="1835" w:type="dxa"/>
                  <w:tcBorders>
                    <w:top w:val="single" w:sz="6" w:space="0" w:color="auto"/>
                    <w:bottom w:val="single" w:sz="6" w:space="0" w:color="auto"/>
                  </w:tcBorders>
                  <w:shd w:val="clear" w:color="auto" w:fill="auto"/>
                </w:tcPr>
                <w:p w14:paraId="10C0A71B" w14:textId="3501DF2C" w:rsidR="001B1169" w:rsidRPr="00E12049" w:rsidRDefault="0072384D" w:rsidP="00FF03C5">
                  <w:pPr>
                    <w:pStyle w:val="TableColumnHeading"/>
                    <w:rPr>
                      <w:sz w:val="18"/>
                      <w:szCs w:val="18"/>
                    </w:rPr>
                  </w:pPr>
                  <w:r w:rsidRPr="00E12049">
                    <w:rPr>
                      <w:sz w:val="18"/>
                      <w:szCs w:val="18"/>
                    </w:rPr>
                    <w:t xml:space="preserve">Value </w:t>
                  </w:r>
                  <w:r w:rsidR="00FF03C5" w:rsidRPr="00E12049">
                    <w:rPr>
                      <w:sz w:val="18"/>
                      <w:szCs w:val="18"/>
                    </w:rPr>
                    <w:t>added</w:t>
                  </w:r>
                  <w:r w:rsidR="00FF03C5">
                    <w:rPr>
                      <w:rStyle w:val="NoteLabel"/>
                      <w:i w:val="0"/>
                    </w:rPr>
                    <w:t>b</w:t>
                  </w:r>
                </w:p>
              </w:tc>
              <w:tc>
                <w:tcPr>
                  <w:tcW w:w="1824" w:type="dxa"/>
                  <w:gridSpan w:val="2"/>
                  <w:tcBorders>
                    <w:top w:val="single" w:sz="6" w:space="0" w:color="auto"/>
                    <w:bottom w:val="single" w:sz="6" w:space="0" w:color="auto"/>
                  </w:tcBorders>
                  <w:shd w:val="clear" w:color="auto" w:fill="auto"/>
                </w:tcPr>
                <w:p w14:paraId="49D76CAF" w14:textId="31B97B62" w:rsidR="001B1169" w:rsidRPr="00E12049" w:rsidRDefault="00FF03C5" w:rsidP="00FF03C5">
                  <w:pPr>
                    <w:pStyle w:val="TableColumnHeading"/>
                    <w:ind w:right="28"/>
                    <w:rPr>
                      <w:sz w:val="18"/>
                      <w:szCs w:val="18"/>
                    </w:rPr>
                  </w:pPr>
                  <w:r w:rsidRPr="00E12049">
                    <w:rPr>
                      <w:sz w:val="18"/>
                      <w:szCs w:val="18"/>
                    </w:rPr>
                    <w:t>Employment</w:t>
                  </w:r>
                  <w:r>
                    <w:rPr>
                      <w:rStyle w:val="NoteLabel"/>
                      <w:i w:val="0"/>
                    </w:rPr>
                    <w:t>c</w:t>
                  </w:r>
                </w:p>
              </w:tc>
            </w:tr>
            <w:tr w:rsidR="001B1169" w:rsidRPr="00E12049" w14:paraId="3F3D5398" w14:textId="77777777" w:rsidTr="0072384D">
              <w:tc>
                <w:tcPr>
                  <w:tcW w:w="4824" w:type="dxa"/>
                  <w:tcBorders>
                    <w:top w:val="single" w:sz="6" w:space="0" w:color="auto"/>
                  </w:tcBorders>
                </w:tcPr>
                <w:p w14:paraId="5BB321B1" w14:textId="77777777" w:rsidR="001B1169" w:rsidRPr="00E12049" w:rsidRDefault="001B1169" w:rsidP="001B1169">
                  <w:pPr>
                    <w:pStyle w:val="TableUnitsRow"/>
                    <w:jc w:val="left"/>
                    <w:rPr>
                      <w:sz w:val="18"/>
                      <w:szCs w:val="18"/>
                    </w:rPr>
                  </w:pPr>
                </w:p>
              </w:tc>
              <w:tc>
                <w:tcPr>
                  <w:tcW w:w="1835" w:type="dxa"/>
                  <w:tcBorders>
                    <w:top w:val="single" w:sz="6" w:space="0" w:color="auto"/>
                  </w:tcBorders>
                </w:tcPr>
                <w:p w14:paraId="02205D85" w14:textId="0F4E18FC" w:rsidR="001B1169" w:rsidRPr="00E12049" w:rsidRDefault="0072384D" w:rsidP="001B1169">
                  <w:pPr>
                    <w:pStyle w:val="TableUnitsRow"/>
                    <w:rPr>
                      <w:sz w:val="18"/>
                      <w:szCs w:val="18"/>
                    </w:rPr>
                  </w:pPr>
                  <w:r w:rsidRPr="00E12049">
                    <w:rPr>
                      <w:sz w:val="18"/>
                      <w:szCs w:val="18"/>
                    </w:rPr>
                    <w:t>%</w:t>
                  </w:r>
                </w:p>
              </w:tc>
              <w:tc>
                <w:tcPr>
                  <w:tcW w:w="1824" w:type="dxa"/>
                  <w:gridSpan w:val="2"/>
                  <w:tcBorders>
                    <w:top w:val="single" w:sz="6" w:space="0" w:color="auto"/>
                  </w:tcBorders>
                </w:tcPr>
                <w:p w14:paraId="2EB05F1B" w14:textId="42213F22" w:rsidR="001B1169" w:rsidRPr="00E12049" w:rsidRDefault="0072384D" w:rsidP="001B1169">
                  <w:pPr>
                    <w:pStyle w:val="TableUnitsRow"/>
                    <w:ind w:right="28"/>
                    <w:rPr>
                      <w:sz w:val="18"/>
                      <w:szCs w:val="18"/>
                    </w:rPr>
                  </w:pPr>
                  <w:r w:rsidRPr="00E12049">
                    <w:rPr>
                      <w:sz w:val="18"/>
                      <w:szCs w:val="18"/>
                    </w:rPr>
                    <w:t>%</w:t>
                  </w:r>
                </w:p>
              </w:tc>
            </w:tr>
            <w:tr w:rsidR="000F2E53" w:rsidRPr="00E12049" w14:paraId="7BF7CF9E" w14:textId="77777777" w:rsidTr="0072384D">
              <w:tc>
                <w:tcPr>
                  <w:tcW w:w="4824" w:type="dxa"/>
                </w:tcPr>
                <w:p w14:paraId="3E931672" w14:textId="5AD6464C" w:rsidR="000F2E53" w:rsidRPr="00E12049" w:rsidRDefault="000F2E53" w:rsidP="000D30E4">
                  <w:pPr>
                    <w:pStyle w:val="TableBodyText"/>
                    <w:ind w:left="262"/>
                    <w:jc w:val="left"/>
                    <w:rPr>
                      <w:sz w:val="18"/>
                      <w:szCs w:val="18"/>
                    </w:rPr>
                  </w:pPr>
                  <w:r w:rsidRPr="00E12049">
                    <w:rPr>
                      <w:sz w:val="18"/>
                      <w:szCs w:val="18"/>
                    </w:rPr>
                    <w:t>Electricity, gas, water and waste services</w:t>
                  </w:r>
                  <w:r>
                    <w:rPr>
                      <w:sz w:val="18"/>
                      <w:szCs w:val="18"/>
                    </w:rPr>
                    <w:t xml:space="preserve"> </w:t>
                  </w:r>
                </w:p>
              </w:tc>
              <w:tc>
                <w:tcPr>
                  <w:tcW w:w="1844" w:type="dxa"/>
                  <w:gridSpan w:val="2"/>
                </w:tcPr>
                <w:p w14:paraId="2BD0E11E" w14:textId="4E269B6F" w:rsidR="000F2E53" w:rsidRPr="00AF2321" w:rsidRDefault="000F2E53" w:rsidP="0072384D">
                  <w:pPr>
                    <w:pStyle w:val="TableBodyText"/>
                    <w:rPr>
                      <w:sz w:val="18"/>
                      <w:szCs w:val="18"/>
                    </w:rPr>
                  </w:pPr>
                  <w:r w:rsidRPr="00AF2321">
                    <w:rPr>
                      <w:sz w:val="18"/>
                      <w:szCs w:val="18"/>
                    </w:rPr>
                    <w:t>3.1</w:t>
                  </w:r>
                </w:p>
              </w:tc>
              <w:tc>
                <w:tcPr>
                  <w:tcW w:w="1815" w:type="dxa"/>
                  <w:shd w:val="clear" w:color="auto" w:fill="auto"/>
                </w:tcPr>
                <w:p w14:paraId="0758FD3D" w14:textId="588529B2" w:rsidR="000F2E53" w:rsidRPr="00AF2321" w:rsidRDefault="000F2E53" w:rsidP="0072384D">
                  <w:pPr>
                    <w:pStyle w:val="TableBodyText"/>
                    <w:ind w:right="28"/>
                    <w:rPr>
                      <w:sz w:val="18"/>
                      <w:szCs w:val="18"/>
                    </w:rPr>
                  </w:pPr>
                  <w:r w:rsidRPr="00AF2321">
                    <w:rPr>
                      <w:sz w:val="18"/>
                      <w:szCs w:val="18"/>
                    </w:rPr>
                    <w:t>1.6</w:t>
                  </w:r>
                </w:p>
              </w:tc>
            </w:tr>
            <w:tr w:rsidR="00AF2321" w:rsidRPr="00E12049" w14:paraId="5FA54A71" w14:textId="77777777" w:rsidTr="0072384D">
              <w:tc>
                <w:tcPr>
                  <w:tcW w:w="4824" w:type="dxa"/>
                </w:tcPr>
                <w:p w14:paraId="6CE4E505" w14:textId="3F12B849" w:rsidR="00AF2321" w:rsidRPr="00E12049" w:rsidRDefault="00AF2321" w:rsidP="000D30E4">
                  <w:pPr>
                    <w:pStyle w:val="TableBodyText"/>
                    <w:ind w:left="262"/>
                    <w:jc w:val="left"/>
                    <w:rPr>
                      <w:sz w:val="18"/>
                      <w:szCs w:val="18"/>
                    </w:rPr>
                  </w:pPr>
                  <w:r w:rsidRPr="00E12049">
                    <w:rPr>
                      <w:sz w:val="18"/>
                      <w:szCs w:val="18"/>
                    </w:rPr>
                    <w:t>Construction</w:t>
                  </w:r>
                  <w:r w:rsidR="00894E2D">
                    <w:rPr>
                      <w:sz w:val="18"/>
                      <w:szCs w:val="18"/>
                    </w:rPr>
                    <w:t xml:space="preserve"> </w:t>
                  </w:r>
                </w:p>
              </w:tc>
              <w:tc>
                <w:tcPr>
                  <w:tcW w:w="1844" w:type="dxa"/>
                  <w:gridSpan w:val="2"/>
                </w:tcPr>
                <w:p w14:paraId="2432DDFD" w14:textId="36A6F541" w:rsidR="00AF2321" w:rsidRPr="00AF2321" w:rsidRDefault="00AF2321" w:rsidP="0072384D">
                  <w:pPr>
                    <w:pStyle w:val="TableBodyText"/>
                    <w:rPr>
                      <w:sz w:val="18"/>
                      <w:szCs w:val="18"/>
                    </w:rPr>
                  </w:pPr>
                  <w:r w:rsidRPr="00AF2321">
                    <w:rPr>
                      <w:sz w:val="18"/>
                      <w:szCs w:val="18"/>
                    </w:rPr>
                    <w:t>11.5</w:t>
                  </w:r>
                </w:p>
              </w:tc>
              <w:tc>
                <w:tcPr>
                  <w:tcW w:w="1815" w:type="dxa"/>
                  <w:shd w:val="clear" w:color="auto" w:fill="auto"/>
                </w:tcPr>
                <w:p w14:paraId="4E7AFF69" w14:textId="2B7D1C0C" w:rsidR="00AF2321" w:rsidRPr="00AF2321" w:rsidRDefault="00AF2321" w:rsidP="0072384D">
                  <w:pPr>
                    <w:pStyle w:val="TableBodyText"/>
                    <w:ind w:right="28"/>
                    <w:rPr>
                      <w:sz w:val="18"/>
                      <w:szCs w:val="18"/>
                    </w:rPr>
                  </w:pPr>
                  <w:r w:rsidRPr="00AF2321">
                    <w:rPr>
                      <w:sz w:val="18"/>
                      <w:szCs w:val="18"/>
                    </w:rPr>
                    <w:t>10.3</w:t>
                  </w:r>
                </w:p>
              </w:tc>
            </w:tr>
            <w:tr w:rsidR="000F2E53" w:rsidRPr="00E12049" w14:paraId="71A436FF" w14:textId="77777777" w:rsidTr="000F2E53">
              <w:tc>
                <w:tcPr>
                  <w:tcW w:w="8483" w:type="dxa"/>
                  <w:gridSpan w:val="4"/>
                </w:tcPr>
                <w:p w14:paraId="36979E64" w14:textId="2BA124DE" w:rsidR="000F2E53" w:rsidRPr="000F2E53" w:rsidRDefault="00E2011A" w:rsidP="00E2011A">
                  <w:pPr>
                    <w:pStyle w:val="TableBodyText"/>
                    <w:ind w:right="28"/>
                    <w:jc w:val="left"/>
                    <w:rPr>
                      <w:b/>
                      <w:sz w:val="18"/>
                      <w:szCs w:val="18"/>
                    </w:rPr>
                  </w:pPr>
                  <w:r>
                    <w:rPr>
                      <w:b/>
                      <w:sz w:val="18"/>
                      <w:szCs w:val="18"/>
                    </w:rPr>
                    <w:t>Distribution services</w:t>
                  </w:r>
                </w:p>
              </w:tc>
            </w:tr>
            <w:tr w:rsidR="00AF2321" w:rsidRPr="00E12049" w14:paraId="76093D68" w14:textId="77777777" w:rsidTr="0072384D">
              <w:tc>
                <w:tcPr>
                  <w:tcW w:w="4824" w:type="dxa"/>
                </w:tcPr>
                <w:p w14:paraId="6325AF15" w14:textId="1ABE2FAA" w:rsidR="00AF2321" w:rsidRPr="00E12049" w:rsidRDefault="00AF2321" w:rsidP="000D30E4">
                  <w:pPr>
                    <w:pStyle w:val="TableBodyText"/>
                    <w:ind w:left="262"/>
                    <w:jc w:val="left"/>
                    <w:rPr>
                      <w:sz w:val="18"/>
                      <w:szCs w:val="18"/>
                    </w:rPr>
                  </w:pPr>
                  <w:r w:rsidRPr="00E12049">
                    <w:rPr>
                      <w:sz w:val="18"/>
                      <w:szCs w:val="18"/>
                    </w:rPr>
                    <w:t>Wholesale trade</w:t>
                  </w:r>
                  <w:r w:rsidR="00894E2D">
                    <w:rPr>
                      <w:sz w:val="18"/>
                      <w:szCs w:val="18"/>
                    </w:rPr>
                    <w:t xml:space="preserve"> </w:t>
                  </w:r>
                </w:p>
              </w:tc>
              <w:tc>
                <w:tcPr>
                  <w:tcW w:w="1844" w:type="dxa"/>
                  <w:gridSpan w:val="2"/>
                </w:tcPr>
                <w:p w14:paraId="37BAB742" w14:textId="3E1B8E43" w:rsidR="00AF2321" w:rsidRPr="00AF2321" w:rsidRDefault="00AF2321" w:rsidP="0072384D">
                  <w:pPr>
                    <w:pStyle w:val="TableBodyText"/>
                    <w:rPr>
                      <w:sz w:val="18"/>
                      <w:szCs w:val="18"/>
                    </w:rPr>
                  </w:pPr>
                  <w:r w:rsidRPr="00AF2321">
                    <w:rPr>
                      <w:sz w:val="18"/>
                      <w:szCs w:val="18"/>
                    </w:rPr>
                    <w:t>6.3</w:t>
                  </w:r>
                </w:p>
              </w:tc>
              <w:tc>
                <w:tcPr>
                  <w:tcW w:w="1815" w:type="dxa"/>
                  <w:shd w:val="clear" w:color="auto" w:fill="auto"/>
                </w:tcPr>
                <w:p w14:paraId="111537C5" w14:textId="79A9D066" w:rsidR="00AF2321" w:rsidRPr="00AF2321" w:rsidRDefault="00AF2321" w:rsidP="0072384D">
                  <w:pPr>
                    <w:pStyle w:val="TableBodyText"/>
                    <w:ind w:right="28"/>
                    <w:rPr>
                      <w:sz w:val="18"/>
                      <w:szCs w:val="18"/>
                    </w:rPr>
                  </w:pPr>
                  <w:r w:rsidRPr="00AF2321">
                    <w:rPr>
                      <w:sz w:val="18"/>
                      <w:szCs w:val="18"/>
                    </w:rPr>
                    <w:t>4.2</w:t>
                  </w:r>
                </w:p>
              </w:tc>
            </w:tr>
            <w:tr w:rsidR="00AF2321" w:rsidRPr="00E12049" w14:paraId="6B77CBB1" w14:textId="77777777" w:rsidTr="0072384D">
              <w:tc>
                <w:tcPr>
                  <w:tcW w:w="4824" w:type="dxa"/>
                </w:tcPr>
                <w:p w14:paraId="5B85AB80" w14:textId="1E656FEA" w:rsidR="00AF2321" w:rsidRPr="00E12049" w:rsidRDefault="00AF2321" w:rsidP="000D30E4">
                  <w:pPr>
                    <w:pStyle w:val="TableBodyText"/>
                    <w:ind w:left="262"/>
                    <w:jc w:val="left"/>
                    <w:rPr>
                      <w:sz w:val="18"/>
                      <w:szCs w:val="18"/>
                    </w:rPr>
                  </w:pPr>
                  <w:r w:rsidRPr="00E12049">
                    <w:rPr>
                      <w:sz w:val="18"/>
                      <w:szCs w:val="18"/>
                    </w:rPr>
                    <w:t>Retail trade</w:t>
                  </w:r>
                  <w:r w:rsidR="00894E2D">
                    <w:rPr>
                      <w:sz w:val="18"/>
                      <w:szCs w:val="18"/>
                    </w:rPr>
                    <w:t xml:space="preserve"> </w:t>
                  </w:r>
                </w:p>
              </w:tc>
              <w:tc>
                <w:tcPr>
                  <w:tcW w:w="1844" w:type="dxa"/>
                  <w:gridSpan w:val="2"/>
                </w:tcPr>
                <w:p w14:paraId="32113CEB" w14:textId="422D7D67" w:rsidR="00AF2321" w:rsidRPr="00AF2321" w:rsidRDefault="00AF2321" w:rsidP="0072384D">
                  <w:pPr>
                    <w:pStyle w:val="TableBodyText"/>
                    <w:rPr>
                      <w:sz w:val="18"/>
                      <w:szCs w:val="18"/>
                    </w:rPr>
                  </w:pPr>
                  <w:r w:rsidRPr="00AF2321">
                    <w:rPr>
                      <w:sz w:val="18"/>
                      <w:szCs w:val="18"/>
                    </w:rPr>
                    <w:t>6.5</w:t>
                  </w:r>
                </w:p>
              </w:tc>
              <w:tc>
                <w:tcPr>
                  <w:tcW w:w="1815" w:type="dxa"/>
                  <w:shd w:val="clear" w:color="auto" w:fill="auto"/>
                </w:tcPr>
                <w:p w14:paraId="5A5AE108" w14:textId="02ACC34F" w:rsidR="00AF2321" w:rsidRPr="00AF2321" w:rsidRDefault="00AF2321" w:rsidP="0072384D">
                  <w:pPr>
                    <w:pStyle w:val="TableBodyText"/>
                    <w:ind w:right="28"/>
                    <w:rPr>
                      <w:sz w:val="18"/>
                      <w:szCs w:val="18"/>
                    </w:rPr>
                  </w:pPr>
                  <w:r w:rsidRPr="00AF2321">
                    <w:rPr>
                      <w:sz w:val="18"/>
                      <w:szCs w:val="18"/>
                    </w:rPr>
                    <w:t>12.3</w:t>
                  </w:r>
                </w:p>
              </w:tc>
            </w:tr>
            <w:tr w:rsidR="00AF2321" w:rsidRPr="00E12049" w14:paraId="1CD66733" w14:textId="77777777" w:rsidTr="0072384D">
              <w:tc>
                <w:tcPr>
                  <w:tcW w:w="4824" w:type="dxa"/>
                </w:tcPr>
                <w:p w14:paraId="3AE5344A" w14:textId="12EE41BA" w:rsidR="00AF2321" w:rsidRPr="00E12049" w:rsidRDefault="00AF2321" w:rsidP="000D30E4">
                  <w:pPr>
                    <w:pStyle w:val="TableBodyText"/>
                    <w:ind w:left="262"/>
                    <w:jc w:val="left"/>
                    <w:rPr>
                      <w:sz w:val="18"/>
                      <w:szCs w:val="18"/>
                    </w:rPr>
                  </w:pPr>
                  <w:r w:rsidRPr="00E12049">
                    <w:rPr>
                      <w:sz w:val="18"/>
                      <w:szCs w:val="18"/>
                    </w:rPr>
                    <w:t>Transport, postal and warehousing</w:t>
                  </w:r>
                  <w:r w:rsidR="00894E2D">
                    <w:rPr>
                      <w:sz w:val="18"/>
                      <w:szCs w:val="18"/>
                    </w:rPr>
                    <w:t xml:space="preserve"> </w:t>
                  </w:r>
                </w:p>
              </w:tc>
              <w:tc>
                <w:tcPr>
                  <w:tcW w:w="1844" w:type="dxa"/>
                  <w:gridSpan w:val="2"/>
                </w:tcPr>
                <w:p w14:paraId="0613C01F" w14:textId="72E33A49" w:rsidR="00AF2321" w:rsidRPr="00AF2321" w:rsidRDefault="00AF2321" w:rsidP="0072384D">
                  <w:pPr>
                    <w:pStyle w:val="TableBodyText"/>
                    <w:rPr>
                      <w:sz w:val="18"/>
                      <w:szCs w:val="18"/>
                    </w:rPr>
                  </w:pPr>
                  <w:r w:rsidRPr="00AF2321">
                    <w:rPr>
                      <w:sz w:val="18"/>
                      <w:szCs w:val="18"/>
                    </w:rPr>
                    <w:t>7.6</w:t>
                  </w:r>
                </w:p>
              </w:tc>
              <w:tc>
                <w:tcPr>
                  <w:tcW w:w="1815" w:type="dxa"/>
                  <w:shd w:val="clear" w:color="auto" w:fill="auto"/>
                </w:tcPr>
                <w:p w14:paraId="3EBE1272" w14:textId="3797A9BC" w:rsidR="00AF2321" w:rsidRPr="00AF2321" w:rsidRDefault="00AF2321" w:rsidP="0072384D">
                  <w:pPr>
                    <w:pStyle w:val="TableBodyText"/>
                    <w:ind w:right="28"/>
                    <w:rPr>
                      <w:sz w:val="18"/>
                      <w:szCs w:val="18"/>
                    </w:rPr>
                  </w:pPr>
                  <w:r w:rsidRPr="00AF2321">
                    <w:rPr>
                      <w:sz w:val="18"/>
                      <w:szCs w:val="18"/>
                    </w:rPr>
                    <w:t>5.7</w:t>
                  </w:r>
                </w:p>
              </w:tc>
            </w:tr>
            <w:tr w:rsidR="00AF2321" w:rsidRPr="00E12049" w14:paraId="196BB3D7" w14:textId="77777777" w:rsidTr="0072384D">
              <w:tc>
                <w:tcPr>
                  <w:tcW w:w="4824" w:type="dxa"/>
                </w:tcPr>
                <w:p w14:paraId="6841C373" w14:textId="413BC791" w:rsidR="00AF2321" w:rsidRPr="00E12049" w:rsidRDefault="00AF2321" w:rsidP="000D30E4">
                  <w:pPr>
                    <w:pStyle w:val="TableBodyText"/>
                    <w:ind w:left="262"/>
                    <w:jc w:val="left"/>
                    <w:rPr>
                      <w:sz w:val="18"/>
                      <w:szCs w:val="18"/>
                    </w:rPr>
                  </w:pPr>
                  <w:r w:rsidRPr="00E12049">
                    <w:rPr>
                      <w:sz w:val="18"/>
                      <w:szCs w:val="18"/>
                    </w:rPr>
                    <w:t>Information media and telecommunications</w:t>
                  </w:r>
                  <w:r w:rsidR="00894E2D">
                    <w:rPr>
                      <w:sz w:val="18"/>
                      <w:szCs w:val="18"/>
                    </w:rPr>
                    <w:t xml:space="preserve"> </w:t>
                  </w:r>
                </w:p>
              </w:tc>
              <w:tc>
                <w:tcPr>
                  <w:tcW w:w="1844" w:type="dxa"/>
                  <w:gridSpan w:val="2"/>
                </w:tcPr>
                <w:p w14:paraId="3DF40E42" w14:textId="12400738" w:rsidR="00AF2321" w:rsidRPr="00AF2321" w:rsidRDefault="00AF2321" w:rsidP="0072384D">
                  <w:pPr>
                    <w:pStyle w:val="TableBodyText"/>
                    <w:rPr>
                      <w:sz w:val="18"/>
                      <w:szCs w:val="18"/>
                    </w:rPr>
                  </w:pPr>
                  <w:r w:rsidRPr="00AF2321">
                    <w:rPr>
                      <w:sz w:val="18"/>
                      <w:szCs w:val="18"/>
                    </w:rPr>
                    <w:t>4.6</w:t>
                  </w:r>
                </w:p>
              </w:tc>
              <w:tc>
                <w:tcPr>
                  <w:tcW w:w="1815" w:type="dxa"/>
                  <w:shd w:val="clear" w:color="auto" w:fill="auto"/>
                </w:tcPr>
                <w:p w14:paraId="56D3E100" w14:textId="5057557B" w:rsidR="00AF2321" w:rsidRPr="00AF2321" w:rsidRDefault="00AF2321" w:rsidP="0072384D">
                  <w:pPr>
                    <w:pStyle w:val="TableBodyText"/>
                    <w:ind w:right="28"/>
                    <w:rPr>
                      <w:sz w:val="18"/>
                      <w:szCs w:val="18"/>
                    </w:rPr>
                  </w:pPr>
                  <w:r w:rsidRPr="00AF2321">
                    <w:rPr>
                      <w:sz w:val="18"/>
                      <w:szCs w:val="18"/>
                    </w:rPr>
                    <w:t>2.2</w:t>
                  </w:r>
                </w:p>
              </w:tc>
            </w:tr>
            <w:tr w:rsidR="00E2011A" w:rsidRPr="00E12049" w14:paraId="5E339D79" w14:textId="77777777" w:rsidTr="00887C5E">
              <w:tc>
                <w:tcPr>
                  <w:tcW w:w="8483" w:type="dxa"/>
                  <w:gridSpan w:val="4"/>
                </w:tcPr>
                <w:p w14:paraId="7B67F51F" w14:textId="77777777" w:rsidR="00E2011A" w:rsidRPr="000F2E53" w:rsidRDefault="00E2011A" w:rsidP="00887C5E">
                  <w:pPr>
                    <w:pStyle w:val="TableBodyText"/>
                    <w:ind w:right="28"/>
                    <w:jc w:val="left"/>
                    <w:rPr>
                      <w:b/>
                      <w:sz w:val="18"/>
                      <w:szCs w:val="18"/>
                    </w:rPr>
                  </w:pPr>
                  <w:r w:rsidRPr="000F2E53">
                    <w:rPr>
                      <w:b/>
                      <w:sz w:val="18"/>
                      <w:szCs w:val="18"/>
                    </w:rPr>
                    <w:t>Business services</w:t>
                  </w:r>
                </w:p>
              </w:tc>
            </w:tr>
            <w:tr w:rsidR="00AF2321" w:rsidRPr="00E12049" w14:paraId="1E608907" w14:textId="77777777" w:rsidTr="0072384D">
              <w:tc>
                <w:tcPr>
                  <w:tcW w:w="4824" w:type="dxa"/>
                </w:tcPr>
                <w:p w14:paraId="53DEF5BA" w14:textId="694F35F8" w:rsidR="00AF2321" w:rsidRPr="00E12049" w:rsidRDefault="00AF2321" w:rsidP="000D30E4">
                  <w:pPr>
                    <w:pStyle w:val="TableBodyText"/>
                    <w:ind w:left="262"/>
                    <w:jc w:val="left"/>
                    <w:rPr>
                      <w:sz w:val="18"/>
                      <w:szCs w:val="18"/>
                    </w:rPr>
                  </w:pPr>
                  <w:r w:rsidRPr="00E12049">
                    <w:rPr>
                      <w:sz w:val="18"/>
                      <w:szCs w:val="18"/>
                    </w:rPr>
                    <w:t>Financial and insurance services</w:t>
                  </w:r>
                  <w:r w:rsidR="00894E2D">
                    <w:rPr>
                      <w:sz w:val="18"/>
                      <w:szCs w:val="18"/>
                    </w:rPr>
                    <w:t xml:space="preserve"> </w:t>
                  </w:r>
                </w:p>
              </w:tc>
              <w:tc>
                <w:tcPr>
                  <w:tcW w:w="1844" w:type="dxa"/>
                  <w:gridSpan w:val="2"/>
                </w:tcPr>
                <w:p w14:paraId="2B85CA5F" w14:textId="3D61BD32" w:rsidR="00AF2321" w:rsidRPr="00AF2321" w:rsidRDefault="00AF2321" w:rsidP="0072384D">
                  <w:pPr>
                    <w:pStyle w:val="TableBodyText"/>
                    <w:rPr>
                      <w:sz w:val="18"/>
                      <w:szCs w:val="18"/>
                    </w:rPr>
                  </w:pPr>
                  <w:r w:rsidRPr="00AF2321">
                    <w:rPr>
                      <w:sz w:val="18"/>
                      <w:szCs w:val="18"/>
                    </w:rPr>
                    <w:t>14.4</w:t>
                  </w:r>
                </w:p>
              </w:tc>
              <w:tc>
                <w:tcPr>
                  <w:tcW w:w="1815" w:type="dxa"/>
                  <w:shd w:val="clear" w:color="auto" w:fill="auto"/>
                </w:tcPr>
                <w:p w14:paraId="46B16445" w14:textId="417734C3" w:rsidR="00AF2321" w:rsidRPr="00AF2321" w:rsidRDefault="00AF2321" w:rsidP="0072384D">
                  <w:pPr>
                    <w:pStyle w:val="TableBodyText"/>
                    <w:ind w:right="28"/>
                    <w:rPr>
                      <w:sz w:val="18"/>
                      <w:szCs w:val="18"/>
                    </w:rPr>
                  </w:pPr>
                  <w:r w:rsidRPr="00AF2321">
                    <w:rPr>
                      <w:sz w:val="18"/>
                      <w:szCs w:val="18"/>
                    </w:rPr>
                    <w:t>4.3</w:t>
                  </w:r>
                </w:p>
              </w:tc>
            </w:tr>
            <w:tr w:rsidR="00AF2321" w:rsidRPr="00E12049" w14:paraId="00286D67" w14:textId="77777777" w:rsidTr="0072384D">
              <w:tc>
                <w:tcPr>
                  <w:tcW w:w="4824" w:type="dxa"/>
                </w:tcPr>
                <w:p w14:paraId="7875A2D6" w14:textId="231E5170" w:rsidR="00AF2321" w:rsidRPr="00E12049" w:rsidRDefault="00AF2321" w:rsidP="000D30E4">
                  <w:pPr>
                    <w:pStyle w:val="TableBodyText"/>
                    <w:ind w:left="262"/>
                    <w:jc w:val="left"/>
                    <w:rPr>
                      <w:sz w:val="18"/>
                      <w:szCs w:val="18"/>
                    </w:rPr>
                  </w:pPr>
                  <w:r w:rsidRPr="00E12049">
                    <w:rPr>
                      <w:sz w:val="18"/>
                      <w:szCs w:val="18"/>
                    </w:rPr>
                    <w:t>Rental, hiring and real estate services</w:t>
                  </w:r>
                  <w:r w:rsidR="00894E2D">
                    <w:rPr>
                      <w:sz w:val="18"/>
                      <w:szCs w:val="18"/>
                    </w:rPr>
                    <w:t xml:space="preserve"> </w:t>
                  </w:r>
                </w:p>
              </w:tc>
              <w:tc>
                <w:tcPr>
                  <w:tcW w:w="1844" w:type="dxa"/>
                  <w:gridSpan w:val="2"/>
                </w:tcPr>
                <w:p w14:paraId="53F4EF04" w14:textId="69A3F670" w:rsidR="00AF2321" w:rsidRPr="00AF2321" w:rsidRDefault="00AF2321" w:rsidP="0072384D">
                  <w:pPr>
                    <w:pStyle w:val="TableBodyText"/>
                    <w:rPr>
                      <w:sz w:val="18"/>
                      <w:szCs w:val="18"/>
                    </w:rPr>
                  </w:pPr>
                  <w:r w:rsidRPr="00AF2321">
                    <w:rPr>
                      <w:sz w:val="18"/>
                      <w:szCs w:val="18"/>
                    </w:rPr>
                    <w:t>3.0</w:t>
                  </w:r>
                </w:p>
              </w:tc>
              <w:tc>
                <w:tcPr>
                  <w:tcW w:w="1815" w:type="dxa"/>
                  <w:shd w:val="clear" w:color="auto" w:fill="auto"/>
                </w:tcPr>
                <w:p w14:paraId="76824F48" w14:textId="152FF7F5" w:rsidR="00AF2321" w:rsidRPr="00AF2321" w:rsidRDefault="00AF2321" w:rsidP="0072384D">
                  <w:pPr>
                    <w:pStyle w:val="TableBodyText"/>
                    <w:ind w:right="28"/>
                    <w:rPr>
                      <w:sz w:val="18"/>
                      <w:szCs w:val="18"/>
                    </w:rPr>
                  </w:pPr>
                  <w:r w:rsidRPr="00AF2321">
                    <w:rPr>
                      <w:sz w:val="18"/>
                      <w:szCs w:val="18"/>
                    </w:rPr>
                    <w:t>2.1</w:t>
                  </w:r>
                </w:p>
              </w:tc>
            </w:tr>
            <w:tr w:rsidR="00AF2321" w:rsidRPr="00E12049" w14:paraId="03A76076" w14:textId="77777777" w:rsidTr="0072384D">
              <w:tc>
                <w:tcPr>
                  <w:tcW w:w="4824" w:type="dxa"/>
                </w:tcPr>
                <w:p w14:paraId="29F9BFA4" w14:textId="6B1A6340" w:rsidR="00AF2321" w:rsidRPr="00E12049" w:rsidRDefault="00AF2321" w:rsidP="000D30E4">
                  <w:pPr>
                    <w:pStyle w:val="TableBodyText"/>
                    <w:ind w:left="262"/>
                    <w:jc w:val="left"/>
                    <w:rPr>
                      <w:sz w:val="18"/>
                      <w:szCs w:val="18"/>
                    </w:rPr>
                  </w:pPr>
                  <w:r w:rsidRPr="00E12049">
                    <w:rPr>
                      <w:sz w:val="18"/>
                      <w:szCs w:val="18"/>
                    </w:rPr>
                    <w:t>Professional, scientific and technical services</w:t>
                  </w:r>
                  <w:r w:rsidR="002B59F2">
                    <w:rPr>
                      <w:sz w:val="18"/>
                      <w:szCs w:val="18"/>
                    </w:rPr>
                    <w:t xml:space="preserve"> </w:t>
                  </w:r>
                </w:p>
              </w:tc>
              <w:tc>
                <w:tcPr>
                  <w:tcW w:w="1844" w:type="dxa"/>
                  <w:gridSpan w:val="2"/>
                </w:tcPr>
                <w:p w14:paraId="6D39CB65" w14:textId="52320745" w:rsidR="00AF2321" w:rsidRPr="00AF2321" w:rsidRDefault="00AF2321" w:rsidP="0072384D">
                  <w:pPr>
                    <w:pStyle w:val="TableBodyText"/>
                    <w:rPr>
                      <w:sz w:val="18"/>
                      <w:szCs w:val="18"/>
                    </w:rPr>
                  </w:pPr>
                  <w:r w:rsidRPr="00AF2321">
                    <w:rPr>
                      <w:sz w:val="18"/>
                      <w:szCs w:val="18"/>
                    </w:rPr>
                    <w:t>9.8</w:t>
                  </w:r>
                </w:p>
              </w:tc>
              <w:tc>
                <w:tcPr>
                  <w:tcW w:w="1815" w:type="dxa"/>
                  <w:shd w:val="clear" w:color="auto" w:fill="auto"/>
                </w:tcPr>
                <w:p w14:paraId="5D3CE198" w14:textId="6C4820AF" w:rsidR="00AF2321" w:rsidRPr="00AF2321" w:rsidRDefault="00AF2321" w:rsidP="0072384D">
                  <w:pPr>
                    <w:pStyle w:val="TableBodyText"/>
                    <w:ind w:right="28"/>
                    <w:rPr>
                      <w:sz w:val="18"/>
                      <w:szCs w:val="18"/>
                    </w:rPr>
                  </w:pPr>
                  <w:r w:rsidRPr="00AF2321">
                    <w:rPr>
                      <w:sz w:val="18"/>
                      <w:szCs w:val="18"/>
                    </w:rPr>
                    <w:t>9.0</w:t>
                  </w:r>
                </w:p>
              </w:tc>
            </w:tr>
            <w:tr w:rsidR="00AF2321" w:rsidRPr="00E12049" w14:paraId="784B0DC0" w14:textId="77777777" w:rsidTr="0072384D">
              <w:tc>
                <w:tcPr>
                  <w:tcW w:w="4824" w:type="dxa"/>
                </w:tcPr>
                <w:p w14:paraId="472C32FC" w14:textId="6E5E7559" w:rsidR="00AF2321" w:rsidRPr="00E12049" w:rsidRDefault="00AF2321" w:rsidP="000D30E4">
                  <w:pPr>
                    <w:pStyle w:val="TableBodyText"/>
                    <w:ind w:left="262"/>
                    <w:jc w:val="left"/>
                    <w:rPr>
                      <w:sz w:val="18"/>
                      <w:szCs w:val="18"/>
                    </w:rPr>
                  </w:pPr>
                  <w:r w:rsidRPr="00E12049">
                    <w:rPr>
                      <w:sz w:val="18"/>
                      <w:szCs w:val="18"/>
                    </w:rPr>
                    <w:t>Administrative and support services</w:t>
                  </w:r>
                  <w:r w:rsidR="002B59F2">
                    <w:rPr>
                      <w:sz w:val="18"/>
                      <w:szCs w:val="18"/>
                    </w:rPr>
                    <w:t xml:space="preserve"> </w:t>
                  </w:r>
                </w:p>
              </w:tc>
              <w:tc>
                <w:tcPr>
                  <w:tcW w:w="1844" w:type="dxa"/>
                  <w:gridSpan w:val="2"/>
                </w:tcPr>
                <w:p w14:paraId="05ACB628" w14:textId="644DC113" w:rsidR="00AF2321" w:rsidRPr="00AF2321" w:rsidRDefault="00AF2321" w:rsidP="0072384D">
                  <w:pPr>
                    <w:pStyle w:val="TableBodyText"/>
                    <w:rPr>
                      <w:sz w:val="18"/>
                      <w:szCs w:val="18"/>
                    </w:rPr>
                  </w:pPr>
                  <w:r w:rsidRPr="00AF2321">
                    <w:rPr>
                      <w:sz w:val="18"/>
                      <w:szCs w:val="18"/>
                    </w:rPr>
                    <w:t>3.4</w:t>
                  </w:r>
                </w:p>
              </w:tc>
              <w:tc>
                <w:tcPr>
                  <w:tcW w:w="1815" w:type="dxa"/>
                  <w:shd w:val="clear" w:color="auto" w:fill="auto"/>
                </w:tcPr>
                <w:p w14:paraId="4DD4D062" w14:textId="261AB9A2" w:rsidR="00AF2321" w:rsidRPr="00AF2321" w:rsidRDefault="00AF2321" w:rsidP="0072384D">
                  <w:pPr>
                    <w:pStyle w:val="TableBodyText"/>
                    <w:ind w:right="28"/>
                    <w:rPr>
                      <w:sz w:val="18"/>
                      <w:szCs w:val="18"/>
                    </w:rPr>
                  </w:pPr>
                  <w:r w:rsidRPr="00AF2321">
                    <w:rPr>
                      <w:sz w:val="18"/>
                      <w:szCs w:val="18"/>
                    </w:rPr>
                    <w:t>4.1</w:t>
                  </w:r>
                </w:p>
              </w:tc>
            </w:tr>
            <w:tr w:rsidR="000F2E53" w:rsidRPr="00E12049" w14:paraId="5387945B" w14:textId="77777777" w:rsidTr="000F2E53">
              <w:tc>
                <w:tcPr>
                  <w:tcW w:w="8483" w:type="dxa"/>
                  <w:gridSpan w:val="4"/>
                </w:tcPr>
                <w:p w14:paraId="4867DC9F" w14:textId="77777777" w:rsidR="000F2E53" w:rsidRPr="000F2E53" w:rsidRDefault="000F2E53" w:rsidP="000F2E53">
                  <w:pPr>
                    <w:pStyle w:val="TableBodyText"/>
                    <w:ind w:right="28"/>
                    <w:jc w:val="left"/>
                    <w:rPr>
                      <w:b/>
                      <w:sz w:val="18"/>
                      <w:szCs w:val="18"/>
                    </w:rPr>
                  </w:pPr>
                  <w:r w:rsidRPr="000F2E53">
                    <w:rPr>
                      <w:b/>
                      <w:sz w:val="18"/>
                      <w:szCs w:val="18"/>
                    </w:rPr>
                    <w:t>Social services</w:t>
                  </w:r>
                </w:p>
              </w:tc>
            </w:tr>
            <w:tr w:rsidR="00AF2321" w:rsidRPr="00E12049" w14:paraId="01802D43" w14:textId="77777777" w:rsidTr="0072384D">
              <w:tc>
                <w:tcPr>
                  <w:tcW w:w="4824" w:type="dxa"/>
                </w:tcPr>
                <w:p w14:paraId="725B69E5" w14:textId="38C8D523" w:rsidR="00AF2321" w:rsidRPr="00E12049" w:rsidRDefault="00AF2321" w:rsidP="000D30E4">
                  <w:pPr>
                    <w:pStyle w:val="TableBodyText"/>
                    <w:ind w:left="262"/>
                    <w:jc w:val="left"/>
                    <w:rPr>
                      <w:sz w:val="18"/>
                      <w:szCs w:val="18"/>
                    </w:rPr>
                  </w:pPr>
                  <w:r w:rsidRPr="00E12049">
                    <w:rPr>
                      <w:sz w:val="18"/>
                      <w:szCs w:val="18"/>
                    </w:rPr>
                    <w:t>Public administration and safety</w:t>
                  </w:r>
                  <w:r w:rsidR="002B59F2">
                    <w:rPr>
                      <w:sz w:val="18"/>
                      <w:szCs w:val="18"/>
                    </w:rPr>
                    <w:t xml:space="preserve"> </w:t>
                  </w:r>
                </w:p>
              </w:tc>
              <w:tc>
                <w:tcPr>
                  <w:tcW w:w="1844" w:type="dxa"/>
                  <w:gridSpan w:val="2"/>
                </w:tcPr>
                <w:p w14:paraId="37FA6CA7" w14:textId="15F4DC08" w:rsidR="00AF2321" w:rsidRPr="00AF2321" w:rsidRDefault="00AF2321" w:rsidP="0072384D">
                  <w:pPr>
                    <w:pStyle w:val="TableBodyText"/>
                    <w:rPr>
                      <w:sz w:val="18"/>
                      <w:szCs w:val="18"/>
                    </w:rPr>
                  </w:pPr>
                  <w:r w:rsidRPr="00AF2321">
                    <w:rPr>
                      <w:sz w:val="18"/>
                      <w:szCs w:val="18"/>
                    </w:rPr>
                    <w:t>7.3</w:t>
                  </w:r>
                </w:p>
              </w:tc>
              <w:tc>
                <w:tcPr>
                  <w:tcW w:w="1815" w:type="dxa"/>
                  <w:shd w:val="clear" w:color="auto" w:fill="auto"/>
                </w:tcPr>
                <w:p w14:paraId="1D272341" w14:textId="6A505071" w:rsidR="00AF2321" w:rsidRPr="00AF2321" w:rsidRDefault="00AF2321" w:rsidP="0072384D">
                  <w:pPr>
                    <w:pStyle w:val="TableBodyText"/>
                    <w:ind w:right="28"/>
                    <w:rPr>
                      <w:sz w:val="18"/>
                      <w:szCs w:val="18"/>
                    </w:rPr>
                  </w:pPr>
                  <w:r w:rsidRPr="00AF2321">
                    <w:rPr>
                      <w:sz w:val="18"/>
                      <w:szCs w:val="18"/>
                    </w:rPr>
                    <w:t>7.4</w:t>
                  </w:r>
                </w:p>
              </w:tc>
            </w:tr>
            <w:tr w:rsidR="00AF2321" w:rsidRPr="00E12049" w14:paraId="6B89931F" w14:textId="77777777" w:rsidTr="0072384D">
              <w:tc>
                <w:tcPr>
                  <w:tcW w:w="4824" w:type="dxa"/>
                </w:tcPr>
                <w:p w14:paraId="2D55231B" w14:textId="0BA578A9" w:rsidR="00AF2321" w:rsidRPr="00E12049" w:rsidRDefault="00AF2321" w:rsidP="000D30E4">
                  <w:pPr>
                    <w:pStyle w:val="TableBodyText"/>
                    <w:ind w:left="262"/>
                    <w:jc w:val="left"/>
                    <w:rPr>
                      <w:sz w:val="18"/>
                      <w:szCs w:val="18"/>
                    </w:rPr>
                  </w:pPr>
                  <w:r w:rsidRPr="00E12049">
                    <w:rPr>
                      <w:sz w:val="18"/>
                      <w:szCs w:val="18"/>
                    </w:rPr>
                    <w:t>Education and training</w:t>
                  </w:r>
                  <w:r w:rsidR="002B59F2">
                    <w:rPr>
                      <w:sz w:val="18"/>
                      <w:szCs w:val="18"/>
                    </w:rPr>
                    <w:t xml:space="preserve"> </w:t>
                  </w:r>
                </w:p>
              </w:tc>
              <w:tc>
                <w:tcPr>
                  <w:tcW w:w="1844" w:type="dxa"/>
                  <w:gridSpan w:val="2"/>
                </w:tcPr>
                <w:p w14:paraId="36308C64" w14:textId="6DA9E87C" w:rsidR="00AF2321" w:rsidRPr="00AF2321" w:rsidRDefault="00AF2321" w:rsidP="0072384D">
                  <w:pPr>
                    <w:pStyle w:val="TableBodyText"/>
                    <w:rPr>
                      <w:sz w:val="18"/>
                      <w:szCs w:val="18"/>
                    </w:rPr>
                  </w:pPr>
                  <w:r w:rsidRPr="00AF2321">
                    <w:rPr>
                      <w:sz w:val="18"/>
                      <w:szCs w:val="18"/>
                    </w:rPr>
                    <w:t>6.5</w:t>
                  </w:r>
                </w:p>
              </w:tc>
              <w:tc>
                <w:tcPr>
                  <w:tcW w:w="1815" w:type="dxa"/>
                  <w:shd w:val="clear" w:color="auto" w:fill="auto"/>
                </w:tcPr>
                <w:p w14:paraId="7F86A58A" w14:textId="262B0207" w:rsidR="00AF2321" w:rsidRPr="00AF2321" w:rsidRDefault="00AF2321" w:rsidP="0072384D">
                  <w:pPr>
                    <w:pStyle w:val="TableBodyText"/>
                    <w:ind w:right="28"/>
                    <w:rPr>
                      <w:sz w:val="18"/>
                      <w:szCs w:val="18"/>
                    </w:rPr>
                  </w:pPr>
                  <w:r w:rsidRPr="00AF2321">
                    <w:rPr>
                      <w:sz w:val="18"/>
                      <w:szCs w:val="18"/>
                    </w:rPr>
                    <w:t>8.8</w:t>
                  </w:r>
                </w:p>
              </w:tc>
            </w:tr>
            <w:tr w:rsidR="00AF2321" w:rsidRPr="00E12049" w14:paraId="1C494FC9" w14:textId="77777777" w:rsidTr="008B7018">
              <w:tc>
                <w:tcPr>
                  <w:tcW w:w="4824" w:type="dxa"/>
                </w:tcPr>
                <w:p w14:paraId="2EBCD552" w14:textId="66128FCF" w:rsidR="00AF2321" w:rsidRPr="00E12049" w:rsidRDefault="00AF2321" w:rsidP="000D30E4">
                  <w:pPr>
                    <w:pStyle w:val="TableBodyText"/>
                    <w:ind w:left="262"/>
                    <w:jc w:val="left"/>
                    <w:rPr>
                      <w:sz w:val="18"/>
                      <w:szCs w:val="18"/>
                    </w:rPr>
                  </w:pPr>
                  <w:r w:rsidRPr="00E12049">
                    <w:rPr>
                      <w:sz w:val="18"/>
                      <w:szCs w:val="18"/>
                    </w:rPr>
                    <w:t>Health care and social assistance</w:t>
                  </w:r>
                  <w:r w:rsidR="002B59F2">
                    <w:rPr>
                      <w:sz w:val="18"/>
                      <w:szCs w:val="18"/>
                    </w:rPr>
                    <w:t xml:space="preserve"> </w:t>
                  </w:r>
                </w:p>
              </w:tc>
              <w:tc>
                <w:tcPr>
                  <w:tcW w:w="1835" w:type="dxa"/>
                </w:tcPr>
                <w:p w14:paraId="1D50823C" w14:textId="2A48C520" w:rsidR="00AF2321" w:rsidRPr="00AF2321" w:rsidRDefault="00AF2321" w:rsidP="001B1169">
                  <w:pPr>
                    <w:pStyle w:val="TableBodyText"/>
                    <w:rPr>
                      <w:sz w:val="18"/>
                      <w:szCs w:val="18"/>
                    </w:rPr>
                  </w:pPr>
                  <w:r w:rsidRPr="00AF2321">
                    <w:rPr>
                      <w:sz w:val="18"/>
                      <w:szCs w:val="18"/>
                    </w:rPr>
                    <w:t>8.8</w:t>
                  </w:r>
                </w:p>
              </w:tc>
              <w:tc>
                <w:tcPr>
                  <w:tcW w:w="1824" w:type="dxa"/>
                  <w:gridSpan w:val="2"/>
                </w:tcPr>
                <w:p w14:paraId="34A0EA4D" w14:textId="5AF98D80" w:rsidR="00AF2321" w:rsidRPr="00AF2321" w:rsidRDefault="00AF2321" w:rsidP="001B1169">
                  <w:pPr>
                    <w:pStyle w:val="TableBodyText"/>
                    <w:ind w:right="28"/>
                    <w:rPr>
                      <w:sz w:val="18"/>
                      <w:szCs w:val="18"/>
                    </w:rPr>
                  </w:pPr>
                  <w:r w:rsidRPr="00AF2321">
                    <w:rPr>
                      <w:sz w:val="18"/>
                      <w:szCs w:val="18"/>
                    </w:rPr>
                    <w:t>13.6</w:t>
                  </w:r>
                </w:p>
              </w:tc>
            </w:tr>
            <w:tr w:rsidR="000F2E53" w:rsidRPr="00E12049" w14:paraId="436B183C" w14:textId="77777777" w:rsidTr="000F2E53">
              <w:tc>
                <w:tcPr>
                  <w:tcW w:w="8483" w:type="dxa"/>
                  <w:gridSpan w:val="4"/>
                </w:tcPr>
                <w:p w14:paraId="15464253" w14:textId="77777777" w:rsidR="000F2E53" w:rsidRPr="000F2E53" w:rsidRDefault="000F2E53" w:rsidP="000F2E53">
                  <w:pPr>
                    <w:pStyle w:val="TableBodyText"/>
                    <w:ind w:right="28"/>
                    <w:jc w:val="left"/>
                    <w:rPr>
                      <w:b/>
                      <w:sz w:val="18"/>
                      <w:szCs w:val="18"/>
                    </w:rPr>
                  </w:pPr>
                  <w:r w:rsidRPr="000F2E53">
                    <w:rPr>
                      <w:b/>
                      <w:sz w:val="18"/>
                      <w:szCs w:val="18"/>
                    </w:rPr>
                    <w:t>Personal services</w:t>
                  </w:r>
                </w:p>
              </w:tc>
            </w:tr>
            <w:tr w:rsidR="000F2E53" w:rsidRPr="00E12049" w14:paraId="7318FC6C" w14:textId="77777777" w:rsidTr="000F2E53">
              <w:tc>
                <w:tcPr>
                  <w:tcW w:w="4824" w:type="dxa"/>
                </w:tcPr>
                <w:p w14:paraId="073A37B0" w14:textId="77777777" w:rsidR="000F2E53" w:rsidRPr="00E12049" w:rsidRDefault="000F2E53" w:rsidP="000D30E4">
                  <w:pPr>
                    <w:pStyle w:val="TableBodyText"/>
                    <w:ind w:left="262"/>
                    <w:jc w:val="left"/>
                    <w:rPr>
                      <w:sz w:val="18"/>
                      <w:szCs w:val="18"/>
                    </w:rPr>
                  </w:pPr>
                  <w:r w:rsidRPr="00E12049">
                    <w:rPr>
                      <w:sz w:val="18"/>
                      <w:szCs w:val="18"/>
                    </w:rPr>
                    <w:t>Accommodation and food services</w:t>
                  </w:r>
                  <w:r>
                    <w:rPr>
                      <w:sz w:val="18"/>
                      <w:szCs w:val="18"/>
                    </w:rPr>
                    <w:t xml:space="preserve"> </w:t>
                  </w:r>
                </w:p>
              </w:tc>
              <w:tc>
                <w:tcPr>
                  <w:tcW w:w="1844" w:type="dxa"/>
                  <w:gridSpan w:val="2"/>
                </w:tcPr>
                <w:p w14:paraId="5F77020D" w14:textId="77777777" w:rsidR="000F2E53" w:rsidRPr="00AF2321" w:rsidRDefault="000F2E53" w:rsidP="000F2E53">
                  <w:pPr>
                    <w:pStyle w:val="TableBodyText"/>
                    <w:rPr>
                      <w:sz w:val="18"/>
                      <w:szCs w:val="18"/>
                    </w:rPr>
                  </w:pPr>
                  <w:r w:rsidRPr="00AF2321">
                    <w:rPr>
                      <w:sz w:val="18"/>
                      <w:szCs w:val="18"/>
                    </w:rPr>
                    <w:t>3.3</w:t>
                  </w:r>
                </w:p>
              </w:tc>
              <w:tc>
                <w:tcPr>
                  <w:tcW w:w="1815" w:type="dxa"/>
                  <w:shd w:val="clear" w:color="auto" w:fill="auto"/>
                </w:tcPr>
                <w:p w14:paraId="73969682" w14:textId="77777777" w:rsidR="000F2E53" w:rsidRPr="00AF2321" w:rsidRDefault="000F2E53" w:rsidP="000F2E53">
                  <w:pPr>
                    <w:pStyle w:val="TableBodyText"/>
                    <w:ind w:right="28"/>
                    <w:rPr>
                      <w:sz w:val="18"/>
                      <w:szCs w:val="18"/>
                    </w:rPr>
                  </w:pPr>
                  <w:r w:rsidRPr="00AF2321">
                    <w:rPr>
                      <w:sz w:val="18"/>
                      <w:szCs w:val="18"/>
                    </w:rPr>
                    <w:t>7.7</w:t>
                  </w:r>
                </w:p>
              </w:tc>
            </w:tr>
            <w:tr w:rsidR="00AF2321" w:rsidRPr="00E12049" w14:paraId="634707D4" w14:textId="77777777" w:rsidTr="008B7018">
              <w:tc>
                <w:tcPr>
                  <w:tcW w:w="4824" w:type="dxa"/>
                  <w:shd w:val="clear" w:color="auto" w:fill="auto"/>
                </w:tcPr>
                <w:p w14:paraId="2ACD01CA" w14:textId="7123DCAD" w:rsidR="00AF2321" w:rsidRPr="00E12049" w:rsidRDefault="00AF2321" w:rsidP="000D30E4">
                  <w:pPr>
                    <w:pStyle w:val="TableBodyText"/>
                    <w:ind w:left="262"/>
                    <w:jc w:val="left"/>
                    <w:rPr>
                      <w:sz w:val="18"/>
                      <w:szCs w:val="18"/>
                    </w:rPr>
                  </w:pPr>
                  <w:r w:rsidRPr="00E12049">
                    <w:rPr>
                      <w:sz w:val="18"/>
                      <w:szCs w:val="18"/>
                    </w:rPr>
                    <w:t>Arts and recreation services</w:t>
                  </w:r>
                  <w:r w:rsidR="002B59F2">
                    <w:rPr>
                      <w:sz w:val="18"/>
                      <w:szCs w:val="18"/>
                    </w:rPr>
                    <w:t xml:space="preserve"> </w:t>
                  </w:r>
                </w:p>
              </w:tc>
              <w:tc>
                <w:tcPr>
                  <w:tcW w:w="1835" w:type="dxa"/>
                  <w:shd w:val="clear" w:color="auto" w:fill="auto"/>
                </w:tcPr>
                <w:p w14:paraId="15CA5A82" w14:textId="44BF1BA4" w:rsidR="00AF2321" w:rsidRPr="00AF2321" w:rsidRDefault="00AF2321" w:rsidP="00844996">
                  <w:pPr>
                    <w:pStyle w:val="TableBodyText"/>
                    <w:rPr>
                      <w:sz w:val="18"/>
                      <w:szCs w:val="18"/>
                    </w:rPr>
                  </w:pPr>
                  <w:r w:rsidRPr="00AF2321">
                    <w:rPr>
                      <w:sz w:val="18"/>
                      <w:szCs w:val="18"/>
                    </w:rPr>
                    <w:t>1.2</w:t>
                  </w:r>
                </w:p>
              </w:tc>
              <w:tc>
                <w:tcPr>
                  <w:tcW w:w="1824" w:type="dxa"/>
                  <w:gridSpan w:val="2"/>
                  <w:shd w:val="clear" w:color="auto" w:fill="auto"/>
                </w:tcPr>
                <w:p w14:paraId="0EFEE294" w14:textId="32B641DD" w:rsidR="00AF2321" w:rsidRPr="00AF2321" w:rsidRDefault="00AF2321" w:rsidP="00844996">
                  <w:pPr>
                    <w:pStyle w:val="TableBodyText"/>
                    <w:ind w:right="28"/>
                    <w:rPr>
                      <w:sz w:val="18"/>
                      <w:szCs w:val="18"/>
                    </w:rPr>
                  </w:pPr>
                  <w:r w:rsidRPr="00AF2321">
                    <w:rPr>
                      <w:sz w:val="18"/>
                      <w:szCs w:val="18"/>
                    </w:rPr>
                    <w:t>2.1</w:t>
                  </w:r>
                </w:p>
              </w:tc>
            </w:tr>
            <w:tr w:rsidR="00AF2321" w:rsidRPr="00E12049" w14:paraId="51E77B7C" w14:textId="77777777" w:rsidTr="008B7018">
              <w:tc>
                <w:tcPr>
                  <w:tcW w:w="4824" w:type="dxa"/>
                  <w:shd w:val="clear" w:color="auto" w:fill="auto"/>
                </w:tcPr>
                <w:p w14:paraId="587A5AD2" w14:textId="77777777" w:rsidR="00AF2321" w:rsidRPr="00E12049" w:rsidRDefault="00AF2321" w:rsidP="000D30E4">
                  <w:pPr>
                    <w:pStyle w:val="TableBodyText"/>
                    <w:ind w:left="262"/>
                    <w:jc w:val="left"/>
                    <w:rPr>
                      <w:sz w:val="18"/>
                      <w:szCs w:val="18"/>
                    </w:rPr>
                  </w:pPr>
                  <w:r>
                    <w:rPr>
                      <w:sz w:val="18"/>
                      <w:szCs w:val="18"/>
                    </w:rPr>
                    <w:t>Other services</w:t>
                  </w:r>
                </w:p>
              </w:tc>
              <w:tc>
                <w:tcPr>
                  <w:tcW w:w="1835" w:type="dxa"/>
                  <w:shd w:val="clear" w:color="auto" w:fill="auto"/>
                </w:tcPr>
                <w:p w14:paraId="68FB1D01" w14:textId="72943333" w:rsidR="00AF2321" w:rsidRPr="00AF2321" w:rsidRDefault="00AF2321" w:rsidP="00844996">
                  <w:pPr>
                    <w:pStyle w:val="TableBodyText"/>
                    <w:rPr>
                      <w:sz w:val="18"/>
                      <w:szCs w:val="18"/>
                    </w:rPr>
                  </w:pPr>
                  <w:r w:rsidRPr="00AF2321">
                    <w:rPr>
                      <w:sz w:val="18"/>
                      <w:szCs w:val="18"/>
                    </w:rPr>
                    <w:t>2.5</w:t>
                  </w:r>
                </w:p>
              </w:tc>
              <w:tc>
                <w:tcPr>
                  <w:tcW w:w="1824" w:type="dxa"/>
                  <w:gridSpan w:val="2"/>
                  <w:shd w:val="clear" w:color="auto" w:fill="auto"/>
                </w:tcPr>
                <w:p w14:paraId="04948CBA" w14:textId="77777777" w:rsidR="00AF2321" w:rsidRPr="00AF2321" w:rsidRDefault="00AF2321" w:rsidP="00844996">
                  <w:pPr>
                    <w:pStyle w:val="TableBodyText"/>
                    <w:ind w:right="28"/>
                    <w:rPr>
                      <w:sz w:val="18"/>
                      <w:szCs w:val="18"/>
                    </w:rPr>
                  </w:pPr>
                  <w:r w:rsidRPr="00AF2321">
                    <w:rPr>
                      <w:sz w:val="18"/>
                      <w:szCs w:val="18"/>
                    </w:rPr>
                    <w:t>4.6</w:t>
                  </w:r>
                </w:p>
              </w:tc>
            </w:tr>
            <w:tr w:rsidR="00AF2321" w:rsidRPr="00E12049" w14:paraId="457FC707" w14:textId="77777777" w:rsidTr="008B7018">
              <w:tc>
                <w:tcPr>
                  <w:tcW w:w="4824" w:type="dxa"/>
                  <w:tcBorders>
                    <w:bottom w:val="single" w:sz="6" w:space="0" w:color="auto"/>
                  </w:tcBorders>
                  <w:shd w:val="clear" w:color="auto" w:fill="auto"/>
                </w:tcPr>
                <w:p w14:paraId="43869442" w14:textId="4EB56E94" w:rsidR="00AF2321" w:rsidRPr="008B7018" w:rsidRDefault="00AF2321" w:rsidP="001B1169">
                  <w:pPr>
                    <w:pStyle w:val="TableBodyText"/>
                    <w:jc w:val="left"/>
                    <w:rPr>
                      <w:b/>
                      <w:sz w:val="18"/>
                      <w:szCs w:val="18"/>
                    </w:rPr>
                  </w:pPr>
                  <w:r w:rsidRPr="008B7018">
                    <w:rPr>
                      <w:b/>
                      <w:sz w:val="18"/>
                      <w:szCs w:val="18"/>
                    </w:rPr>
                    <w:t>Total</w:t>
                  </w:r>
                  <w:r w:rsidR="00C05EE9">
                    <w:rPr>
                      <w:b/>
                      <w:sz w:val="18"/>
                      <w:szCs w:val="18"/>
                    </w:rPr>
                    <w:t xml:space="preserve"> services sector</w:t>
                  </w:r>
                </w:p>
              </w:tc>
              <w:tc>
                <w:tcPr>
                  <w:tcW w:w="1835" w:type="dxa"/>
                  <w:tcBorders>
                    <w:bottom w:val="single" w:sz="6" w:space="0" w:color="auto"/>
                  </w:tcBorders>
                  <w:shd w:val="clear" w:color="auto" w:fill="auto"/>
                </w:tcPr>
                <w:p w14:paraId="1CF27155" w14:textId="3A7D1673" w:rsidR="00AF2321" w:rsidRPr="00AF2321" w:rsidRDefault="00AF2321" w:rsidP="001B1169">
                  <w:pPr>
                    <w:pStyle w:val="TableBodyText"/>
                    <w:rPr>
                      <w:b/>
                      <w:sz w:val="18"/>
                      <w:szCs w:val="18"/>
                    </w:rPr>
                  </w:pPr>
                  <w:r w:rsidRPr="00AF2321">
                    <w:rPr>
                      <w:b/>
                      <w:sz w:val="18"/>
                      <w:szCs w:val="18"/>
                    </w:rPr>
                    <w:t>100.0</w:t>
                  </w:r>
                </w:p>
              </w:tc>
              <w:tc>
                <w:tcPr>
                  <w:tcW w:w="1824" w:type="dxa"/>
                  <w:gridSpan w:val="2"/>
                  <w:tcBorders>
                    <w:bottom w:val="single" w:sz="6" w:space="0" w:color="auto"/>
                  </w:tcBorders>
                  <w:shd w:val="clear" w:color="auto" w:fill="auto"/>
                </w:tcPr>
                <w:p w14:paraId="1BF29D0D" w14:textId="2A9D072C" w:rsidR="00AF2321" w:rsidRPr="00AF2321" w:rsidRDefault="00AF2321" w:rsidP="001B1169">
                  <w:pPr>
                    <w:pStyle w:val="TableBodyText"/>
                    <w:ind w:right="28"/>
                    <w:rPr>
                      <w:b/>
                      <w:sz w:val="18"/>
                      <w:szCs w:val="18"/>
                    </w:rPr>
                  </w:pPr>
                  <w:r w:rsidRPr="00AF2321">
                    <w:rPr>
                      <w:b/>
                      <w:sz w:val="18"/>
                      <w:szCs w:val="18"/>
                    </w:rPr>
                    <w:t>100.0</w:t>
                  </w:r>
                </w:p>
              </w:tc>
            </w:tr>
          </w:tbl>
          <w:p w14:paraId="41CD2ECE" w14:textId="4B192299" w:rsidR="001518CD" w:rsidRPr="00FF03C5" w:rsidRDefault="00FF03C5" w:rsidP="00410F10">
            <w:pPr>
              <w:pStyle w:val="Note"/>
              <w:rPr>
                <w:sz w:val="16"/>
                <w:szCs w:val="16"/>
              </w:rPr>
            </w:pPr>
            <w:r>
              <w:rPr>
                <w:rStyle w:val="NoteLabel"/>
                <w:sz w:val="16"/>
                <w:szCs w:val="16"/>
              </w:rPr>
              <w:t>a</w:t>
            </w:r>
            <w:r w:rsidRPr="00E12049">
              <w:rPr>
                <w:sz w:val="16"/>
                <w:szCs w:val="16"/>
              </w:rPr>
              <w:t xml:space="preserve"> </w:t>
            </w:r>
            <w:r>
              <w:rPr>
                <w:sz w:val="16"/>
                <w:szCs w:val="16"/>
              </w:rPr>
              <w:t xml:space="preserve">Row headings in bold characters refer to industry groupings based on </w:t>
            </w:r>
            <w:r w:rsidR="00410F10">
              <w:rPr>
                <w:sz w:val="16"/>
                <w:szCs w:val="16"/>
              </w:rPr>
              <w:t xml:space="preserve">the </w:t>
            </w:r>
            <w:r>
              <w:rPr>
                <w:sz w:val="16"/>
                <w:szCs w:val="16"/>
              </w:rPr>
              <w:t>primary economic function</w:t>
            </w:r>
            <w:r w:rsidR="00410F10">
              <w:rPr>
                <w:sz w:val="16"/>
                <w:szCs w:val="16"/>
              </w:rPr>
              <w:t xml:space="preserve"> of industries</w:t>
            </w:r>
            <w:r>
              <w:rPr>
                <w:sz w:val="16"/>
                <w:szCs w:val="16"/>
              </w:rPr>
              <w:t xml:space="preserve">. </w:t>
            </w:r>
            <w:r>
              <w:rPr>
                <w:rStyle w:val="NoteLabel"/>
                <w:sz w:val="16"/>
                <w:szCs w:val="16"/>
              </w:rPr>
              <w:t>b</w:t>
            </w:r>
            <w:r w:rsidR="00410F10">
              <w:rPr>
                <w:sz w:val="16"/>
                <w:szCs w:val="16"/>
              </w:rPr>
              <w:t> </w:t>
            </w:r>
            <w:r w:rsidR="00AF2321">
              <w:rPr>
                <w:sz w:val="16"/>
                <w:szCs w:val="16"/>
              </w:rPr>
              <w:t>Value added = gross value added in chain volume terms (reference year 2009-1</w:t>
            </w:r>
            <w:r w:rsidR="00DA0ABA">
              <w:rPr>
                <w:sz w:val="16"/>
                <w:szCs w:val="16"/>
              </w:rPr>
              <w:t>0</w:t>
            </w:r>
            <w:r w:rsidR="00AF2321">
              <w:rPr>
                <w:sz w:val="16"/>
                <w:szCs w:val="16"/>
              </w:rPr>
              <w:t>), quarterly data, seasonally adjusted. Excludes ownership of dwellings</w:t>
            </w:r>
            <w:r w:rsidR="001B1169" w:rsidRPr="00E12049">
              <w:rPr>
                <w:sz w:val="16"/>
                <w:szCs w:val="16"/>
              </w:rPr>
              <w:t>.</w:t>
            </w:r>
            <w:r w:rsidR="00901E05">
              <w:rPr>
                <w:sz w:val="16"/>
                <w:szCs w:val="16"/>
              </w:rPr>
              <w:t xml:space="preserve"> </w:t>
            </w:r>
            <w:r>
              <w:rPr>
                <w:rStyle w:val="NoteLabel"/>
                <w:sz w:val="16"/>
                <w:szCs w:val="16"/>
              </w:rPr>
              <w:t>c</w:t>
            </w:r>
            <w:r>
              <w:rPr>
                <w:sz w:val="16"/>
                <w:szCs w:val="16"/>
              </w:rPr>
              <w:t xml:space="preserve"> </w:t>
            </w:r>
            <w:r w:rsidR="00AF2321">
              <w:rPr>
                <w:sz w:val="16"/>
                <w:szCs w:val="16"/>
              </w:rPr>
              <w:t>Employment = total persons employed, quarterly data.</w:t>
            </w:r>
          </w:p>
        </w:tc>
      </w:tr>
      <w:tr w:rsidR="001518CD" w14:paraId="512E6289" w14:textId="77777777">
        <w:trPr>
          <w:cantSplit/>
        </w:trPr>
        <w:tc>
          <w:tcPr>
            <w:tcW w:w="8771" w:type="dxa"/>
            <w:tcBorders>
              <w:top w:val="nil"/>
              <w:left w:val="single" w:sz="6" w:space="0" w:color="auto"/>
              <w:bottom w:val="nil"/>
              <w:right w:val="single" w:sz="6" w:space="0" w:color="auto"/>
            </w:tcBorders>
          </w:tcPr>
          <w:p w14:paraId="6B73B688" w14:textId="0F82405E" w:rsidR="001518CD" w:rsidRDefault="001518CD" w:rsidP="00175FCA">
            <w:pPr>
              <w:pStyle w:val="BoxSource"/>
            </w:pPr>
            <w:r>
              <w:rPr>
                <w:i/>
              </w:rPr>
              <w:t>Sou</w:t>
            </w:r>
            <w:r w:rsidR="00396DE4">
              <w:rPr>
                <w:i/>
              </w:rPr>
              <w:t>rce</w:t>
            </w:r>
            <w:r w:rsidR="00EC2747">
              <w:rPr>
                <w:i/>
              </w:rPr>
              <w:t>s</w:t>
            </w:r>
            <w:r w:rsidRPr="00167F06">
              <w:t xml:space="preserve">: </w:t>
            </w:r>
            <w:r w:rsidR="004A1D7C">
              <w:t>McLachlan</w:t>
            </w:r>
            <w:r w:rsidR="00396DE4">
              <w:t>, Clark  and Monday (2002)</w:t>
            </w:r>
            <w:r w:rsidR="00FF03C5">
              <w:t xml:space="preserve">; </w:t>
            </w:r>
            <w:r w:rsidR="00FF03C5" w:rsidRPr="00FF03C5">
              <w:t>ABS (2012a, 2012g)</w:t>
            </w:r>
            <w:r w:rsidR="00FF03C5">
              <w:t>.</w:t>
            </w:r>
          </w:p>
        </w:tc>
      </w:tr>
      <w:tr w:rsidR="001518CD" w14:paraId="063B4CA8" w14:textId="77777777">
        <w:trPr>
          <w:cantSplit/>
        </w:trPr>
        <w:tc>
          <w:tcPr>
            <w:tcW w:w="8771" w:type="dxa"/>
            <w:tcBorders>
              <w:top w:val="nil"/>
              <w:left w:val="single" w:sz="6" w:space="0" w:color="auto"/>
              <w:bottom w:val="single" w:sz="6" w:space="0" w:color="auto"/>
              <w:right w:val="single" w:sz="6" w:space="0" w:color="auto"/>
            </w:tcBorders>
          </w:tcPr>
          <w:p w14:paraId="7B870798" w14:textId="77777777" w:rsidR="001518CD" w:rsidRDefault="001518CD">
            <w:pPr>
              <w:pStyle w:val="Box"/>
              <w:spacing w:before="0" w:line="120" w:lineRule="exact"/>
            </w:pPr>
          </w:p>
        </w:tc>
      </w:tr>
      <w:tr w:rsidR="001518CD" w:rsidRPr="000863A5" w14:paraId="75A82616" w14:textId="77777777">
        <w:trPr>
          <w:hidden/>
        </w:trPr>
        <w:tc>
          <w:tcPr>
            <w:tcW w:w="8771" w:type="dxa"/>
            <w:tcBorders>
              <w:top w:val="nil"/>
              <w:left w:val="nil"/>
              <w:bottom w:val="nil"/>
              <w:right w:val="nil"/>
            </w:tcBorders>
          </w:tcPr>
          <w:p w14:paraId="2BF874DE" w14:textId="77777777" w:rsidR="001518CD" w:rsidRPr="000863A5" w:rsidRDefault="001518CD" w:rsidP="00170C48">
            <w:pPr>
              <w:pStyle w:val="Box"/>
              <w:keepNext w:val="0"/>
              <w:spacing w:before="60" w:after="60" w:line="80" w:lineRule="exact"/>
              <w:rPr>
                <w:b/>
                <w:sz w:val="14"/>
              </w:rPr>
            </w:pPr>
            <w:r>
              <w:rPr>
                <w:b/>
                <w:vanish/>
                <w:color w:val="FF00FF"/>
                <w:sz w:val="14"/>
              </w:rPr>
              <w:t>Do not delete this ROW as it gives space between the box and what follows it.</w:t>
            </w:r>
          </w:p>
        </w:tc>
      </w:tr>
    </w:tbl>
    <w:p w14:paraId="5926D191" w14:textId="6F2D6F1C" w:rsidR="004A1D7C" w:rsidRDefault="004A1D7C" w:rsidP="004A1D7C">
      <w:pPr>
        <w:pStyle w:val="BodyText"/>
      </w:pPr>
      <w:r>
        <w:lastRenderedPageBreak/>
        <w:t xml:space="preserve">The changing employment balance of industries within the services sector is increasing the overall skill intensity of that sector. In those service industry groupings that have grown the fastest over the last ten years (figure </w:t>
      </w:r>
      <w:r w:rsidR="006B0BA7">
        <w:t>1.</w:t>
      </w:r>
      <w:r>
        <w:t>9), a majority of workers is employed in relatively skilled occupations (with the exception of some segments of the business services group).</w:t>
      </w:r>
      <w:r w:rsidR="00175FCA" w:rsidRPr="00175FCA">
        <w:rPr>
          <w:rStyle w:val="FootnoteReference"/>
        </w:rPr>
        <w:t xml:space="preserve"> </w:t>
      </w:r>
      <w:r w:rsidR="00175FCA">
        <w:rPr>
          <w:rStyle w:val="FootnoteReference"/>
        </w:rPr>
        <w:footnoteReference w:id="5"/>
      </w:r>
      <w:r>
        <w:t xml:space="preserve"> By contrast, slowing industry groupings, such as distribution services, have a relatively higher proportion of lower-skilled employees. As a result of these trends, 60 per cent of the overall services workforce is now employed in skilled occupations. The common view of services jobs as ‘menial’ is not correct.</w:t>
      </w:r>
    </w:p>
    <w:p w14:paraId="35239A5E" w14:textId="1091F91E" w:rsidR="00030832" w:rsidRPr="007F46CC" w:rsidRDefault="008830F5" w:rsidP="009E0064">
      <w:pPr>
        <w:pStyle w:val="FigureTitle"/>
      </w:pPr>
      <w:r>
        <w:rPr>
          <w:b w:val="0"/>
        </w:rPr>
        <w:t>Figure 1.</w:t>
      </w:r>
      <w:r w:rsidR="00027B48">
        <w:rPr>
          <w:b w:val="0"/>
          <w:noProof/>
        </w:rPr>
        <w:t>9</w:t>
      </w:r>
      <w:r w:rsidR="00030832">
        <w:tab/>
        <w:t>Structural change</w:t>
      </w:r>
      <w:r w:rsidR="008B2B12">
        <w:t>s</w:t>
      </w:r>
      <w:r w:rsidR="00E252EF">
        <w:t xml:space="preserve"> within</w:t>
      </w:r>
      <w:r w:rsidR="00030832">
        <w:t xml:space="preserve"> services</w:t>
      </w:r>
      <w:proofErr w:type="spellStart"/>
      <w:r w:rsidR="00030832" w:rsidRPr="00156F17">
        <w:rPr>
          <w:rStyle w:val="NoteLabel"/>
          <w:b/>
        </w:rPr>
        <w:t>a</w:t>
      </w:r>
      <w:r w:rsidR="00585350">
        <w:rPr>
          <w:rStyle w:val="NoteLabel"/>
          <w:b/>
        </w:rPr>
        <w:t>,b</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30832" w14:paraId="571F067E" w14:textId="77777777" w:rsidTr="00A12EF5">
        <w:tc>
          <w:tcPr>
            <w:tcW w:w="8777" w:type="dxa"/>
          </w:tcPr>
          <w:p w14:paraId="31E5C764" w14:textId="608029A1" w:rsidR="00030832" w:rsidRDefault="00003B7F" w:rsidP="00BC4D24">
            <w:pPr>
              <w:pStyle w:val="Figure"/>
            </w:pPr>
            <w:r>
              <w:rPr>
                <w:noProof/>
              </w:rPr>
              <w:drawing>
                <wp:inline distT="0" distB="0" distL="0" distR="0" wp14:anchorId="05B03239" wp14:editId="7919047C">
                  <wp:extent cx="5370830" cy="3883660"/>
                  <wp:effectExtent l="0" t="0" r="1270" b="2540"/>
                  <wp:docPr id="33" name="Picture 33" descr="Figure 1.9 Structural changes within services.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70830" cy="3883660"/>
                          </a:xfrm>
                          <a:prstGeom prst="rect">
                            <a:avLst/>
                          </a:prstGeom>
                          <a:noFill/>
                        </pic:spPr>
                      </pic:pic>
                    </a:graphicData>
                  </a:graphic>
                </wp:inline>
              </w:drawing>
            </w:r>
          </w:p>
        </w:tc>
      </w:tr>
    </w:tbl>
    <w:p w14:paraId="5C48EE55" w14:textId="0F4898A3" w:rsidR="00030832" w:rsidRPr="006B1DCF" w:rsidRDefault="00585350" w:rsidP="00030832">
      <w:pPr>
        <w:pStyle w:val="Note"/>
      </w:pPr>
      <w:r>
        <w:rPr>
          <w:rStyle w:val="NoteLabel"/>
        </w:rPr>
        <w:t>a</w:t>
      </w:r>
      <w:r>
        <w:t xml:space="preserve"> Service industry groupings as defined in box </w:t>
      </w:r>
      <w:r w:rsidR="00957F2B">
        <w:t>1.</w:t>
      </w:r>
      <w:r>
        <w:t>3, except for Electricity, gas and water, and Construction, which are single industr</w:t>
      </w:r>
      <w:r w:rsidR="00804D0D">
        <w:t>y divisions</w:t>
      </w:r>
      <w:r>
        <w:t xml:space="preserve">. </w:t>
      </w:r>
      <w:r>
        <w:rPr>
          <w:rStyle w:val="NoteLabel"/>
        </w:rPr>
        <w:t>b</w:t>
      </w:r>
      <w:r>
        <w:t xml:space="preserve"> </w:t>
      </w:r>
      <w:r w:rsidR="00030832">
        <w:t>Annual average of seasonally-adjusted quarterly data (except for 2012 which uses February</w:t>
      </w:r>
      <w:r w:rsidR="000D2AF2">
        <w:t>,</w:t>
      </w:r>
      <w:r w:rsidR="00030832">
        <w:t xml:space="preserve"> May </w:t>
      </w:r>
      <w:r w:rsidR="000D2AF2">
        <w:t xml:space="preserve">and August </w:t>
      </w:r>
      <w:r w:rsidR="00EC2747">
        <w:t>quarters only).</w:t>
      </w:r>
    </w:p>
    <w:p w14:paraId="74EC158E" w14:textId="161AE692" w:rsidR="00030832" w:rsidRDefault="00713A8B" w:rsidP="00030832">
      <w:pPr>
        <w:pStyle w:val="Source"/>
      </w:pPr>
      <w:r>
        <w:rPr>
          <w:i/>
        </w:rPr>
        <w:t>Data s</w:t>
      </w:r>
      <w:r w:rsidR="00030832">
        <w:rPr>
          <w:i/>
        </w:rPr>
        <w:t>ource</w:t>
      </w:r>
      <w:r w:rsidR="00030832" w:rsidRPr="00167F06">
        <w:t>:</w:t>
      </w:r>
      <w:r w:rsidR="00030832">
        <w:t xml:space="preserve"> ABS (2012</w:t>
      </w:r>
      <w:r w:rsidR="006B1DCF">
        <w:t>a</w:t>
      </w:r>
      <w:r w:rsidR="00030832">
        <w:t>).</w:t>
      </w:r>
    </w:p>
    <w:p w14:paraId="575FFFFB" w14:textId="77777777" w:rsidR="00175FCA" w:rsidRDefault="00175FCA" w:rsidP="00217D61">
      <w:pPr>
        <w:pStyle w:val="Heading3"/>
      </w:pPr>
      <w:r>
        <w:lastRenderedPageBreak/>
        <w:t>What about</w:t>
      </w:r>
      <w:r w:rsidRPr="00B214D3">
        <w:t xml:space="preserve"> manufacturing</w:t>
      </w:r>
      <w:r>
        <w:t>?</w:t>
      </w:r>
    </w:p>
    <w:p w14:paraId="18EC1588" w14:textId="055ECFE3" w:rsidR="00175FCA" w:rsidRDefault="00175FCA" w:rsidP="00175FCA">
      <w:pPr>
        <w:pStyle w:val="BodyText"/>
      </w:pPr>
      <w:r>
        <w:t>In common with patterns observed internationally, manufacturing’s share of value added in Australia has been steadily decreasing since the early 1960s</w:t>
      </w:r>
      <w:r w:rsidR="008830F5">
        <w:t xml:space="preserve"> (figure 1.7</w:t>
      </w:r>
      <w:r>
        <w:t xml:space="preserve">). That said, this sector’s output has grown in absolute terms, although it has not yet recovered from its slump during the Global Financial Crisis (figure </w:t>
      </w:r>
      <w:r w:rsidR="008830F5">
        <w:t>1.</w:t>
      </w:r>
      <w:r>
        <w:t>10). By contrast, employment has contracted in the 2000s, particularly since 2008.</w:t>
      </w:r>
    </w:p>
    <w:p w14:paraId="3BEFEE26" w14:textId="788905F5" w:rsidR="00175FCA" w:rsidRPr="009E0064" w:rsidRDefault="008830F5" w:rsidP="00175FCA">
      <w:pPr>
        <w:pStyle w:val="FigureTitle"/>
        <w:rPr>
          <w:b w:val="0"/>
        </w:rPr>
      </w:pPr>
      <w:r>
        <w:rPr>
          <w:b w:val="0"/>
        </w:rPr>
        <w:t>Figure 1.</w:t>
      </w:r>
      <w:r w:rsidR="00027B48">
        <w:rPr>
          <w:b w:val="0"/>
          <w:noProof/>
        </w:rPr>
        <w:t>10</w:t>
      </w:r>
      <w:r w:rsidR="00175FCA">
        <w:tab/>
        <w:t>Manufacturing output,</w:t>
      </w:r>
      <w:r w:rsidR="00175FCA">
        <w:rPr>
          <w:rStyle w:val="NoteLabel"/>
          <w:b/>
        </w:rPr>
        <w:t>a</w:t>
      </w:r>
      <w:r w:rsidR="00175FCA">
        <w:t xml:space="preserve"> employment</w:t>
      </w:r>
      <w:r w:rsidR="00175FCA">
        <w:rPr>
          <w:rStyle w:val="NoteLabel"/>
          <w:b/>
        </w:rPr>
        <w:t>b</w:t>
      </w:r>
      <w:r w:rsidR="00175FCA">
        <w:t xml:space="preserve"> and multi-factor productivity</w:t>
      </w:r>
      <w:proofErr w:type="spellStart"/>
      <w:r w:rsidR="00175FCA">
        <w:rPr>
          <w:rStyle w:val="NoteLabel"/>
          <w:b/>
        </w:rPr>
        <w:t>c,d</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75FCA" w14:paraId="73B61E77" w14:textId="77777777" w:rsidTr="00175FCA">
        <w:tc>
          <w:tcPr>
            <w:tcW w:w="8777" w:type="dxa"/>
          </w:tcPr>
          <w:p w14:paraId="7E8FF4FA" w14:textId="28F26D7D" w:rsidR="00175FCA" w:rsidRDefault="00175FCA" w:rsidP="00175FCA">
            <w:pPr>
              <w:pStyle w:val="Figure"/>
            </w:pPr>
            <w:r>
              <w:rPr>
                <w:noProof/>
              </w:rPr>
              <w:t xml:space="preserve"> </w:t>
            </w:r>
            <w:r w:rsidR="00003B7F">
              <w:rPr>
                <w:noProof/>
              </w:rPr>
              <w:drawing>
                <wp:inline distT="0" distB="0" distL="0" distR="0" wp14:anchorId="531079EA" wp14:editId="5AE3CFD1">
                  <wp:extent cx="5304155" cy="2743200"/>
                  <wp:effectExtent l="0" t="0" r="0" b="0"/>
                  <wp:docPr id="34" name="Picture 34" descr="Figure 1.10 Manufacturing output,a employmentb and multi-factor productivity.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4155" cy="2743200"/>
                          </a:xfrm>
                          <a:prstGeom prst="rect">
                            <a:avLst/>
                          </a:prstGeom>
                          <a:noFill/>
                        </pic:spPr>
                      </pic:pic>
                    </a:graphicData>
                  </a:graphic>
                </wp:inline>
              </w:drawing>
            </w:r>
          </w:p>
        </w:tc>
      </w:tr>
    </w:tbl>
    <w:p w14:paraId="2CBBC0FB" w14:textId="77777777" w:rsidR="00175FCA" w:rsidRDefault="00175FCA" w:rsidP="00175FCA">
      <w:pPr>
        <w:pStyle w:val="Note"/>
      </w:pPr>
      <w:r>
        <w:rPr>
          <w:rStyle w:val="NoteLabel"/>
        </w:rPr>
        <w:t>a</w:t>
      </w:r>
      <w:r>
        <w:t xml:space="preserve"> Real gross value added.  </w:t>
      </w:r>
      <w:r>
        <w:rPr>
          <w:rStyle w:val="NoteLabel"/>
        </w:rPr>
        <w:t>b</w:t>
      </w:r>
      <w:r>
        <w:t xml:space="preserve"> Annual averages of quarterly trend data from August 1999 to June 2012.  </w:t>
      </w:r>
      <w:r>
        <w:br/>
      </w:r>
      <w:r>
        <w:rPr>
          <w:rStyle w:val="NoteLabel"/>
        </w:rPr>
        <w:t>c</w:t>
      </w:r>
      <w:r>
        <w:t xml:space="preserve"> Gross value added based multifactor productivity index.  </w:t>
      </w:r>
      <w:r>
        <w:rPr>
          <w:rStyle w:val="NoteLabel"/>
        </w:rPr>
        <w:t>d </w:t>
      </w:r>
      <w:r>
        <w:t>All data series have been transformed into indexes with base year 2000 = 100.</w:t>
      </w:r>
    </w:p>
    <w:p w14:paraId="39E71980" w14:textId="77777777" w:rsidR="00175FCA" w:rsidRDefault="00175FCA" w:rsidP="00175FCA">
      <w:pPr>
        <w:pStyle w:val="Source"/>
      </w:pPr>
      <w:r>
        <w:rPr>
          <w:i/>
        </w:rPr>
        <w:t>Data sources</w:t>
      </w:r>
      <w:r w:rsidRPr="00167F06">
        <w:t xml:space="preserve">: </w:t>
      </w:r>
      <w:r>
        <w:t>ABS (2012a, 2012g, 2011b).</w:t>
      </w:r>
    </w:p>
    <w:p w14:paraId="5E9D9C35" w14:textId="2159E6BF" w:rsidR="00175FCA" w:rsidRDefault="00175FCA" w:rsidP="00175FCA">
      <w:pPr>
        <w:pStyle w:val="BodyText"/>
      </w:pPr>
      <w:r>
        <w:t xml:space="preserve">Multifactor productivity in manufacturing rose over the 2000–04 period, but has generally declined since then (figure </w:t>
      </w:r>
      <w:r w:rsidR="008830F5">
        <w:t>1.</w:t>
      </w:r>
      <w:r>
        <w:t>10). Preliminary indications are that the sector’s use of capital grew rapidly in the last complete productivity cycle, without a commensurate growth in output, thus depressing productivity (Barnes</w:t>
      </w:r>
      <w:r w:rsidR="00BE0552">
        <w:t xml:space="preserve">, Soames and Li </w:t>
      </w:r>
      <w:r>
        <w:t xml:space="preserve">forthcoming). </w:t>
      </w:r>
    </w:p>
    <w:p w14:paraId="17FD5AA5" w14:textId="10F5F878" w:rsidR="00A0350E" w:rsidRDefault="00FE10BB" w:rsidP="00FE10BB">
      <w:pPr>
        <w:pStyle w:val="BodyText"/>
      </w:pPr>
      <w:r>
        <w:t xml:space="preserve">Job-shedding has affected many manufacturing industries, with some of the largest proportionate falls in employment occurring in Textile, </w:t>
      </w:r>
      <w:r w:rsidR="00EC2747">
        <w:t>c</w:t>
      </w:r>
      <w:r>
        <w:t xml:space="preserve">lothing and </w:t>
      </w:r>
      <w:r w:rsidR="00EC2747">
        <w:t>f</w:t>
      </w:r>
      <w:r>
        <w:t xml:space="preserve">ootwear and Automotive (figure </w:t>
      </w:r>
      <w:r w:rsidR="008830F5">
        <w:t>1.</w:t>
      </w:r>
      <w:r>
        <w:t xml:space="preserve">11). This has occurred </w:t>
      </w:r>
      <w:r w:rsidR="00EC2747">
        <w:t>despite</w:t>
      </w:r>
      <w:r>
        <w:t xml:space="preserve"> the relatively high effective rates of assistance these industries have received over a long period.</w:t>
      </w:r>
      <w:r w:rsidR="00A0350E">
        <w:t xml:space="preserve"> </w:t>
      </w:r>
      <w:r>
        <w:t>Some manufacturing industries</w:t>
      </w:r>
      <w:r w:rsidR="008D75DD">
        <w:t>, however,</w:t>
      </w:r>
      <w:r>
        <w:t xml:space="preserve"> have bucked the declining trend</w:t>
      </w:r>
      <w:r w:rsidR="00A0350E">
        <w:t xml:space="preserve"> in recent times.</w:t>
      </w:r>
    </w:p>
    <w:p w14:paraId="37C6E3D2" w14:textId="3E91515B" w:rsidR="00175FCA" w:rsidRDefault="008830F5" w:rsidP="00175FCA">
      <w:pPr>
        <w:pStyle w:val="FigureTitle"/>
      </w:pPr>
      <w:r>
        <w:rPr>
          <w:b w:val="0"/>
        </w:rPr>
        <w:lastRenderedPageBreak/>
        <w:t>Figure 1.</w:t>
      </w:r>
      <w:r w:rsidR="00027B48">
        <w:rPr>
          <w:b w:val="0"/>
          <w:noProof/>
        </w:rPr>
        <w:t>11</w:t>
      </w:r>
      <w:r w:rsidR="00175FCA">
        <w:tab/>
        <w:t>Manufacturing employment changes and industry assistance</w:t>
      </w:r>
      <w:proofErr w:type="spellStart"/>
      <w:r w:rsidR="00175FCA" w:rsidRPr="00C93DDB">
        <w:rPr>
          <w:rStyle w:val="NoteLabel"/>
          <w:b/>
        </w:rPr>
        <w:t>a</w:t>
      </w:r>
      <w:r w:rsidR="00175FCA">
        <w:rPr>
          <w:rStyle w:val="NoteLabel"/>
          <w:b/>
        </w:rPr>
        <w:t>,b</w:t>
      </w:r>
      <w:proofErr w:type="spellEnd"/>
    </w:p>
    <w:p w14:paraId="641EB2B9" w14:textId="77777777" w:rsidR="00175FCA" w:rsidRDefault="00175FCA" w:rsidP="00175FCA">
      <w:pPr>
        <w:pStyle w:val="Subtitle"/>
      </w:pPr>
      <w:r>
        <w:t>Per cent change over the period 2003</w:t>
      </w:r>
      <w:r>
        <w:noBreakHyphen/>
        <w:t>04 to 2011</w:t>
      </w:r>
      <w:r>
        <w:noBreakHyphen/>
        <w:t>12 (left axis) and Effective Rate of Assistance (right axis)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5FCA" w14:paraId="14DF277B" w14:textId="77777777" w:rsidTr="00175FCA">
        <w:tc>
          <w:tcPr>
            <w:tcW w:w="8777" w:type="dxa"/>
          </w:tcPr>
          <w:p w14:paraId="08BB4F55" w14:textId="09E50598" w:rsidR="00175FCA" w:rsidRDefault="00003B7F" w:rsidP="00175FCA">
            <w:pPr>
              <w:pStyle w:val="Figure"/>
            </w:pPr>
            <w:r>
              <w:rPr>
                <w:noProof/>
              </w:rPr>
              <w:drawing>
                <wp:inline distT="0" distB="0" distL="0" distR="0" wp14:anchorId="428B59CA" wp14:editId="08293619">
                  <wp:extent cx="5444490" cy="3877310"/>
                  <wp:effectExtent l="0" t="0" r="3810" b="8890"/>
                  <wp:docPr id="39" name="Picture 39" descr="Figure 1.11 Manufacturing employment changes and industry assistance.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44490" cy="3877310"/>
                          </a:xfrm>
                          <a:prstGeom prst="rect">
                            <a:avLst/>
                          </a:prstGeom>
                          <a:noFill/>
                        </pic:spPr>
                      </pic:pic>
                    </a:graphicData>
                  </a:graphic>
                </wp:inline>
              </w:drawing>
            </w:r>
          </w:p>
        </w:tc>
      </w:tr>
    </w:tbl>
    <w:p w14:paraId="4FFA449E" w14:textId="77777777" w:rsidR="00175FCA" w:rsidRDefault="00175FCA" w:rsidP="00175FCA">
      <w:pPr>
        <w:pStyle w:val="Note"/>
      </w:pPr>
      <w:r>
        <w:rPr>
          <w:rStyle w:val="NoteLabel"/>
        </w:rPr>
        <w:t>a</w:t>
      </w:r>
      <w:r>
        <w:sym w:font="Symbol" w:char="F020"/>
      </w:r>
      <w:r>
        <w:t xml:space="preserve">2011-2012 figures are an average of August 2011, November 2011 and February 2012 quarters. All other years’ figures were obtained as annual averages from quarterly data. Only selected manufacturing sub-divisions are shown. </w:t>
      </w:r>
      <w:r>
        <w:rPr>
          <w:rStyle w:val="NoteLabel"/>
        </w:rPr>
        <w:t>b</w:t>
      </w:r>
      <w:r>
        <w:sym w:font="Symbol" w:char="F020"/>
      </w:r>
      <w:r w:rsidRPr="002B7455">
        <w:t>E</w:t>
      </w:r>
      <w:r>
        <w:t>ffective Rate of Assistance figures adapted from PC (2012b).</w:t>
      </w:r>
    </w:p>
    <w:p w14:paraId="4F273E4F" w14:textId="77777777" w:rsidR="00175FCA" w:rsidRDefault="00175FCA" w:rsidP="00175FCA">
      <w:pPr>
        <w:pStyle w:val="Source"/>
      </w:pPr>
      <w:r w:rsidRPr="00C93DDB">
        <w:rPr>
          <w:i/>
        </w:rPr>
        <w:t>Data source</w:t>
      </w:r>
      <w:r>
        <w:rPr>
          <w:i/>
        </w:rPr>
        <w:t>s</w:t>
      </w:r>
      <w:r>
        <w:t>: ABS (2012a); PC (2012b).</w:t>
      </w:r>
    </w:p>
    <w:p w14:paraId="45E24208" w14:textId="717BF4F5" w:rsidR="00A0350E" w:rsidRDefault="00FE10BB" w:rsidP="00A0350E">
      <w:pPr>
        <w:pStyle w:val="BodyText"/>
      </w:pPr>
      <w:r>
        <w:t>Of those industries recording employment growth, a number have links to the mining sector.</w:t>
      </w:r>
      <w:r w:rsidR="00A0350E">
        <w:t xml:space="preserve"> For example, it is likely that rising employment in the </w:t>
      </w:r>
      <w:r w:rsidR="00A0350E" w:rsidRPr="00142F79">
        <w:t xml:space="preserve">Primary </w:t>
      </w:r>
      <w:r w:rsidR="00A0350E">
        <w:t>m</w:t>
      </w:r>
      <w:r w:rsidR="00A0350E" w:rsidRPr="00142F79">
        <w:t>etal</w:t>
      </w:r>
      <w:r w:rsidR="00A0350E">
        <w:t xml:space="preserve"> industry is partly mining-induced, particularly in Queensland and Western Australia. This industry’s employment growth has been rapid in these jurisdictions (79 per cent and 73 per cent, respectively, between 2001 and 2012), and may have been related to the resources projects in these states. (That Primary metal stands out from the remainder of the manufacturing industry is reflected in the finding that it is the only manufacturing industry to have gained workers in net terms from outside the manufacturing industry between 2001 and 2007 [Li 2011].)</w:t>
      </w:r>
    </w:p>
    <w:p w14:paraId="0952ED00" w14:textId="4749C738" w:rsidR="00FE10BB" w:rsidRDefault="00FE10BB" w:rsidP="00FE10BB">
      <w:pPr>
        <w:pStyle w:val="BodyText"/>
      </w:pPr>
      <w:r>
        <w:t xml:space="preserve">Where employment has been declining in recent years, this has usually involved an accentuation of longer-term trends (figure </w:t>
      </w:r>
      <w:r w:rsidR="008830F5">
        <w:t>1.</w:t>
      </w:r>
      <w:r>
        <w:t>12). For manufacturing as a whole, the Commission estimates that the combined effect of the rising dollar and the Global Financial Crisis served to bring forward the structural decline of its employment share by between 1.7 and 3.5 years, relative to the pre-existing trend.</w:t>
      </w:r>
    </w:p>
    <w:p w14:paraId="4379173B" w14:textId="7E982765" w:rsidR="00F83AAC" w:rsidRDefault="00F83AAC" w:rsidP="00F83AAC">
      <w:pPr>
        <w:pStyle w:val="BodyText"/>
      </w:pPr>
      <w:r>
        <w:lastRenderedPageBreak/>
        <w:t>This decline notwithstanding, recent modelling by the Commission also suggests that manufacturing will remain a significant part of the Australian economy, given baseline projections about the terms of trade and other economic drivers. While its output and employment shares are projected to decline further, the sector’s value added and employment levels are projected to grow in absolute terms by close to 2</w:t>
      </w:r>
      <w:r w:rsidR="004A56E7">
        <w:t> </w:t>
      </w:r>
      <w:r>
        <w:t xml:space="preserve">per cent and 1 per cent annually, respectively, from now until the middle of this century (PC </w:t>
      </w:r>
      <w:r w:rsidR="00E15DAA">
        <w:t>2012a</w:t>
      </w:r>
      <w:r>
        <w:t>). These projected outcomes are</w:t>
      </w:r>
      <w:r w:rsidR="008D75DD">
        <w:t>, in part,</w:t>
      </w:r>
      <w:r>
        <w:t xml:space="preserve"> conditional on the assumption that the terms of trade will progressively revert to their 2004-05 level by 2017-18 and remain there thereafter. Nonetheless, taking everything into account, concerns about the ‘hollowing out’ of the manufacturing sector and the associated loss of key manufacturing skills appear unfounded, as they have proved to be in the Netherlands.</w:t>
      </w:r>
    </w:p>
    <w:p w14:paraId="62146803" w14:textId="63789CE3" w:rsidR="00175FCA" w:rsidRDefault="008830F5" w:rsidP="00175FCA">
      <w:pPr>
        <w:pStyle w:val="FigureTitle"/>
      </w:pPr>
      <w:r>
        <w:rPr>
          <w:b w:val="0"/>
        </w:rPr>
        <w:t>Figure 1.</w:t>
      </w:r>
      <w:r w:rsidR="00027B48">
        <w:rPr>
          <w:b w:val="0"/>
          <w:noProof/>
        </w:rPr>
        <w:t>12</w:t>
      </w:r>
      <w:r w:rsidR="00175FCA">
        <w:tab/>
        <w:t>Manufacturing industries with declining employment</w:t>
      </w:r>
    </w:p>
    <w:p w14:paraId="43E732FA" w14:textId="77777777" w:rsidR="00175FCA" w:rsidRDefault="00175FCA" w:rsidP="00175FCA">
      <w:pPr>
        <w:pStyle w:val="Subtitle"/>
      </w:pPr>
      <w:r>
        <w:t>Change in persons employed over each eight-year period, 1985-86 to 2011</w:t>
      </w:r>
      <w:r>
        <w:noBreakHyphen/>
        <w:t>12</w:t>
      </w:r>
      <w:r w:rsidRPr="00C86F73">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5FCA" w14:paraId="40958FE6" w14:textId="77777777" w:rsidTr="00175FCA">
        <w:tc>
          <w:tcPr>
            <w:tcW w:w="8777" w:type="dxa"/>
          </w:tcPr>
          <w:p w14:paraId="179B6C47" w14:textId="7348CEBA" w:rsidR="00175FCA" w:rsidRDefault="00003B7F" w:rsidP="00175FCA">
            <w:pPr>
              <w:pStyle w:val="Figure"/>
            </w:pPr>
            <w:r>
              <w:rPr>
                <w:noProof/>
              </w:rPr>
              <w:drawing>
                <wp:inline distT="0" distB="0" distL="0" distR="0" wp14:anchorId="3D739E1A" wp14:editId="5B341180">
                  <wp:extent cx="5431790" cy="3883660"/>
                  <wp:effectExtent l="0" t="0" r="0" b="2540"/>
                  <wp:docPr id="40" name="Picture 40" descr="Figure 1.12 Manufacturing industries with declining employment.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1790" cy="3883660"/>
                          </a:xfrm>
                          <a:prstGeom prst="rect">
                            <a:avLst/>
                          </a:prstGeom>
                          <a:noFill/>
                        </pic:spPr>
                      </pic:pic>
                    </a:graphicData>
                  </a:graphic>
                </wp:inline>
              </w:drawing>
            </w:r>
          </w:p>
        </w:tc>
      </w:tr>
    </w:tbl>
    <w:p w14:paraId="44BE358F" w14:textId="77777777" w:rsidR="00175FCA" w:rsidRDefault="00175FCA" w:rsidP="00175FCA">
      <w:pPr>
        <w:pStyle w:val="Note"/>
      </w:pPr>
      <w:r>
        <w:rPr>
          <w:rStyle w:val="NoteLabel"/>
        </w:rPr>
        <w:t>a</w:t>
      </w:r>
      <w:r>
        <w:sym w:font="Symbol" w:char="F020"/>
      </w:r>
      <w:r>
        <w:t>2011-2012 figures are an average of August 2011, November 2011 and February 2012 quarters. All other years’ figures were obtained as annual averages from quarterly data. Only selected manufacturing sub-divisions are shown.</w:t>
      </w:r>
    </w:p>
    <w:p w14:paraId="501981F8" w14:textId="77777777" w:rsidR="00175FCA" w:rsidRDefault="00175FCA" w:rsidP="00175FCA">
      <w:pPr>
        <w:pStyle w:val="Source"/>
        <w:keepLines w:val="0"/>
        <w:spacing w:before="0" w:after="0" w:line="320" w:lineRule="atLeast"/>
      </w:pPr>
      <w:r>
        <w:rPr>
          <w:i/>
        </w:rPr>
        <w:t>Data s</w:t>
      </w:r>
      <w:r w:rsidRPr="00536210">
        <w:rPr>
          <w:i/>
        </w:rPr>
        <w:t xml:space="preserve">ource: </w:t>
      </w:r>
      <w:r>
        <w:t>ABS (2012a).</w:t>
      </w:r>
    </w:p>
    <w:p w14:paraId="6C440A7A" w14:textId="77777777" w:rsidR="00FE10BB" w:rsidRDefault="00FE10BB" w:rsidP="00FE10BB">
      <w:pPr>
        <w:pStyle w:val="BodyText"/>
      </w:pPr>
    </w:p>
    <w:p w14:paraId="51153CCB" w14:textId="77777777" w:rsidR="00F83AAC" w:rsidRDefault="00F83AAC" w:rsidP="00FB4EAA">
      <w:pPr>
        <w:pStyle w:val="Heading2"/>
      </w:pPr>
      <w:r>
        <w:lastRenderedPageBreak/>
        <w:t>Regions have also benefited</w:t>
      </w:r>
    </w:p>
    <w:p w14:paraId="36CA1E40" w14:textId="77777777" w:rsidR="00F83AAC" w:rsidRDefault="00F83AAC" w:rsidP="00F83AAC">
      <w:pPr>
        <w:pStyle w:val="BodyText"/>
      </w:pPr>
      <w:r>
        <w:t>Regions differ in their resource endowments, population and labour force profile and industrial composition, and thus can be expected to respond differently to market pressures.</w:t>
      </w:r>
    </w:p>
    <w:p w14:paraId="02F74350" w14:textId="03B4F7CB" w:rsidR="00F83AAC" w:rsidRDefault="00F83AAC" w:rsidP="00F83AAC">
      <w:pPr>
        <w:pStyle w:val="BodyText"/>
      </w:pPr>
      <w:r>
        <w:t xml:space="preserve">In figure </w:t>
      </w:r>
      <w:r w:rsidR="008830F5">
        <w:t>1.</w:t>
      </w:r>
      <w:r>
        <w:t>13, two structural change indexes illustrate changing employment shares across states</w:t>
      </w:r>
      <w:r w:rsidR="00EC2747">
        <w:t xml:space="preserve"> and </w:t>
      </w:r>
      <w:r>
        <w:t>territories, on the one h</w:t>
      </w:r>
      <w:r w:rsidR="00EC2747">
        <w:t xml:space="preserve">and, and between capital cities and </w:t>
      </w:r>
      <w:r>
        <w:t xml:space="preserve">regions, on the other. Where a region index exceeds the state/territory index, structural change is occurring </w:t>
      </w:r>
      <w:r w:rsidRPr="004133EA">
        <w:rPr>
          <w:i/>
        </w:rPr>
        <w:t>within</w:t>
      </w:r>
      <w:r>
        <w:t xml:space="preserve"> each jurisdiction, between the capital city and the balance of that jurisdiction.</w:t>
      </w:r>
      <w:r>
        <w:rPr>
          <w:rStyle w:val="FootnoteReference"/>
        </w:rPr>
        <w:footnoteReference w:id="6"/>
      </w:r>
      <w:r>
        <w:t xml:space="preserve"> It is apparent from figure </w:t>
      </w:r>
      <w:r w:rsidR="008830F5">
        <w:t>1.</w:t>
      </w:r>
      <w:r>
        <w:t>13 that, at certain times during the 1990s and 2000s, employment movements have altered the capital city/regional balance within states and territories.</w:t>
      </w:r>
    </w:p>
    <w:p w14:paraId="2B5F5A4C" w14:textId="03A36C46" w:rsidR="00175FCA" w:rsidRPr="001E2A2D" w:rsidRDefault="008830F5" w:rsidP="00175FCA">
      <w:pPr>
        <w:pStyle w:val="FigureTitle"/>
      </w:pPr>
      <w:r>
        <w:rPr>
          <w:b w:val="0"/>
        </w:rPr>
        <w:t>Figure 1.</w:t>
      </w:r>
      <w:r w:rsidR="00027B48">
        <w:rPr>
          <w:b w:val="0"/>
          <w:noProof/>
        </w:rPr>
        <w:t>13</w:t>
      </w:r>
      <w:r w:rsidR="00175FCA">
        <w:tab/>
        <w:t>Employment Structural Change Indexes, by state and territory and region</w:t>
      </w:r>
      <w:r w:rsidR="00175FCA" w:rsidRPr="005D4F03">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5FCA" w14:paraId="2175AC8D" w14:textId="77777777" w:rsidTr="00175FCA">
        <w:tc>
          <w:tcPr>
            <w:tcW w:w="8777" w:type="dxa"/>
            <w:tcBorders>
              <w:top w:val="single" w:sz="6" w:space="0" w:color="auto"/>
              <w:bottom w:val="single" w:sz="6" w:space="0" w:color="auto"/>
            </w:tcBorders>
          </w:tcPr>
          <w:p w14:paraId="0417D5E7" w14:textId="64CC0748" w:rsidR="00175FCA" w:rsidRDefault="00EF5F48" w:rsidP="00175FCA">
            <w:pPr>
              <w:pStyle w:val="Figure"/>
            </w:pPr>
            <w:bookmarkStart w:id="2" w:name="_GoBack"/>
            <w:r>
              <w:rPr>
                <w:noProof/>
              </w:rPr>
              <w:drawing>
                <wp:inline distT="0" distB="0" distL="0" distR="0" wp14:anchorId="6405113B" wp14:editId="2F7AE9E8">
                  <wp:extent cx="5505450" cy="2865120"/>
                  <wp:effectExtent l="0" t="0" r="0" b="0"/>
                  <wp:docPr id="41" name="Picture 41" descr="Figure 1.13 Employment Structural Change Indexes, by state and territory and region. More information is available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05450" cy="2865120"/>
                          </a:xfrm>
                          <a:prstGeom prst="rect">
                            <a:avLst/>
                          </a:prstGeom>
                          <a:noFill/>
                        </pic:spPr>
                      </pic:pic>
                    </a:graphicData>
                  </a:graphic>
                </wp:inline>
              </w:drawing>
            </w:r>
            <w:bookmarkEnd w:id="2"/>
          </w:p>
        </w:tc>
      </w:tr>
    </w:tbl>
    <w:p w14:paraId="3A696874" w14:textId="77777777" w:rsidR="00175FCA" w:rsidRDefault="00175FCA" w:rsidP="00175FCA">
      <w:pPr>
        <w:pStyle w:val="Note"/>
      </w:pPr>
      <w:r>
        <w:rPr>
          <w:rStyle w:val="NoteLabel"/>
        </w:rPr>
        <w:t>a</w:t>
      </w:r>
      <w:r>
        <w:t xml:space="preserve"> ‘State SCI’ is based on the respective employment shares of all individual states and territories. ‘Region SCI’ is calculated on the same basis, except that each jurisdiction is divided into two components: state or territory capital city; and balance of the state or territory.</w:t>
      </w:r>
    </w:p>
    <w:p w14:paraId="78D8EBB3" w14:textId="77777777" w:rsidR="00175FCA" w:rsidRDefault="00175FCA" w:rsidP="00175FCA">
      <w:pPr>
        <w:pStyle w:val="Source"/>
      </w:pPr>
      <w:r>
        <w:rPr>
          <w:i/>
        </w:rPr>
        <w:t>Data source</w:t>
      </w:r>
      <w:r w:rsidRPr="00167F06">
        <w:t xml:space="preserve">: </w:t>
      </w:r>
      <w:r>
        <w:t xml:space="preserve">Productivity Commission calculations using ABS (2012a). </w:t>
      </w:r>
    </w:p>
    <w:p w14:paraId="7B9516A7" w14:textId="77777777" w:rsidR="00175FCA" w:rsidRDefault="00175FCA">
      <w:pPr>
        <w:rPr>
          <w:szCs w:val="20"/>
        </w:rPr>
      </w:pPr>
      <w:r>
        <w:br w:type="page"/>
      </w:r>
    </w:p>
    <w:p w14:paraId="5441086E" w14:textId="6F144B93" w:rsidR="00F83AAC" w:rsidRDefault="00F83AAC" w:rsidP="00F83AAC">
      <w:pPr>
        <w:pStyle w:val="BodyText"/>
      </w:pPr>
      <w:r>
        <w:lastRenderedPageBreak/>
        <w:t xml:space="preserve">On </w:t>
      </w:r>
      <w:r w:rsidR="007640DC">
        <w:t>occasions</w:t>
      </w:r>
      <w:r>
        <w:t xml:space="preserve">, a changing urban-regional balance can be a reflection that some regions are facing an exodus of jobs or businesses, or both, for reasons related to structural change. In past decades, there have been many examples of regions or cities that have suffered from the closure of a major regional employer or activity. Workers displaced are able to access the social safety net, and other generally available measures such as retraining and career counselling. At times, however, governments have intervened with the aim of mitigating the adverse effects of, and facilitating adjustment to, rapid and profound changes (box </w:t>
      </w:r>
      <w:r w:rsidR="00957F2B">
        <w:t>1.</w:t>
      </w:r>
      <w:r>
        <w:t>4).</w:t>
      </w:r>
    </w:p>
    <w:p w14:paraId="2FEDED24" w14:textId="77777777" w:rsidR="00175FCA" w:rsidRDefault="00175FCA" w:rsidP="00175FCA">
      <w:pPr>
        <w:pStyle w:val="BodyText"/>
      </w:pPr>
      <w:r>
        <w:t>That said, it appears that recent structural changes have been mainly beneficial for Australia’s regions. Treasury (2011c) has calculated that, as the aggregate unemployment rate declined from 1998 to 2010, so did the dispersion of unemployment rates across the 1400 Statistical Local Areas (</w:t>
      </w:r>
      <w:proofErr w:type="spellStart"/>
      <w:r>
        <w:t>SLAs</w:t>
      </w:r>
      <w:proofErr w:type="spellEnd"/>
      <w:r>
        <w:t>). In September 2010, a</w:t>
      </w:r>
      <w:r w:rsidRPr="009128F7">
        <w:t>round half of the areas had unemployment rates of less than 5 per cent</w:t>
      </w:r>
      <w:r>
        <w:t>, compared with fewer</w:t>
      </w:r>
      <w:r w:rsidRPr="009128F7">
        <w:t xml:space="preserve"> than 15 per cent </w:t>
      </w:r>
      <w:r>
        <w:t xml:space="preserve">of </w:t>
      </w:r>
      <w:proofErr w:type="spellStart"/>
      <w:r>
        <w:t>SLAs</w:t>
      </w:r>
      <w:proofErr w:type="spellEnd"/>
      <w:r>
        <w:t xml:space="preserve"> in 1998.</w:t>
      </w:r>
    </w:p>
    <w:p w14:paraId="55AF3B38" w14:textId="77777777" w:rsidR="00175FCA" w:rsidRDefault="00175FCA" w:rsidP="00175FCA">
      <w:pPr>
        <w:pStyle w:val="BodyText"/>
      </w:pPr>
      <w:r>
        <w:t>Unsurprisingly, the benefits of the mining boom have been felt most strongly in some well-publicised regional areas. For example, resident employment in the Pilbara and Kimberley regions of WA has been projected to double between 2005 and 2012, as a result of the boom (ALGA 2012). On the Eastern seaboard, a detailed survey undertaken by Rolfe et al. (2011) showed that, in 2009-10, direct salary payments by the resources sector in Queensland were largest in the Isaac and Central Highlands regions of that state.</w:t>
      </w:r>
    </w:p>
    <w:p w14:paraId="3E7FB593" w14:textId="77777777" w:rsidR="00175FCA" w:rsidRDefault="00175FCA" w:rsidP="00175FCA">
      <w:pPr>
        <w:pStyle w:val="BodyText"/>
      </w:pPr>
      <w:r>
        <w:t>While such payments are to the overall benefit of the regions that receive them, they can also involve some transitory costs. For example, substantial increases in mining employment can put pressure on rents, at least until the supply of land and housing catches up with demand.</w:t>
      </w:r>
    </w:p>
    <w:p w14:paraId="4465A743" w14:textId="77777777" w:rsidR="00175FCA" w:rsidRDefault="00175FCA" w:rsidP="00175FCA">
      <w:pPr>
        <w:pStyle w:val="BodyText"/>
      </w:pPr>
      <w:r>
        <w:t xml:space="preserve">The impact of the boom has been uneven across Australia. The Commission estimates that, while all </w:t>
      </w:r>
      <w:proofErr w:type="spellStart"/>
      <w:r>
        <w:t>SLAs</w:t>
      </w:r>
      <w:proofErr w:type="spellEnd"/>
      <w:r>
        <w:t xml:space="preserve"> in Australia recorded increases in average wages and salaries between 2004 and 2009, around two thirds of those </w:t>
      </w:r>
      <w:proofErr w:type="spellStart"/>
      <w:r>
        <w:t>SLAs</w:t>
      </w:r>
      <w:proofErr w:type="spellEnd"/>
      <w:r>
        <w:t xml:space="preserve"> that were in the lowest </w:t>
      </w:r>
      <w:proofErr w:type="spellStart"/>
      <w:r>
        <w:t>decile</w:t>
      </w:r>
      <w:proofErr w:type="spellEnd"/>
      <w:r>
        <w:t xml:space="preserve"> for average wages and salaries in 2004 remained in that </w:t>
      </w:r>
      <w:proofErr w:type="spellStart"/>
      <w:r>
        <w:t>decile</w:t>
      </w:r>
      <w:proofErr w:type="spellEnd"/>
      <w:r>
        <w:t xml:space="preserve"> in 2009. Nonetheless, even those lagging </w:t>
      </w:r>
      <w:proofErr w:type="spellStart"/>
      <w:r>
        <w:t>SLAs</w:t>
      </w:r>
      <w:proofErr w:type="spellEnd"/>
      <w:r>
        <w:t xml:space="preserve"> may be expected to have benefitted from the lower import prices and increased government revenue the boom generated. </w:t>
      </w:r>
    </w:p>
    <w:p w14:paraId="13DA11EA" w14:textId="77777777" w:rsidR="00175FCA" w:rsidRDefault="00175FCA" w:rsidP="00F83AAC">
      <w:pPr>
        <w:pStyle w:val="BodyText"/>
      </w:pPr>
    </w:p>
    <w:p w14:paraId="6FD564B2" w14:textId="77777777" w:rsidR="00656E84" w:rsidRDefault="00656E84">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56E84" w14:paraId="4D20E8A1" w14:textId="77777777">
        <w:tc>
          <w:tcPr>
            <w:tcW w:w="8771" w:type="dxa"/>
            <w:tcBorders>
              <w:top w:val="single" w:sz="6" w:space="0" w:color="auto"/>
              <w:bottom w:val="nil"/>
            </w:tcBorders>
          </w:tcPr>
          <w:p w14:paraId="6884E3B8" w14:textId="1F2F6A73" w:rsidR="00656E84" w:rsidRDefault="008830F5" w:rsidP="00D16268">
            <w:pPr>
              <w:pStyle w:val="BoxTitle"/>
            </w:pPr>
            <w:r>
              <w:rPr>
                <w:b w:val="0"/>
              </w:rPr>
              <w:t>Box 1.</w:t>
            </w:r>
            <w:r w:rsidR="00027B48">
              <w:rPr>
                <w:b w:val="0"/>
                <w:noProof/>
              </w:rPr>
              <w:t>4</w:t>
            </w:r>
            <w:r w:rsidR="00656E84">
              <w:tab/>
            </w:r>
            <w:r w:rsidR="00E7720A">
              <w:t>Adjustment assistance by governments</w:t>
            </w:r>
          </w:p>
        </w:tc>
      </w:tr>
      <w:tr w:rsidR="00656E84" w14:paraId="6577D10F" w14:textId="77777777">
        <w:trPr>
          <w:cantSplit/>
        </w:trPr>
        <w:tc>
          <w:tcPr>
            <w:tcW w:w="8771" w:type="dxa"/>
            <w:tcBorders>
              <w:top w:val="nil"/>
              <w:left w:val="single" w:sz="6" w:space="0" w:color="auto"/>
              <w:bottom w:val="nil"/>
              <w:right w:val="single" w:sz="6" w:space="0" w:color="auto"/>
            </w:tcBorders>
          </w:tcPr>
          <w:p w14:paraId="5EF9F4C0" w14:textId="77777777" w:rsidR="008D75DD" w:rsidRDefault="002E45A4" w:rsidP="00DE1372">
            <w:pPr>
              <w:pStyle w:val="Box"/>
            </w:pPr>
            <w:r>
              <w:t>T</w:t>
            </w:r>
            <w:r w:rsidR="00405177">
              <w:t xml:space="preserve">he general social safety net </w:t>
            </w:r>
            <w:r w:rsidR="00AD3A0E">
              <w:t>offers</w:t>
            </w:r>
            <w:r>
              <w:t xml:space="preserve"> a set of universally-available government</w:t>
            </w:r>
            <w:r w:rsidR="00AD3A0E">
              <w:t xml:space="preserve"> </w:t>
            </w:r>
            <w:r>
              <w:t>service</w:t>
            </w:r>
            <w:r w:rsidR="00AD3A0E">
              <w:t>s that can</w:t>
            </w:r>
            <w:r>
              <w:t xml:space="preserve"> </w:t>
            </w:r>
            <w:r w:rsidR="00AD3A0E">
              <w:t xml:space="preserve">mitigate adjustment costs and </w:t>
            </w:r>
            <w:r>
              <w:t>facilitat</w:t>
            </w:r>
            <w:r w:rsidR="00AD3A0E">
              <w:t>e</w:t>
            </w:r>
            <w:r>
              <w:t xml:space="preserve"> transitions </w:t>
            </w:r>
            <w:r w:rsidR="00AD3A0E">
              <w:t>of workers experiencing</w:t>
            </w:r>
            <w:r w:rsidR="00405177">
              <w:t xml:space="preserve"> job losses. However, some changes or adjustments may be considered ‘beyond normal’ in terms of their scope, speed or severity</w:t>
            </w:r>
            <w:r w:rsidR="00DA0ABA">
              <w:t>,</w:t>
            </w:r>
            <w:r w:rsidR="00405177">
              <w:t xml:space="preserve"> and give rise to calls for governments to </w:t>
            </w:r>
            <w:r w:rsidR="00F80ADC">
              <w:t>provide</w:t>
            </w:r>
            <w:r w:rsidR="00405177">
              <w:t xml:space="preserve"> ‘tailor-made’ </w:t>
            </w:r>
            <w:r w:rsidR="00DE1372">
              <w:t xml:space="preserve">financial </w:t>
            </w:r>
            <w:r w:rsidR="00405177">
              <w:t>assistance.</w:t>
            </w:r>
          </w:p>
          <w:p w14:paraId="5DE29026" w14:textId="18AED660" w:rsidR="00656E84" w:rsidRDefault="00DE1372" w:rsidP="00DE1372">
            <w:pPr>
              <w:pStyle w:val="Box"/>
            </w:pPr>
            <w:r>
              <w:t>Governments have been more likely to accede to such requests when</w:t>
            </w:r>
            <w:r w:rsidR="00592358">
              <w:t>: (</w:t>
            </w:r>
            <w:proofErr w:type="spellStart"/>
            <w:r w:rsidR="00592358">
              <w:t>i</w:t>
            </w:r>
            <w:proofErr w:type="spellEnd"/>
            <w:r w:rsidR="00592358">
              <w:t>)</w:t>
            </w:r>
            <w:r>
              <w:t xml:space="preserve"> the changes have been policy-induced, such as in the course of industry reform</w:t>
            </w:r>
            <w:r w:rsidR="00592358">
              <w:t>; or (ii) a region is facing the loss of a major employer or activity</w:t>
            </w:r>
            <w:r>
              <w:t xml:space="preserve">. </w:t>
            </w:r>
            <w:r w:rsidR="00592358">
              <w:t xml:space="preserve">Events </w:t>
            </w:r>
            <w:r>
              <w:t xml:space="preserve">of this </w:t>
            </w:r>
            <w:r w:rsidR="00592358">
              <w:t>nature</w:t>
            </w:r>
            <w:r>
              <w:t xml:space="preserve"> can impose</w:t>
            </w:r>
            <w:r w:rsidR="00C43F2E">
              <w:t xml:space="preserve"> concentrated</w:t>
            </w:r>
            <w:r>
              <w:t xml:space="preserve"> transitional costs on producers, consumers or workers in </w:t>
            </w:r>
            <w:r w:rsidR="00AD3CB1">
              <w:t>a given industry or region</w:t>
            </w:r>
            <w:r>
              <w:t>.</w:t>
            </w:r>
          </w:p>
          <w:p w14:paraId="34CE537A" w14:textId="687F623B" w:rsidR="00DA0F26" w:rsidRDefault="00AD3CB1" w:rsidP="00DE1372">
            <w:pPr>
              <w:pStyle w:val="Box"/>
            </w:pPr>
            <w:r>
              <w:t>Industry</w:t>
            </w:r>
            <w:r w:rsidR="00DA0F26">
              <w:t xml:space="preserve"> </w:t>
            </w:r>
            <w:r w:rsidR="00C43F2E">
              <w:t>and</w:t>
            </w:r>
            <w:r>
              <w:t xml:space="preserve"> regional </w:t>
            </w:r>
            <w:r w:rsidR="00DA0F26">
              <w:t xml:space="preserve">assistance can </w:t>
            </w:r>
            <w:r w:rsidR="00592358">
              <w:t>take</w:t>
            </w:r>
            <w:r w:rsidR="00DA0F26">
              <w:t xml:space="preserve"> several </w:t>
            </w:r>
            <w:r w:rsidR="00592358">
              <w:t>forms</w:t>
            </w:r>
            <w:r w:rsidR="00DA0F26">
              <w:t>: (</w:t>
            </w:r>
            <w:proofErr w:type="spellStart"/>
            <w:r w:rsidR="00DA0F26">
              <w:t>i</w:t>
            </w:r>
            <w:proofErr w:type="spellEnd"/>
            <w:r w:rsidR="00DA0F26">
              <w:t xml:space="preserve">) compensation for the loss of income or </w:t>
            </w:r>
            <w:r>
              <w:t xml:space="preserve">of </w:t>
            </w:r>
            <w:r w:rsidR="00DA0F26">
              <w:t xml:space="preserve">well-defined property rights; (ii) assistance conditional on businesses undertaking new investment, restructuring, amalgamation or exits; and (iii) assistance to build the </w:t>
            </w:r>
            <w:r w:rsidR="0010540B">
              <w:t xml:space="preserve">future </w:t>
            </w:r>
            <w:r w:rsidR="00DA0F26">
              <w:t>capacity and resilience of recipients</w:t>
            </w:r>
            <w:r w:rsidR="0010540B">
              <w:t xml:space="preserve"> through diversification</w:t>
            </w:r>
            <w:r w:rsidR="00DA0F26">
              <w:t>.</w:t>
            </w:r>
          </w:p>
          <w:p w14:paraId="65EBC28D" w14:textId="1879525F" w:rsidR="00FE6087" w:rsidRDefault="00C43F2E" w:rsidP="00FE6087">
            <w:pPr>
              <w:pStyle w:val="Box"/>
            </w:pPr>
            <w:r>
              <w:t>T</w:t>
            </w:r>
            <w:r w:rsidR="00AD3CB1">
              <w:t>otal adjustment assistance to industry</w:t>
            </w:r>
            <w:r>
              <w:t xml:space="preserve"> in 2010-11</w:t>
            </w:r>
            <w:r w:rsidR="002B59F2">
              <w:t xml:space="preserve"> </w:t>
            </w:r>
            <w:r>
              <w:t xml:space="preserve">by the Australian Government </w:t>
            </w:r>
            <w:r w:rsidR="00AD3CB1">
              <w:t xml:space="preserve">was estimated at around $1 billion. Assistance packages for the automotive and </w:t>
            </w:r>
            <w:proofErr w:type="spellStart"/>
            <w:r w:rsidR="00AD3CB1">
              <w:t>TCF</w:t>
            </w:r>
            <w:proofErr w:type="spellEnd"/>
            <w:r w:rsidR="00AD3CB1">
              <w:t xml:space="preserve"> industries </w:t>
            </w:r>
            <w:r>
              <w:t xml:space="preserve">were </w:t>
            </w:r>
            <w:r w:rsidR="00AD3CB1">
              <w:t>the largest,</w:t>
            </w:r>
            <w:r w:rsidR="00280732">
              <w:t xml:space="preserve"> </w:t>
            </w:r>
            <w:r>
              <w:t xml:space="preserve">with </w:t>
            </w:r>
            <w:r w:rsidR="00280732">
              <w:t>o</w:t>
            </w:r>
            <w:r>
              <w:t>ther</w:t>
            </w:r>
            <w:r w:rsidR="00E76498">
              <w:t xml:space="preserve"> major</w:t>
            </w:r>
            <w:r>
              <w:t xml:space="preserve"> beneficiaries including</w:t>
            </w:r>
            <w:r w:rsidR="00280732">
              <w:t xml:space="preserve"> rural industries such as dairy, sugar, fisheries and forestry.</w:t>
            </w:r>
          </w:p>
          <w:p w14:paraId="69C7E229" w14:textId="3552D6A4" w:rsidR="00DA0F26" w:rsidRDefault="00280732" w:rsidP="00280732">
            <w:pPr>
              <w:pStyle w:val="Box"/>
            </w:pPr>
            <w:r>
              <w:t xml:space="preserve">Since 1997, fifteen ‘regional structural adjustment funds’ have also been established by the Australian Government. These funds are </w:t>
            </w:r>
            <w:r w:rsidR="00F80ADC">
              <w:t>typically</w:t>
            </w:r>
            <w:r>
              <w:t xml:space="preserve"> </w:t>
            </w:r>
            <w:r w:rsidR="00242F2B">
              <w:t>provided</w:t>
            </w:r>
            <w:r w:rsidR="00AD3A0E">
              <w:t xml:space="preserve"> with the stated aim of helping</w:t>
            </w:r>
            <w:r>
              <w:t xml:space="preserve"> a partic</w:t>
            </w:r>
            <w:r w:rsidR="005340EA">
              <w:t xml:space="preserve">ular region </w:t>
            </w:r>
            <w:r w:rsidR="00E76498">
              <w:t xml:space="preserve">preserve jobs when </w:t>
            </w:r>
            <w:r w:rsidR="001D6249">
              <w:t xml:space="preserve">confronted with </w:t>
            </w:r>
            <w:r w:rsidR="005340EA">
              <w:t>the loss or</w:t>
            </w:r>
            <w:r>
              <w:t xml:space="preserve"> downsizing of a major </w:t>
            </w:r>
            <w:r w:rsidR="005340EA">
              <w:t xml:space="preserve">local </w:t>
            </w:r>
            <w:r>
              <w:t>employer</w:t>
            </w:r>
            <w:r w:rsidR="005340EA">
              <w:t xml:space="preserve">, as was the case with </w:t>
            </w:r>
            <w:r w:rsidR="00E76498">
              <w:t xml:space="preserve">the closure of </w:t>
            </w:r>
            <w:r w:rsidR="005340EA">
              <w:t>BHP in Newcastle in 199</w:t>
            </w:r>
            <w:r w:rsidR="00E76498">
              <w:t>9</w:t>
            </w:r>
            <w:r w:rsidR="005340EA">
              <w:t>.</w:t>
            </w:r>
            <w:r>
              <w:t xml:space="preserve"> Through competitive grants for investing in plants or equipment</w:t>
            </w:r>
            <w:r w:rsidR="00AD3A0E">
              <w:t>, it is hoped that new or expanding businesses will be attracted to the region at risk of job losses</w:t>
            </w:r>
            <w:r>
              <w:t>.</w:t>
            </w:r>
          </w:p>
          <w:p w14:paraId="028939B7" w14:textId="13E8A6E6" w:rsidR="00280732" w:rsidRDefault="00280732" w:rsidP="000B5C82">
            <w:pPr>
              <w:pStyle w:val="Box"/>
            </w:pPr>
            <w:r>
              <w:t xml:space="preserve">The </w:t>
            </w:r>
            <w:r w:rsidR="005340EA">
              <w:t>scope</w:t>
            </w:r>
            <w:r>
              <w:t xml:space="preserve">, eligibility criteria and </w:t>
            </w:r>
            <w:r w:rsidR="005340EA">
              <w:t xml:space="preserve">duration of regional funds vary, but all </w:t>
            </w:r>
            <w:r w:rsidR="007362A6">
              <w:t xml:space="preserve">funds </w:t>
            </w:r>
            <w:r w:rsidR="005340EA">
              <w:t>share</w:t>
            </w:r>
            <w:r w:rsidR="009F1B50">
              <w:t>, to some extent,</w:t>
            </w:r>
            <w:r w:rsidR="005340EA">
              <w:t xml:space="preserve"> a lack of detailed pre- and post-evaluation</w:t>
            </w:r>
            <w:r w:rsidR="005606B4">
              <w:t>, and monitoring</w:t>
            </w:r>
            <w:r w:rsidR="005340EA">
              <w:t xml:space="preserve">. </w:t>
            </w:r>
            <w:r w:rsidR="000B5C82">
              <w:t>T</w:t>
            </w:r>
            <w:r w:rsidR="005340EA">
              <w:t xml:space="preserve">heir effectiveness in retaining or creating employment </w:t>
            </w:r>
            <w:r w:rsidR="005606B4">
              <w:t xml:space="preserve">has </w:t>
            </w:r>
            <w:r w:rsidR="009F1B50">
              <w:t>generally</w:t>
            </w:r>
            <w:r w:rsidR="005F5F56">
              <w:t xml:space="preserve"> been</w:t>
            </w:r>
            <w:r w:rsidR="009F1B50">
              <w:t xml:space="preserve"> </w:t>
            </w:r>
            <w:r w:rsidR="005340EA">
              <w:t>limited</w:t>
            </w:r>
            <w:r w:rsidR="005606B4">
              <w:t>, with</w:t>
            </w:r>
            <w:r w:rsidR="005340EA">
              <w:t xml:space="preserve"> regions receiving assistance not </w:t>
            </w:r>
            <w:r w:rsidR="005606B4">
              <w:t xml:space="preserve">appearing to </w:t>
            </w:r>
            <w:r w:rsidR="005340EA">
              <w:t xml:space="preserve">adjust better to structural change than </w:t>
            </w:r>
            <w:r w:rsidR="00BA1D74">
              <w:t xml:space="preserve">their </w:t>
            </w:r>
            <w:r w:rsidR="005340EA">
              <w:t xml:space="preserve">unassisted </w:t>
            </w:r>
            <w:r w:rsidR="00BA1D74">
              <w:t>counterparts</w:t>
            </w:r>
            <w:r w:rsidR="005340EA">
              <w:t>.</w:t>
            </w:r>
          </w:p>
        </w:tc>
      </w:tr>
      <w:tr w:rsidR="00656E84" w14:paraId="3EA136ED" w14:textId="77777777">
        <w:trPr>
          <w:cantSplit/>
        </w:trPr>
        <w:tc>
          <w:tcPr>
            <w:tcW w:w="8771" w:type="dxa"/>
            <w:tcBorders>
              <w:top w:val="nil"/>
              <w:left w:val="single" w:sz="6" w:space="0" w:color="auto"/>
              <w:bottom w:val="nil"/>
              <w:right w:val="single" w:sz="6" w:space="0" w:color="auto"/>
            </w:tcBorders>
          </w:tcPr>
          <w:p w14:paraId="409C1367" w14:textId="6A2FB15B" w:rsidR="00656E84" w:rsidRDefault="00E7720A" w:rsidP="00E15DAA">
            <w:pPr>
              <w:pStyle w:val="BoxSource"/>
            </w:pPr>
            <w:r>
              <w:rPr>
                <w:i/>
              </w:rPr>
              <w:t>Source</w:t>
            </w:r>
            <w:r w:rsidR="00656E84" w:rsidRPr="00167F06">
              <w:t xml:space="preserve">: </w:t>
            </w:r>
            <w:r>
              <w:t>Productivity Commission (</w:t>
            </w:r>
            <w:r w:rsidR="00E15DAA">
              <w:t>2012b</w:t>
            </w:r>
            <w:r>
              <w:t>)</w:t>
            </w:r>
            <w:r w:rsidR="00656E84">
              <w:t>.</w:t>
            </w:r>
          </w:p>
        </w:tc>
      </w:tr>
      <w:tr w:rsidR="00656E84" w14:paraId="24BCFAF7" w14:textId="77777777">
        <w:trPr>
          <w:cantSplit/>
        </w:trPr>
        <w:tc>
          <w:tcPr>
            <w:tcW w:w="8771" w:type="dxa"/>
            <w:tcBorders>
              <w:top w:val="nil"/>
              <w:left w:val="single" w:sz="6" w:space="0" w:color="auto"/>
              <w:bottom w:val="single" w:sz="6" w:space="0" w:color="auto"/>
              <w:right w:val="single" w:sz="6" w:space="0" w:color="auto"/>
            </w:tcBorders>
          </w:tcPr>
          <w:p w14:paraId="49C4FA23" w14:textId="77777777" w:rsidR="00656E84" w:rsidRDefault="00656E84">
            <w:pPr>
              <w:pStyle w:val="Box"/>
              <w:spacing w:before="0" w:line="120" w:lineRule="exact"/>
            </w:pPr>
          </w:p>
        </w:tc>
      </w:tr>
      <w:tr w:rsidR="00656E84" w:rsidRPr="000863A5" w14:paraId="4382226C" w14:textId="77777777">
        <w:trPr>
          <w:hidden/>
        </w:trPr>
        <w:tc>
          <w:tcPr>
            <w:tcW w:w="8771" w:type="dxa"/>
            <w:tcBorders>
              <w:top w:val="nil"/>
              <w:left w:val="nil"/>
              <w:bottom w:val="nil"/>
              <w:right w:val="nil"/>
            </w:tcBorders>
          </w:tcPr>
          <w:p w14:paraId="00F49EF1" w14:textId="77777777" w:rsidR="00656E84" w:rsidRPr="000863A5" w:rsidRDefault="00656E84" w:rsidP="00AD3CB1">
            <w:pPr>
              <w:pStyle w:val="Box"/>
              <w:keepNext w:val="0"/>
              <w:spacing w:before="60" w:after="60" w:line="80" w:lineRule="exact"/>
              <w:rPr>
                <w:b/>
                <w:sz w:val="14"/>
              </w:rPr>
            </w:pPr>
            <w:r>
              <w:rPr>
                <w:b/>
                <w:vanish/>
                <w:color w:val="FF00FF"/>
                <w:sz w:val="14"/>
              </w:rPr>
              <w:t>Do not delete this ROW as it gives space between the box and what follows it.</w:t>
            </w:r>
          </w:p>
        </w:tc>
      </w:tr>
    </w:tbl>
    <w:p w14:paraId="09D1BB88" w14:textId="77777777" w:rsidR="00E719BB" w:rsidRDefault="00775A21" w:rsidP="00217D61">
      <w:pPr>
        <w:pStyle w:val="Heading2"/>
      </w:pPr>
      <w:r>
        <w:t>B</w:t>
      </w:r>
      <w:r w:rsidR="00E719BB">
        <w:t>enefits and costs of recent structural change</w:t>
      </w:r>
    </w:p>
    <w:p w14:paraId="7A76EC3C" w14:textId="474C021A" w:rsidR="00B165E2" w:rsidRDefault="00F07D9B" w:rsidP="00B9579E">
      <w:pPr>
        <w:pStyle w:val="BodyText"/>
      </w:pPr>
      <w:r>
        <w:t>S</w:t>
      </w:r>
      <w:r w:rsidR="00B165E2">
        <w:t xml:space="preserve">tructural change — and the </w:t>
      </w:r>
      <w:r w:rsidR="00C20D49">
        <w:t>countless</w:t>
      </w:r>
      <w:r w:rsidR="00B165E2">
        <w:t xml:space="preserve"> cumulative adjustments that underpin it — is </w:t>
      </w:r>
      <w:r w:rsidR="009F28C3">
        <w:t>the economy’s</w:t>
      </w:r>
      <w:r w:rsidR="00B165E2">
        <w:t xml:space="preserve"> response to the changing wants of consumers at home and overseas, </w:t>
      </w:r>
      <w:r w:rsidR="000D6AB4">
        <w:t xml:space="preserve">shaped by price </w:t>
      </w:r>
      <w:r w:rsidR="00C80031">
        <w:t xml:space="preserve">signals </w:t>
      </w:r>
      <w:r w:rsidR="000D6AB4">
        <w:t xml:space="preserve">and </w:t>
      </w:r>
      <w:r w:rsidR="000B5C82">
        <w:t xml:space="preserve">evolving </w:t>
      </w:r>
      <w:r w:rsidR="000D6AB4">
        <w:t>technologi</w:t>
      </w:r>
      <w:r w:rsidR="00C80031">
        <w:t>es</w:t>
      </w:r>
      <w:r w:rsidR="00B165E2">
        <w:t xml:space="preserve">. While structural change </w:t>
      </w:r>
      <w:r w:rsidR="00C20D49">
        <w:t xml:space="preserve">imposes costs on some individuals and groups, it is an indication that goods and services are being produced in quantities and </w:t>
      </w:r>
      <w:r w:rsidR="000D6AB4">
        <w:t>with characteristics</w:t>
      </w:r>
      <w:r w:rsidR="00C20D49">
        <w:t xml:space="preserve"> that match </w:t>
      </w:r>
      <w:r w:rsidR="000B5C82">
        <w:t xml:space="preserve">people’s </w:t>
      </w:r>
      <w:r w:rsidR="00C20D49">
        <w:t>demand</w:t>
      </w:r>
      <w:r w:rsidR="000B5C82">
        <w:t>s</w:t>
      </w:r>
      <w:r w:rsidR="00C20D49">
        <w:t xml:space="preserve"> </w:t>
      </w:r>
      <w:r w:rsidR="00C20D49">
        <w:lastRenderedPageBreak/>
        <w:t>more closely</w:t>
      </w:r>
      <w:r w:rsidR="00760B09">
        <w:t xml:space="preserve"> than previously</w:t>
      </w:r>
      <w:r w:rsidR="00B165E2">
        <w:t xml:space="preserve">. </w:t>
      </w:r>
      <w:r w:rsidR="00C20D49">
        <w:t>Moreover, because the additional output tends to be more highly valued by consumers</w:t>
      </w:r>
      <w:r>
        <w:t xml:space="preserve"> at home </w:t>
      </w:r>
      <w:r w:rsidR="000B5C82">
        <w:t xml:space="preserve">or </w:t>
      </w:r>
      <w:r>
        <w:t>abroad</w:t>
      </w:r>
      <w:r w:rsidR="00282591">
        <w:t>, and is produced more efficiently</w:t>
      </w:r>
      <w:r w:rsidR="00C20D49">
        <w:t xml:space="preserve">, incomes rise </w:t>
      </w:r>
      <w:r w:rsidR="002B17EE">
        <w:t>accordingly</w:t>
      </w:r>
      <w:r w:rsidR="00C20D49">
        <w:t>.</w:t>
      </w:r>
    </w:p>
    <w:p w14:paraId="4864082E" w14:textId="03978CB8" w:rsidR="00E17449" w:rsidRDefault="00E17449" w:rsidP="00B9579E">
      <w:pPr>
        <w:pStyle w:val="BodyText"/>
      </w:pPr>
      <w:r>
        <w:t>As discussed in this chapter, structural change during the 2000s has been fostered in large measure by the dramatic rise</w:t>
      </w:r>
      <w:r w:rsidR="000B5C82">
        <w:t>s</w:t>
      </w:r>
      <w:r>
        <w:t xml:space="preserve"> in the terms of trade and exchange rate</w:t>
      </w:r>
      <w:r w:rsidR="000B5C82">
        <w:t>,</w:t>
      </w:r>
      <w:r>
        <w:t xml:space="preserve"> linked to the mining boom. This is not to suggest that all of the change</w:t>
      </w:r>
      <w:r w:rsidR="00EB134F">
        <w:t>s</w:t>
      </w:r>
      <w:r>
        <w:t xml:space="preserve"> observed </w:t>
      </w:r>
      <w:r w:rsidR="00EB134F">
        <w:t>have</w:t>
      </w:r>
      <w:r>
        <w:t xml:space="preserve"> been mining-induced. Many drivers of change pre-date the boom and will </w:t>
      </w:r>
      <w:r w:rsidR="007421DE">
        <w:t>inevitab</w:t>
      </w:r>
      <w:r>
        <w:t>ly outlast it.</w:t>
      </w:r>
      <w:r w:rsidR="000B5C82">
        <w:t xml:space="preserve"> </w:t>
      </w:r>
      <w:r>
        <w:t xml:space="preserve">Nonetheless, </w:t>
      </w:r>
      <w:r w:rsidR="009B4DE6">
        <w:t xml:space="preserve">modelling undertaken for the OECD suggests that </w:t>
      </w:r>
      <w:r>
        <w:t>the mining boom is in large part responsible for the positive income and consumption effects observed in the last decade</w:t>
      </w:r>
      <w:r w:rsidR="009B4DE6">
        <w:t xml:space="preserve"> (</w:t>
      </w:r>
      <w:r>
        <w:t>Thompson et al. 201</w:t>
      </w:r>
      <w:r w:rsidR="00F6500B">
        <w:t>2</w:t>
      </w:r>
      <w:r>
        <w:t>)</w:t>
      </w:r>
      <w:r w:rsidR="000F5CD0">
        <w:t>.</w:t>
      </w:r>
    </w:p>
    <w:p w14:paraId="4E14090D" w14:textId="42B3E22D" w:rsidR="00E719BB" w:rsidRDefault="009F28C3" w:rsidP="00B9579E">
      <w:pPr>
        <w:pStyle w:val="BodyText"/>
      </w:pPr>
      <w:r>
        <w:t>A</w:t>
      </w:r>
      <w:r w:rsidR="00DD7899">
        <w:t xml:space="preserve"> number of indicators</w:t>
      </w:r>
      <w:r>
        <w:t xml:space="preserve"> </w:t>
      </w:r>
      <w:r w:rsidR="00F6500B">
        <w:t xml:space="preserve">confirm that </w:t>
      </w:r>
      <w:r w:rsidR="00DD7899">
        <w:t>the Australian community</w:t>
      </w:r>
      <w:r w:rsidR="00F6500B">
        <w:t xml:space="preserve"> has benefited significantly </w:t>
      </w:r>
      <w:r w:rsidR="008D75DD">
        <w:t>in this period</w:t>
      </w:r>
      <w:r w:rsidR="00DD7899">
        <w:t>. For example</w:t>
      </w:r>
      <w:r w:rsidR="00E719BB">
        <w:t>:</w:t>
      </w:r>
    </w:p>
    <w:p w14:paraId="28B778B7" w14:textId="247CB140" w:rsidR="00E76C31" w:rsidRDefault="00E76C31" w:rsidP="00B9579E">
      <w:pPr>
        <w:pStyle w:val="ListBullet"/>
      </w:pPr>
      <w:r>
        <w:t xml:space="preserve">Gregory and Sheehan (2011) estimate that the </w:t>
      </w:r>
      <w:r w:rsidR="00B01928">
        <w:t xml:space="preserve">direct income </w:t>
      </w:r>
      <w:r>
        <w:t xml:space="preserve">effects associated with the mining boom and currency appreciation </w:t>
      </w:r>
      <w:r w:rsidR="00A35E66">
        <w:t xml:space="preserve">contributed 60 per cent of the growth in </w:t>
      </w:r>
      <w:r w:rsidR="007F25C8">
        <w:t xml:space="preserve">real </w:t>
      </w:r>
      <w:r w:rsidR="00A35E66">
        <w:t xml:space="preserve">per capita income from 2003 to 2011 (equivalent to </w:t>
      </w:r>
      <w:r w:rsidR="00A718D7">
        <w:t>an additional</w:t>
      </w:r>
      <w:r w:rsidR="00A35E66">
        <w:t xml:space="preserve"> $7,500 per year at 20</w:t>
      </w:r>
      <w:r w:rsidR="00A718D7">
        <w:t>1</w:t>
      </w:r>
      <w:r w:rsidR="00A35E66">
        <w:t xml:space="preserve">1 prices). </w:t>
      </w:r>
    </w:p>
    <w:p w14:paraId="71AC1DD9" w14:textId="78A4469A" w:rsidR="00DD7899" w:rsidRDefault="008D75DD" w:rsidP="00B9579E">
      <w:pPr>
        <w:pStyle w:val="ListBullet"/>
      </w:pPr>
      <w:r>
        <w:t>Although</w:t>
      </w:r>
      <w:r w:rsidR="00DD7899">
        <w:t xml:space="preserve"> the mining industry is up to 80 per cent foreign-owned, it has been estimated that around </w:t>
      </w:r>
      <w:r w:rsidR="00307910">
        <w:t>one-</w:t>
      </w:r>
      <w:r w:rsidR="00DD7899">
        <w:t xml:space="preserve">half of </w:t>
      </w:r>
      <w:r w:rsidR="006F6EFC">
        <w:t xml:space="preserve">the </w:t>
      </w:r>
      <w:r w:rsidR="00A01F69">
        <w:t>direct</w:t>
      </w:r>
      <w:r w:rsidR="006F6EFC">
        <w:t xml:space="preserve"> mining</w:t>
      </w:r>
      <w:r w:rsidR="00DD7899">
        <w:t xml:space="preserve"> income accrues to Australian residents</w:t>
      </w:r>
      <w:r w:rsidR="00307910">
        <w:t>,</w:t>
      </w:r>
      <w:r w:rsidR="00DD7899">
        <w:t xml:space="preserve"> </w:t>
      </w:r>
      <w:r w:rsidR="005524DB">
        <w:t>and about the same from</w:t>
      </w:r>
      <w:r w:rsidR="00DD7899">
        <w:t xml:space="preserve"> </w:t>
      </w:r>
      <w:r w:rsidR="001370C0">
        <w:t xml:space="preserve">the </w:t>
      </w:r>
      <w:r w:rsidR="00423578">
        <w:t xml:space="preserve">industry’s </w:t>
      </w:r>
      <w:r w:rsidR="00DD7899">
        <w:t>massive investment spending (box</w:t>
      </w:r>
      <w:r w:rsidR="001A0682">
        <w:t xml:space="preserve"> </w:t>
      </w:r>
      <w:r w:rsidR="00957F2B">
        <w:t>1.</w:t>
      </w:r>
      <w:r w:rsidR="00D16268">
        <w:t>5</w:t>
      </w:r>
      <w:r w:rsidR="001A0682">
        <w:t>).</w:t>
      </w:r>
    </w:p>
    <w:p w14:paraId="63E9EBED" w14:textId="7B4BCE6F" w:rsidR="00F83AAC" w:rsidRDefault="008D75DD" w:rsidP="00F83AAC">
      <w:pPr>
        <w:pStyle w:val="ListBullet"/>
      </w:pPr>
      <w:r>
        <w:t>E</w:t>
      </w:r>
      <w:r w:rsidR="00F83AAC">
        <w:t>mployee compensation per hour worked rose by 3.5 per cent per annum</w:t>
      </w:r>
      <w:r>
        <w:t xml:space="preserve"> in real terms</w:t>
      </w:r>
      <w:r w:rsidR="00F83AAC">
        <w:t xml:space="preserve"> between 2003 and 2008, reflecting both </w:t>
      </w:r>
      <w:r>
        <w:t xml:space="preserve">higher </w:t>
      </w:r>
      <w:r w:rsidR="00F83AAC">
        <w:t>wages and falling import prices (Gregory and Sheehan 2011).</w:t>
      </w:r>
    </w:p>
    <w:p w14:paraId="5BF8693B" w14:textId="0A1B0219" w:rsidR="00F83AAC" w:rsidRDefault="00F83AAC" w:rsidP="00F83AAC">
      <w:pPr>
        <w:pStyle w:val="ListBullet"/>
      </w:pPr>
      <w:r>
        <w:rPr>
          <w:noProof/>
        </w:rPr>
        <w:t>The average annual increase in real household disposable income was 2.8 per cent between 2002 and 2011, compared to 1.0 per cent in the preceding decade (Gregory and Sheehan 2011).</w:t>
      </w:r>
    </w:p>
    <w:p w14:paraId="56368AA6" w14:textId="77777777" w:rsidR="00175FCA" w:rsidRPr="00BB48EB" w:rsidRDefault="00175FCA" w:rsidP="00175FCA">
      <w:pPr>
        <w:pStyle w:val="BodyText"/>
      </w:pPr>
      <w:r w:rsidRPr="00BB48EB">
        <w:t xml:space="preserve">The higher incomes </w:t>
      </w:r>
      <w:r>
        <w:t>accruing to most Australians</w:t>
      </w:r>
      <w:r w:rsidRPr="00BB48EB">
        <w:t xml:space="preserve"> have been spread widely:</w:t>
      </w:r>
    </w:p>
    <w:p w14:paraId="0571E058" w14:textId="77777777" w:rsidR="00175FCA" w:rsidRDefault="00175FCA" w:rsidP="00175FCA">
      <w:pPr>
        <w:pStyle w:val="ListBullet"/>
      </w:pPr>
      <w:r>
        <w:t>Between</w:t>
      </w:r>
      <w:r w:rsidRPr="00BB48EB">
        <w:t xml:space="preserve"> 2003-04 </w:t>
      </w:r>
      <w:r>
        <w:t>and</w:t>
      </w:r>
      <w:r w:rsidRPr="00BB48EB">
        <w:t xml:space="preserve"> 2009-10, household</w:t>
      </w:r>
      <w:r>
        <w:t>s in all</w:t>
      </w:r>
      <w:r w:rsidRPr="00BB48EB">
        <w:t xml:space="preserve"> income quintiles experienced income gains</w:t>
      </w:r>
      <w:r>
        <w:t>,</w:t>
      </w:r>
      <w:r w:rsidRPr="00BB48EB">
        <w:t xml:space="preserve"> after living cost changes</w:t>
      </w:r>
      <w:r>
        <w:t xml:space="preserve"> </w:t>
      </w:r>
      <w:r w:rsidRPr="00BB48EB">
        <w:t>(AMP</w:t>
      </w:r>
      <w:r>
        <w:t xml:space="preserve"> and </w:t>
      </w:r>
      <w:proofErr w:type="spellStart"/>
      <w:r w:rsidRPr="00BB48EB">
        <w:t>NATSEM</w:t>
      </w:r>
      <w:proofErr w:type="spellEnd"/>
      <w:r w:rsidRPr="00BB48EB">
        <w:t xml:space="preserve"> 2012).</w:t>
      </w:r>
    </w:p>
    <w:p w14:paraId="7CB841DE" w14:textId="77777777" w:rsidR="00175FCA" w:rsidRDefault="00175FCA" w:rsidP="00175FCA">
      <w:pPr>
        <w:pStyle w:val="ListBullet"/>
      </w:pPr>
      <w:r w:rsidRPr="00BB48EB">
        <w:rPr>
          <w:noProof/>
        </w:rPr>
        <w:t>A survey of low-</w:t>
      </w:r>
      <w:r>
        <w:rPr>
          <w:noProof/>
        </w:rPr>
        <w:t>socioeconomic status</w:t>
      </w:r>
      <w:r w:rsidRPr="00BB48EB">
        <w:rPr>
          <w:noProof/>
        </w:rPr>
        <w:t xml:space="preserve"> people between 2007 and 2010 found that they had experienced ‘a general (if modest) </w:t>
      </w:r>
      <w:r>
        <w:rPr>
          <w:noProof/>
        </w:rPr>
        <w:t>improvement</w:t>
      </w:r>
      <w:r w:rsidRPr="00BB48EB">
        <w:rPr>
          <w:noProof/>
        </w:rPr>
        <w:t xml:space="preserve"> in living standards’ (Saunders</w:t>
      </w:r>
      <w:r>
        <w:rPr>
          <w:noProof/>
        </w:rPr>
        <w:t xml:space="preserve"> and Wong</w:t>
      </w:r>
      <w:r w:rsidRPr="00BB48EB">
        <w:rPr>
          <w:noProof/>
        </w:rPr>
        <w:t xml:space="preserve"> 201</w:t>
      </w:r>
      <w:r>
        <w:rPr>
          <w:noProof/>
        </w:rPr>
        <w:t>1</w:t>
      </w:r>
      <w:r w:rsidRPr="00BB48EB">
        <w:rPr>
          <w:noProof/>
        </w:rPr>
        <w:t>).</w:t>
      </w:r>
    </w:p>
    <w:p w14:paraId="43C3E0CD" w14:textId="77777777" w:rsidR="00175FCA" w:rsidRPr="00BB48EB" w:rsidRDefault="00175FCA" w:rsidP="00175FCA">
      <w:pPr>
        <w:pStyle w:val="BodyText"/>
      </w:pPr>
      <w:r>
        <w:t>That said</w:t>
      </w:r>
      <w:r w:rsidRPr="00BB48EB">
        <w:t xml:space="preserve">, the </w:t>
      </w:r>
      <w:r>
        <w:t xml:space="preserve">disposable </w:t>
      </w:r>
      <w:r w:rsidRPr="00BB48EB">
        <w:t>incomes of higher-earning households have grown more rapidly, on average, than those of household</w:t>
      </w:r>
      <w:r>
        <w:t>s</w:t>
      </w:r>
      <w:r w:rsidRPr="00BB48EB">
        <w:t xml:space="preserve"> at the </w:t>
      </w:r>
      <w:r>
        <w:t xml:space="preserve">lower </w:t>
      </w:r>
      <w:r w:rsidRPr="00BB48EB">
        <w:t>end of the distribution</w:t>
      </w:r>
      <w:r>
        <w:t xml:space="preserve"> (although this trend pre-dates the mining boom)</w:t>
      </w:r>
      <w:r w:rsidRPr="00BB48EB">
        <w:t xml:space="preserve"> (</w:t>
      </w:r>
      <w:r>
        <w:t>OECD 2011a</w:t>
      </w:r>
      <w:r w:rsidRPr="00BB48EB">
        <w:t>).</w:t>
      </w:r>
    </w:p>
    <w:p w14:paraId="49803322" w14:textId="77777777" w:rsidR="00175FCA" w:rsidRDefault="00175FCA" w:rsidP="00175FCA">
      <w:pPr>
        <w:pStyle w:val="ListBullet"/>
        <w:numPr>
          <w:ilvl w:val="0"/>
          <w:numId w:val="0"/>
        </w:numPr>
        <w:ind w:left="340" w:hanging="340"/>
      </w:pPr>
    </w:p>
    <w:p w14:paraId="61EC6DA5" w14:textId="77777777" w:rsidR="001A0682" w:rsidRDefault="001A0682">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0682" w14:paraId="504D28D7" w14:textId="77777777">
        <w:tc>
          <w:tcPr>
            <w:tcW w:w="8771" w:type="dxa"/>
            <w:tcBorders>
              <w:top w:val="single" w:sz="6" w:space="0" w:color="auto"/>
              <w:bottom w:val="nil"/>
            </w:tcBorders>
          </w:tcPr>
          <w:p w14:paraId="46373DDD" w14:textId="2AA012C7" w:rsidR="001A0682" w:rsidRDefault="008830F5" w:rsidP="000B5C82">
            <w:pPr>
              <w:pStyle w:val="BoxTitle"/>
            </w:pPr>
            <w:r>
              <w:rPr>
                <w:b w:val="0"/>
              </w:rPr>
              <w:t>Box 1.</w:t>
            </w:r>
            <w:r w:rsidR="00027B48">
              <w:rPr>
                <w:b w:val="0"/>
                <w:noProof/>
              </w:rPr>
              <w:t>5</w:t>
            </w:r>
            <w:r w:rsidR="001A0682">
              <w:tab/>
            </w:r>
            <w:r w:rsidR="00FD67B2">
              <w:t>M</w:t>
            </w:r>
            <w:r w:rsidR="001A0682">
              <w:t xml:space="preserve">ining income </w:t>
            </w:r>
            <w:r w:rsidR="000B5C82">
              <w:t xml:space="preserve">benefits </w:t>
            </w:r>
            <w:r w:rsidR="001A0682">
              <w:t>to Australians</w:t>
            </w:r>
          </w:p>
        </w:tc>
      </w:tr>
      <w:tr w:rsidR="001A0682" w14:paraId="34000EBA" w14:textId="77777777">
        <w:trPr>
          <w:cantSplit/>
        </w:trPr>
        <w:tc>
          <w:tcPr>
            <w:tcW w:w="8771" w:type="dxa"/>
            <w:tcBorders>
              <w:top w:val="nil"/>
              <w:left w:val="single" w:sz="6" w:space="0" w:color="auto"/>
              <w:bottom w:val="nil"/>
              <w:right w:val="single" w:sz="6" w:space="0" w:color="auto"/>
            </w:tcBorders>
          </w:tcPr>
          <w:p w14:paraId="3B24ACFA" w14:textId="34A21E9B" w:rsidR="001A0682" w:rsidRDefault="001A0682" w:rsidP="001A0682">
            <w:pPr>
              <w:pStyle w:val="Box"/>
            </w:pPr>
            <w:r>
              <w:t>Conno</w:t>
            </w:r>
            <w:r w:rsidR="001262F0">
              <w:t xml:space="preserve">lly and </w:t>
            </w:r>
            <w:proofErr w:type="spellStart"/>
            <w:r w:rsidR="001262F0">
              <w:t>Orsmond</w:t>
            </w:r>
            <w:proofErr w:type="spellEnd"/>
            <w:r w:rsidR="001262F0">
              <w:t xml:space="preserve"> (2011) </w:t>
            </w:r>
            <w:r w:rsidR="00B01928">
              <w:t xml:space="preserve">suggest </w:t>
            </w:r>
            <w:r>
              <w:t xml:space="preserve">that </w:t>
            </w:r>
            <w:r w:rsidR="00B01928">
              <w:t>‘a little over half’</w:t>
            </w:r>
            <w:r>
              <w:t xml:space="preserve"> of mining industry </w:t>
            </w:r>
            <w:r w:rsidR="003C03A6">
              <w:t>revenue</w:t>
            </w:r>
            <w:r>
              <w:t xml:space="preserve"> — equivalent to around </w:t>
            </w:r>
            <w:r w:rsidR="006C3D41">
              <w:t>$</w:t>
            </w:r>
            <w:r w:rsidR="00C405A4">
              <w:t>98 billion</w:t>
            </w:r>
            <w:r w:rsidR="003C03A6">
              <w:t xml:space="preserve"> in 2010-11 — </w:t>
            </w:r>
            <w:r>
              <w:t xml:space="preserve">accrues </w:t>
            </w:r>
            <w:r w:rsidR="006C3D41" w:rsidRPr="00FC3656">
              <w:rPr>
                <w:i/>
              </w:rPr>
              <w:t>directly</w:t>
            </w:r>
            <w:r w:rsidR="006C3D41">
              <w:t xml:space="preserve"> </w:t>
            </w:r>
            <w:r>
              <w:t>to Australian residents, as the sum of:</w:t>
            </w:r>
          </w:p>
          <w:p w14:paraId="090CC9BE" w14:textId="0F261DB7" w:rsidR="001A0682" w:rsidRDefault="001A0682" w:rsidP="001A0682">
            <w:pPr>
              <w:pStyle w:val="BoxListBullet"/>
            </w:pPr>
            <w:r>
              <w:t>direct labour costs (</w:t>
            </w:r>
            <w:r w:rsidR="00B01928">
              <w:t xml:space="preserve">around </w:t>
            </w:r>
            <w:r>
              <w:t xml:space="preserve">10 per cent of total mining </w:t>
            </w:r>
            <w:r w:rsidR="003C03A6">
              <w:t>revenue</w:t>
            </w:r>
            <w:r>
              <w:t>)</w:t>
            </w:r>
          </w:p>
          <w:p w14:paraId="4AA4261C" w14:textId="11BFA3FF" w:rsidR="001A0682" w:rsidRDefault="001A0682" w:rsidP="001A0682">
            <w:pPr>
              <w:pStyle w:val="BoxListBullet"/>
            </w:pPr>
            <w:r>
              <w:t>payments to domestically sourced inputs (</w:t>
            </w:r>
            <w:r w:rsidR="00B01928">
              <w:t xml:space="preserve">around </w:t>
            </w:r>
            <w:r>
              <w:t>25 per cent)</w:t>
            </w:r>
          </w:p>
          <w:p w14:paraId="1656E0D5" w14:textId="33E44743" w:rsidR="001A0682" w:rsidRDefault="001A0682" w:rsidP="001A0682">
            <w:pPr>
              <w:pStyle w:val="BoxListBullet"/>
            </w:pPr>
            <w:r>
              <w:t>taxes and royalties (</w:t>
            </w:r>
            <w:r w:rsidR="00B01928">
              <w:t xml:space="preserve">nearly </w:t>
            </w:r>
            <w:r>
              <w:t>15 per cent)</w:t>
            </w:r>
          </w:p>
          <w:p w14:paraId="1DFC0AFF" w14:textId="76BF6DDA" w:rsidR="001A0682" w:rsidRDefault="001A0682" w:rsidP="001A0682">
            <w:pPr>
              <w:pStyle w:val="BoxListBullet"/>
            </w:pPr>
            <w:r>
              <w:t>after-tax profits paid to Australian resident owners of mining equities (</w:t>
            </w:r>
            <w:r w:rsidR="00B01928">
              <w:t xml:space="preserve">between </w:t>
            </w:r>
            <w:r>
              <w:t xml:space="preserve">5 </w:t>
            </w:r>
            <w:r w:rsidR="00B01928">
              <w:t xml:space="preserve">and 10 </w:t>
            </w:r>
            <w:r>
              <w:t>per cent).</w:t>
            </w:r>
          </w:p>
          <w:p w14:paraId="693E9447" w14:textId="6C84D76B" w:rsidR="001A0682" w:rsidRDefault="001262F0">
            <w:pPr>
              <w:pStyle w:val="Box"/>
            </w:pPr>
            <w:r>
              <w:t xml:space="preserve">These authors also </w:t>
            </w:r>
            <w:r w:rsidR="00813797">
              <w:t>venture</w:t>
            </w:r>
            <w:r w:rsidR="003C03A6">
              <w:t xml:space="preserve"> that half of the total cost of mining investment </w:t>
            </w:r>
            <w:r>
              <w:t>is</w:t>
            </w:r>
            <w:r w:rsidR="003C03A6">
              <w:t xml:space="preserve"> spent acquiring domestically supplied labour and other inputs, </w:t>
            </w:r>
            <w:r w:rsidR="00EC2747">
              <w:t xml:space="preserve">further </w:t>
            </w:r>
            <w:r w:rsidR="00CA0228">
              <w:t>adding to the incomes of Australian residents</w:t>
            </w:r>
            <w:r w:rsidR="003C03A6">
              <w:t>.</w:t>
            </w:r>
          </w:p>
          <w:p w14:paraId="22103225" w14:textId="40E17AF4" w:rsidR="00CF5ED2" w:rsidRDefault="00681D06">
            <w:pPr>
              <w:pStyle w:val="Box"/>
            </w:pPr>
            <w:r>
              <w:t>As averages, t</w:t>
            </w:r>
            <w:r w:rsidR="00CF5ED2">
              <w:t>he</w:t>
            </w:r>
            <w:r w:rsidR="000B5C82">
              <w:t>se</w:t>
            </w:r>
            <w:r w:rsidR="00CF5ED2">
              <w:t xml:space="preserve"> estimates inevitably </w:t>
            </w:r>
            <w:r>
              <w:t>obscure the diversity of mining projects</w:t>
            </w:r>
            <w:r w:rsidR="00362ACB">
              <w:t xml:space="preserve">. The local content of </w:t>
            </w:r>
            <w:r>
              <w:t>mining</w:t>
            </w:r>
            <w:r w:rsidR="00362ACB">
              <w:t xml:space="preserve"> expenditure can vary significantly, d</w:t>
            </w:r>
            <w:r w:rsidR="00CF5ED2">
              <w:t xml:space="preserve">epending on the mineral being </w:t>
            </w:r>
            <w:r w:rsidR="00362ACB">
              <w:t>mined</w:t>
            </w:r>
            <w:r w:rsidR="00CF5ED2">
              <w:t xml:space="preserve">, and the stage </w:t>
            </w:r>
            <w:r>
              <w:t>a</w:t>
            </w:r>
            <w:r w:rsidR="00CF5ED2">
              <w:t xml:space="preserve"> project has reached. </w:t>
            </w:r>
            <w:r w:rsidR="00CB0566">
              <w:t xml:space="preserve">For example, some </w:t>
            </w:r>
            <w:r w:rsidR="00CF5ED2">
              <w:t xml:space="preserve">Liquefied Natural Gas projects under construction are </w:t>
            </w:r>
            <w:r w:rsidR="00BF6C7F">
              <w:t>thought</w:t>
            </w:r>
            <w:r w:rsidR="0051101B">
              <w:t xml:space="preserve"> to have </w:t>
            </w:r>
            <w:r w:rsidR="00CF5ED2">
              <w:t>minimal domestic impact</w:t>
            </w:r>
            <w:r w:rsidR="0051101B">
              <w:t xml:space="preserve">, </w:t>
            </w:r>
            <w:r w:rsidR="00BF6C7F">
              <w:t>aside from the tax take</w:t>
            </w:r>
            <w:r w:rsidR="00CF5ED2">
              <w:t>.</w:t>
            </w:r>
          </w:p>
          <w:p w14:paraId="20CB581D" w14:textId="5023603C" w:rsidR="006C3D41" w:rsidRDefault="008D75DD" w:rsidP="008D75DD">
            <w:pPr>
              <w:pStyle w:val="Box"/>
            </w:pPr>
            <w:r>
              <w:t>The above</w:t>
            </w:r>
            <w:r w:rsidR="00CF5ED2">
              <w:t xml:space="preserve"> estimates </w:t>
            </w:r>
            <w:r w:rsidR="006C3D41">
              <w:t xml:space="preserve">reflect </w:t>
            </w:r>
            <w:r w:rsidR="007B3757">
              <w:t xml:space="preserve">only </w:t>
            </w:r>
            <w:r w:rsidR="006C3D41" w:rsidRPr="00CF5ED2">
              <w:rPr>
                <w:i/>
              </w:rPr>
              <w:t>direct</w:t>
            </w:r>
            <w:r w:rsidR="006C3D41">
              <w:t xml:space="preserve"> payments</w:t>
            </w:r>
            <w:r w:rsidR="005C6149">
              <w:t xml:space="preserve"> made</w:t>
            </w:r>
            <w:r w:rsidR="006C3D41">
              <w:t xml:space="preserve"> by mining companies</w:t>
            </w:r>
            <w:r w:rsidR="00FC3656">
              <w:t xml:space="preserve"> to Australian residents</w:t>
            </w:r>
            <w:r w:rsidR="006C3D41">
              <w:t xml:space="preserve">. These payments will </w:t>
            </w:r>
            <w:r w:rsidR="00C77044">
              <w:t>produce</w:t>
            </w:r>
            <w:r w:rsidR="006C3D41">
              <w:t xml:space="preserve"> indirect and flow-on effects, </w:t>
            </w:r>
            <w:r w:rsidR="007B3757">
              <w:t xml:space="preserve">further </w:t>
            </w:r>
            <w:r w:rsidR="006C3D41">
              <w:t>adding to the income of Australians.</w:t>
            </w:r>
            <w:r w:rsidR="00DB18CD">
              <w:t xml:space="preserve"> To the Commission’s knowledge, n</w:t>
            </w:r>
            <w:r w:rsidR="006C3D41">
              <w:t xml:space="preserve">o rigorous estimate exists of the Australia-wide </w:t>
            </w:r>
            <w:r w:rsidR="00DB18CD">
              <w:t>magnitude</w:t>
            </w:r>
            <w:r w:rsidR="006C3D41">
              <w:t xml:space="preserve"> of this </w:t>
            </w:r>
            <w:r w:rsidR="001262F0">
              <w:t>indirect</w:t>
            </w:r>
            <w:r w:rsidR="006C3D41">
              <w:t xml:space="preserve"> income. Ro</w:t>
            </w:r>
            <w:r w:rsidR="005C6149">
              <w:t>lfe et al. (2011) estimated</w:t>
            </w:r>
            <w:r w:rsidR="007B3757">
              <w:t xml:space="preserve"> that</w:t>
            </w:r>
            <w:r w:rsidR="005C6149">
              <w:t xml:space="preserve"> </w:t>
            </w:r>
            <w:r w:rsidR="00C77044">
              <w:t>the</w:t>
            </w:r>
            <w:r w:rsidR="00EA57A9">
              <w:t xml:space="preserve"> upper-bound</w:t>
            </w:r>
            <w:r w:rsidR="00C77044">
              <w:t xml:space="preserve"> </w:t>
            </w:r>
            <w:r w:rsidR="005C6149">
              <w:t xml:space="preserve">indirect and induced </w:t>
            </w:r>
            <w:r w:rsidR="004972DE">
              <w:t xml:space="preserve">value added </w:t>
            </w:r>
            <w:r w:rsidR="005C6149">
              <w:t xml:space="preserve">effects of the </w:t>
            </w:r>
            <w:r w:rsidR="00F568B5">
              <w:t xml:space="preserve">Queensland </w:t>
            </w:r>
            <w:r w:rsidR="005C6149">
              <w:t>resources sector</w:t>
            </w:r>
            <w:r w:rsidR="00EA57A9">
              <w:t>’s operation and investment</w:t>
            </w:r>
            <w:r w:rsidR="005C6149">
              <w:t xml:space="preserve"> </w:t>
            </w:r>
            <w:r w:rsidR="007B3757">
              <w:t>were</w:t>
            </w:r>
            <w:r w:rsidR="005C6149">
              <w:t xml:space="preserve"> 25 per cent larger than </w:t>
            </w:r>
            <w:r w:rsidR="006E47CA">
              <w:t>its</w:t>
            </w:r>
            <w:r w:rsidR="005C6149">
              <w:t xml:space="preserve"> direct </w:t>
            </w:r>
            <w:r w:rsidR="00D743AC">
              <w:t>income</w:t>
            </w:r>
            <w:r w:rsidR="005C6149">
              <w:t xml:space="preserve"> effect</w:t>
            </w:r>
            <w:r w:rsidR="006E47CA">
              <w:t>s</w:t>
            </w:r>
            <w:r w:rsidR="005C6149">
              <w:t>.</w:t>
            </w:r>
            <w:r w:rsidR="00F45445">
              <w:t xml:space="preserve"> However, this ratio is unlikely to hold at a national level</w:t>
            </w:r>
            <w:r w:rsidR="001016B6">
              <w:t xml:space="preserve">, where </w:t>
            </w:r>
            <w:r w:rsidR="00F80ADC">
              <w:t>overall</w:t>
            </w:r>
            <w:r w:rsidR="001016B6">
              <w:t xml:space="preserve"> resources are limited</w:t>
            </w:r>
            <w:r w:rsidR="00F80ADC">
              <w:t xml:space="preserve"> and one industry’s expansion usually results in another’s contraction</w:t>
            </w:r>
            <w:r w:rsidR="00F45445">
              <w:t>.</w:t>
            </w:r>
          </w:p>
        </w:tc>
      </w:tr>
      <w:tr w:rsidR="001A0682" w14:paraId="53601098" w14:textId="77777777">
        <w:trPr>
          <w:cantSplit/>
        </w:trPr>
        <w:tc>
          <w:tcPr>
            <w:tcW w:w="8771" w:type="dxa"/>
            <w:tcBorders>
              <w:top w:val="nil"/>
              <w:left w:val="single" w:sz="6" w:space="0" w:color="auto"/>
              <w:bottom w:val="nil"/>
              <w:right w:val="single" w:sz="6" w:space="0" w:color="auto"/>
            </w:tcBorders>
          </w:tcPr>
          <w:p w14:paraId="0141C646" w14:textId="7CC0268D" w:rsidR="001A0682" w:rsidRDefault="00DB18CD" w:rsidP="001A0682">
            <w:pPr>
              <w:pStyle w:val="BoxSource"/>
            </w:pPr>
            <w:r>
              <w:rPr>
                <w:i/>
              </w:rPr>
              <w:t>Sources</w:t>
            </w:r>
            <w:r w:rsidR="001A0682" w:rsidRPr="00167F06">
              <w:t xml:space="preserve">: </w:t>
            </w:r>
            <w:r w:rsidR="001A0682">
              <w:t xml:space="preserve">Connolly and </w:t>
            </w:r>
            <w:proofErr w:type="spellStart"/>
            <w:r w:rsidR="001A0682">
              <w:t>Orsmond</w:t>
            </w:r>
            <w:proofErr w:type="spellEnd"/>
            <w:r w:rsidR="001A0682">
              <w:t xml:space="preserve"> (2011)</w:t>
            </w:r>
            <w:r w:rsidR="005C6149">
              <w:t>; Rolfe et al. (2011)</w:t>
            </w:r>
            <w:r w:rsidR="00CF5ED2">
              <w:t>; Sheehan and Gregory (2012).</w:t>
            </w:r>
          </w:p>
        </w:tc>
      </w:tr>
      <w:tr w:rsidR="001A0682" w14:paraId="13AD2361" w14:textId="77777777">
        <w:trPr>
          <w:cantSplit/>
        </w:trPr>
        <w:tc>
          <w:tcPr>
            <w:tcW w:w="8771" w:type="dxa"/>
            <w:tcBorders>
              <w:top w:val="nil"/>
              <w:left w:val="single" w:sz="6" w:space="0" w:color="auto"/>
              <w:bottom w:val="single" w:sz="6" w:space="0" w:color="auto"/>
              <w:right w:val="single" w:sz="6" w:space="0" w:color="auto"/>
            </w:tcBorders>
          </w:tcPr>
          <w:p w14:paraId="276974A8" w14:textId="77777777" w:rsidR="001A0682" w:rsidRDefault="001A0682">
            <w:pPr>
              <w:pStyle w:val="Box"/>
              <w:spacing w:before="0" w:line="120" w:lineRule="exact"/>
            </w:pPr>
          </w:p>
        </w:tc>
      </w:tr>
      <w:tr w:rsidR="001A0682" w14:paraId="65517BE5" w14:textId="77777777">
        <w:tc>
          <w:tcPr>
            <w:tcW w:w="8771" w:type="dxa"/>
            <w:tcBorders>
              <w:top w:val="nil"/>
              <w:left w:val="nil"/>
              <w:bottom w:val="nil"/>
              <w:right w:val="nil"/>
            </w:tcBorders>
          </w:tcPr>
          <w:p w14:paraId="74330B9D" w14:textId="77777777" w:rsidR="001A0682" w:rsidRDefault="001A0682">
            <w:pPr>
              <w:pStyle w:val="Box"/>
              <w:keepNext w:val="0"/>
              <w:spacing w:before="60" w:after="60" w:line="80" w:lineRule="exact"/>
              <w:rPr>
                <w:b/>
                <w:color w:val="FF00FF"/>
                <w:sz w:val="14"/>
              </w:rPr>
            </w:pPr>
          </w:p>
        </w:tc>
      </w:tr>
    </w:tbl>
    <w:p w14:paraId="339DBFC9" w14:textId="7F50181A" w:rsidR="008F6ADE" w:rsidRDefault="000752F7" w:rsidP="008F6ADE">
      <w:pPr>
        <w:pStyle w:val="BodyText"/>
      </w:pPr>
      <w:r>
        <w:t xml:space="preserve">The </w:t>
      </w:r>
      <w:r w:rsidR="008F6ADE">
        <w:t xml:space="preserve">additional income </w:t>
      </w:r>
      <w:r>
        <w:t xml:space="preserve">accruing to households </w:t>
      </w:r>
      <w:r w:rsidR="008F6ADE">
        <w:t xml:space="preserve">has had positive consequences for </w:t>
      </w:r>
      <w:r w:rsidR="003D0FE8">
        <w:t xml:space="preserve">the range of goods and services that </w:t>
      </w:r>
      <w:r>
        <w:t xml:space="preserve">they </w:t>
      </w:r>
      <w:r w:rsidR="00785E59">
        <w:t>are able to</w:t>
      </w:r>
      <w:r w:rsidR="003D0FE8">
        <w:t xml:space="preserve"> </w:t>
      </w:r>
      <w:r w:rsidR="00144FDD">
        <w:t xml:space="preserve">consume. Based on ABS Household Expenditure Survey data, AMP and </w:t>
      </w:r>
      <w:proofErr w:type="spellStart"/>
      <w:r w:rsidR="00144FDD">
        <w:t>NATSEM</w:t>
      </w:r>
      <w:proofErr w:type="spellEnd"/>
      <w:r w:rsidR="00144FDD">
        <w:t xml:space="preserve"> (2012) estimate that</w:t>
      </w:r>
      <w:r w:rsidR="003F70A4">
        <w:t>, between 2003 and 2009</w:t>
      </w:r>
      <w:r w:rsidR="00144FDD">
        <w:t>:</w:t>
      </w:r>
    </w:p>
    <w:p w14:paraId="45D3460E" w14:textId="608251F1" w:rsidR="008F6ADE" w:rsidRDefault="00144FDD" w:rsidP="008F6ADE">
      <w:pPr>
        <w:pStyle w:val="ListBullet"/>
      </w:pPr>
      <w:r>
        <w:t xml:space="preserve">the </w:t>
      </w:r>
      <w:r w:rsidR="008F6ADE">
        <w:t xml:space="preserve">proportion of discretionary expenditure </w:t>
      </w:r>
      <w:r w:rsidR="00ED0723">
        <w:t xml:space="preserve">— including restaurant meals and household services — </w:t>
      </w:r>
      <w:r w:rsidR="008F6ADE">
        <w:t xml:space="preserve">in the total expenditure of </w:t>
      </w:r>
      <w:r w:rsidR="00B01928">
        <w:t>‘</w:t>
      </w:r>
      <w:r w:rsidR="008F6ADE">
        <w:t>working families</w:t>
      </w:r>
      <w:r w:rsidR="00B01928">
        <w:t>’ (</w:t>
      </w:r>
      <w:r w:rsidR="007046A0">
        <w:t xml:space="preserve">those </w:t>
      </w:r>
      <w:r w:rsidR="004972DE">
        <w:t>with a mortgage and children, and where at least one of the parents works full-time)</w:t>
      </w:r>
      <w:r w:rsidR="008F6ADE">
        <w:t xml:space="preserve"> increased from 40 per cent to 41</w:t>
      </w:r>
      <w:r w:rsidR="00ED0723">
        <w:t>.2</w:t>
      </w:r>
      <w:r w:rsidR="008F6ADE">
        <w:t xml:space="preserve"> per cent</w:t>
      </w:r>
    </w:p>
    <w:p w14:paraId="55335E3A" w14:textId="3C3E93BE" w:rsidR="008F6ADE" w:rsidRDefault="008F6ADE" w:rsidP="008F6ADE">
      <w:pPr>
        <w:pStyle w:val="ListBullet"/>
      </w:pPr>
      <w:r>
        <w:t>discretionary spending by households in the lowest income quintile increased from 3</w:t>
      </w:r>
      <w:r w:rsidR="00ED0723">
        <w:t>1.9</w:t>
      </w:r>
      <w:r>
        <w:t xml:space="preserve"> per cent to 33.5 per cent of their total expenditure.</w:t>
      </w:r>
    </w:p>
    <w:p w14:paraId="06CCA0BB" w14:textId="59377ECD" w:rsidR="003F70A4" w:rsidRDefault="003F70A4" w:rsidP="000B5C82">
      <w:pPr>
        <w:pStyle w:val="BodyText"/>
      </w:pPr>
      <w:r>
        <w:lastRenderedPageBreak/>
        <w:t xml:space="preserve">A factor </w:t>
      </w:r>
      <w:r w:rsidR="00F60155">
        <w:t xml:space="preserve">likely to have </w:t>
      </w:r>
      <w:r>
        <w:t>contribut</w:t>
      </w:r>
      <w:r w:rsidR="00F60155">
        <w:t>ed</w:t>
      </w:r>
      <w:r>
        <w:t xml:space="preserve"> to the increased </w:t>
      </w:r>
      <w:r w:rsidR="00F60155">
        <w:t>expenditure</w:t>
      </w:r>
      <w:r>
        <w:t xml:space="preserve"> on discretionary items is the fall in the price of </w:t>
      </w:r>
      <w:r w:rsidR="00F60155">
        <w:t>many</w:t>
      </w:r>
      <w:r w:rsidR="000752F7">
        <w:t xml:space="preserve"> basic </w:t>
      </w:r>
      <w:r w:rsidR="000B5C82">
        <w:t>consumer items</w:t>
      </w:r>
      <w:r>
        <w:t xml:space="preserve">. </w:t>
      </w:r>
      <w:r w:rsidR="00F82B1F">
        <w:t>For example, o</w:t>
      </w:r>
      <w:r>
        <w:t xml:space="preserve">ver </w:t>
      </w:r>
      <w:r w:rsidR="00F43624">
        <w:t>the 2003–09</w:t>
      </w:r>
      <w:r w:rsidR="008D75DD">
        <w:t xml:space="preserve"> </w:t>
      </w:r>
      <w:r>
        <w:t>period</w:t>
      </w:r>
      <w:r w:rsidR="00872CE8">
        <w:t xml:space="preserve">, the </w:t>
      </w:r>
      <w:r w:rsidR="0065259E">
        <w:t xml:space="preserve">average </w:t>
      </w:r>
      <w:r w:rsidR="00872CE8">
        <w:t>price of</w:t>
      </w:r>
      <w:r w:rsidR="000B5C82">
        <w:t xml:space="preserve"> </w:t>
      </w:r>
      <w:r w:rsidR="000752F7">
        <w:t xml:space="preserve">clothing and footwear fell by </w:t>
      </w:r>
      <w:r w:rsidR="004972DE">
        <w:t xml:space="preserve">almost four </w:t>
      </w:r>
      <w:r w:rsidR="000752F7">
        <w:t>per cent</w:t>
      </w:r>
      <w:r w:rsidR="000031CA">
        <w:t xml:space="preserve">, </w:t>
      </w:r>
      <w:r w:rsidR="000B5C82">
        <w:t xml:space="preserve">and that of </w:t>
      </w:r>
      <w:r>
        <w:t xml:space="preserve">audio, visual and computing equipment by </w:t>
      </w:r>
      <w:r w:rsidR="00872CE8">
        <w:t>75 per cent</w:t>
      </w:r>
      <w:r w:rsidR="00F127DB">
        <w:t xml:space="preserve"> (ABS 2012</w:t>
      </w:r>
      <w:r w:rsidR="004311A8">
        <w:t>d</w:t>
      </w:r>
      <w:r w:rsidR="00F127DB">
        <w:t>)</w:t>
      </w:r>
      <w:r w:rsidR="00F82B1F">
        <w:t>.</w:t>
      </w:r>
    </w:p>
    <w:p w14:paraId="19A6BBE5" w14:textId="351F21A4" w:rsidR="00307910" w:rsidRDefault="002F5052" w:rsidP="00AA64A8">
      <w:pPr>
        <w:pStyle w:val="BodyText"/>
      </w:pPr>
      <w:r>
        <w:t xml:space="preserve">At an aggregate level, </w:t>
      </w:r>
      <w:r w:rsidR="0058673D">
        <w:t xml:space="preserve">therefore, income, expenditure and </w:t>
      </w:r>
      <w:r>
        <w:t>labour market outcomes</w:t>
      </w:r>
      <w:r w:rsidR="00667AB6">
        <w:t xml:space="preserve"> </w:t>
      </w:r>
      <w:r>
        <w:t xml:space="preserve">have been </w:t>
      </w:r>
      <w:r w:rsidR="00930FBE">
        <w:t>robust</w:t>
      </w:r>
      <w:r>
        <w:t xml:space="preserve"> by historical standards, including across regions.</w:t>
      </w:r>
      <w:r w:rsidR="00AA64A8">
        <w:t xml:space="preserve"> </w:t>
      </w:r>
      <w:r>
        <w:t xml:space="preserve">This is not to suggest that there has not been dislocation </w:t>
      </w:r>
      <w:r w:rsidR="00307910">
        <w:t>or adverse outcomes for</w:t>
      </w:r>
      <w:r>
        <w:t xml:space="preserve"> </w:t>
      </w:r>
      <w:r w:rsidR="0065259E">
        <w:t xml:space="preserve">certain </w:t>
      </w:r>
      <w:r>
        <w:t>individuals and households, as in the past</w:t>
      </w:r>
      <w:r w:rsidR="00EB5100">
        <w:t xml:space="preserve"> (PC</w:t>
      </w:r>
      <w:r w:rsidR="00ED220F">
        <w:t xml:space="preserve"> 2012c</w:t>
      </w:r>
      <w:r w:rsidR="00EB5100">
        <w:t>)</w:t>
      </w:r>
      <w:r>
        <w:t>.</w:t>
      </w:r>
      <w:r w:rsidR="00AA64A8">
        <w:t xml:space="preserve"> </w:t>
      </w:r>
      <w:r w:rsidR="003D734F">
        <w:t>Nor does it rule out</w:t>
      </w:r>
      <w:r w:rsidR="00AA64A8">
        <w:t xml:space="preserve"> </w:t>
      </w:r>
      <w:r w:rsidR="00307910">
        <w:t>scope to enhance the benefits, while reducing the costs, of structural change.</w:t>
      </w:r>
    </w:p>
    <w:p w14:paraId="2C8300EE" w14:textId="77777777" w:rsidR="00E63D7B" w:rsidRDefault="00E63D7B" w:rsidP="00217D61">
      <w:pPr>
        <w:pStyle w:val="Heading2"/>
      </w:pPr>
      <w:r>
        <w:t>Enhancing flexibility and adaptability is the key</w:t>
      </w:r>
    </w:p>
    <w:p w14:paraId="58CF53C8" w14:textId="39293A47" w:rsidR="00E63D7B" w:rsidRDefault="00E63D7B" w:rsidP="00B9579E">
      <w:pPr>
        <w:pStyle w:val="BodyText"/>
      </w:pPr>
      <w:r>
        <w:t xml:space="preserve">The structural </w:t>
      </w:r>
      <w:r w:rsidR="00930FBE">
        <w:t>pressures</w:t>
      </w:r>
      <w:r>
        <w:t xml:space="preserve"> associated with the mining boom have </w:t>
      </w:r>
      <w:r w:rsidR="007B3757">
        <w:t xml:space="preserve">created </w:t>
      </w:r>
      <w:r>
        <w:t xml:space="preserve">significant </w:t>
      </w:r>
      <w:r w:rsidR="007B3757">
        <w:t xml:space="preserve">difficulties </w:t>
      </w:r>
      <w:r>
        <w:t xml:space="preserve">for some Australian industries selling on world markets, but </w:t>
      </w:r>
      <w:r w:rsidR="000B5C82">
        <w:t xml:space="preserve">these </w:t>
      </w:r>
      <w:r>
        <w:t xml:space="preserve">have been integral to the benefits that Australians have reaped from our </w:t>
      </w:r>
      <w:r w:rsidR="00F512FF">
        <w:t xml:space="preserve">favourable </w:t>
      </w:r>
      <w:r>
        <w:t xml:space="preserve">terms of trade. A key challenge </w:t>
      </w:r>
      <w:r w:rsidR="00EB7B6C">
        <w:t xml:space="preserve">for future </w:t>
      </w:r>
      <w:r>
        <w:t xml:space="preserve">policy, therefore, is to ensure that the </w:t>
      </w:r>
      <w:r w:rsidR="000B5C82">
        <w:t xml:space="preserve">necessary </w:t>
      </w:r>
      <w:r>
        <w:t>adjustments</w:t>
      </w:r>
      <w:r w:rsidR="009705E1">
        <w:t xml:space="preserve"> </w:t>
      </w:r>
      <w:r>
        <w:t>can proceed as smoothly as possible.</w:t>
      </w:r>
      <w:r w:rsidR="000B5C82">
        <w:t xml:space="preserve"> </w:t>
      </w:r>
      <w:r>
        <w:t xml:space="preserve">Attempting to </w:t>
      </w:r>
      <w:r w:rsidR="007B3757">
        <w:t xml:space="preserve">forestall </w:t>
      </w:r>
      <w:r w:rsidR="000B5C82">
        <w:t xml:space="preserve">structural </w:t>
      </w:r>
      <w:r>
        <w:t>adjustment</w:t>
      </w:r>
      <w:r w:rsidR="000B5C82">
        <w:t xml:space="preserve"> </w:t>
      </w:r>
      <w:r>
        <w:t xml:space="preserve">— whether </w:t>
      </w:r>
      <w:r w:rsidR="000B5C82">
        <w:t>prompted by a</w:t>
      </w:r>
      <w:r>
        <w:t xml:space="preserve"> mining boom or </w:t>
      </w:r>
      <w:r w:rsidR="000B5C82">
        <w:t>forces</w:t>
      </w:r>
      <w:r>
        <w:t xml:space="preserve"> such as demographic change or global competition — is unlikely to succeed, and may simply divert pressures onto other parts of the economy.</w:t>
      </w:r>
    </w:p>
    <w:p w14:paraId="0F5BF29E" w14:textId="29268F98" w:rsidR="00E63D7B" w:rsidRDefault="00E63D7B" w:rsidP="000B5C82">
      <w:pPr>
        <w:pStyle w:val="BodyText"/>
      </w:pPr>
      <w:r>
        <w:t>As the Prime Minister has emphasised, it is important that we make our economy ‘more adaptive, flexible and better able to seize new opportunities’ (Gillard 2012).</w:t>
      </w:r>
      <w:r w:rsidR="000B5C82">
        <w:t xml:space="preserve"> </w:t>
      </w:r>
      <w:r w:rsidR="00093D1C">
        <w:t xml:space="preserve">At the microeconomic level, key areas for </w:t>
      </w:r>
      <w:r w:rsidR="000B5C82">
        <w:t xml:space="preserve">policy </w:t>
      </w:r>
      <w:r w:rsidR="00093D1C">
        <w:t xml:space="preserve">attention </w:t>
      </w:r>
      <w:r>
        <w:t>include any impediments to</w:t>
      </w:r>
      <w:r w:rsidR="00A26063">
        <w:t>:</w:t>
      </w:r>
      <w:r>
        <w:t xml:space="preserve"> productivity-enhancing changes within individual enterprises and organisations</w:t>
      </w:r>
      <w:r w:rsidR="00A26063">
        <w:t xml:space="preserve">; </w:t>
      </w:r>
      <w:r>
        <w:t>the reallocation of capital</w:t>
      </w:r>
      <w:r w:rsidR="00CF3357">
        <w:t xml:space="preserve"> via</w:t>
      </w:r>
      <w:r>
        <w:t xml:space="preserve"> </w:t>
      </w:r>
      <w:r w:rsidR="00930FBE">
        <w:t xml:space="preserve">the creation of </w:t>
      </w:r>
      <w:r>
        <w:t xml:space="preserve">new firms, </w:t>
      </w:r>
      <w:r w:rsidR="00E47130">
        <w:t>expansion of established businesses</w:t>
      </w:r>
      <w:r>
        <w:t xml:space="preserve"> or </w:t>
      </w:r>
      <w:r w:rsidR="00CF3357">
        <w:t>exit of unprofitable firms</w:t>
      </w:r>
      <w:r>
        <w:t xml:space="preserve">; and the mobility of labour across </w:t>
      </w:r>
      <w:r w:rsidR="00930FBE">
        <w:t xml:space="preserve">economic </w:t>
      </w:r>
      <w:r>
        <w:t>activities and regions.</w:t>
      </w:r>
    </w:p>
    <w:p w14:paraId="557760C1" w14:textId="096B938B" w:rsidR="009D108E" w:rsidRDefault="009D108E" w:rsidP="00B9579E">
      <w:pPr>
        <w:pStyle w:val="BodyText"/>
      </w:pPr>
      <w:r>
        <w:t xml:space="preserve">Many </w:t>
      </w:r>
      <w:r w:rsidR="00A26063">
        <w:t>such</w:t>
      </w:r>
      <w:r>
        <w:t xml:space="preserve"> impediments are regulatory in nature. </w:t>
      </w:r>
      <w:r w:rsidR="0096516E">
        <w:t xml:space="preserve">For example, </w:t>
      </w:r>
      <w:r w:rsidR="00A87BF3">
        <w:t xml:space="preserve">the </w:t>
      </w:r>
      <w:r w:rsidR="0096516E">
        <w:t xml:space="preserve">geographic mobility </w:t>
      </w:r>
      <w:r w:rsidR="00853843">
        <w:t xml:space="preserve">of labour </w:t>
      </w:r>
      <w:r w:rsidR="0096516E">
        <w:t xml:space="preserve">is </w:t>
      </w:r>
      <w:r w:rsidR="001A77AC">
        <w:t>hindered</w:t>
      </w:r>
      <w:r w:rsidR="0096516E">
        <w:t xml:space="preserve"> by continuing mismatches in occupational licensing across jurisdictions. </w:t>
      </w:r>
      <w:r>
        <w:t xml:space="preserve">It is important that </w:t>
      </w:r>
      <w:r w:rsidR="0096516E">
        <w:t xml:space="preserve">all </w:t>
      </w:r>
      <w:r w:rsidR="005B2696">
        <w:t xml:space="preserve">regulations </w:t>
      </w:r>
      <w:r>
        <w:t xml:space="preserve">be </w:t>
      </w:r>
      <w:r w:rsidR="005B2696">
        <w:t xml:space="preserve">periodically </w:t>
      </w:r>
      <w:r>
        <w:t xml:space="preserve">tested to ensure that their objectives </w:t>
      </w:r>
      <w:r w:rsidR="00E47130">
        <w:t>remain</w:t>
      </w:r>
      <w:r>
        <w:t xml:space="preserve"> appropriate and that they cannot be achieved more cost-effectively.</w:t>
      </w:r>
    </w:p>
    <w:p w14:paraId="08367ED4" w14:textId="61073328" w:rsidR="009D108E" w:rsidRDefault="009D108E" w:rsidP="00A26063">
      <w:pPr>
        <w:pStyle w:val="BodyText"/>
      </w:pPr>
      <w:r>
        <w:t>Similarly, assistance measures directed at firms</w:t>
      </w:r>
      <w:r w:rsidR="00A26063">
        <w:t xml:space="preserve"> or regions</w:t>
      </w:r>
      <w:r>
        <w:t xml:space="preserve"> in competitive difficulty need to be screened for their effects on the wider economy, including on the ability of expanding industries to attract the skill</w:t>
      </w:r>
      <w:r w:rsidR="0098399A">
        <w:t>ed worker</w:t>
      </w:r>
      <w:r>
        <w:t xml:space="preserve">s and other resources they need. </w:t>
      </w:r>
      <w:r w:rsidR="00A26063">
        <w:t>Adjustment assistance has a role to play but, in most cases, it</w:t>
      </w:r>
      <w:r>
        <w:t xml:space="preserve"> is best directed at </w:t>
      </w:r>
      <w:r>
        <w:lastRenderedPageBreak/>
        <w:t xml:space="preserve">displaced or vulnerable employees — for example, through retraining or relocation allowances — rather than at </w:t>
      </w:r>
      <w:r w:rsidR="007046A0">
        <w:t>their employers</w:t>
      </w:r>
      <w:r>
        <w:t xml:space="preserve">. The experience in Australia and other OECD countries is that </w:t>
      </w:r>
      <w:r w:rsidR="000B613F">
        <w:t>selective</w:t>
      </w:r>
      <w:r>
        <w:t xml:space="preserve"> industry support often inhibits or delays necessary adjustment, and is rarely effective in preserving jobs in the beneficiary firms.</w:t>
      </w:r>
    </w:p>
    <w:p w14:paraId="0994B3D3" w14:textId="6B19407E" w:rsidR="003F2052" w:rsidRPr="005318C3" w:rsidRDefault="00B115A0" w:rsidP="006E4780">
      <w:pPr>
        <w:pStyle w:val="BodyText"/>
      </w:pPr>
      <w:r>
        <w:t>The greater flexibility that has been engendered in the Australian economy through policy reforms has meant that this mining boom has had fewer downsides than those of an earlier era. Regardless of how long the current boom lasts, maintaining — and, where appropriate, extending — this flexibility will be crucial to getting the best out of our economy, for the benefit of the community as a whole.</w:t>
      </w:r>
      <w:r w:rsidR="006E4780" w:rsidRPr="005318C3">
        <w:t xml:space="preserve"> </w:t>
      </w:r>
    </w:p>
    <w:p w14:paraId="72928F67" w14:textId="77777777" w:rsidR="00770AED" w:rsidRPr="005318C3" w:rsidRDefault="00770AED" w:rsidP="0094249A">
      <w:pPr>
        <w:pStyle w:val="Reference"/>
      </w:pPr>
    </w:p>
    <w:sectPr w:rsidR="00770AED" w:rsidRPr="005318C3" w:rsidSect="0089285E">
      <w:headerReference w:type="even" r:id="rId29"/>
      <w:headerReference w:type="default" r:id="rId30"/>
      <w:footerReference w:type="even" r:id="rId31"/>
      <w:footerReference w:type="default" r:id="rId3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99807" w14:textId="77777777" w:rsidR="00E05EA2" w:rsidRDefault="00E05EA2">
      <w:r>
        <w:separator/>
      </w:r>
    </w:p>
  </w:endnote>
  <w:endnote w:type="continuationSeparator" w:id="0">
    <w:p w14:paraId="61AB8DB9" w14:textId="77777777" w:rsidR="00E05EA2" w:rsidRDefault="00E05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05EA2" w14:paraId="20827B19" w14:textId="77777777">
      <w:trPr>
        <w:trHeight w:hRule="exact" w:val="740"/>
      </w:trPr>
      <w:tc>
        <w:tcPr>
          <w:tcW w:w="510" w:type="dxa"/>
          <w:tcBorders>
            <w:top w:val="single" w:sz="6" w:space="0" w:color="auto"/>
          </w:tcBorders>
        </w:tcPr>
        <w:p w14:paraId="206CE393" w14:textId="419AB62E" w:rsidR="00E05EA2" w:rsidRDefault="00E05EA2" w:rsidP="00AF1E60">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81827">
            <w:rPr>
              <w:rStyle w:val="PageNumber"/>
              <w:noProof/>
            </w:rPr>
            <w:t>22</w:t>
          </w:r>
          <w:r>
            <w:rPr>
              <w:rStyle w:val="PageNumber"/>
            </w:rPr>
            <w:fldChar w:fldCharType="end"/>
          </w:r>
        </w:p>
      </w:tc>
      <w:tc>
        <w:tcPr>
          <w:tcW w:w="1644" w:type="dxa"/>
          <w:tcBorders>
            <w:top w:val="single" w:sz="6" w:space="0" w:color="auto"/>
          </w:tcBorders>
        </w:tcPr>
        <w:p w14:paraId="0C63322E" w14:textId="77777777" w:rsidR="00E05EA2" w:rsidRDefault="000B0B6A" w:rsidP="0019293B">
          <w:pPr>
            <w:pStyle w:val="Footer"/>
          </w:pPr>
          <w:fldSimple w:instr=" SUBJECT  \* MERGEFORMAT ">
            <w:r w:rsidR="00E05EA2">
              <w:t>annual report 2011-12</w:t>
            </w:r>
          </w:fldSimple>
        </w:p>
      </w:tc>
      <w:tc>
        <w:tcPr>
          <w:tcW w:w="6634" w:type="dxa"/>
        </w:tcPr>
        <w:p w14:paraId="5488D5E4" w14:textId="77777777" w:rsidR="00E05EA2" w:rsidRDefault="00E05EA2" w:rsidP="0019293B">
          <w:pPr>
            <w:pStyle w:val="Footer"/>
          </w:pPr>
        </w:p>
      </w:tc>
    </w:tr>
  </w:tbl>
  <w:p w14:paraId="48B93DCE" w14:textId="77777777" w:rsidR="00E05EA2" w:rsidRDefault="00E05EA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05EA2" w14:paraId="622F921E" w14:textId="77777777">
      <w:trPr>
        <w:trHeight w:hRule="exact" w:val="740"/>
      </w:trPr>
      <w:tc>
        <w:tcPr>
          <w:tcW w:w="6634" w:type="dxa"/>
        </w:tcPr>
        <w:p w14:paraId="575969EE" w14:textId="066090AB" w:rsidR="00E05EA2" w:rsidRDefault="00E05EA2">
          <w:pPr>
            <w:pStyle w:val="Footer"/>
            <w:ind w:right="360" w:firstLine="360"/>
          </w:pPr>
        </w:p>
      </w:tc>
      <w:tc>
        <w:tcPr>
          <w:tcW w:w="1644" w:type="dxa"/>
          <w:tcBorders>
            <w:top w:val="single" w:sz="6" w:space="0" w:color="auto"/>
          </w:tcBorders>
        </w:tcPr>
        <w:p w14:paraId="1C41B7D7" w14:textId="77777777" w:rsidR="00E05EA2" w:rsidRDefault="000B0B6A">
          <w:pPr>
            <w:pStyle w:val="Footer"/>
          </w:pPr>
          <w:fldSimple w:instr=" TITLE  \* MERGEFORMAT ">
            <w:r w:rsidR="00E05EA2">
              <w:t>Structural adjustment</w:t>
            </w:r>
          </w:fldSimple>
        </w:p>
      </w:tc>
      <w:tc>
        <w:tcPr>
          <w:tcW w:w="510" w:type="dxa"/>
          <w:tcBorders>
            <w:top w:val="single" w:sz="6" w:space="0" w:color="auto"/>
          </w:tcBorders>
        </w:tcPr>
        <w:p w14:paraId="2036678F" w14:textId="77777777" w:rsidR="00E05EA2" w:rsidRDefault="00E05EA2">
          <w:pPr>
            <w:pStyle w:val="Footer"/>
            <w:jc w:val="right"/>
          </w:pPr>
          <w:r>
            <w:rPr>
              <w:rStyle w:val="PageNumber"/>
            </w:rPr>
            <w:fldChar w:fldCharType="begin"/>
          </w:r>
          <w:r>
            <w:rPr>
              <w:rStyle w:val="PageNumber"/>
            </w:rPr>
            <w:instrText xml:space="preserve">PAGE  </w:instrText>
          </w:r>
          <w:r>
            <w:rPr>
              <w:rStyle w:val="PageNumber"/>
            </w:rPr>
            <w:fldChar w:fldCharType="separate"/>
          </w:r>
          <w:r w:rsidR="00581827">
            <w:rPr>
              <w:rStyle w:val="PageNumber"/>
              <w:noProof/>
            </w:rPr>
            <w:t>21</w:t>
          </w:r>
          <w:r>
            <w:rPr>
              <w:rStyle w:val="PageNumber"/>
            </w:rPr>
            <w:fldChar w:fldCharType="end"/>
          </w:r>
        </w:p>
      </w:tc>
    </w:tr>
  </w:tbl>
  <w:p w14:paraId="56057971" w14:textId="77777777" w:rsidR="00E05EA2" w:rsidRDefault="00E05EA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C1B1FC" w14:textId="77777777" w:rsidR="00E05EA2" w:rsidRDefault="00E05EA2">
      <w:r>
        <w:separator/>
      </w:r>
    </w:p>
  </w:footnote>
  <w:footnote w:type="continuationSeparator" w:id="0">
    <w:p w14:paraId="0C43C68D" w14:textId="77777777" w:rsidR="00E05EA2" w:rsidRDefault="00E05EA2">
      <w:r>
        <w:continuationSeparator/>
      </w:r>
    </w:p>
  </w:footnote>
  <w:footnote w:id="1">
    <w:p w14:paraId="36040282" w14:textId="50388235" w:rsidR="00E05EA2" w:rsidRDefault="00E05EA2">
      <w:pPr>
        <w:pStyle w:val="FootnoteText"/>
      </w:pPr>
      <w:r>
        <w:rPr>
          <w:rStyle w:val="FootnoteReference"/>
        </w:rPr>
        <w:footnoteRef/>
      </w:r>
      <w:r>
        <w:t xml:space="preserve"> </w:t>
      </w:r>
      <w:r>
        <w:tab/>
        <w:t>There is no consensus regarding the start of the boom. Most analysts, however, place it around 2002-03, when the terms of trade began to rise above their twentieth-century average.</w:t>
      </w:r>
    </w:p>
  </w:footnote>
  <w:footnote w:id="2">
    <w:p w14:paraId="46818C79" w14:textId="4B3E525B" w:rsidR="00E05EA2" w:rsidRDefault="00E05EA2" w:rsidP="005322A8">
      <w:pPr>
        <w:pStyle w:val="FootnoteText"/>
      </w:pPr>
      <w:r>
        <w:rPr>
          <w:rStyle w:val="FootnoteReference"/>
        </w:rPr>
        <w:footnoteRef/>
      </w:r>
      <w:r>
        <w:t xml:space="preserve"> </w:t>
      </w:r>
      <w:r>
        <w:tab/>
        <w:t>At April 2012, a total $260 billion of capital expenditure in the resources sector was ‘under construction’ or ‘committed’, according to the Bureau of Resources and Energy Economics (</w:t>
      </w:r>
      <w:proofErr w:type="spellStart"/>
      <w:r>
        <w:t>BREE</w:t>
      </w:r>
      <w:proofErr w:type="spellEnd"/>
      <w:r>
        <w:t xml:space="preserve"> 2012). Projects described as ‘less advanced’ (for example, awaiting approval) amounted to potential additional total expenditure of $243 billion. The next update from the </w:t>
      </w:r>
      <w:proofErr w:type="spellStart"/>
      <w:r>
        <w:t>BREE</w:t>
      </w:r>
      <w:proofErr w:type="spellEnd"/>
      <w:r>
        <w:t xml:space="preserve">, due in November 2012, is likely to reveal a reduction in the mining investment pipeline, due to decreases in the export price of a number of resources since September 2012. </w:t>
      </w:r>
    </w:p>
  </w:footnote>
  <w:footnote w:id="3">
    <w:p w14:paraId="65EC3CEB" w14:textId="09D60BF9" w:rsidR="00E05EA2" w:rsidRDefault="00E05EA2" w:rsidP="004712F9">
      <w:pPr>
        <w:pStyle w:val="FootnoteText"/>
      </w:pPr>
      <w:r>
        <w:rPr>
          <w:rStyle w:val="FootnoteReference"/>
        </w:rPr>
        <w:footnoteRef/>
      </w:r>
      <w:r>
        <w:t xml:space="preserve"> </w:t>
      </w:r>
      <w:r>
        <w:tab/>
        <w:t>While the 1971-72 rural commodities boom was followed by other booms in the 1970s, most notably the trebling of the price of coal exports between 1974 and 1976 that followed the oil price shocks, these subsequent booms were not accompanied by a rise in Australia’s terms of trade.</w:t>
      </w:r>
    </w:p>
  </w:footnote>
  <w:footnote w:id="4">
    <w:p w14:paraId="754F9758" w14:textId="5092CF6E" w:rsidR="00E05EA2" w:rsidRDefault="00E05EA2">
      <w:pPr>
        <w:pStyle w:val="FootnoteText"/>
      </w:pPr>
      <w:r>
        <w:rPr>
          <w:rStyle w:val="FootnoteReference"/>
        </w:rPr>
        <w:footnoteRef/>
      </w:r>
      <w:r>
        <w:t xml:space="preserve"> </w:t>
      </w:r>
      <w:r>
        <w:tab/>
        <w:t>National accounts value the output of ‘non-market sector’ services (education and training; public administration and safety; and health care and social assistance) at cost. Given the weight of wages and salaries in those activities’ costs, the slow growth of Average Weekly Earnings over the last decade (figure 1.4) would have inhibited growth in their measured output.</w:t>
      </w:r>
    </w:p>
  </w:footnote>
  <w:footnote w:id="5">
    <w:p w14:paraId="1D416CDA" w14:textId="77777777" w:rsidR="00E05EA2" w:rsidRDefault="00E05EA2" w:rsidP="00175FCA">
      <w:pPr>
        <w:pStyle w:val="FootnoteText"/>
      </w:pPr>
      <w:r>
        <w:rPr>
          <w:rStyle w:val="FootnoteReference"/>
        </w:rPr>
        <w:footnoteRef/>
      </w:r>
      <w:r>
        <w:t xml:space="preserve"> Namely, Administrative and support services, and Rental, hiring and real estate services.</w:t>
      </w:r>
    </w:p>
  </w:footnote>
  <w:footnote w:id="6">
    <w:p w14:paraId="62DE012B" w14:textId="77777777" w:rsidR="00E05EA2" w:rsidRDefault="00E05EA2" w:rsidP="00F83AAC">
      <w:pPr>
        <w:pStyle w:val="FootnoteText"/>
      </w:pPr>
      <w:r>
        <w:rPr>
          <w:rStyle w:val="FootnoteReference"/>
        </w:rPr>
        <w:footnoteRef/>
      </w:r>
      <w:r>
        <w:t xml:space="preserve"> The direction of urban/regional change is indeterminate from the region index.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05EA2" w14:paraId="1615B37D" w14:textId="77777777">
      <w:tc>
        <w:tcPr>
          <w:tcW w:w="2155" w:type="dxa"/>
          <w:tcBorders>
            <w:top w:val="single" w:sz="24" w:space="0" w:color="auto"/>
          </w:tcBorders>
        </w:tcPr>
        <w:p w14:paraId="4B9D9927" w14:textId="77777777" w:rsidR="00E05EA2" w:rsidRDefault="00E05EA2" w:rsidP="0019293B">
          <w:pPr>
            <w:pStyle w:val="HeaderEven"/>
          </w:pPr>
        </w:p>
      </w:tc>
      <w:tc>
        <w:tcPr>
          <w:tcW w:w="6634" w:type="dxa"/>
          <w:tcBorders>
            <w:top w:val="single" w:sz="6" w:space="0" w:color="auto"/>
          </w:tcBorders>
        </w:tcPr>
        <w:p w14:paraId="78094129" w14:textId="53E0973F" w:rsidR="00E05EA2" w:rsidRDefault="00E05EA2" w:rsidP="00B214D3">
          <w:pPr>
            <w:pStyle w:val="HeaderEven"/>
            <w:jc w:val="right"/>
          </w:pPr>
        </w:p>
      </w:tc>
    </w:tr>
  </w:tbl>
  <w:p w14:paraId="599383F9" w14:textId="77777777" w:rsidR="00E05EA2" w:rsidRDefault="00E05EA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05EA2" w14:paraId="6A240B64" w14:textId="77777777">
      <w:tc>
        <w:tcPr>
          <w:tcW w:w="6634" w:type="dxa"/>
          <w:tcBorders>
            <w:top w:val="single" w:sz="6" w:space="0" w:color="auto"/>
          </w:tcBorders>
        </w:tcPr>
        <w:p w14:paraId="67B7768C" w14:textId="46F58448" w:rsidR="00E05EA2" w:rsidRDefault="00E05EA2" w:rsidP="00E669E2">
          <w:pPr>
            <w:pStyle w:val="HeaderOdd"/>
          </w:pPr>
        </w:p>
      </w:tc>
      <w:tc>
        <w:tcPr>
          <w:tcW w:w="2155" w:type="dxa"/>
          <w:tcBorders>
            <w:top w:val="single" w:sz="24" w:space="0" w:color="auto"/>
          </w:tcBorders>
        </w:tcPr>
        <w:p w14:paraId="044BC728" w14:textId="77777777" w:rsidR="00E05EA2" w:rsidRDefault="00E05EA2" w:rsidP="00E669E2">
          <w:pPr>
            <w:pStyle w:val="HeaderOdd"/>
          </w:pPr>
        </w:p>
      </w:tc>
    </w:tr>
  </w:tbl>
  <w:p w14:paraId="03D5EE92" w14:textId="77777777" w:rsidR="00E05EA2" w:rsidRDefault="00E05EA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clickAndTypeStyle w:val="BodyText"/>
  <w:evenAndOddHeaders/>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tructural adjustment"/>
    <w:docVar w:name="ShortReportTitle" w:val="annual report 2011-12"/>
  </w:docVars>
  <w:rsids>
    <w:rsidRoot w:val="007B6743"/>
    <w:rsid w:val="000031CA"/>
    <w:rsid w:val="00003B7F"/>
    <w:rsid w:val="0000578B"/>
    <w:rsid w:val="00010BFF"/>
    <w:rsid w:val="00011A59"/>
    <w:rsid w:val="000152A9"/>
    <w:rsid w:val="00020FD2"/>
    <w:rsid w:val="00021DB5"/>
    <w:rsid w:val="00023237"/>
    <w:rsid w:val="000245AA"/>
    <w:rsid w:val="00026725"/>
    <w:rsid w:val="00027B48"/>
    <w:rsid w:val="00030343"/>
    <w:rsid w:val="00030832"/>
    <w:rsid w:val="00031B14"/>
    <w:rsid w:val="0003664B"/>
    <w:rsid w:val="0004111F"/>
    <w:rsid w:val="000424A9"/>
    <w:rsid w:val="0004286E"/>
    <w:rsid w:val="0004304E"/>
    <w:rsid w:val="00046755"/>
    <w:rsid w:val="00047CC9"/>
    <w:rsid w:val="000501D7"/>
    <w:rsid w:val="00053042"/>
    <w:rsid w:val="000560E4"/>
    <w:rsid w:val="000565B3"/>
    <w:rsid w:val="000579DD"/>
    <w:rsid w:val="000579E2"/>
    <w:rsid w:val="00061138"/>
    <w:rsid w:val="00065C34"/>
    <w:rsid w:val="00065F6A"/>
    <w:rsid w:val="000674B6"/>
    <w:rsid w:val="00067849"/>
    <w:rsid w:val="00067A5B"/>
    <w:rsid w:val="00071417"/>
    <w:rsid w:val="0007150B"/>
    <w:rsid w:val="00073EB4"/>
    <w:rsid w:val="000752F7"/>
    <w:rsid w:val="000752F9"/>
    <w:rsid w:val="0007559A"/>
    <w:rsid w:val="00075A90"/>
    <w:rsid w:val="00077D18"/>
    <w:rsid w:val="000810F3"/>
    <w:rsid w:val="00082492"/>
    <w:rsid w:val="00082DBE"/>
    <w:rsid w:val="00085B93"/>
    <w:rsid w:val="0008619E"/>
    <w:rsid w:val="00086403"/>
    <w:rsid w:val="00086569"/>
    <w:rsid w:val="0009365B"/>
    <w:rsid w:val="000938F5"/>
    <w:rsid w:val="00093D1C"/>
    <w:rsid w:val="00093FF8"/>
    <w:rsid w:val="000953AA"/>
    <w:rsid w:val="00096328"/>
    <w:rsid w:val="00096A53"/>
    <w:rsid w:val="00096CD7"/>
    <w:rsid w:val="00096E55"/>
    <w:rsid w:val="000A0CD4"/>
    <w:rsid w:val="000A5AFE"/>
    <w:rsid w:val="000A5ED8"/>
    <w:rsid w:val="000A69F6"/>
    <w:rsid w:val="000A6E61"/>
    <w:rsid w:val="000A7122"/>
    <w:rsid w:val="000B0B6A"/>
    <w:rsid w:val="000B3C6E"/>
    <w:rsid w:val="000B443B"/>
    <w:rsid w:val="000B4611"/>
    <w:rsid w:val="000B48C2"/>
    <w:rsid w:val="000B5C82"/>
    <w:rsid w:val="000B5D2E"/>
    <w:rsid w:val="000B601B"/>
    <w:rsid w:val="000B613F"/>
    <w:rsid w:val="000C10F3"/>
    <w:rsid w:val="000C190C"/>
    <w:rsid w:val="000C1A9D"/>
    <w:rsid w:val="000C207E"/>
    <w:rsid w:val="000C23BA"/>
    <w:rsid w:val="000C24BB"/>
    <w:rsid w:val="000C414B"/>
    <w:rsid w:val="000C580D"/>
    <w:rsid w:val="000C5FB7"/>
    <w:rsid w:val="000C60AF"/>
    <w:rsid w:val="000C7BBA"/>
    <w:rsid w:val="000D1661"/>
    <w:rsid w:val="000D1D60"/>
    <w:rsid w:val="000D2AF2"/>
    <w:rsid w:val="000D30E4"/>
    <w:rsid w:val="000D520C"/>
    <w:rsid w:val="000D6985"/>
    <w:rsid w:val="000D6AB4"/>
    <w:rsid w:val="000D7F66"/>
    <w:rsid w:val="000E26AD"/>
    <w:rsid w:val="000E6ED7"/>
    <w:rsid w:val="000F20D1"/>
    <w:rsid w:val="000F2E53"/>
    <w:rsid w:val="000F3A33"/>
    <w:rsid w:val="000F420B"/>
    <w:rsid w:val="000F5CD0"/>
    <w:rsid w:val="001016B6"/>
    <w:rsid w:val="00101858"/>
    <w:rsid w:val="00102C23"/>
    <w:rsid w:val="001044B5"/>
    <w:rsid w:val="001049A2"/>
    <w:rsid w:val="001049DB"/>
    <w:rsid w:val="0010514B"/>
    <w:rsid w:val="0010540B"/>
    <w:rsid w:val="00106EC3"/>
    <w:rsid w:val="00110116"/>
    <w:rsid w:val="001109C2"/>
    <w:rsid w:val="00110C27"/>
    <w:rsid w:val="00111677"/>
    <w:rsid w:val="001134F9"/>
    <w:rsid w:val="00113CF0"/>
    <w:rsid w:val="0011492A"/>
    <w:rsid w:val="00114CD7"/>
    <w:rsid w:val="00115040"/>
    <w:rsid w:val="00116442"/>
    <w:rsid w:val="00117DE7"/>
    <w:rsid w:val="00120072"/>
    <w:rsid w:val="0012043E"/>
    <w:rsid w:val="0012196C"/>
    <w:rsid w:val="001248E5"/>
    <w:rsid w:val="00124C51"/>
    <w:rsid w:val="001262F0"/>
    <w:rsid w:val="00126EB8"/>
    <w:rsid w:val="001274D4"/>
    <w:rsid w:val="00130090"/>
    <w:rsid w:val="00130C57"/>
    <w:rsid w:val="00130C91"/>
    <w:rsid w:val="001318AD"/>
    <w:rsid w:val="00132741"/>
    <w:rsid w:val="001328FF"/>
    <w:rsid w:val="00135255"/>
    <w:rsid w:val="00135782"/>
    <w:rsid w:val="001363AA"/>
    <w:rsid w:val="00136A85"/>
    <w:rsid w:val="001370C0"/>
    <w:rsid w:val="00137845"/>
    <w:rsid w:val="00137CEC"/>
    <w:rsid w:val="00137FCB"/>
    <w:rsid w:val="00140511"/>
    <w:rsid w:val="001409E1"/>
    <w:rsid w:val="00141C55"/>
    <w:rsid w:val="00142C27"/>
    <w:rsid w:val="00142F79"/>
    <w:rsid w:val="00144A67"/>
    <w:rsid w:val="00144F81"/>
    <w:rsid w:val="00144FDD"/>
    <w:rsid w:val="00146F19"/>
    <w:rsid w:val="00147E5D"/>
    <w:rsid w:val="001518CD"/>
    <w:rsid w:val="001544E7"/>
    <w:rsid w:val="00154FF5"/>
    <w:rsid w:val="00157892"/>
    <w:rsid w:val="00157F4E"/>
    <w:rsid w:val="00160007"/>
    <w:rsid w:val="001600FD"/>
    <w:rsid w:val="001647AB"/>
    <w:rsid w:val="00164C35"/>
    <w:rsid w:val="00165705"/>
    <w:rsid w:val="00165818"/>
    <w:rsid w:val="00166501"/>
    <w:rsid w:val="001707C1"/>
    <w:rsid w:val="00170C48"/>
    <w:rsid w:val="00172286"/>
    <w:rsid w:val="0017298E"/>
    <w:rsid w:val="00172E4E"/>
    <w:rsid w:val="00173CED"/>
    <w:rsid w:val="001758DB"/>
    <w:rsid w:val="00175F4E"/>
    <w:rsid w:val="00175FCA"/>
    <w:rsid w:val="0017612A"/>
    <w:rsid w:val="001766AD"/>
    <w:rsid w:val="0017673F"/>
    <w:rsid w:val="00180B24"/>
    <w:rsid w:val="001818D0"/>
    <w:rsid w:val="00182266"/>
    <w:rsid w:val="001839F0"/>
    <w:rsid w:val="00183E82"/>
    <w:rsid w:val="001874CD"/>
    <w:rsid w:val="00187846"/>
    <w:rsid w:val="001878BB"/>
    <w:rsid w:val="001879F7"/>
    <w:rsid w:val="00191AE0"/>
    <w:rsid w:val="001924F7"/>
    <w:rsid w:val="001927F7"/>
    <w:rsid w:val="0019293B"/>
    <w:rsid w:val="001938BC"/>
    <w:rsid w:val="00196F6E"/>
    <w:rsid w:val="001A0682"/>
    <w:rsid w:val="001A112F"/>
    <w:rsid w:val="001A693D"/>
    <w:rsid w:val="001A7691"/>
    <w:rsid w:val="001A77AC"/>
    <w:rsid w:val="001B02C7"/>
    <w:rsid w:val="001B0EA5"/>
    <w:rsid w:val="001B10B0"/>
    <w:rsid w:val="001B1169"/>
    <w:rsid w:val="001B3383"/>
    <w:rsid w:val="001B396F"/>
    <w:rsid w:val="001B3A27"/>
    <w:rsid w:val="001B61FB"/>
    <w:rsid w:val="001C0865"/>
    <w:rsid w:val="001C0FB0"/>
    <w:rsid w:val="001C11A0"/>
    <w:rsid w:val="001C1EF0"/>
    <w:rsid w:val="001C3ABA"/>
    <w:rsid w:val="001C53A4"/>
    <w:rsid w:val="001C6C9A"/>
    <w:rsid w:val="001C7D46"/>
    <w:rsid w:val="001C7FF7"/>
    <w:rsid w:val="001D3ADF"/>
    <w:rsid w:val="001D3DF1"/>
    <w:rsid w:val="001D6249"/>
    <w:rsid w:val="001D6901"/>
    <w:rsid w:val="001D7D12"/>
    <w:rsid w:val="001E064E"/>
    <w:rsid w:val="001E2A2D"/>
    <w:rsid w:val="001E6732"/>
    <w:rsid w:val="001E681A"/>
    <w:rsid w:val="001E7BE8"/>
    <w:rsid w:val="001E7D46"/>
    <w:rsid w:val="001F0248"/>
    <w:rsid w:val="001F1C05"/>
    <w:rsid w:val="001F3EB3"/>
    <w:rsid w:val="001F429A"/>
    <w:rsid w:val="001F6416"/>
    <w:rsid w:val="001F7383"/>
    <w:rsid w:val="001F7A61"/>
    <w:rsid w:val="00202C2C"/>
    <w:rsid w:val="00203BBD"/>
    <w:rsid w:val="00203D7B"/>
    <w:rsid w:val="00206F0B"/>
    <w:rsid w:val="00207F78"/>
    <w:rsid w:val="0021447C"/>
    <w:rsid w:val="00216317"/>
    <w:rsid w:val="00216744"/>
    <w:rsid w:val="00216FE6"/>
    <w:rsid w:val="0021778C"/>
    <w:rsid w:val="00217D61"/>
    <w:rsid w:val="002218D8"/>
    <w:rsid w:val="00224E32"/>
    <w:rsid w:val="00226569"/>
    <w:rsid w:val="00227DBE"/>
    <w:rsid w:val="00227E1C"/>
    <w:rsid w:val="00231796"/>
    <w:rsid w:val="00232244"/>
    <w:rsid w:val="002341BB"/>
    <w:rsid w:val="002360F5"/>
    <w:rsid w:val="00240060"/>
    <w:rsid w:val="002403AB"/>
    <w:rsid w:val="00240DB9"/>
    <w:rsid w:val="00242279"/>
    <w:rsid w:val="002422BA"/>
    <w:rsid w:val="00242F2B"/>
    <w:rsid w:val="0024382E"/>
    <w:rsid w:val="0024399B"/>
    <w:rsid w:val="00244B10"/>
    <w:rsid w:val="002454D5"/>
    <w:rsid w:val="00245C82"/>
    <w:rsid w:val="00252927"/>
    <w:rsid w:val="0025370A"/>
    <w:rsid w:val="00253F09"/>
    <w:rsid w:val="002545FF"/>
    <w:rsid w:val="0025528D"/>
    <w:rsid w:val="0025683B"/>
    <w:rsid w:val="002571A0"/>
    <w:rsid w:val="002577F3"/>
    <w:rsid w:val="00261D42"/>
    <w:rsid w:val="00265A24"/>
    <w:rsid w:val="002672ED"/>
    <w:rsid w:val="002676A6"/>
    <w:rsid w:val="00267B6F"/>
    <w:rsid w:val="002726A4"/>
    <w:rsid w:val="00275CC0"/>
    <w:rsid w:val="00277771"/>
    <w:rsid w:val="00277DC8"/>
    <w:rsid w:val="002806FE"/>
    <w:rsid w:val="00280732"/>
    <w:rsid w:val="00280F4E"/>
    <w:rsid w:val="00281601"/>
    <w:rsid w:val="00281DCA"/>
    <w:rsid w:val="00282591"/>
    <w:rsid w:val="00282BA6"/>
    <w:rsid w:val="00283381"/>
    <w:rsid w:val="00284E5B"/>
    <w:rsid w:val="002857CF"/>
    <w:rsid w:val="00291B40"/>
    <w:rsid w:val="00291BDF"/>
    <w:rsid w:val="00291F42"/>
    <w:rsid w:val="002926DC"/>
    <w:rsid w:val="002957E3"/>
    <w:rsid w:val="002A172F"/>
    <w:rsid w:val="002A1ADB"/>
    <w:rsid w:val="002A6A41"/>
    <w:rsid w:val="002A6A8B"/>
    <w:rsid w:val="002A72FD"/>
    <w:rsid w:val="002A75B3"/>
    <w:rsid w:val="002B17EE"/>
    <w:rsid w:val="002B181D"/>
    <w:rsid w:val="002B1B37"/>
    <w:rsid w:val="002B3868"/>
    <w:rsid w:val="002B3930"/>
    <w:rsid w:val="002B4008"/>
    <w:rsid w:val="002B510C"/>
    <w:rsid w:val="002B59F2"/>
    <w:rsid w:val="002B7406"/>
    <w:rsid w:val="002B7455"/>
    <w:rsid w:val="002C113A"/>
    <w:rsid w:val="002C244E"/>
    <w:rsid w:val="002C38AC"/>
    <w:rsid w:val="002C5444"/>
    <w:rsid w:val="002C6986"/>
    <w:rsid w:val="002D0E8E"/>
    <w:rsid w:val="002D405D"/>
    <w:rsid w:val="002E12ED"/>
    <w:rsid w:val="002E3B0F"/>
    <w:rsid w:val="002E45A4"/>
    <w:rsid w:val="002E47E5"/>
    <w:rsid w:val="002E4D20"/>
    <w:rsid w:val="002E50CD"/>
    <w:rsid w:val="002F0C12"/>
    <w:rsid w:val="002F13B8"/>
    <w:rsid w:val="002F302D"/>
    <w:rsid w:val="002F358F"/>
    <w:rsid w:val="002F37D3"/>
    <w:rsid w:val="002F465E"/>
    <w:rsid w:val="002F5052"/>
    <w:rsid w:val="002F5D80"/>
    <w:rsid w:val="002F5EF5"/>
    <w:rsid w:val="002F6B7D"/>
    <w:rsid w:val="002F6CF6"/>
    <w:rsid w:val="00300103"/>
    <w:rsid w:val="00300D51"/>
    <w:rsid w:val="00301189"/>
    <w:rsid w:val="00306939"/>
    <w:rsid w:val="00307688"/>
    <w:rsid w:val="00307910"/>
    <w:rsid w:val="00313670"/>
    <w:rsid w:val="00314BEA"/>
    <w:rsid w:val="003170A3"/>
    <w:rsid w:val="003170F0"/>
    <w:rsid w:val="003217F9"/>
    <w:rsid w:val="00323013"/>
    <w:rsid w:val="00323E09"/>
    <w:rsid w:val="00326B44"/>
    <w:rsid w:val="00330FC6"/>
    <w:rsid w:val="00331CD9"/>
    <w:rsid w:val="00332C13"/>
    <w:rsid w:val="00333932"/>
    <w:rsid w:val="00335CA4"/>
    <w:rsid w:val="003444E6"/>
    <w:rsid w:val="00344712"/>
    <w:rsid w:val="003518AA"/>
    <w:rsid w:val="00351A14"/>
    <w:rsid w:val="00352165"/>
    <w:rsid w:val="00352424"/>
    <w:rsid w:val="00353182"/>
    <w:rsid w:val="00354024"/>
    <w:rsid w:val="003565D9"/>
    <w:rsid w:val="00357FC1"/>
    <w:rsid w:val="003602E1"/>
    <w:rsid w:val="0036162A"/>
    <w:rsid w:val="00362A46"/>
    <w:rsid w:val="00362ACB"/>
    <w:rsid w:val="00365390"/>
    <w:rsid w:val="00365EE8"/>
    <w:rsid w:val="0037026F"/>
    <w:rsid w:val="00371240"/>
    <w:rsid w:val="003716A8"/>
    <w:rsid w:val="00371DCC"/>
    <w:rsid w:val="00373887"/>
    <w:rsid w:val="0037388C"/>
    <w:rsid w:val="00374731"/>
    <w:rsid w:val="00383863"/>
    <w:rsid w:val="00383C89"/>
    <w:rsid w:val="003847D5"/>
    <w:rsid w:val="00386B9E"/>
    <w:rsid w:val="003919F9"/>
    <w:rsid w:val="003923E7"/>
    <w:rsid w:val="00392AFB"/>
    <w:rsid w:val="003939D8"/>
    <w:rsid w:val="00395F11"/>
    <w:rsid w:val="00396DE4"/>
    <w:rsid w:val="003A10E3"/>
    <w:rsid w:val="003A2694"/>
    <w:rsid w:val="003A2A48"/>
    <w:rsid w:val="003A2FFB"/>
    <w:rsid w:val="003A330E"/>
    <w:rsid w:val="003A3689"/>
    <w:rsid w:val="003A613A"/>
    <w:rsid w:val="003A63EE"/>
    <w:rsid w:val="003A7271"/>
    <w:rsid w:val="003B0FBB"/>
    <w:rsid w:val="003C03A6"/>
    <w:rsid w:val="003C38B5"/>
    <w:rsid w:val="003C3A5E"/>
    <w:rsid w:val="003C5D99"/>
    <w:rsid w:val="003C6AB6"/>
    <w:rsid w:val="003C722A"/>
    <w:rsid w:val="003C7C87"/>
    <w:rsid w:val="003D052C"/>
    <w:rsid w:val="003D0DF0"/>
    <w:rsid w:val="003D0FE8"/>
    <w:rsid w:val="003D2B0F"/>
    <w:rsid w:val="003D3127"/>
    <w:rsid w:val="003D4B37"/>
    <w:rsid w:val="003D734F"/>
    <w:rsid w:val="003E00E9"/>
    <w:rsid w:val="003E12AA"/>
    <w:rsid w:val="003E13D8"/>
    <w:rsid w:val="003E203E"/>
    <w:rsid w:val="003E2301"/>
    <w:rsid w:val="003E2F59"/>
    <w:rsid w:val="003E5D8E"/>
    <w:rsid w:val="003E6B57"/>
    <w:rsid w:val="003E7686"/>
    <w:rsid w:val="003F02AF"/>
    <w:rsid w:val="003F0789"/>
    <w:rsid w:val="003F2052"/>
    <w:rsid w:val="003F2AE0"/>
    <w:rsid w:val="003F324F"/>
    <w:rsid w:val="003F3749"/>
    <w:rsid w:val="003F3A66"/>
    <w:rsid w:val="003F6005"/>
    <w:rsid w:val="003F70A4"/>
    <w:rsid w:val="00400454"/>
    <w:rsid w:val="00400D3B"/>
    <w:rsid w:val="00401882"/>
    <w:rsid w:val="00404A98"/>
    <w:rsid w:val="00405177"/>
    <w:rsid w:val="00406D7C"/>
    <w:rsid w:val="00407BCD"/>
    <w:rsid w:val="004100C8"/>
    <w:rsid w:val="004107DF"/>
    <w:rsid w:val="00410F10"/>
    <w:rsid w:val="00411DBD"/>
    <w:rsid w:val="00412ACE"/>
    <w:rsid w:val="004133EA"/>
    <w:rsid w:val="004141C6"/>
    <w:rsid w:val="00414A41"/>
    <w:rsid w:val="004161E0"/>
    <w:rsid w:val="004167A1"/>
    <w:rsid w:val="00416CDB"/>
    <w:rsid w:val="00416DFA"/>
    <w:rsid w:val="00417B87"/>
    <w:rsid w:val="004207AA"/>
    <w:rsid w:val="00420B1A"/>
    <w:rsid w:val="00420C2C"/>
    <w:rsid w:val="00421AD9"/>
    <w:rsid w:val="0042245E"/>
    <w:rsid w:val="00423578"/>
    <w:rsid w:val="00423FE5"/>
    <w:rsid w:val="00424791"/>
    <w:rsid w:val="00426024"/>
    <w:rsid w:val="0042616C"/>
    <w:rsid w:val="004263E5"/>
    <w:rsid w:val="00427343"/>
    <w:rsid w:val="00427351"/>
    <w:rsid w:val="00431094"/>
    <w:rsid w:val="004311A8"/>
    <w:rsid w:val="00431249"/>
    <w:rsid w:val="0043159E"/>
    <w:rsid w:val="00433258"/>
    <w:rsid w:val="00434651"/>
    <w:rsid w:val="00434C19"/>
    <w:rsid w:val="00440A8F"/>
    <w:rsid w:val="0044186B"/>
    <w:rsid w:val="00445746"/>
    <w:rsid w:val="00446C26"/>
    <w:rsid w:val="004473B6"/>
    <w:rsid w:val="00447714"/>
    <w:rsid w:val="0045002C"/>
    <w:rsid w:val="00450810"/>
    <w:rsid w:val="004509CC"/>
    <w:rsid w:val="00451451"/>
    <w:rsid w:val="00451BED"/>
    <w:rsid w:val="00456526"/>
    <w:rsid w:val="00456FA6"/>
    <w:rsid w:val="00457A61"/>
    <w:rsid w:val="00457E58"/>
    <w:rsid w:val="004601AF"/>
    <w:rsid w:val="004645B2"/>
    <w:rsid w:val="00464EDE"/>
    <w:rsid w:val="004668A3"/>
    <w:rsid w:val="00467CF2"/>
    <w:rsid w:val="00470221"/>
    <w:rsid w:val="004704EF"/>
    <w:rsid w:val="004708E4"/>
    <w:rsid w:val="00470E9D"/>
    <w:rsid w:val="004712F9"/>
    <w:rsid w:val="00471F1E"/>
    <w:rsid w:val="0047274D"/>
    <w:rsid w:val="00476636"/>
    <w:rsid w:val="00476D7A"/>
    <w:rsid w:val="00476E80"/>
    <w:rsid w:val="00477144"/>
    <w:rsid w:val="00480190"/>
    <w:rsid w:val="004823D6"/>
    <w:rsid w:val="00485E65"/>
    <w:rsid w:val="0048629A"/>
    <w:rsid w:val="00490055"/>
    <w:rsid w:val="00491DF7"/>
    <w:rsid w:val="00492AC7"/>
    <w:rsid w:val="0049459F"/>
    <w:rsid w:val="00495C7A"/>
    <w:rsid w:val="004972DE"/>
    <w:rsid w:val="00497A5B"/>
    <w:rsid w:val="004A032F"/>
    <w:rsid w:val="004A1D7C"/>
    <w:rsid w:val="004A2A18"/>
    <w:rsid w:val="004A38DD"/>
    <w:rsid w:val="004A56E7"/>
    <w:rsid w:val="004A5ECD"/>
    <w:rsid w:val="004B0075"/>
    <w:rsid w:val="004B13DD"/>
    <w:rsid w:val="004B380B"/>
    <w:rsid w:val="004B43AE"/>
    <w:rsid w:val="004B5D40"/>
    <w:rsid w:val="004C05AA"/>
    <w:rsid w:val="004C0618"/>
    <w:rsid w:val="004C297E"/>
    <w:rsid w:val="004C2A8C"/>
    <w:rsid w:val="004C30ED"/>
    <w:rsid w:val="004C776A"/>
    <w:rsid w:val="004D032F"/>
    <w:rsid w:val="004D19C9"/>
    <w:rsid w:val="004D1D6F"/>
    <w:rsid w:val="004D5675"/>
    <w:rsid w:val="004D62CB"/>
    <w:rsid w:val="004D6F72"/>
    <w:rsid w:val="004E00F1"/>
    <w:rsid w:val="004E0CE8"/>
    <w:rsid w:val="004E0DDB"/>
    <w:rsid w:val="004E313F"/>
    <w:rsid w:val="004E484C"/>
    <w:rsid w:val="004E553A"/>
    <w:rsid w:val="004E625B"/>
    <w:rsid w:val="004E662E"/>
    <w:rsid w:val="004E7864"/>
    <w:rsid w:val="004E7CB5"/>
    <w:rsid w:val="004F4239"/>
    <w:rsid w:val="004F785F"/>
    <w:rsid w:val="00500012"/>
    <w:rsid w:val="00502915"/>
    <w:rsid w:val="00503614"/>
    <w:rsid w:val="00504878"/>
    <w:rsid w:val="00507500"/>
    <w:rsid w:val="00510536"/>
    <w:rsid w:val="0051101B"/>
    <w:rsid w:val="00512567"/>
    <w:rsid w:val="00514714"/>
    <w:rsid w:val="00514AA0"/>
    <w:rsid w:val="00515174"/>
    <w:rsid w:val="00516A1E"/>
    <w:rsid w:val="00523639"/>
    <w:rsid w:val="005236B4"/>
    <w:rsid w:val="00525782"/>
    <w:rsid w:val="005267E4"/>
    <w:rsid w:val="00527142"/>
    <w:rsid w:val="00527A7F"/>
    <w:rsid w:val="005318C3"/>
    <w:rsid w:val="00531FE5"/>
    <w:rsid w:val="005322A8"/>
    <w:rsid w:val="0053242A"/>
    <w:rsid w:val="005337A5"/>
    <w:rsid w:val="005340EA"/>
    <w:rsid w:val="00534F57"/>
    <w:rsid w:val="00536210"/>
    <w:rsid w:val="005364B7"/>
    <w:rsid w:val="00536825"/>
    <w:rsid w:val="00546906"/>
    <w:rsid w:val="0055122F"/>
    <w:rsid w:val="0055135E"/>
    <w:rsid w:val="005524DB"/>
    <w:rsid w:val="005527F5"/>
    <w:rsid w:val="00555327"/>
    <w:rsid w:val="00556E55"/>
    <w:rsid w:val="00557EA1"/>
    <w:rsid w:val="005606B4"/>
    <w:rsid w:val="00564751"/>
    <w:rsid w:val="00564DD2"/>
    <w:rsid w:val="0056550B"/>
    <w:rsid w:val="0056729D"/>
    <w:rsid w:val="00570042"/>
    <w:rsid w:val="00572E9E"/>
    <w:rsid w:val="00573A98"/>
    <w:rsid w:val="005747DD"/>
    <w:rsid w:val="00576881"/>
    <w:rsid w:val="00576998"/>
    <w:rsid w:val="00581827"/>
    <w:rsid w:val="00583C39"/>
    <w:rsid w:val="00584CD9"/>
    <w:rsid w:val="00585340"/>
    <w:rsid w:val="00585350"/>
    <w:rsid w:val="0058673D"/>
    <w:rsid w:val="00586B75"/>
    <w:rsid w:val="0058790C"/>
    <w:rsid w:val="005909CF"/>
    <w:rsid w:val="00591940"/>
    <w:rsid w:val="00591E71"/>
    <w:rsid w:val="00592358"/>
    <w:rsid w:val="0059400A"/>
    <w:rsid w:val="005940F4"/>
    <w:rsid w:val="005954B5"/>
    <w:rsid w:val="005A0D41"/>
    <w:rsid w:val="005A150B"/>
    <w:rsid w:val="005A3656"/>
    <w:rsid w:val="005A6D07"/>
    <w:rsid w:val="005A7A52"/>
    <w:rsid w:val="005B2696"/>
    <w:rsid w:val="005B491C"/>
    <w:rsid w:val="005B61F2"/>
    <w:rsid w:val="005B679F"/>
    <w:rsid w:val="005B7E62"/>
    <w:rsid w:val="005C0716"/>
    <w:rsid w:val="005C2416"/>
    <w:rsid w:val="005C2E7E"/>
    <w:rsid w:val="005C3E8D"/>
    <w:rsid w:val="005C6149"/>
    <w:rsid w:val="005C7C14"/>
    <w:rsid w:val="005D03A2"/>
    <w:rsid w:val="005D1508"/>
    <w:rsid w:val="005D3317"/>
    <w:rsid w:val="005D4F03"/>
    <w:rsid w:val="005D590F"/>
    <w:rsid w:val="005D6E30"/>
    <w:rsid w:val="005D766C"/>
    <w:rsid w:val="005E3163"/>
    <w:rsid w:val="005E4D14"/>
    <w:rsid w:val="005E7BCD"/>
    <w:rsid w:val="005F0D59"/>
    <w:rsid w:val="005F1738"/>
    <w:rsid w:val="005F3C5A"/>
    <w:rsid w:val="005F5F56"/>
    <w:rsid w:val="006002F2"/>
    <w:rsid w:val="0060405F"/>
    <w:rsid w:val="00604B29"/>
    <w:rsid w:val="006050D1"/>
    <w:rsid w:val="00607BF1"/>
    <w:rsid w:val="006131A4"/>
    <w:rsid w:val="00615604"/>
    <w:rsid w:val="00615F13"/>
    <w:rsid w:val="006162DD"/>
    <w:rsid w:val="00616BDE"/>
    <w:rsid w:val="00617E79"/>
    <w:rsid w:val="00620814"/>
    <w:rsid w:val="00621F81"/>
    <w:rsid w:val="006222E0"/>
    <w:rsid w:val="00624909"/>
    <w:rsid w:val="00624FFF"/>
    <w:rsid w:val="00625A45"/>
    <w:rsid w:val="00626C69"/>
    <w:rsid w:val="00627108"/>
    <w:rsid w:val="0062730B"/>
    <w:rsid w:val="00627A67"/>
    <w:rsid w:val="0063050B"/>
    <w:rsid w:val="00630D4D"/>
    <w:rsid w:val="00632A74"/>
    <w:rsid w:val="00633A9E"/>
    <w:rsid w:val="00634724"/>
    <w:rsid w:val="0063492A"/>
    <w:rsid w:val="00635A15"/>
    <w:rsid w:val="00636234"/>
    <w:rsid w:val="006432BB"/>
    <w:rsid w:val="00646D6E"/>
    <w:rsid w:val="00647513"/>
    <w:rsid w:val="006512CF"/>
    <w:rsid w:val="0065259E"/>
    <w:rsid w:val="00654141"/>
    <w:rsid w:val="0065534C"/>
    <w:rsid w:val="00656E84"/>
    <w:rsid w:val="006571E9"/>
    <w:rsid w:val="006616DB"/>
    <w:rsid w:val="0066220E"/>
    <w:rsid w:val="00667106"/>
    <w:rsid w:val="00667AB6"/>
    <w:rsid w:val="00670C30"/>
    <w:rsid w:val="006729ED"/>
    <w:rsid w:val="00676A33"/>
    <w:rsid w:val="00680274"/>
    <w:rsid w:val="00681D06"/>
    <w:rsid w:val="0068478F"/>
    <w:rsid w:val="00686A9F"/>
    <w:rsid w:val="006912F4"/>
    <w:rsid w:val="0069282C"/>
    <w:rsid w:val="0069640D"/>
    <w:rsid w:val="00696C61"/>
    <w:rsid w:val="006A040E"/>
    <w:rsid w:val="006A31F6"/>
    <w:rsid w:val="006A336A"/>
    <w:rsid w:val="006A3944"/>
    <w:rsid w:val="006A4655"/>
    <w:rsid w:val="006A6AAE"/>
    <w:rsid w:val="006A6B3F"/>
    <w:rsid w:val="006B0BA7"/>
    <w:rsid w:val="006B1628"/>
    <w:rsid w:val="006B1DCF"/>
    <w:rsid w:val="006B28A7"/>
    <w:rsid w:val="006B2B3C"/>
    <w:rsid w:val="006B3B80"/>
    <w:rsid w:val="006B43F0"/>
    <w:rsid w:val="006B703C"/>
    <w:rsid w:val="006B712C"/>
    <w:rsid w:val="006B795A"/>
    <w:rsid w:val="006C0587"/>
    <w:rsid w:val="006C1D81"/>
    <w:rsid w:val="006C2407"/>
    <w:rsid w:val="006C3D41"/>
    <w:rsid w:val="006C46D5"/>
    <w:rsid w:val="006C4FB3"/>
    <w:rsid w:val="006C528F"/>
    <w:rsid w:val="006C6BE2"/>
    <w:rsid w:val="006C7038"/>
    <w:rsid w:val="006C7DB0"/>
    <w:rsid w:val="006D0E2B"/>
    <w:rsid w:val="006D5277"/>
    <w:rsid w:val="006D5BBA"/>
    <w:rsid w:val="006E05BC"/>
    <w:rsid w:val="006E32C4"/>
    <w:rsid w:val="006E3670"/>
    <w:rsid w:val="006E4780"/>
    <w:rsid w:val="006E47CA"/>
    <w:rsid w:val="006E56B6"/>
    <w:rsid w:val="006E6EB7"/>
    <w:rsid w:val="006E73EF"/>
    <w:rsid w:val="006F1CEF"/>
    <w:rsid w:val="006F38A5"/>
    <w:rsid w:val="006F47FF"/>
    <w:rsid w:val="006F4DCE"/>
    <w:rsid w:val="006F6232"/>
    <w:rsid w:val="006F6EFC"/>
    <w:rsid w:val="006F7F17"/>
    <w:rsid w:val="0070036D"/>
    <w:rsid w:val="00701C3B"/>
    <w:rsid w:val="007040AD"/>
    <w:rsid w:val="007046A0"/>
    <w:rsid w:val="00706288"/>
    <w:rsid w:val="0071047F"/>
    <w:rsid w:val="00710B49"/>
    <w:rsid w:val="00712590"/>
    <w:rsid w:val="0071298A"/>
    <w:rsid w:val="00712AB6"/>
    <w:rsid w:val="00712DF8"/>
    <w:rsid w:val="00713A8B"/>
    <w:rsid w:val="00714918"/>
    <w:rsid w:val="00714D4D"/>
    <w:rsid w:val="0071712B"/>
    <w:rsid w:val="00717CB4"/>
    <w:rsid w:val="00720545"/>
    <w:rsid w:val="00720B54"/>
    <w:rsid w:val="00720C68"/>
    <w:rsid w:val="00722495"/>
    <w:rsid w:val="00723641"/>
    <w:rsid w:val="0072384D"/>
    <w:rsid w:val="007329CC"/>
    <w:rsid w:val="00732F49"/>
    <w:rsid w:val="007354B1"/>
    <w:rsid w:val="007362A6"/>
    <w:rsid w:val="007365EA"/>
    <w:rsid w:val="00741FB7"/>
    <w:rsid w:val="007421DE"/>
    <w:rsid w:val="007436C0"/>
    <w:rsid w:val="00747AE4"/>
    <w:rsid w:val="00751CE4"/>
    <w:rsid w:val="0075221D"/>
    <w:rsid w:val="00753940"/>
    <w:rsid w:val="007557B2"/>
    <w:rsid w:val="00756E7C"/>
    <w:rsid w:val="007604BB"/>
    <w:rsid w:val="00760B09"/>
    <w:rsid w:val="0076237A"/>
    <w:rsid w:val="007640DC"/>
    <w:rsid w:val="00764603"/>
    <w:rsid w:val="00770AED"/>
    <w:rsid w:val="007723C0"/>
    <w:rsid w:val="00775A21"/>
    <w:rsid w:val="00776EED"/>
    <w:rsid w:val="00785232"/>
    <w:rsid w:val="007857A7"/>
    <w:rsid w:val="007859DF"/>
    <w:rsid w:val="00785E59"/>
    <w:rsid w:val="00790661"/>
    <w:rsid w:val="00792260"/>
    <w:rsid w:val="00793D37"/>
    <w:rsid w:val="007957B5"/>
    <w:rsid w:val="00795973"/>
    <w:rsid w:val="00795B75"/>
    <w:rsid w:val="0079702C"/>
    <w:rsid w:val="007A1378"/>
    <w:rsid w:val="007A1792"/>
    <w:rsid w:val="007A1ED8"/>
    <w:rsid w:val="007A21EB"/>
    <w:rsid w:val="007A35ED"/>
    <w:rsid w:val="007A4860"/>
    <w:rsid w:val="007A6E76"/>
    <w:rsid w:val="007A74BD"/>
    <w:rsid w:val="007A7CF7"/>
    <w:rsid w:val="007A7D87"/>
    <w:rsid w:val="007B00EF"/>
    <w:rsid w:val="007B1A93"/>
    <w:rsid w:val="007B3644"/>
    <w:rsid w:val="007B3757"/>
    <w:rsid w:val="007B40DB"/>
    <w:rsid w:val="007B49F7"/>
    <w:rsid w:val="007B4FB1"/>
    <w:rsid w:val="007B5FEE"/>
    <w:rsid w:val="007B6743"/>
    <w:rsid w:val="007C11C9"/>
    <w:rsid w:val="007C3500"/>
    <w:rsid w:val="007C36C9"/>
    <w:rsid w:val="007D1868"/>
    <w:rsid w:val="007D3BB2"/>
    <w:rsid w:val="007D6401"/>
    <w:rsid w:val="007D7557"/>
    <w:rsid w:val="007D7E82"/>
    <w:rsid w:val="007E01E4"/>
    <w:rsid w:val="007E0C72"/>
    <w:rsid w:val="007E304F"/>
    <w:rsid w:val="007E30E0"/>
    <w:rsid w:val="007E7330"/>
    <w:rsid w:val="007F25C8"/>
    <w:rsid w:val="007F2A8B"/>
    <w:rsid w:val="007F40E1"/>
    <w:rsid w:val="007F46CC"/>
    <w:rsid w:val="007F55B1"/>
    <w:rsid w:val="007F604F"/>
    <w:rsid w:val="007F7107"/>
    <w:rsid w:val="00803818"/>
    <w:rsid w:val="00803BA3"/>
    <w:rsid w:val="00803C73"/>
    <w:rsid w:val="00804650"/>
    <w:rsid w:val="00804D0D"/>
    <w:rsid w:val="00805589"/>
    <w:rsid w:val="00805BFB"/>
    <w:rsid w:val="0081030F"/>
    <w:rsid w:val="008131D1"/>
    <w:rsid w:val="00813797"/>
    <w:rsid w:val="008146D8"/>
    <w:rsid w:val="00814D40"/>
    <w:rsid w:val="00815BB9"/>
    <w:rsid w:val="0081727D"/>
    <w:rsid w:val="008179B4"/>
    <w:rsid w:val="0082087D"/>
    <w:rsid w:val="00820E2C"/>
    <w:rsid w:val="00826FCC"/>
    <w:rsid w:val="00833710"/>
    <w:rsid w:val="00833D94"/>
    <w:rsid w:val="0083439C"/>
    <w:rsid w:val="00835948"/>
    <w:rsid w:val="008370E1"/>
    <w:rsid w:val="008407A8"/>
    <w:rsid w:val="00842933"/>
    <w:rsid w:val="00844996"/>
    <w:rsid w:val="00844E94"/>
    <w:rsid w:val="0084508A"/>
    <w:rsid w:val="00845D91"/>
    <w:rsid w:val="00847379"/>
    <w:rsid w:val="00847815"/>
    <w:rsid w:val="00853843"/>
    <w:rsid w:val="00853AC7"/>
    <w:rsid w:val="008549FB"/>
    <w:rsid w:val="0085772B"/>
    <w:rsid w:val="0086082C"/>
    <w:rsid w:val="00861742"/>
    <w:rsid w:val="00861E16"/>
    <w:rsid w:val="00862B20"/>
    <w:rsid w:val="00863867"/>
    <w:rsid w:val="00864829"/>
    <w:rsid w:val="00864919"/>
    <w:rsid w:val="00864ADC"/>
    <w:rsid w:val="008660AC"/>
    <w:rsid w:val="00866B71"/>
    <w:rsid w:val="00867947"/>
    <w:rsid w:val="0087078C"/>
    <w:rsid w:val="0087159E"/>
    <w:rsid w:val="00872CE8"/>
    <w:rsid w:val="00875E30"/>
    <w:rsid w:val="00880153"/>
    <w:rsid w:val="00880F97"/>
    <w:rsid w:val="0088133A"/>
    <w:rsid w:val="0088264E"/>
    <w:rsid w:val="008830F5"/>
    <w:rsid w:val="008833E2"/>
    <w:rsid w:val="00884493"/>
    <w:rsid w:val="0088533B"/>
    <w:rsid w:val="00887C5E"/>
    <w:rsid w:val="0089099F"/>
    <w:rsid w:val="0089285E"/>
    <w:rsid w:val="00893587"/>
    <w:rsid w:val="0089436C"/>
    <w:rsid w:val="00894E2D"/>
    <w:rsid w:val="008A0761"/>
    <w:rsid w:val="008A0D48"/>
    <w:rsid w:val="008A1D9D"/>
    <w:rsid w:val="008A2086"/>
    <w:rsid w:val="008A49C5"/>
    <w:rsid w:val="008A5051"/>
    <w:rsid w:val="008A571C"/>
    <w:rsid w:val="008A757F"/>
    <w:rsid w:val="008A79F3"/>
    <w:rsid w:val="008B147D"/>
    <w:rsid w:val="008B17C3"/>
    <w:rsid w:val="008B2B12"/>
    <w:rsid w:val="008B7018"/>
    <w:rsid w:val="008B7030"/>
    <w:rsid w:val="008C23DC"/>
    <w:rsid w:val="008C3DB6"/>
    <w:rsid w:val="008C3EAD"/>
    <w:rsid w:val="008C41D6"/>
    <w:rsid w:val="008C4A8E"/>
    <w:rsid w:val="008C5751"/>
    <w:rsid w:val="008C5D1F"/>
    <w:rsid w:val="008C6EE3"/>
    <w:rsid w:val="008D0AF8"/>
    <w:rsid w:val="008D0D3C"/>
    <w:rsid w:val="008D2732"/>
    <w:rsid w:val="008D365C"/>
    <w:rsid w:val="008D75DD"/>
    <w:rsid w:val="008D7BED"/>
    <w:rsid w:val="008E1916"/>
    <w:rsid w:val="008E1A55"/>
    <w:rsid w:val="008E23E2"/>
    <w:rsid w:val="008E27D6"/>
    <w:rsid w:val="008E38EE"/>
    <w:rsid w:val="008E3B62"/>
    <w:rsid w:val="008F17E4"/>
    <w:rsid w:val="008F1F10"/>
    <w:rsid w:val="008F3E0D"/>
    <w:rsid w:val="008F5C94"/>
    <w:rsid w:val="008F5E12"/>
    <w:rsid w:val="008F6ADE"/>
    <w:rsid w:val="008F7861"/>
    <w:rsid w:val="009007FB"/>
    <w:rsid w:val="00901738"/>
    <w:rsid w:val="00901E05"/>
    <w:rsid w:val="0090227D"/>
    <w:rsid w:val="00902301"/>
    <w:rsid w:val="009030BF"/>
    <w:rsid w:val="00903F3E"/>
    <w:rsid w:val="00907611"/>
    <w:rsid w:val="0091032F"/>
    <w:rsid w:val="009128F7"/>
    <w:rsid w:val="00912C84"/>
    <w:rsid w:val="00914368"/>
    <w:rsid w:val="00920631"/>
    <w:rsid w:val="009249FC"/>
    <w:rsid w:val="009257D2"/>
    <w:rsid w:val="00927247"/>
    <w:rsid w:val="009272F9"/>
    <w:rsid w:val="009277CA"/>
    <w:rsid w:val="00930FBE"/>
    <w:rsid w:val="00931076"/>
    <w:rsid w:val="00932AA0"/>
    <w:rsid w:val="009345D9"/>
    <w:rsid w:val="00934B15"/>
    <w:rsid w:val="0093560C"/>
    <w:rsid w:val="00935CBC"/>
    <w:rsid w:val="009372C8"/>
    <w:rsid w:val="00937393"/>
    <w:rsid w:val="00937B95"/>
    <w:rsid w:val="009410CC"/>
    <w:rsid w:val="0094249A"/>
    <w:rsid w:val="00942B62"/>
    <w:rsid w:val="00942FA2"/>
    <w:rsid w:val="009517F5"/>
    <w:rsid w:val="00952418"/>
    <w:rsid w:val="009559C5"/>
    <w:rsid w:val="00956A0C"/>
    <w:rsid w:val="00956BD9"/>
    <w:rsid w:val="00957F2B"/>
    <w:rsid w:val="00960C4F"/>
    <w:rsid w:val="00960E48"/>
    <w:rsid w:val="00962489"/>
    <w:rsid w:val="00962A53"/>
    <w:rsid w:val="00963210"/>
    <w:rsid w:val="00963CA5"/>
    <w:rsid w:val="0096516E"/>
    <w:rsid w:val="00965AE2"/>
    <w:rsid w:val="0096737B"/>
    <w:rsid w:val="0096759F"/>
    <w:rsid w:val="009705E1"/>
    <w:rsid w:val="00974465"/>
    <w:rsid w:val="00975A6B"/>
    <w:rsid w:val="009773CE"/>
    <w:rsid w:val="00980E28"/>
    <w:rsid w:val="00981030"/>
    <w:rsid w:val="00981C25"/>
    <w:rsid w:val="00982477"/>
    <w:rsid w:val="0098399A"/>
    <w:rsid w:val="00983EB4"/>
    <w:rsid w:val="009840D8"/>
    <w:rsid w:val="00984B0E"/>
    <w:rsid w:val="00986170"/>
    <w:rsid w:val="009866B1"/>
    <w:rsid w:val="00990472"/>
    <w:rsid w:val="00990C2C"/>
    <w:rsid w:val="0099120B"/>
    <w:rsid w:val="009949C6"/>
    <w:rsid w:val="00996C08"/>
    <w:rsid w:val="009971D2"/>
    <w:rsid w:val="009A1264"/>
    <w:rsid w:val="009A21BB"/>
    <w:rsid w:val="009A2E9C"/>
    <w:rsid w:val="009A51CF"/>
    <w:rsid w:val="009A5DD3"/>
    <w:rsid w:val="009A7A88"/>
    <w:rsid w:val="009B16BC"/>
    <w:rsid w:val="009B18FD"/>
    <w:rsid w:val="009B1AAE"/>
    <w:rsid w:val="009B1C2C"/>
    <w:rsid w:val="009B45B3"/>
    <w:rsid w:val="009B47CD"/>
    <w:rsid w:val="009B4DE6"/>
    <w:rsid w:val="009B59BD"/>
    <w:rsid w:val="009B710F"/>
    <w:rsid w:val="009C26D3"/>
    <w:rsid w:val="009C441F"/>
    <w:rsid w:val="009C4CBC"/>
    <w:rsid w:val="009C6A35"/>
    <w:rsid w:val="009D0B41"/>
    <w:rsid w:val="009D108E"/>
    <w:rsid w:val="009D418B"/>
    <w:rsid w:val="009D5A40"/>
    <w:rsid w:val="009D73F7"/>
    <w:rsid w:val="009E0064"/>
    <w:rsid w:val="009E0AE6"/>
    <w:rsid w:val="009E4BEF"/>
    <w:rsid w:val="009E5706"/>
    <w:rsid w:val="009E7CE6"/>
    <w:rsid w:val="009F1B50"/>
    <w:rsid w:val="009F28C3"/>
    <w:rsid w:val="009F5268"/>
    <w:rsid w:val="009F5CCA"/>
    <w:rsid w:val="009F696D"/>
    <w:rsid w:val="009F6BC6"/>
    <w:rsid w:val="009F7B14"/>
    <w:rsid w:val="00A008DF"/>
    <w:rsid w:val="00A01F69"/>
    <w:rsid w:val="00A0235A"/>
    <w:rsid w:val="00A0237E"/>
    <w:rsid w:val="00A0350E"/>
    <w:rsid w:val="00A05742"/>
    <w:rsid w:val="00A05A3D"/>
    <w:rsid w:val="00A05F57"/>
    <w:rsid w:val="00A066D5"/>
    <w:rsid w:val="00A070F6"/>
    <w:rsid w:val="00A1280B"/>
    <w:rsid w:val="00A12EF5"/>
    <w:rsid w:val="00A16CE6"/>
    <w:rsid w:val="00A16D38"/>
    <w:rsid w:val="00A1731D"/>
    <w:rsid w:val="00A17328"/>
    <w:rsid w:val="00A17790"/>
    <w:rsid w:val="00A2029A"/>
    <w:rsid w:val="00A20DD0"/>
    <w:rsid w:val="00A210C6"/>
    <w:rsid w:val="00A2121A"/>
    <w:rsid w:val="00A23A20"/>
    <w:rsid w:val="00A253A7"/>
    <w:rsid w:val="00A2583D"/>
    <w:rsid w:val="00A25A61"/>
    <w:rsid w:val="00A26063"/>
    <w:rsid w:val="00A268B9"/>
    <w:rsid w:val="00A2703A"/>
    <w:rsid w:val="00A30A6E"/>
    <w:rsid w:val="00A331A3"/>
    <w:rsid w:val="00A33DFF"/>
    <w:rsid w:val="00A344E9"/>
    <w:rsid w:val="00A35115"/>
    <w:rsid w:val="00A352F3"/>
    <w:rsid w:val="00A35E66"/>
    <w:rsid w:val="00A36D9A"/>
    <w:rsid w:val="00A371EF"/>
    <w:rsid w:val="00A3750C"/>
    <w:rsid w:val="00A411DF"/>
    <w:rsid w:val="00A41461"/>
    <w:rsid w:val="00A41C37"/>
    <w:rsid w:val="00A41E74"/>
    <w:rsid w:val="00A4549F"/>
    <w:rsid w:val="00A47451"/>
    <w:rsid w:val="00A52500"/>
    <w:rsid w:val="00A547B2"/>
    <w:rsid w:val="00A554AB"/>
    <w:rsid w:val="00A63796"/>
    <w:rsid w:val="00A6673F"/>
    <w:rsid w:val="00A71534"/>
    <w:rsid w:val="00A718D7"/>
    <w:rsid w:val="00A72D07"/>
    <w:rsid w:val="00A77708"/>
    <w:rsid w:val="00A82B05"/>
    <w:rsid w:val="00A84EF3"/>
    <w:rsid w:val="00A86DC5"/>
    <w:rsid w:val="00A87632"/>
    <w:rsid w:val="00A87BF3"/>
    <w:rsid w:val="00A91609"/>
    <w:rsid w:val="00A92B53"/>
    <w:rsid w:val="00A9414F"/>
    <w:rsid w:val="00A942D0"/>
    <w:rsid w:val="00A94B23"/>
    <w:rsid w:val="00A94FA6"/>
    <w:rsid w:val="00AA0C73"/>
    <w:rsid w:val="00AA0C83"/>
    <w:rsid w:val="00AA1CE6"/>
    <w:rsid w:val="00AA49A0"/>
    <w:rsid w:val="00AA64A8"/>
    <w:rsid w:val="00AA6710"/>
    <w:rsid w:val="00AA729E"/>
    <w:rsid w:val="00AA7DF4"/>
    <w:rsid w:val="00AB0681"/>
    <w:rsid w:val="00AB379D"/>
    <w:rsid w:val="00AB641B"/>
    <w:rsid w:val="00AB6510"/>
    <w:rsid w:val="00AB6E61"/>
    <w:rsid w:val="00AC0260"/>
    <w:rsid w:val="00AC030E"/>
    <w:rsid w:val="00AC377C"/>
    <w:rsid w:val="00AD0D38"/>
    <w:rsid w:val="00AD3307"/>
    <w:rsid w:val="00AD3A0E"/>
    <w:rsid w:val="00AD3BF3"/>
    <w:rsid w:val="00AD3CB1"/>
    <w:rsid w:val="00AD4C38"/>
    <w:rsid w:val="00AD520B"/>
    <w:rsid w:val="00AD7E2A"/>
    <w:rsid w:val="00AE1CB4"/>
    <w:rsid w:val="00AE43F0"/>
    <w:rsid w:val="00AE4D8E"/>
    <w:rsid w:val="00AE5359"/>
    <w:rsid w:val="00AE5487"/>
    <w:rsid w:val="00AE65D9"/>
    <w:rsid w:val="00AE6DA5"/>
    <w:rsid w:val="00AF0AB1"/>
    <w:rsid w:val="00AF1B2B"/>
    <w:rsid w:val="00AF1E60"/>
    <w:rsid w:val="00AF2321"/>
    <w:rsid w:val="00AF2B05"/>
    <w:rsid w:val="00AF30A7"/>
    <w:rsid w:val="00AF4907"/>
    <w:rsid w:val="00AF73C2"/>
    <w:rsid w:val="00B003A6"/>
    <w:rsid w:val="00B006C8"/>
    <w:rsid w:val="00B00CB3"/>
    <w:rsid w:val="00B01928"/>
    <w:rsid w:val="00B02744"/>
    <w:rsid w:val="00B029F6"/>
    <w:rsid w:val="00B02FD5"/>
    <w:rsid w:val="00B05A58"/>
    <w:rsid w:val="00B07468"/>
    <w:rsid w:val="00B10277"/>
    <w:rsid w:val="00B10DC1"/>
    <w:rsid w:val="00B115A0"/>
    <w:rsid w:val="00B11AF8"/>
    <w:rsid w:val="00B11FA3"/>
    <w:rsid w:val="00B1597A"/>
    <w:rsid w:val="00B165E2"/>
    <w:rsid w:val="00B1769D"/>
    <w:rsid w:val="00B20FE8"/>
    <w:rsid w:val="00B21387"/>
    <w:rsid w:val="00B214D3"/>
    <w:rsid w:val="00B21DD0"/>
    <w:rsid w:val="00B23F3D"/>
    <w:rsid w:val="00B241E3"/>
    <w:rsid w:val="00B2595D"/>
    <w:rsid w:val="00B3166A"/>
    <w:rsid w:val="00B34189"/>
    <w:rsid w:val="00B342B8"/>
    <w:rsid w:val="00B3479C"/>
    <w:rsid w:val="00B4073C"/>
    <w:rsid w:val="00B41C61"/>
    <w:rsid w:val="00B440AD"/>
    <w:rsid w:val="00B479F7"/>
    <w:rsid w:val="00B53E7E"/>
    <w:rsid w:val="00B558FE"/>
    <w:rsid w:val="00B55E64"/>
    <w:rsid w:val="00B56706"/>
    <w:rsid w:val="00B6188E"/>
    <w:rsid w:val="00B6342E"/>
    <w:rsid w:val="00B6430B"/>
    <w:rsid w:val="00B65420"/>
    <w:rsid w:val="00B65F75"/>
    <w:rsid w:val="00B668D0"/>
    <w:rsid w:val="00B67220"/>
    <w:rsid w:val="00B67A23"/>
    <w:rsid w:val="00B7113F"/>
    <w:rsid w:val="00B7423B"/>
    <w:rsid w:val="00B7470D"/>
    <w:rsid w:val="00B74B51"/>
    <w:rsid w:val="00B764B3"/>
    <w:rsid w:val="00B77C4E"/>
    <w:rsid w:val="00B82046"/>
    <w:rsid w:val="00B82532"/>
    <w:rsid w:val="00B827B6"/>
    <w:rsid w:val="00B828A2"/>
    <w:rsid w:val="00B842A1"/>
    <w:rsid w:val="00B84B36"/>
    <w:rsid w:val="00B84B39"/>
    <w:rsid w:val="00B90E0B"/>
    <w:rsid w:val="00B921B6"/>
    <w:rsid w:val="00B93996"/>
    <w:rsid w:val="00B93FAB"/>
    <w:rsid w:val="00B940C7"/>
    <w:rsid w:val="00B9579E"/>
    <w:rsid w:val="00B964B4"/>
    <w:rsid w:val="00B96F8B"/>
    <w:rsid w:val="00BA1D74"/>
    <w:rsid w:val="00BA2387"/>
    <w:rsid w:val="00BA32B0"/>
    <w:rsid w:val="00BA63C4"/>
    <w:rsid w:val="00BA73B6"/>
    <w:rsid w:val="00BA7E27"/>
    <w:rsid w:val="00BB04DC"/>
    <w:rsid w:val="00BB2603"/>
    <w:rsid w:val="00BB2D65"/>
    <w:rsid w:val="00BB4385"/>
    <w:rsid w:val="00BB48EB"/>
    <w:rsid w:val="00BB4D81"/>
    <w:rsid w:val="00BB4FCD"/>
    <w:rsid w:val="00BB724B"/>
    <w:rsid w:val="00BB7F08"/>
    <w:rsid w:val="00BC2DF3"/>
    <w:rsid w:val="00BC30B1"/>
    <w:rsid w:val="00BC3EEA"/>
    <w:rsid w:val="00BC3F21"/>
    <w:rsid w:val="00BC4D24"/>
    <w:rsid w:val="00BC7446"/>
    <w:rsid w:val="00BC79FF"/>
    <w:rsid w:val="00BD0431"/>
    <w:rsid w:val="00BD13EA"/>
    <w:rsid w:val="00BD1D95"/>
    <w:rsid w:val="00BD270A"/>
    <w:rsid w:val="00BD3068"/>
    <w:rsid w:val="00BD31B2"/>
    <w:rsid w:val="00BD40BD"/>
    <w:rsid w:val="00BD770B"/>
    <w:rsid w:val="00BE0552"/>
    <w:rsid w:val="00BE0EFA"/>
    <w:rsid w:val="00BE29DA"/>
    <w:rsid w:val="00BE3808"/>
    <w:rsid w:val="00BE5A0E"/>
    <w:rsid w:val="00BE6AEB"/>
    <w:rsid w:val="00BF264D"/>
    <w:rsid w:val="00BF46F4"/>
    <w:rsid w:val="00BF5BFE"/>
    <w:rsid w:val="00BF6C7F"/>
    <w:rsid w:val="00BF7C67"/>
    <w:rsid w:val="00BF7E3F"/>
    <w:rsid w:val="00C002C7"/>
    <w:rsid w:val="00C0107F"/>
    <w:rsid w:val="00C0546E"/>
    <w:rsid w:val="00C05EE9"/>
    <w:rsid w:val="00C062E9"/>
    <w:rsid w:val="00C0737C"/>
    <w:rsid w:val="00C07B64"/>
    <w:rsid w:val="00C13721"/>
    <w:rsid w:val="00C13E3D"/>
    <w:rsid w:val="00C17655"/>
    <w:rsid w:val="00C20D49"/>
    <w:rsid w:val="00C21D21"/>
    <w:rsid w:val="00C2255A"/>
    <w:rsid w:val="00C22695"/>
    <w:rsid w:val="00C2691D"/>
    <w:rsid w:val="00C2790D"/>
    <w:rsid w:val="00C3066D"/>
    <w:rsid w:val="00C33255"/>
    <w:rsid w:val="00C405A4"/>
    <w:rsid w:val="00C42283"/>
    <w:rsid w:val="00C4322D"/>
    <w:rsid w:val="00C43945"/>
    <w:rsid w:val="00C43F2E"/>
    <w:rsid w:val="00C44C87"/>
    <w:rsid w:val="00C45617"/>
    <w:rsid w:val="00C47238"/>
    <w:rsid w:val="00C474E9"/>
    <w:rsid w:val="00C50C0A"/>
    <w:rsid w:val="00C52DAF"/>
    <w:rsid w:val="00C53764"/>
    <w:rsid w:val="00C543F4"/>
    <w:rsid w:val="00C562F8"/>
    <w:rsid w:val="00C5632B"/>
    <w:rsid w:val="00C5635D"/>
    <w:rsid w:val="00C6056C"/>
    <w:rsid w:val="00C606D0"/>
    <w:rsid w:val="00C61755"/>
    <w:rsid w:val="00C62606"/>
    <w:rsid w:val="00C6291C"/>
    <w:rsid w:val="00C6303E"/>
    <w:rsid w:val="00C63386"/>
    <w:rsid w:val="00C633CB"/>
    <w:rsid w:val="00C657C1"/>
    <w:rsid w:val="00C6602E"/>
    <w:rsid w:val="00C733B4"/>
    <w:rsid w:val="00C75B96"/>
    <w:rsid w:val="00C75D4E"/>
    <w:rsid w:val="00C76271"/>
    <w:rsid w:val="00C77044"/>
    <w:rsid w:val="00C80031"/>
    <w:rsid w:val="00C80554"/>
    <w:rsid w:val="00C8169B"/>
    <w:rsid w:val="00C81D4A"/>
    <w:rsid w:val="00C821C3"/>
    <w:rsid w:val="00C82760"/>
    <w:rsid w:val="00C8762C"/>
    <w:rsid w:val="00C9080E"/>
    <w:rsid w:val="00C9176F"/>
    <w:rsid w:val="00C91CDC"/>
    <w:rsid w:val="00C93DDB"/>
    <w:rsid w:val="00C977C8"/>
    <w:rsid w:val="00CA00F9"/>
    <w:rsid w:val="00CA0228"/>
    <w:rsid w:val="00CA1405"/>
    <w:rsid w:val="00CA2961"/>
    <w:rsid w:val="00CA3700"/>
    <w:rsid w:val="00CA5D82"/>
    <w:rsid w:val="00CA5FE5"/>
    <w:rsid w:val="00CA668C"/>
    <w:rsid w:val="00CA7F0C"/>
    <w:rsid w:val="00CB0566"/>
    <w:rsid w:val="00CB29A3"/>
    <w:rsid w:val="00CB3409"/>
    <w:rsid w:val="00CB4D9D"/>
    <w:rsid w:val="00CB50D7"/>
    <w:rsid w:val="00CB7177"/>
    <w:rsid w:val="00CB79BB"/>
    <w:rsid w:val="00CC0DCC"/>
    <w:rsid w:val="00CC1998"/>
    <w:rsid w:val="00CC2F72"/>
    <w:rsid w:val="00CC3486"/>
    <w:rsid w:val="00CC4946"/>
    <w:rsid w:val="00CC51A1"/>
    <w:rsid w:val="00CC5AAC"/>
    <w:rsid w:val="00CC63FA"/>
    <w:rsid w:val="00CC7796"/>
    <w:rsid w:val="00CD2363"/>
    <w:rsid w:val="00CD405A"/>
    <w:rsid w:val="00CD5546"/>
    <w:rsid w:val="00CD7B40"/>
    <w:rsid w:val="00CE4B59"/>
    <w:rsid w:val="00CE5002"/>
    <w:rsid w:val="00CF0B48"/>
    <w:rsid w:val="00CF1A63"/>
    <w:rsid w:val="00CF21BB"/>
    <w:rsid w:val="00CF29C7"/>
    <w:rsid w:val="00CF309B"/>
    <w:rsid w:val="00CF3357"/>
    <w:rsid w:val="00CF3985"/>
    <w:rsid w:val="00CF476E"/>
    <w:rsid w:val="00CF5ED2"/>
    <w:rsid w:val="00CF7365"/>
    <w:rsid w:val="00CF7707"/>
    <w:rsid w:val="00D009D2"/>
    <w:rsid w:val="00D05A6C"/>
    <w:rsid w:val="00D05AC5"/>
    <w:rsid w:val="00D05DFC"/>
    <w:rsid w:val="00D06B67"/>
    <w:rsid w:val="00D124A8"/>
    <w:rsid w:val="00D126E1"/>
    <w:rsid w:val="00D138D7"/>
    <w:rsid w:val="00D16268"/>
    <w:rsid w:val="00D163BB"/>
    <w:rsid w:val="00D16658"/>
    <w:rsid w:val="00D23DE0"/>
    <w:rsid w:val="00D247AD"/>
    <w:rsid w:val="00D268A3"/>
    <w:rsid w:val="00D270A4"/>
    <w:rsid w:val="00D27FDF"/>
    <w:rsid w:val="00D31E8F"/>
    <w:rsid w:val="00D31FE9"/>
    <w:rsid w:val="00D320F9"/>
    <w:rsid w:val="00D33767"/>
    <w:rsid w:val="00D343C3"/>
    <w:rsid w:val="00D34E1B"/>
    <w:rsid w:val="00D376BA"/>
    <w:rsid w:val="00D40EFA"/>
    <w:rsid w:val="00D40F73"/>
    <w:rsid w:val="00D412EF"/>
    <w:rsid w:val="00D42528"/>
    <w:rsid w:val="00D43E60"/>
    <w:rsid w:val="00D45E8B"/>
    <w:rsid w:val="00D4745E"/>
    <w:rsid w:val="00D51727"/>
    <w:rsid w:val="00D53469"/>
    <w:rsid w:val="00D5568A"/>
    <w:rsid w:val="00D6244B"/>
    <w:rsid w:val="00D627EE"/>
    <w:rsid w:val="00D63C4E"/>
    <w:rsid w:val="00D63D73"/>
    <w:rsid w:val="00D64247"/>
    <w:rsid w:val="00D64452"/>
    <w:rsid w:val="00D65FA3"/>
    <w:rsid w:val="00D6635C"/>
    <w:rsid w:val="00D666EE"/>
    <w:rsid w:val="00D66E1E"/>
    <w:rsid w:val="00D7323C"/>
    <w:rsid w:val="00D743AC"/>
    <w:rsid w:val="00D74B9C"/>
    <w:rsid w:val="00D7503C"/>
    <w:rsid w:val="00D75722"/>
    <w:rsid w:val="00D80CF5"/>
    <w:rsid w:val="00D81DCB"/>
    <w:rsid w:val="00D824F7"/>
    <w:rsid w:val="00D82E9E"/>
    <w:rsid w:val="00D83EF6"/>
    <w:rsid w:val="00D844AD"/>
    <w:rsid w:val="00D9175B"/>
    <w:rsid w:val="00D93283"/>
    <w:rsid w:val="00D9342D"/>
    <w:rsid w:val="00D9445F"/>
    <w:rsid w:val="00D96E5C"/>
    <w:rsid w:val="00D97B37"/>
    <w:rsid w:val="00DA09CC"/>
    <w:rsid w:val="00DA0ABA"/>
    <w:rsid w:val="00DA0F26"/>
    <w:rsid w:val="00DA431E"/>
    <w:rsid w:val="00DA5BBA"/>
    <w:rsid w:val="00DA62C5"/>
    <w:rsid w:val="00DB18CD"/>
    <w:rsid w:val="00DB1E81"/>
    <w:rsid w:val="00DB216B"/>
    <w:rsid w:val="00DB3494"/>
    <w:rsid w:val="00DB376B"/>
    <w:rsid w:val="00DB3C4F"/>
    <w:rsid w:val="00DB55A2"/>
    <w:rsid w:val="00DB67C9"/>
    <w:rsid w:val="00DC0C95"/>
    <w:rsid w:val="00DC1001"/>
    <w:rsid w:val="00DC4527"/>
    <w:rsid w:val="00DC5991"/>
    <w:rsid w:val="00DC5A62"/>
    <w:rsid w:val="00DD32C8"/>
    <w:rsid w:val="00DD4AA1"/>
    <w:rsid w:val="00DD6580"/>
    <w:rsid w:val="00DD676E"/>
    <w:rsid w:val="00DD7899"/>
    <w:rsid w:val="00DE1372"/>
    <w:rsid w:val="00DE19D5"/>
    <w:rsid w:val="00DE1F8F"/>
    <w:rsid w:val="00DE25A5"/>
    <w:rsid w:val="00DE6C87"/>
    <w:rsid w:val="00DE6D4F"/>
    <w:rsid w:val="00DE6E8C"/>
    <w:rsid w:val="00DE6F6B"/>
    <w:rsid w:val="00DE71C0"/>
    <w:rsid w:val="00DF02CF"/>
    <w:rsid w:val="00DF09A7"/>
    <w:rsid w:val="00DF11E8"/>
    <w:rsid w:val="00DF153D"/>
    <w:rsid w:val="00DF26C3"/>
    <w:rsid w:val="00DF2BE3"/>
    <w:rsid w:val="00DF31D8"/>
    <w:rsid w:val="00DF33C8"/>
    <w:rsid w:val="00DF62D1"/>
    <w:rsid w:val="00E05EA2"/>
    <w:rsid w:val="00E062DA"/>
    <w:rsid w:val="00E1053D"/>
    <w:rsid w:val="00E12049"/>
    <w:rsid w:val="00E15DAA"/>
    <w:rsid w:val="00E170DB"/>
    <w:rsid w:val="00E17449"/>
    <w:rsid w:val="00E17C72"/>
    <w:rsid w:val="00E2011A"/>
    <w:rsid w:val="00E21FC6"/>
    <w:rsid w:val="00E22AA8"/>
    <w:rsid w:val="00E23B3D"/>
    <w:rsid w:val="00E252EF"/>
    <w:rsid w:val="00E25DE8"/>
    <w:rsid w:val="00E274CA"/>
    <w:rsid w:val="00E33A5F"/>
    <w:rsid w:val="00E33ED3"/>
    <w:rsid w:val="00E344EB"/>
    <w:rsid w:val="00E34A38"/>
    <w:rsid w:val="00E3762C"/>
    <w:rsid w:val="00E431A9"/>
    <w:rsid w:val="00E47130"/>
    <w:rsid w:val="00E47723"/>
    <w:rsid w:val="00E52C3E"/>
    <w:rsid w:val="00E53FB2"/>
    <w:rsid w:val="00E543EA"/>
    <w:rsid w:val="00E56A27"/>
    <w:rsid w:val="00E56ED2"/>
    <w:rsid w:val="00E57364"/>
    <w:rsid w:val="00E578C6"/>
    <w:rsid w:val="00E601F3"/>
    <w:rsid w:val="00E61CBC"/>
    <w:rsid w:val="00E63334"/>
    <w:rsid w:val="00E6393E"/>
    <w:rsid w:val="00E63D7B"/>
    <w:rsid w:val="00E65338"/>
    <w:rsid w:val="00E669E2"/>
    <w:rsid w:val="00E671CF"/>
    <w:rsid w:val="00E719BB"/>
    <w:rsid w:val="00E74AD7"/>
    <w:rsid w:val="00E76135"/>
    <w:rsid w:val="00E76498"/>
    <w:rsid w:val="00E76C31"/>
    <w:rsid w:val="00E7720A"/>
    <w:rsid w:val="00E81955"/>
    <w:rsid w:val="00E81D5D"/>
    <w:rsid w:val="00E82F4F"/>
    <w:rsid w:val="00E855A0"/>
    <w:rsid w:val="00E86FB0"/>
    <w:rsid w:val="00E871C3"/>
    <w:rsid w:val="00E919ED"/>
    <w:rsid w:val="00E9231D"/>
    <w:rsid w:val="00E933CD"/>
    <w:rsid w:val="00E9627C"/>
    <w:rsid w:val="00EA2D38"/>
    <w:rsid w:val="00EA46D6"/>
    <w:rsid w:val="00EA57A9"/>
    <w:rsid w:val="00EB11D2"/>
    <w:rsid w:val="00EB134F"/>
    <w:rsid w:val="00EB155C"/>
    <w:rsid w:val="00EB2CFC"/>
    <w:rsid w:val="00EB3AB0"/>
    <w:rsid w:val="00EB416E"/>
    <w:rsid w:val="00EB4AF0"/>
    <w:rsid w:val="00EB5100"/>
    <w:rsid w:val="00EB65E6"/>
    <w:rsid w:val="00EB7B6C"/>
    <w:rsid w:val="00EC0CA1"/>
    <w:rsid w:val="00EC0F96"/>
    <w:rsid w:val="00EC1BBD"/>
    <w:rsid w:val="00EC2747"/>
    <w:rsid w:val="00EC2844"/>
    <w:rsid w:val="00EC2FF0"/>
    <w:rsid w:val="00EC3620"/>
    <w:rsid w:val="00EC7EA8"/>
    <w:rsid w:val="00ED0723"/>
    <w:rsid w:val="00ED090C"/>
    <w:rsid w:val="00ED159D"/>
    <w:rsid w:val="00ED184F"/>
    <w:rsid w:val="00ED220F"/>
    <w:rsid w:val="00ED2717"/>
    <w:rsid w:val="00ED5A11"/>
    <w:rsid w:val="00ED6AE4"/>
    <w:rsid w:val="00ED7AA8"/>
    <w:rsid w:val="00ED7F48"/>
    <w:rsid w:val="00ED7FCA"/>
    <w:rsid w:val="00EE0123"/>
    <w:rsid w:val="00EE031C"/>
    <w:rsid w:val="00EE2863"/>
    <w:rsid w:val="00EE5B63"/>
    <w:rsid w:val="00EF2FF2"/>
    <w:rsid w:val="00EF4C3E"/>
    <w:rsid w:val="00EF5F48"/>
    <w:rsid w:val="00EF6C6C"/>
    <w:rsid w:val="00EF752E"/>
    <w:rsid w:val="00F00D7F"/>
    <w:rsid w:val="00F025DD"/>
    <w:rsid w:val="00F0384A"/>
    <w:rsid w:val="00F04A5A"/>
    <w:rsid w:val="00F05359"/>
    <w:rsid w:val="00F056FC"/>
    <w:rsid w:val="00F068A4"/>
    <w:rsid w:val="00F06975"/>
    <w:rsid w:val="00F0707B"/>
    <w:rsid w:val="00F07D9B"/>
    <w:rsid w:val="00F10476"/>
    <w:rsid w:val="00F120C0"/>
    <w:rsid w:val="00F127DB"/>
    <w:rsid w:val="00F13435"/>
    <w:rsid w:val="00F135D8"/>
    <w:rsid w:val="00F14037"/>
    <w:rsid w:val="00F146A0"/>
    <w:rsid w:val="00F15667"/>
    <w:rsid w:val="00F16C3D"/>
    <w:rsid w:val="00F22282"/>
    <w:rsid w:val="00F2298D"/>
    <w:rsid w:val="00F26346"/>
    <w:rsid w:val="00F302C4"/>
    <w:rsid w:val="00F3031D"/>
    <w:rsid w:val="00F3035A"/>
    <w:rsid w:val="00F306CE"/>
    <w:rsid w:val="00F30E8F"/>
    <w:rsid w:val="00F31299"/>
    <w:rsid w:val="00F31B43"/>
    <w:rsid w:val="00F3301B"/>
    <w:rsid w:val="00F3534A"/>
    <w:rsid w:val="00F355A0"/>
    <w:rsid w:val="00F36D45"/>
    <w:rsid w:val="00F37192"/>
    <w:rsid w:val="00F4191D"/>
    <w:rsid w:val="00F43624"/>
    <w:rsid w:val="00F43B5F"/>
    <w:rsid w:val="00F451A0"/>
    <w:rsid w:val="00F45445"/>
    <w:rsid w:val="00F46FED"/>
    <w:rsid w:val="00F47970"/>
    <w:rsid w:val="00F50D1F"/>
    <w:rsid w:val="00F512FF"/>
    <w:rsid w:val="00F5144C"/>
    <w:rsid w:val="00F54874"/>
    <w:rsid w:val="00F568B5"/>
    <w:rsid w:val="00F60155"/>
    <w:rsid w:val="00F61456"/>
    <w:rsid w:val="00F6165F"/>
    <w:rsid w:val="00F62F16"/>
    <w:rsid w:val="00F63B74"/>
    <w:rsid w:val="00F64861"/>
    <w:rsid w:val="00F6500B"/>
    <w:rsid w:val="00F66B08"/>
    <w:rsid w:val="00F71AA7"/>
    <w:rsid w:val="00F721D6"/>
    <w:rsid w:val="00F73EA9"/>
    <w:rsid w:val="00F75063"/>
    <w:rsid w:val="00F80ADC"/>
    <w:rsid w:val="00F82B1F"/>
    <w:rsid w:val="00F83AAC"/>
    <w:rsid w:val="00F840EC"/>
    <w:rsid w:val="00F84822"/>
    <w:rsid w:val="00F85325"/>
    <w:rsid w:val="00F85540"/>
    <w:rsid w:val="00F8655C"/>
    <w:rsid w:val="00F86C2A"/>
    <w:rsid w:val="00F86C39"/>
    <w:rsid w:val="00F919B7"/>
    <w:rsid w:val="00F93A23"/>
    <w:rsid w:val="00F9750F"/>
    <w:rsid w:val="00FA1579"/>
    <w:rsid w:val="00FA18A9"/>
    <w:rsid w:val="00FA3678"/>
    <w:rsid w:val="00FA3C13"/>
    <w:rsid w:val="00FA5680"/>
    <w:rsid w:val="00FB0EE0"/>
    <w:rsid w:val="00FB1CCE"/>
    <w:rsid w:val="00FB2332"/>
    <w:rsid w:val="00FB4856"/>
    <w:rsid w:val="00FB4EAA"/>
    <w:rsid w:val="00FB5295"/>
    <w:rsid w:val="00FB784C"/>
    <w:rsid w:val="00FC09F0"/>
    <w:rsid w:val="00FC3656"/>
    <w:rsid w:val="00FC3E11"/>
    <w:rsid w:val="00FC574F"/>
    <w:rsid w:val="00FC5B1F"/>
    <w:rsid w:val="00FD0FDA"/>
    <w:rsid w:val="00FD1E47"/>
    <w:rsid w:val="00FD22B1"/>
    <w:rsid w:val="00FD2A79"/>
    <w:rsid w:val="00FD2E2D"/>
    <w:rsid w:val="00FD3B0F"/>
    <w:rsid w:val="00FD4589"/>
    <w:rsid w:val="00FD49C9"/>
    <w:rsid w:val="00FD55E9"/>
    <w:rsid w:val="00FD67B2"/>
    <w:rsid w:val="00FD6E9B"/>
    <w:rsid w:val="00FD70A2"/>
    <w:rsid w:val="00FD7845"/>
    <w:rsid w:val="00FE00EA"/>
    <w:rsid w:val="00FE10BB"/>
    <w:rsid w:val="00FE1E10"/>
    <w:rsid w:val="00FE24F3"/>
    <w:rsid w:val="00FE344A"/>
    <w:rsid w:val="00FE3738"/>
    <w:rsid w:val="00FE47D9"/>
    <w:rsid w:val="00FE5F7D"/>
    <w:rsid w:val="00FE6087"/>
    <w:rsid w:val="00FF03C5"/>
    <w:rsid w:val="00FF03FF"/>
    <w:rsid w:val="00FF07DB"/>
    <w:rsid w:val="00FF166E"/>
    <w:rsid w:val="00FF2D0D"/>
    <w:rsid w:val="00FF3742"/>
    <w:rsid w:val="00FF5506"/>
    <w:rsid w:val="00FF7B16"/>
    <w:rsid w:val="00FF7F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14D40"/>
    <w:rPr>
      <w:sz w:val="26"/>
      <w:szCs w:val="24"/>
    </w:rPr>
  </w:style>
  <w:style w:type="paragraph" w:styleId="Heading1">
    <w:name w:val="heading 1"/>
    <w:basedOn w:val="BodyText"/>
    <w:next w:val="BodyText"/>
    <w:rsid w:val="00814D4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14D4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14D40"/>
    <w:pPr>
      <w:spacing w:before="560" w:line="320" w:lineRule="exact"/>
      <w:ind w:left="0" w:firstLine="0"/>
      <w:outlineLvl w:val="2"/>
    </w:pPr>
    <w:rPr>
      <w:sz w:val="26"/>
    </w:rPr>
  </w:style>
  <w:style w:type="paragraph" w:styleId="Heading4">
    <w:name w:val="heading 4"/>
    <w:basedOn w:val="Heading3"/>
    <w:next w:val="BodyText"/>
    <w:link w:val="Heading4Char"/>
    <w:qFormat/>
    <w:rsid w:val="00814D40"/>
    <w:pPr>
      <w:spacing w:before="480"/>
      <w:outlineLvl w:val="3"/>
    </w:pPr>
    <w:rPr>
      <w:b w:val="0"/>
      <w:i/>
      <w:sz w:val="24"/>
    </w:rPr>
  </w:style>
  <w:style w:type="paragraph" w:styleId="Heading5">
    <w:name w:val="heading 5"/>
    <w:basedOn w:val="Heading4"/>
    <w:next w:val="BodyText"/>
    <w:qFormat/>
    <w:rsid w:val="00814D40"/>
    <w:pPr>
      <w:outlineLvl w:val="4"/>
    </w:pPr>
    <w:rPr>
      <w:rFonts w:ascii="Times New Roman" w:hAnsi="Times New Roman"/>
      <w:sz w:val="26"/>
    </w:rPr>
  </w:style>
  <w:style w:type="paragraph" w:styleId="Heading6">
    <w:name w:val="heading 6"/>
    <w:basedOn w:val="BodyText"/>
    <w:next w:val="BodyText"/>
    <w:rsid w:val="00814D40"/>
    <w:pPr>
      <w:spacing w:after="60"/>
      <w:jc w:val="left"/>
      <w:outlineLvl w:val="5"/>
    </w:pPr>
    <w:rPr>
      <w:i/>
      <w:sz w:val="22"/>
    </w:rPr>
  </w:style>
  <w:style w:type="paragraph" w:styleId="Heading7">
    <w:name w:val="heading 7"/>
    <w:basedOn w:val="BodyText"/>
    <w:next w:val="BodyText"/>
    <w:rsid w:val="00814D40"/>
    <w:pPr>
      <w:spacing w:after="60" w:line="240" w:lineRule="auto"/>
      <w:jc w:val="left"/>
      <w:outlineLvl w:val="6"/>
    </w:pPr>
    <w:rPr>
      <w:rFonts w:ascii="Arial" w:hAnsi="Arial"/>
      <w:sz w:val="20"/>
    </w:rPr>
  </w:style>
  <w:style w:type="paragraph" w:styleId="Heading8">
    <w:name w:val="heading 8"/>
    <w:basedOn w:val="BodyText"/>
    <w:next w:val="BodyText"/>
    <w:rsid w:val="00814D40"/>
    <w:pPr>
      <w:spacing w:after="60" w:line="240" w:lineRule="auto"/>
      <w:jc w:val="left"/>
      <w:outlineLvl w:val="7"/>
    </w:pPr>
    <w:rPr>
      <w:rFonts w:ascii="Arial" w:hAnsi="Arial"/>
      <w:i/>
      <w:sz w:val="20"/>
    </w:rPr>
  </w:style>
  <w:style w:type="paragraph" w:styleId="Heading9">
    <w:name w:val="heading 9"/>
    <w:basedOn w:val="BodyText"/>
    <w:next w:val="BodyText"/>
    <w:rsid w:val="00814D4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14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D40"/>
  </w:style>
  <w:style w:type="paragraph" w:styleId="BodyText">
    <w:name w:val="Body Text"/>
    <w:link w:val="BodyTextChar"/>
    <w:qFormat/>
    <w:rsid w:val="00814D40"/>
    <w:pPr>
      <w:spacing w:before="240" w:line="320" w:lineRule="atLeast"/>
      <w:jc w:val="both"/>
    </w:pPr>
    <w:rPr>
      <w:sz w:val="26"/>
    </w:rPr>
  </w:style>
  <w:style w:type="paragraph" w:styleId="Footer">
    <w:name w:val="footer"/>
    <w:basedOn w:val="BodyText"/>
    <w:semiHidden/>
    <w:rsid w:val="00814D40"/>
    <w:pPr>
      <w:spacing w:before="80" w:line="200" w:lineRule="exact"/>
      <w:ind w:right="6"/>
      <w:jc w:val="left"/>
    </w:pPr>
    <w:rPr>
      <w:caps/>
      <w:spacing w:val="-4"/>
      <w:sz w:val="16"/>
    </w:rPr>
  </w:style>
  <w:style w:type="paragraph" w:customStyle="1" w:styleId="FooterEnd">
    <w:name w:val="Footer End"/>
    <w:basedOn w:val="Footer"/>
    <w:rsid w:val="00814D40"/>
    <w:pPr>
      <w:spacing w:before="0" w:line="20" w:lineRule="exact"/>
    </w:pPr>
  </w:style>
  <w:style w:type="paragraph" w:styleId="Header">
    <w:name w:val="header"/>
    <w:basedOn w:val="BodyText"/>
    <w:rsid w:val="00814D4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14D40"/>
    <w:pPr>
      <w:spacing w:line="20" w:lineRule="exact"/>
    </w:pPr>
    <w:rPr>
      <w:sz w:val="16"/>
    </w:rPr>
  </w:style>
  <w:style w:type="paragraph" w:customStyle="1" w:styleId="HeaderEven">
    <w:name w:val="Header Even"/>
    <w:basedOn w:val="Header"/>
    <w:semiHidden/>
    <w:rsid w:val="00814D40"/>
  </w:style>
  <w:style w:type="paragraph" w:customStyle="1" w:styleId="HeaderOdd">
    <w:name w:val="Header Odd"/>
    <w:basedOn w:val="Header"/>
    <w:semiHidden/>
    <w:rsid w:val="00814D40"/>
  </w:style>
  <w:style w:type="character" w:styleId="PageNumber">
    <w:name w:val="page number"/>
    <w:basedOn w:val="DefaultParagraphFont"/>
    <w:rsid w:val="00814D40"/>
    <w:rPr>
      <w:rFonts w:ascii="Arial" w:hAnsi="Arial"/>
      <w:b/>
      <w:sz w:val="16"/>
    </w:rPr>
  </w:style>
  <w:style w:type="paragraph" w:customStyle="1" w:styleId="Abbreviation">
    <w:name w:val="Abbreviation"/>
    <w:basedOn w:val="BodyText"/>
    <w:rsid w:val="00814D40"/>
    <w:pPr>
      <w:spacing w:before="120"/>
      <w:ind w:left="2381" w:hanging="2381"/>
      <w:jc w:val="left"/>
    </w:pPr>
  </w:style>
  <w:style w:type="paragraph" w:customStyle="1" w:styleId="Box">
    <w:name w:val="Box"/>
    <w:basedOn w:val="BodyText"/>
    <w:qFormat/>
    <w:rsid w:val="00814D40"/>
    <w:pPr>
      <w:keepNext/>
      <w:spacing w:before="120" w:line="280" w:lineRule="atLeast"/>
    </w:pPr>
    <w:rPr>
      <w:rFonts w:ascii="Arial" w:hAnsi="Arial"/>
      <w:sz w:val="22"/>
    </w:rPr>
  </w:style>
  <w:style w:type="paragraph" w:customStyle="1" w:styleId="BoxContinued">
    <w:name w:val="Box Continued"/>
    <w:basedOn w:val="BodyText"/>
    <w:next w:val="BodyText"/>
    <w:semiHidden/>
    <w:rsid w:val="00814D40"/>
    <w:pPr>
      <w:spacing w:before="180" w:line="220" w:lineRule="exact"/>
      <w:jc w:val="right"/>
    </w:pPr>
    <w:rPr>
      <w:rFonts w:ascii="Arial" w:hAnsi="Arial"/>
      <w:sz w:val="18"/>
    </w:rPr>
  </w:style>
  <w:style w:type="paragraph" w:customStyle="1" w:styleId="BoxHeading1">
    <w:name w:val="Box Heading 1"/>
    <w:basedOn w:val="BodyText"/>
    <w:next w:val="Box"/>
    <w:rsid w:val="00814D40"/>
    <w:pPr>
      <w:keepNext/>
      <w:spacing w:before="200" w:line="280" w:lineRule="atLeast"/>
    </w:pPr>
    <w:rPr>
      <w:rFonts w:ascii="Arial" w:hAnsi="Arial"/>
      <w:b/>
      <w:sz w:val="22"/>
    </w:rPr>
  </w:style>
  <w:style w:type="paragraph" w:customStyle="1" w:styleId="BoxHeading2">
    <w:name w:val="Box Heading 2"/>
    <w:basedOn w:val="BoxHeading1"/>
    <w:next w:val="Normal"/>
    <w:rsid w:val="00814D40"/>
    <w:rPr>
      <w:b w:val="0"/>
      <w:i/>
    </w:rPr>
  </w:style>
  <w:style w:type="paragraph" w:customStyle="1" w:styleId="BoxListBullet">
    <w:name w:val="Box List Bullet"/>
    <w:basedOn w:val="BodyText"/>
    <w:rsid w:val="00814D40"/>
    <w:pPr>
      <w:keepNext/>
      <w:numPr>
        <w:numId w:val="1"/>
      </w:numPr>
      <w:spacing w:before="60" w:line="280" w:lineRule="atLeast"/>
    </w:pPr>
    <w:rPr>
      <w:rFonts w:ascii="Arial" w:hAnsi="Arial"/>
      <w:sz w:val="22"/>
    </w:rPr>
  </w:style>
  <w:style w:type="paragraph" w:customStyle="1" w:styleId="BoxListBullet2">
    <w:name w:val="Box List Bullet 2"/>
    <w:basedOn w:val="BodyText"/>
    <w:rsid w:val="00814D40"/>
    <w:pPr>
      <w:keepNext/>
      <w:numPr>
        <w:numId w:val="2"/>
      </w:numPr>
      <w:spacing w:before="60" w:line="280" w:lineRule="atLeast"/>
    </w:pPr>
    <w:rPr>
      <w:rFonts w:ascii="Arial" w:hAnsi="Arial"/>
      <w:sz w:val="22"/>
    </w:rPr>
  </w:style>
  <w:style w:type="paragraph" w:customStyle="1" w:styleId="BoxListNumber">
    <w:name w:val="Box List Number"/>
    <w:basedOn w:val="BodyText"/>
    <w:rsid w:val="00814D4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14D40"/>
    <w:pPr>
      <w:numPr>
        <w:ilvl w:val="1"/>
      </w:numPr>
    </w:pPr>
  </w:style>
  <w:style w:type="paragraph" w:customStyle="1" w:styleId="BoxQuote">
    <w:name w:val="Box Quote"/>
    <w:basedOn w:val="BodyText"/>
    <w:next w:val="Box"/>
    <w:rsid w:val="00814D40"/>
    <w:pPr>
      <w:keepNext/>
      <w:spacing w:before="60" w:line="260" w:lineRule="exact"/>
      <w:ind w:left="284"/>
    </w:pPr>
    <w:rPr>
      <w:rFonts w:ascii="Arial" w:hAnsi="Arial"/>
      <w:sz w:val="20"/>
    </w:rPr>
  </w:style>
  <w:style w:type="paragraph" w:customStyle="1" w:styleId="Note">
    <w:name w:val="Note"/>
    <w:basedOn w:val="BodyText"/>
    <w:next w:val="BodyText"/>
    <w:rsid w:val="00814D40"/>
    <w:pPr>
      <w:keepLines/>
      <w:spacing w:before="80" w:line="220" w:lineRule="exact"/>
    </w:pPr>
    <w:rPr>
      <w:rFonts w:ascii="Arial" w:hAnsi="Arial"/>
      <w:sz w:val="18"/>
    </w:rPr>
  </w:style>
  <w:style w:type="paragraph" w:customStyle="1" w:styleId="Source">
    <w:name w:val="Source"/>
    <w:basedOn w:val="Note"/>
    <w:next w:val="BodyText"/>
    <w:rsid w:val="00814D40"/>
    <w:pPr>
      <w:spacing w:after="120"/>
    </w:pPr>
  </w:style>
  <w:style w:type="paragraph" w:customStyle="1" w:styleId="BoxSource">
    <w:name w:val="Box Source"/>
    <w:basedOn w:val="Source"/>
    <w:next w:val="BodyText"/>
    <w:rsid w:val="00814D40"/>
    <w:pPr>
      <w:spacing w:before="180" w:after="0"/>
    </w:pPr>
  </w:style>
  <w:style w:type="paragraph" w:customStyle="1" w:styleId="BoxSpace">
    <w:name w:val="Box Space"/>
    <w:basedOn w:val="BodyText"/>
    <w:rsid w:val="00027B48"/>
    <w:pPr>
      <w:keepNext/>
      <w:spacing w:before="360" w:line="80" w:lineRule="exact"/>
      <w:jc w:val="left"/>
    </w:pPr>
  </w:style>
  <w:style w:type="paragraph" w:styleId="Caption">
    <w:name w:val="caption"/>
    <w:basedOn w:val="Normal"/>
    <w:next w:val="BodyText"/>
    <w:rsid w:val="00814D4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14D40"/>
    <w:pPr>
      <w:spacing w:before="120" w:after="0"/>
      <w:ind w:left="1304" w:hanging="1304"/>
    </w:pPr>
    <w:rPr>
      <w:sz w:val="24"/>
    </w:rPr>
  </w:style>
  <w:style w:type="paragraph" w:customStyle="1" w:styleId="BoxSubtitle">
    <w:name w:val="Box Subtitle"/>
    <w:basedOn w:val="BoxTitle"/>
    <w:next w:val="Normal"/>
    <w:rsid w:val="00814D40"/>
    <w:pPr>
      <w:spacing w:after="80" w:line="200" w:lineRule="exact"/>
      <w:ind w:firstLine="0"/>
    </w:pPr>
    <w:rPr>
      <w:b w:val="0"/>
      <w:sz w:val="20"/>
    </w:rPr>
  </w:style>
  <w:style w:type="paragraph" w:customStyle="1" w:styleId="Chapter">
    <w:name w:val="Chapter"/>
    <w:basedOn w:val="Heading1"/>
    <w:next w:val="BodyText"/>
    <w:semiHidden/>
    <w:rsid w:val="00814D40"/>
    <w:pPr>
      <w:ind w:left="0" w:firstLine="0"/>
      <w:outlineLvl w:val="9"/>
    </w:pPr>
  </w:style>
  <w:style w:type="paragraph" w:customStyle="1" w:styleId="ChapterSummary">
    <w:name w:val="Chapter Summary"/>
    <w:basedOn w:val="BodyText"/>
    <w:rsid w:val="00814D40"/>
    <w:pPr>
      <w:ind w:left="907"/>
    </w:pPr>
    <w:rPr>
      <w:rFonts w:ascii="Arial" w:hAnsi="Arial"/>
      <w:b/>
      <w:sz w:val="22"/>
    </w:rPr>
  </w:style>
  <w:style w:type="character" w:styleId="CommentReference">
    <w:name w:val="annotation reference"/>
    <w:basedOn w:val="DefaultParagraphFont"/>
    <w:semiHidden/>
    <w:rsid w:val="00814D40"/>
    <w:rPr>
      <w:b/>
      <w:vanish/>
      <w:color w:val="FF00FF"/>
      <w:sz w:val="20"/>
    </w:rPr>
  </w:style>
  <w:style w:type="paragraph" w:styleId="CommentText">
    <w:name w:val="annotation text"/>
    <w:basedOn w:val="Normal"/>
    <w:link w:val="CommentTextChar"/>
    <w:semiHidden/>
    <w:rsid w:val="00814D40"/>
    <w:pPr>
      <w:spacing w:before="120" w:line="240" w:lineRule="atLeast"/>
      <w:ind w:left="567" w:hanging="567"/>
    </w:pPr>
    <w:rPr>
      <w:sz w:val="20"/>
    </w:rPr>
  </w:style>
  <w:style w:type="paragraph" w:customStyle="1" w:styleId="Continued">
    <w:name w:val="Continued"/>
    <w:basedOn w:val="BoxContinued"/>
    <w:next w:val="BodyText"/>
    <w:rsid w:val="00814D40"/>
  </w:style>
  <w:style w:type="character" w:customStyle="1" w:styleId="DocumentInfo">
    <w:name w:val="Document Info"/>
    <w:basedOn w:val="DefaultParagraphFont"/>
    <w:semiHidden/>
    <w:rsid w:val="00814D40"/>
    <w:rPr>
      <w:rFonts w:ascii="Arial" w:hAnsi="Arial"/>
      <w:sz w:val="14"/>
    </w:rPr>
  </w:style>
  <w:style w:type="character" w:customStyle="1" w:styleId="DraftingNote">
    <w:name w:val="Drafting Note"/>
    <w:basedOn w:val="DefaultParagraphFont"/>
    <w:rsid w:val="00814D40"/>
    <w:rPr>
      <w:b/>
      <w:color w:val="FF0000"/>
      <w:sz w:val="24"/>
      <w:u w:val="dotted"/>
    </w:rPr>
  </w:style>
  <w:style w:type="paragraph" w:customStyle="1" w:styleId="Figure">
    <w:name w:val="Figure"/>
    <w:basedOn w:val="BodyText"/>
    <w:rsid w:val="00814D40"/>
    <w:pPr>
      <w:keepNext/>
      <w:spacing w:before="120" w:after="120" w:line="240" w:lineRule="atLeast"/>
      <w:jc w:val="center"/>
    </w:pPr>
  </w:style>
  <w:style w:type="paragraph" w:customStyle="1" w:styleId="FigureTitle">
    <w:name w:val="Figure Title"/>
    <w:basedOn w:val="Caption"/>
    <w:next w:val="Subtitle"/>
    <w:rsid w:val="00814D40"/>
    <w:rPr>
      <w:sz w:val="24"/>
    </w:rPr>
  </w:style>
  <w:style w:type="paragraph" w:styleId="Subtitle">
    <w:name w:val="Subtitle"/>
    <w:basedOn w:val="Caption"/>
    <w:link w:val="SubtitleChar"/>
    <w:rsid w:val="00814D40"/>
    <w:pPr>
      <w:spacing w:before="0" w:line="200" w:lineRule="exact"/>
      <w:ind w:firstLine="0"/>
    </w:pPr>
    <w:rPr>
      <w:b w:val="0"/>
      <w:sz w:val="20"/>
    </w:rPr>
  </w:style>
  <w:style w:type="paragraph" w:customStyle="1" w:styleId="Finding">
    <w:name w:val="Finding"/>
    <w:basedOn w:val="BodyText"/>
    <w:rsid w:val="00814D40"/>
    <w:pPr>
      <w:keepLines/>
      <w:spacing w:before="180"/>
    </w:pPr>
    <w:rPr>
      <w:i/>
    </w:rPr>
  </w:style>
  <w:style w:type="paragraph" w:customStyle="1" w:styleId="FindingBullet">
    <w:name w:val="Finding Bullet"/>
    <w:basedOn w:val="Finding"/>
    <w:rsid w:val="00814D40"/>
    <w:pPr>
      <w:numPr>
        <w:numId w:val="3"/>
      </w:numPr>
      <w:spacing w:before="80"/>
    </w:pPr>
  </w:style>
  <w:style w:type="paragraph" w:customStyle="1" w:styleId="FindingNoTitle">
    <w:name w:val="Finding NoTitle"/>
    <w:basedOn w:val="Finding"/>
    <w:rsid w:val="00814D40"/>
    <w:pPr>
      <w:spacing w:before="240"/>
    </w:pPr>
  </w:style>
  <w:style w:type="paragraph" w:customStyle="1" w:styleId="RecTitle">
    <w:name w:val="Rec Title"/>
    <w:basedOn w:val="BodyText"/>
    <w:next w:val="Normal"/>
    <w:rsid w:val="00814D40"/>
    <w:pPr>
      <w:keepNext/>
      <w:keepLines/>
    </w:pPr>
    <w:rPr>
      <w:caps/>
      <w:sz w:val="20"/>
    </w:rPr>
  </w:style>
  <w:style w:type="paragraph" w:customStyle="1" w:styleId="FindingTitle">
    <w:name w:val="Finding Title"/>
    <w:basedOn w:val="RecTitle"/>
    <w:next w:val="Finding"/>
    <w:rsid w:val="00814D40"/>
    <w:pPr>
      <w:framePr w:wrap="notBeside" w:hAnchor="text"/>
    </w:pPr>
  </w:style>
  <w:style w:type="character" w:styleId="FootnoteReference">
    <w:name w:val="footnote reference"/>
    <w:basedOn w:val="DefaultParagraphFont"/>
    <w:semiHidden/>
    <w:rsid w:val="00814D40"/>
    <w:rPr>
      <w:rFonts w:ascii="Times New Roman" w:hAnsi="Times New Roman"/>
      <w:position w:val="6"/>
      <w:sz w:val="22"/>
      <w:vertAlign w:val="baseline"/>
    </w:rPr>
  </w:style>
  <w:style w:type="paragraph" w:styleId="FootnoteText">
    <w:name w:val="footnote text"/>
    <w:basedOn w:val="BodyText"/>
    <w:link w:val="FootnoteTextChar"/>
    <w:rsid w:val="00814D4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814D40"/>
    <w:pPr>
      <w:spacing w:before="360" w:after="120"/>
    </w:pPr>
    <w:rPr>
      <w:rFonts w:ascii="Arial" w:hAnsi="Arial"/>
      <w:sz w:val="24"/>
    </w:rPr>
  </w:style>
  <w:style w:type="paragraph" w:customStyle="1" w:styleId="Jurisdictioncommentsbodytext">
    <w:name w:val="Jurisdiction comments body text"/>
    <w:rsid w:val="00814D40"/>
    <w:pPr>
      <w:spacing w:after="140"/>
      <w:jc w:val="both"/>
    </w:pPr>
    <w:rPr>
      <w:rFonts w:ascii="Arial" w:hAnsi="Arial"/>
      <w:sz w:val="24"/>
      <w:lang w:eastAsia="en-US"/>
    </w:rPr>
  </w:style>
  <w:style w:type="paragraph" w:customStyle="1" w:styleId="Jurisdictioncommentsheading">
    <w:name w:val="Jurisdiction comments heading"/>
    <w:rsid w:val="00814D4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14D40"/>
    <w:pPr>
      <w:numPr>
        <w:numId w:val="4"/>
      </w:numPr>
      <w:spacing w:after="140"/>
      <w:jc w:val="both"/>
    </w:pPr>
    <w:rPr>
      <w:rFonts w:ascii="Arial" w:hAnsi="Arial"/>
      <w:sz w:val="24"/>
      <w:lang w:eastAsia="en-US"/>
    </w:rPr>
  </w:style>
  <w:style w:type="paragraph" w:styleId="ListBullet">
    <w:name w:val="List Bullet"/>
    <w:basedOn w:val="BodyText"/>
    <w:rsid w:val="00814D40"/>
    <w:pPr>
      <w:numPr>
        <w:numId w:val="6"/>
      </w:numPr>
      <w:spacing w:before="120"/>
    </w:pPr>
  </w:style>
  <w:style w:type="paragraph" w:styleId="ListBullet2">
    <w:name w:val="List Bullet 2"/>
    <w:basedOn w:val="BodyText"/>
    <w:rsid w:val="00814D40"/>
    <w:pPr>
      <w:numPr>
        <w:numId w:val="8"/>
      </w:numPr>
      <w:spacing w:before="120"/>
    </w:pPr>
  </w:style>
  <w:style w:type="paragraph" w:styleId="ListBullet3">
    <w:name w:val="List Bullet 3"/>
    <w:basedOn w:val="BodyText"/>
    <w:rsid w:val="00814D40"/>
    <w:pPr>
      <w:numPr>
        <w:numId w:val="10"/>
      </w:numPr>
      <w:spacing w:before="120"/>
    </w:pPr>
  </w:style>
  <w:style w:type="paragraph" w:styleId="ListNumber">
    <w:name w:val="List Number"/>
    <w:basedOn w:val="BodyText"/>
    <w:rsid w:val="00814D40"/>
    <w:pPr>
      <w:numPr>
        <w:numId w:val="32"/>
      </w:numPr>
      <w:spacing w:before="120"/>
    </w:pPr>
  </w:style>
  <w:style w:type="paragraph" w:styleId="ListNumber2">
    <w:name w:val="List Number 2"/>
    <w:basedOn w:val="ListNumber"/>
    <w:rsid w:val="00814D40"/>
    <w:pPr>
      <w:numPr>
        <w:ilvl w:val="1"/>
      </w:numPr>
    </w:pPr>
  </w:style>
  <w:style w:type="paragraph" w:styleId="ListNumber3">
    <w:name w:val="List Number 3"/>
    <w:basedOn w:val="ListNumber2"/>
    <w:rsid w:val="00814D40"/>
    <w:pPr>
      <w:numPr>
        <w:ilvl w:val="2"/>
      </w:numPr>
    </w:pPr>
  </w:style>
  <w:style w:type="character" w:customStyle="1" w:styleId="NoteLabel">
    <w:name w:val="Note Label"/>
    <w:basedOn w:val="DefaultParagraphFont"/>
    <w:rsid w:val="00814D40"/>
    <w:rPr>
      <w:rFonts w:ascii="Arial" w:hAnsi="Arial"/>
      <w:b/>
      <w:position w:val="6"/>
      <w:sz w:val="18"/>
    </w:rPr>
  </w:style>
  <w:style w:type="paragraph" w:customStyle="1" w:styleId="PartDivider">
    <w:name w:val="Part Divider"/>
    <w:basedOn w:val="BodyText"/>
    <w:next w:val="BodyText"/>
    <w:semiHidden/>
    <w:rsid w:val="00814D40"/>
    <w:pPr>
      <w:spacing w:before="0" w:line="40" w:lineRule="exact"/>
      <w:jc w:val="right"/>
    </w:pPr>
    <w:rPr>
      <w:smallCaps/>
      <w:sz w:val="16"/>
    </w:rPr>
  </w:style>
  <w:style w:type="paragraph" w:customStyle="1" w:styleId="PartNumber">
    <w:name w:val="Part Number"/>
    <w:basedOn w:val="BodyText"/>
    <w:next w:val="BodyText"/>
    <w:semiHidden/>
    <w:rsid w:val="00814D40"/>
    <w:pPr>
      <w:spacing w:before="4000" w:line="320" w:lineRule="exact"/>
      <w:ind w:left="6634"/>
      <w:jc w:val="right"/>
    </w:pPr>
    <w:rPr>
      <w:smallCaps/>
      <w:spacing w:val="60"/>
      <w:sz w:val="32"/>
    </w:rPr>
  </w:style>
  <w:style w:type="paragraph" w:customStyle="1" w:styleId="PartTitle">
    <w:name w:val="Part Title"/>
    <w:basedOn w:val="BodyText"/>
    <w:semiHidden/>
    <w:rsid w:val="00814D40"/>
    <w:pPr>
      <w:spacing w:before="160" w:after="1360" w:line="520" w:lineRule="exact"/>
      <w:ind w:right="2381"/>
      <w:jc w:val="right"/>
    </w:pPr>
    <w:rPr>
      <w:smallCaps/>
      <w:sz w:val="52"/>
    </w:rPr>
  </w:style>
  <w:style w:type="paragraph" w:styleId="Quote">
    <w:name w:val="Quote"/>
    <w:basedOn w:val="BodyText"/>
    <w:next w:val="BodyText"/>
    <w:qFormat/>
    <w:rsid w:val="00814D40"/>
    <w:pPr>
      <w:spacing w:before="120" w:line="280" w:lineRule="exact"/>
      <w:ind w:left="340"/>
    </w:pPr>
    <w:rPr>
      <w:sz w:val="24"/>
    </w:rPr>
  </w:style>
  <w:style w:type="paragraph" w:customStyle="1" w:styleId="QuoteBullet">
    <w:name w:val="Quote Bullet"/>
    <w:basedOn w:val="Quote"/>
    <w:rsid w:val="00814D40"/>
    <w:pPr>
      <w:numPr>
        <w:numId w:val="14"/>
      </w:numPr>
    </w:pPr>
  </w:style>
  <w:style w:type="paragraph" w:customStyle="1" w:styleId="Rec">
    <w:name w:val="Rec"/>
    <w:basedOn w:val="BodyText"/>
    <w:rsid w:val="00814D40"/>
    <w:pPr>
      <w:keepLines/>
      <w:spacing w:before="180"/>
    </w:pPr>
    <w:rPr>
      <w:b/>
      <w:i/>
    </w:rPr>
  </w:style>
  <w:style w:type="paragraph" w:customStyle="1" w:styleId="RecBullet">
    <w:name w:val="Rec Bullet"/>
    <w:basedOn w:val="Rec"/>
    <w:rsid w:val="00814D40"/>
    <w:pPr>
      <w:numPr>
        <w:numId w:val="15"/>
      </w:numPr>
      <w:spacing w:before="80"/>
    </w:pPr>
  </w:style>
  <w:style w:type="paragraph" w:customStyle="1" w:styleId="RecB">
    <w:name w:val="RecB"/>
    <w:basedOn w:val="Normal"/>
    <w:semiHidden/>
    <w:rsid w:val="00814D4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14D40"/>
    <w:pPr>
      <w:numPr>
        <w:numId w:val="16"/>
      </w:numPr>
      <w:spacing w:before="80"/>
    </w:pPr>
  </w:style>
  <w:style w:type="paragraph" w:customStyle="1" w:styleId="RecBNoTitle">
    <w:name w:val="RecB NoTitle"/>
    <w:basedOn w:val="RecB"/>
    <w:semiHidden/>
    <w:rsid w:val="00814D40"/>
    <w:pPr>
      <w:spacing w:before="240"/>
    </w:pPr>
  </w:style>
  <w:style w:type="paragraph" w:customStyle="1" w:styleId="Reference">
    <w:name w:val="Reference"/>
    <w:basedOn w:val="BodyText"/>
    <w:rsid w:val="00814D40"/>
    <w:pPr>
      <w:spacing w:before="120"/>
      <w:ind w:left="340" w:hanging="340"/>
    </w:pPr>
  </w:style>
  <w:style w:type="paragraph" w:customStyle="1" w:styleId="SequenceInfo">
    <w:name w:val="Sequence Info"/>
    <w:basedOn w:val="BodyText"/>
    <w:semiHidden/>
    <w:rsid w:val="00814D40"/>
    <w:rPr>
      <w:vanish/>
      <w:sz w:val="16"/>
    </w:rPr>
  </w:style>
  <w:style w:type="paragraph" w:customStyle="1" w:styleId="SideNote">
    <w:name w:val="Side Note"/>
    <w:basedOn w:val="BodyText"/>
    <w:next w:val="BodyText"/>
    <w:semiHidden/>
    <w:rsid w:val="00814D4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14D40"/>
    <w:pPr>
      <w:framePr w:wrap="around"/>
      <w:numPr>
        <w:numId w:val="17"/>
      </w:numPr>
      <w:tabs>
        <w:tab w:val="left" w:pos="227"/>
      </w:tabs>
    </w:pPr>
  </w:style>
  <w:style w:type="paragraph" w:customStyle="1" w:styleId="SideNoteGraphic">
    <w:name w:val="Side Note Graphic"/>
    <w:basedOn w:val="SideNote"/>
    <w:next w:val="BodyText"/>
    <w:semiHidden/>
    <w:rsid w:val="00814D40"/>
    <w:pPr>
      <w:framePr w:wrap="around"/>
    </w:pPr>
  </w:style>
  <w:style w:type="paragraph" w:customStyle="1" w:styleId="TableBodyText">
    <w:name w:val="Table Body Text"/>
    <w:basedOn w:val="BodyText"/>
    <w:rsid w:val="00814D4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814D40"/>
    <w:pPr>
      <w:numPr>
        <w:numId w:val="18"/>
      </w:numPr>
      <w:jc w:val="left"/>
    </w:pPr>
  </w:style>
  <w:style w:type="paragraph" w:customStyle="1" w:styleId="TableColumnHeading">
    <w:name w:val="Table Column Heading"/>
    <w:basedOn w:val="TableBodyText"/>
    <w:rsid w:val="00814D40"/>
    <w:pPr>
      <w:spacing w:before="80" w:after="80"/>
    </w:pPr>
    <w:rPr>
      <w:i/>
    </w:rPr>
  </w:style>
  <w:style w:type="paragraph" w:styleId="TOC2">
    <w:name w:val="toc 2"/>
    <w:basedOn w:val="BodyText"/>
    <w:semiHidden/>
    <w:rsid w:val="00814D40"/>
    <w:pPr>
      <w:tabs>
        <w:tab w:val="right" w:pos="8789"/>
      </w:tabs>
      <w:ind w:left="510" w:right="851" w:hanging="510"/>
      <w:jc w:val="left"/>
    </w:pPr>
    <w:rPr>
      <w:b/>
    </w:rPr>
  </w:style>
  <w:style w:type="paragraph" w:styleId="TOC3">
    <w:name w:val="toc 3"/>
    <w:basedOn w:val="TOC2"/>
    <w:semiHidden/>
    <w:rsid w:val="00814D40"/>
    <w:pPr>
      <w:spacing w:before="60"/>
      <w:ind w:left="1190" w:hanging="680"/>
    </w:pPr>
    <w:rPr>
      <w:b w:val="0"/>
    </w:rPr>
  </w:style>
  <w:style w:type="paragraph" w:styleId="TableofFigures">
    <w:name w:val="table of figures"/>
    <w:basedOn w:val="TOC3"/>
    <w:next w:val="BodyText"/>
    <w:semiHidden/>
    <w:rsid w:val="00814D40"/>
    <w:pPr>
      <w:ind w:left="737" w:hanging="737"/>
    </w:pPr>
  </w:style>
  <w:style w:type="paragraph" w:customStyle="1" w:styleId="TableTitle">
    <w:name w:val="Table Title"/>
    <w:basedOn w:val="Caption"/>
    <w:next w:val="Subtitle"/>
    <w:rsid w:val="00814D40"/>
    <w:rPr>
      <w:sz w:val="24"/>
    </w:rPr>
  </w:style>
  <w:style w:type="paragraph" w:customStyle="1" w:styleId="TableUnitsRow">
    <w:name w:val="Table Units Row"/>
    <w:basedOn w:val="TableBodyText"/>
    <w:rsid w:val="00814D40"/>
    <w:pPr>
      <w:spacing w:before="80" w:after="80"/>
    </w:pPr>
  </w:style>
  <w:style w:type="paragraph" w:styleId="TOC1">
    <w:name w:val="toc 1"/>
    <w:basedOn w:val="Normal"/>
    <w:next w:val="TOC2"/>
    <w:semiHidden/>
    <w:rsid w:val="00814D40"/>
    <w:pPr>
      <w:tabs>
        <w:tab w:val="right" w:pos="8789"/>
      </w:tabs>
      <w:spacing w:before="480" w:after="60" w:line="320" w:lineRule="exact"/>
      <w:ind w:left="1191" w:right="851" w:hanging="1191"/>
    </w:pPr>
    <w:rPr>
      <w:b/>
      <w:caps/>
    </w:rPr>
  </w:style>
  <w:style w:type="paragraph" w:styleId="TOC4">
    <w:name w:val="toc 4"/>
    <w:basedOn w:val="TOC3"/>
    <w:semiHidden/>
    <w:rsid w:val="00814D40"/>
    <w:pPr>
      <w:ind w:left="1191" w:firstLine="0"/>
    </w:pPr>
  </w:style>
  <w:style w:type="paragraph" w:customStyle="1" w:styleId="RecBBullet2">
    <w:name w:val="RecB Bullet 2"/>
    <w:basedOn w:val="ListBullet2"/>
    <w:semiHidden/>
    <w:rsid w:val="00814D40"/>
    <w:pPr>
      <w:pBdr>
        <w:left w:val="single" w:sz="24" w:space="29" w:color="C0C0C0"/>
      </w:pBdr>
    </w:pPr>
    <w:rPr>
      <w:b/>
      <w:i/>
    </w:rPr>
  </w:style>
  <w:style w:type="paragraph" w:styleId="BalloonText">
    <w:name w:val="Balloon Text"/>
    <w:basedOn w:val="Normal"/>
    <w:link w:val="BalloonTextChar"/>
    <w:rsid w:val="00814D40"/>
    <w:rPr>
      <w:rFonts w:ascii="Tahoma" w:hAnsi="Tahoma" w:cs="Tahoma"/>
      <w:sz w:val="16"/>
      <w:szCs w:val="16"/>
    </w:rPr>
  </w:style>
  <w:style w:type="character" w:customStyle="1" w:styleId="BalloonTextChar">
    <w:name w:val="Balloon Text Char"/>
    <w:basedOn w:val="DefaultParagraphFont"/>
    <w:link w:val="BalloonText"/>
    <w:rsid w:val="00814D40"/>
    <w:rPr>
      <w:rFonts w:ascii="Tahoma" w:hAnsi="Tahoma" w:cs="Tahoma"/>
      <w:sz w:val="16"/>
      <w:szCs w:val="16"/>
    </w:rPr>
  </w:style>
  <w:style w:type="character" w:customStyle="1" w:styleId="SubtitleChar">
    <w:name w:val="Subtitle Char"/>
    <w:basedOn w:val="DefaultParagraphFont"/>
    <w:link w:val="Subtitle"/>
    <w:rsid w:val="00814D40"/>
    <w:rPr>
      <w:rFonts w:ascii="Arial" w:hAnsi="Arial"/>
      <w:szCs w:val="24"/>
    </w:rPr>
  </w:style>
  <w:style w:type="paragraph" w:customStyle="1" w:styleId="BoxListBullet3">
    <w:name w:val="Box List Bullet 3"/>
    <w:basedOn w:val="ListBullet3"/>
    <w:rsid w:val="00814D40"/>
    <w:pPr>
      <w:numPr>
        <w:numId w:val="4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14D40"/>
    <w:rPr>
      <w:i/>
      <w:iCs/>
    </w:rPr>
  </w:style>
  <w:style w:type="paragraph" w:customStyle="1" w:styleId="BoxQuoteBullet">
    <w:name w:val="Box Quote Bullet"/>
    <w:basedOn w:val="BoxQuote"/>
    <w:next w:val="Box"/>
    <w:rsid w:val="00814D40"/>
    <w:pPr>
      <w:numPr>
        <w:numId w:val="45"/>
      </w:numPr>
      <w:ind w:left="568" w:hanging="284"/>
    </w:pPr>
  </w:style>
  <w:style w:type="paragraph" w:customStyle="1" w:styleId="InformationRequestBullet">
    <w:name w:val="Information Request Bullet"/>
    <w:basedOn w:val="ListBullet"/>
    <w:next w:val="BodyText"/>
    <w:rsid w:val="00814D40"/>
    <w:pPr>
      <w:numPr>
        <w:numId w:val="46"/>
      </w:numPr>
      <w:ind w:left="340" w:hanging="340"/>
    </w:pPr>
    <w:rPr>
      <w:rFonts w:ascii="Arial" w:hAnsi="Arial"/>
      <w:i/>
      <w:sz w:val="24"/>
    </w:rPr>
  </w:style>
  <w:style w:type="character" w:customStyle="1" w:styleId="BodyTextChar">
    <w:name w:val="Body Text Char"/>
    <w:basedOn w:val="DefaultParagraphFont"/>
    <w:link w:val="BodyText"/>
    <w:rsid w:val="00B214D3"/>
    <w:rPr>
      <w:sz w:val="26"/>
    </w:rPr>
  </w:style>
  <w:style w:type="character" w:customStyle="1" w:styleId="CommentTextChar">
    <w:name w:val="Comment Text Char"/>
    <w:basedOn w:val="DefaultParagraphFont"/>
    <w:link w:val="CommentText"/>
    <w:semiHidden/>
    <w:rsid w:val="005337A5"/>
    <w:rPr>
      <w:szCs w:val="24"/>
    </w:rPr>
  </w:style>
  <w:style w:type="table" w:styleId="TableGrid">
    <w:name w:val="Table Grid"/>
    <w:basedOn w:val="TableNormal"/>
    <w:rsid w:val="002438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2C244E"/>
    <w:pPr>
      <w:spacing w:before="0" w:line="240" w:lineRule="auto"/>
      <w:ind w:left="0" w:firstLine="0"/>
    </w:pPr>
    <w:rPr>
      <w:b/>
      <w:bCs/>
      <w:szCs w:val="20"/>
    </w:rPr>
  </w:style>
  <w:style w:type="character" w:customStyle="1" w:styleId="CommentSubjectChar">
    <w:name w:val="Comment Subject Char"/>
    <w:basedOn w:val="CommentTextChar"/>
    <w:link w:val="CommentSubject"/>
    <w:rsid w:val="002C244E"/>
    <w:rPr>
      <w:b/>
      <w:bCs/>
      <w:szCs w:val="24"/>
    </w:rPr>
  </w:style>
  <w:style w:type="character" w:styleId="Hyperlink">
    <w:name w:val="Hyperlink"/>
    <w:basedOn w:val="DefaultParagraphFont"/>
    <w:uiPriority w:val="99"/>
    <w:unhideWhenUsed/>
    <w:rsid w:val="00427351"/>
    <w:rPr>
      <w:color w:val="0000FF" w:themeColor="hyperlink"/>
      <w:u w:val="single"/>
    </w:rPr>
  </w:style>
  <w:style w:type="paragraph" w:styleId="Revision">
    <w:name w:val="Revision"/>
    <w:hidden/>
    <w:uiPriority w:val="99"/>
    <w:semiHidden/>
    <w:rsid w:val="00451451"/>
    <w:rPr>
      <w:sz w:val="26"/>
      <w:szCs w:val="24"/>
    </w:rPr>
  </w:style>
  <w:style w:type="character" w:customStyle="1" w:styleId="Heading2Char">
    <w:name w:val="Heading 2 Char"/>
    <w:basedOn w:val="DefaultParagraphFont"/>
    <w:link w:val="Heading2"/>
    <w:rsid w:val="00E63D7B"/>
    <w:rPr>
      <w:rFonts w:ascii="Arial" w:hAnsi="Arial"/>
      <w:b/>
      <w:sz w:val="32"/>
    </w:rPr>
  </w:style>
  <w:style w:type="paragraph" w:styleId="ListParagraph">
    <w:name w:val="List Paragraph"/>
    <w:basedOn w:val="Normal"/>
    <w:uiPriority w:val="34"/>
    <w:rsid w:val="00C33255"/>
    <w:pPr>
      <w:ind w:left="720"/>
      <w:contextualSpacing/>
    </w:pPr>
  </w:style>
  <w:style w:type="character" w:customStyle="1" w:styleId="Heading4Char">
    <w:name w:val="Heading 4 Char"/>
    <w:basedOn w:val="DefaultParagraphFont"/>
    <w:link w:val="Heading4"/>
    <w:rsid w:val="008E1A55"/>
    <w:rPr>
      <w:rFonts w:ascii="Arial" w:hAnsi="Arial"/>
      <w:i/>
      <w:sz w:val="24"/>
    </w:rPr>
  </w:style>
  <w:style w:type="character" w:customStyle="1" w:styleId="FootnoteTextChar">
    <w:name w:val="Footnote Text Char"/>
    <w:basedOn w:val="DefaultParagraphFont"/>
    <w:link w:val="FootnoteText"/>
    <w:rsid w:val="00C17655"/>
    <w:rPr>
      <w:sz w:val="22"/>
    </w:rPr>
  </w:style>
  <w:style w:type="character" w:customStyle="1" w:styleId="Heading3Char">
    <w:name w:val="Heading 3 Char"/>
    <w:basedOn w:val="DefaultParagraphFont"/>
    <w:link w:val="Heading3"/>
    <w:rsid w:val="003F2052"/>
    <w:rPr>
      <w:rFonts w:ascii="Arial" w:hAnsi="Arial"/>
      <w:b/>
      <w:sz w:val="26"/>
    </w:rPr>
  </w:style>
  <w:style w:type="paragraph" w:customStyle="1" w:styleId="BoxSpaceAbove">
    <w:name w:val="Box Space Above"/>
    <w:basedOn w:val="BodyText"/>
    <w:rsid w:val="00814D40"/>
    <w:pPr>
      <w:keepNext/>
      <w:spacing w:before="360" w:line="80" w:lineRule="exact"/>
      <w:jc w:val="left"/>
    </w:pPr>
  </w:style>
  <w:style w:type="paragraph" w:customStyle="1" w:styleId="BoxSpaceBelow">
    <w:name w:val="Box Space Below"/>
    <w:basedOn w:val="Box"/>
    <w:rsid w:val="00814D40"/>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14D40"/>
    <w:rPr>
      <w:sz w:val="26"/>
      <w:szCs w:val="24"/>
    </w:rPr>
  </w:style>
  <w:style w:type="paragraph" w:styleId="Heading1">
    <w:name w:val="heading 1"/>
    <w:basedOn w:val="BodyText"/>
    <w:next w:val="BodyText"/>
    <w:rsid w:val="00814D4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14D4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14D40"/>
    <w:pPr>
      <w:spacing w:before="560" w:line="320" w:lineRule="exact"/>
      <w:ind w:left="0" w:firstLine="0"/>
      <w:outlineLvl w:val="2"/>
    </w:pPr>
    <w:rPr>
      <w:sz w:val="26"/>
    </w:rPr>
  </w:style>
  <w:style w:type="paragraph" w:styleId="Heading4">
    <w:name w:val="heading 4"/>
    <w:basedOn w:val="Heading3"/>
    <w:next w:val="BodyText"/>
    <w:link w:val="Heading4Char"/>
    <w:qFormat/>
    <w:rsid w:val="00814D40"/>
    <w:pPr>
      <w:spacing w:before="480"/>
      <w:outlineLvl w:val="3"/>
    </w:pPr>
    <w:rPr>
      <w:b w:val="0"/>
      <w:i/>
      <w:sz w:val="24"/>
    </w:rPr>
  </w:style>
  <w:style w:type="paragraph" w:styleId="Heading5">
    <w:name w:val="heading 5"/>
    <w:basedOn w:val="Heading4"/>
    <w:next w:val="BodyText"/>
    <w:qFormat/>
    <w:rsid w:val="00814D40"/>
    <w:pPr>
      <w:outlineLvl w:val="4"/>
    </w:pPr>
    <w:rPr>
      <w:rFonts w:ascii="Times New Roman" w:hAnsi="Times New Roman"/>
      <w:sz w:val="26"/>
    </w:rPr>
  </w:style>
  <w:style w:type="paragraph" w:styleId="Heading6">
    <w:name w:val="heading 6"/>
    <w:basedOn w:val="BodyText"/>
    <w:next w:val="BodyText"/>
    <w:rsid w:val="00814D40"/>
    <w:pPr>
      <w:spacing w:after="60"/>
      <w:jc w:val="left"/>
      <w:outlineLvl w:val="5"/>
    </w:pPr>
    <w:rPr>
      <w:i/>
      <w:sz w:val="22"/>
    </w:rPr>
  </w:style>
  <w:style w:type="paragraph" w:styleId="Heading7">
    <w:name w:val="heading 7"/>
    <w:basedOn w:val="BodyText"/>
    <w:next w:val="BodyText"/>
    <w:rsid w:val="00814D40"/>
    <w:pPr>
      <w:spacing w:after="60" w:line="240" w:lineRule="auto"/>
      <w:jc w:val="left"/>
      <w:outlineLvl w:val="6"/>
    </w:pPr>
    <w:rPr>
      <w:rFonts w:ascii="Arial" w:hAnsi="Arial"/>
      <w:sz w:val="20"/>
    </w:rPr>
  </w:style>
  <w:style w:type="paragraph" w:styleId="Heading8">
    <w:name w:val="heading 8"/>
    <w:basedOn w:val="BodyText"/>
    <w:next w:val="BodyText"/>
    <w:rsid w:val="00814D40"/>
    <w:pPr>
      <w:spacing w:after="60" w:line="240" w:lineRule="auto"/>
      <w:jc w:val="left"/>
      <w:outlineLvl w:val="7"/>
    </w:pPr>
    <w:rPr>
      <w:rFonts w:ascii="Arial" w:hAnsi="Arial"/>
      <w:i/>
      <w:sz w:val="20"/>
    </w:rPr>
  </w:style>
  <w:style w:type="paragraph" w:styleId="Heading9">
    <w:name w:val="heading 9"/>
    <w:basedOn w:val="BodyText"/>
    <w:next w:val="BodyText"/>
    <w:rsid w:val="00814D4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14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D40"/>
  </w:style>
  <w:style w:type="paragraph" w:styleId="BodyText">
    <w:name w:val="Body Text"/>
    <w:link w:val="BodyTextChar"/>
    <w:qFormat/>
    <w:rsid w:val="00814D40"/>
    <w:pPr>
      <w:spacing w:before="240" w:line="320" w:lineRule="atLeast"/>
      <w:jc w:val="both"/>
    </w:pPr>
    <w:rPr>
      <w:sz w:val="26"/>
    </w:rPr>
  </w:style>
  <w:style w:type="paragraph" w:styleId="Footer">
    <w:name w:val="footer"/>
    <w:basedOn w:val="BodyText"/>
    <w:semiHidden/>
    <w:rsid w:val="00814D40"/>
    <w:pPr>
      <w:spacing w:before="80" w:line="200" w:lineRule="exact"/>
      <w:ind w:right="6"/>
      <w:jc w:val="left"/>
    </w:pPr>
    <w:rPr>
      <w:caps/>
      <w:spacing w:val="-4"/>
      <w:sz w:val="16"/>
    </w:rPr>
  </w:style>
  <w:style w:type="paragraph" w:customStyle="1" w:styleId="FooterEnd">
    <w:name w:val="Footer End"/>
    <w:basedOn w:val="Footer"/>
    <w:rsid w:val="00814D40"/>
    <w:pPr>
      <w:spacing w:before="0" w:line="20" w:lineRule="exact"/>
    </w:pPr>
  </w:style>
  <w:style w:type="paragraph" w:styleId="Header">
    <w:name w:val="header"/>
    <w:basedOn w:val="BodyText"/>
    <w:rsid w:val="00814D4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14D40"/>
    <w:pPr>
      <w:spacing w:line="20" w:lineRule="exact"/>
    </w:pPr>
    <w:rPr>
      <w:sz w:val="16"/>
    </w:rPr>
  </w:style>
  <w:style w:type="paragraph" w:customStyle="1" w:styleId="HeaderEven">
    <w:name w:val="Header Even"/>
    <w:basedOn w:val="Header"/>
    <w:semiHidden/>
    <w:rsid w:val="00814D40"/>
  </w:style>
  <w:style w:type="paragraph" w:customStyle="1" w:styleId="HeaderOdd">
    <w:name w:val="Header Odd"/>
    <w:basedOn w:val="Header"/>
    <w:semiHidden/>
    <w:rsid w:val="00814D40"/>
  </w:style>
  <w:style w:type="character" w:styleId="PageNumber">
    <w:name w:val="page number"/>
    <w:basedOn w:val="DefaultParagraphFont"/>
    <w:rsid w:val="00814D40"/>
    <w:rPr>
      <w:rFonts w:ascii="Arial" w:hAnsi="Arial"/>
      <w:b/>
      <w:sz w:val="16"/>
    </w:rPr>
  </w:style>
  <w:style w:type="paragraph" w:customStyle="1" w:styleId="Abbreviation">
    <w:name w:val="Abbreviation"/>
    <w:basedOn w:val="BodyText"/>
    <w:rsid w:val="00814D40"/>
    <w:pPr>
      <w:spacing w:before="120"/>
      <w:ind w:left="2381" w:hanging="2381"/>
      <w:jc w:val="left"/>
    </w:pPr>
  </w:style>
  <w:style w:type="paragraph" w:customStyle="1" w:styleId="Box">
    <w:name w:val="Box"/>
    <w:basedOn w:val="BodyText"/>
    <w:qFormat/>
    <w:rsid w:val="00814D40"/>
    <w:pPr>
      <w:keepNext/>
      <w:spacing w:before="120" w:line="280" w:lineRule="atLeast"/>
    </w:pPr>
    <w:rPr>
      <w:rFonts w:ascii="Arial" w:hAnsi="Arial"/>
      <w:sz w:val="22"/>
    </w:rPr>
  </w:style>
  <w:style w:type="paragraph" w:customStyle="1" w:styleId="BoxContinued">
    <w:name w:val="Box Continued"/>
    <w:basedOn w:val="BodyText"/>
    <w:next w:val="BodyText"/>
    <w:semiHidden/>
    <w:rsid w:val="00814D40"/>
    <w:pPr>
      <w:spacing w:before="180" w:line="220" w:lineRule="exact"/>
      <w:jc w:val="right"/>
    </w:pPr>
    <w:rPr>
      <w:rFonts w:ascii="Arial" w:hAnsi="Arial"/>
      <w:sz w:val="18"/>
    </w:rPr>
  </w:style>
  <w:style w:type="paragraph" w:customStyle="1" w:styleId="BoxHeading1">
    <w:name w:val="Box Heading 1"/>
    <w:basedOn w:val="BodyText"/>
    <w:next w:val="Box"/>
    <w:rsid w:val="00814D40"/>
    <w:pPr>
      <w:keepNext/>
      <w:spacing w:before="200" w:line="280" w:lineRule="atLeast"/>
    </w:pPr>
    <w:rPr>
      <w:rFonts w:ascii="Arial" w:hAnsi="Arial"/>
      <w:b/>
      <w:sz w:val="22"/>
    </w:rPr>
  </w:style>
  <w:style w:type="paragraph" w:customStyle="1" w:styleId="BoxHeading2">
    <w:name w:val="Box Heading 2"/>
    <w:basedOn w:val="BoxHeading1"/>
    <w:next w:val="Normal"/>
    <w:rsid w:val="00814D40"/>
    <w:rPr>
      <w:b w:val="0"/>
      <w:i/>
    </w:rPr>
  </w:style>
  <w:style w:type="paragraph" w:customStyle="1" w:styleId="BoxListBullet">
    <w:name w:val="Box List Bullet"/>
    <w:basedOn w:val="BodyText"/>
    <w:rsid w:val="00814D40"/>
    <w:pPr>
      <w:keepNext/>
      <w:numPr>
        <w:numId w:val="1"/>
      </w:numPr>
      <w:spacing w:before="60" w:line="280" w:lineRule="atLeast"/>
    </w:pPr>
    <w:rPr>
      <w:rFonts w:ascii="Arial" w:hAnsi="Arial"/>
      <w:sz w:val="22"/>
    </w:rPr>
  </w:style>
  <w:style w:type="paragraph" w:customStyle="1" w:styleId="BoxListBullet2">
    <w:name w:val="Box List Bullet 2"/>
    <w:basedOn w:val="BodyText"/>
    <w:rsid w:val="00814D40"/>
    <w:pPr>
      <w:keepNext/>
      <w:numPr>
        <w:numId w:val="2"/>
      </w:numPr>
      <w:spacing w:before="60" w:line="280" w:lineRule="atLeast"/>
    </w:pPr>
    <w:rPr>
      <w:rFonts w:ascii="Arial" w:hAnsi="Arial"/>
      <w:sz w:val="22"/>
    </w:rPr>
  </w:style>
  <w:style w:type="paragraph" w:customStyle="1" w:styleId="BoxListNumber">
    <w:name w:val="Box List Number"/>
    <w:basedOn w:val="BodyText"/>
    <w:rsid w:val="00814D4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14D40"/>
    <w:pPr>
      <w:numPr>
        <w:ilvl w:val="1"/>
      </w:numPr>
    </w:pPr>
  </w:style>
  <w:style w:type="paragraph" w:customStyle="1" w:styleId="BoxQuote">
    <w:name w:val="Box Quote"/>
    <w:basedOn w:val="BodyText"/>
    <w:next w:val="Box"/>
    <w:rsid w:val="00814D40"/>
    <w:pPr>
      <w:keepNext/>
      <w:spacing w:before="60" w:line="260" w:lineRule="exact"/>
      <w:ind w:left="284"/>
    </w:pPr>
    <w:rPr>
      <w:rFonts w:ascii="Arial" w:hAnsi="Arial"/>
      <w:sz w:val="20"/>
    </w:rPr>
  </w:style>
  <w:style w:type="paragraph" w:customStyle="1" w:styleId="Note">
    <w:name w:val="Note"/>
    <w:basedOn w:val="BodyText"/>
    <w:next w:val="BodyText"/>
    <w:rsid w:val="00814D40"/>
    <w:pPr>
      <w:keepLines/>
      <w:spacing w:before="80" w:line="220" w:lineRule="exact"/>
    </w:pPr>
    <w:rPr>
      <w:rFonts w:ascii="Arial" w:hAnsi="Arial"/>
      <w:sz w:val="18"/>
    </w:rPr>
  </w:style>
  <w:style w:type="paragraph" w:customStyle="1" w:styleId="Source">
    <w:name w:val="Source"/>
    <w:basedOn w:val="Note"/>
    <w:next w:val="BodyText"/>
    <w:rsid w:val="00814D40"/>
    <w:pPr>
      <w:spacing w:after="120"/>
    </w:pPr>
  </w:style>
  <w:style w:type="paragraph" w:customStyle="1" w:styleId="BoxSource">
    <w:name w:val="Box Source"/>
    <w:basedOn w:val="Source"/>
    <w:next w:val="BodyText"/>
    <w:rsid w:val="00814D40"/>
    <w:pPr>
      <w:spacing w:before="180" w:after="0"/>
    </w:pPr>
  </w:style>
  <w:style w:type="paragraph" w:customStyle="1" w:styleId="BoxSpace">
    <w:name w:val="Box Space"/>
    <w:basedOn w:val="BodyText"/>
    <w:rsid w:val="00027B48"/>
    <w:pPr>
      <w:keepNext/>
      <w:spacing w:before="360" w:line="80" w:lineRule="exact"/>
      <w:jc w:val="left"/>
    </w:pPr>
  </w:style>
  <w:style w:type="paragraph" w:styleId="Caption">
    <w:name w:val="caption"/>
    <w:basedOn w:val="Normal"/>
    <w:next w:val="BodyText"/>
    <w:rsid w:val="00814D4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14D40"/>
    <w:pPr>
      <w:spacing w:before="120" w:after="0"/>
      <w:ind w:left="1304" w:hanging="1304"/>
    </w:pPr>
    <w:rPr>
      <w:sz w:val="24"/>
    </w:rPr>
  </w:style>
  <w:style w:type="paragraph" w:customStyle="1" w:styleId="BoxSubtitle">
    <w:name w:val="Box Subtitle"/>
    <w:basedOn w:val="BoxTitle"/>
    <w:next w:val="Normal"/>
    <w:rsid w:val="00814D40"/>
    <w:pPr>
      <w:spacing w:after="80" w:line="200" w:lineRule="exact"/>
      <w:ind w:firstLine="0"/>
    </w:pPr>
    <w:rPr>
      <w:b w:val="0"/>
      <w:sz w:val="20"/>
    </w:rPr>
  </w:style>
  <w:style w:type="paragraph" w:customStyle="1" w:styleId="Chapter">
    <w:name w:val="Chapter"/>
    <w:basedOn w:val="Heading1"/>
    <w:next w:val="BodyText"/>
    <w:semiHidden/>
    <w:rsid w:val="00814D40"/>
    <w:pPr>
      <w:ind w:left="0" w:firstLine="0"/>
      <w:outlineLvl w:val="9"/>
    </w:pPr>
  </w:style>
  <w:style w:type="paragraph" w:customStyle="1" w:styleId="ChapterSummary">
    <w:name w:val="Chapter Summary"/>
    <w:basedOn w:val="BodyText"/>
    <w:rsid w:val="00814D40"/>
    <w:pPr>
      <w:ind w:left="907"/>
    </w:pPr>
    <w:rPr>
      <w:rFonts w:ascii="Arial" w:hAnsi="Arial"/>
      <w:b/>
      <w:sz w:val="22"/>
    </w:rPr>
  </w:style>
  <w:style w:type="character" w:styleId="CommentReference">
    <w:name w:val="annotation reference"/>
    <w:basedOn w:val="DefaultParagraphFont"/>
    <w:semiHidden/>
    <w:rsid w:val="00814D40"/>
    <w:rPr>
      <w:b/>
      <w:vanish/>
      <w:color w:val="FF00FF"/>
      <w:sz w:val="20"/>
    </w:rPr>
  </w:style>
  <w:style w:type="paragraph" w:styleId="CommentText">
    <w:name w:val="annotation text"/>
    <w:basedOn w:val="Normal"/>
    <w:link w:val="CommentTextChar"/>
    <w:semiHidden/>
    <w:rsid w:val="00814D40"/>
    <w:pPr>
      <w:spacing w:before="120" w:line="240" w:lineRule="atLeast"/>
      <w:ind w:left="567" w:hanging="567"/>
    </w:pPr>
    <w:rPr>
      <w:sz w:val="20"/>
    </w:rPr>
  </w:style>
  <w:style w:type="paragraph" w:customStyle="1" w:styleId="Continued">
    <w:name w:val="Continued"/>
    <w:basedOn w:val="BoxContinued"/>
    <w:next w:val="BodyText"/>
    <w:rsid w:val="00814D40"/>
  </w:style>
  <w:style w:type="character" w:customStyle="1" w:styleId="DocumentInfo">
    <w:name w:val="Document Info"/>
    <w:basedOn w:val="DefaultParagraphFont"/>
    <w:semiHidden/>
    <w:rsid w:val="00814D40"/>
    <w:rPr>
      <w:rFonts w:ascii="Arial" w:hAnsi="Arial"/>
      <w:sz w:val="14"/>
    </w:rPr>
  </w:style>
  <w:style w:type="character" w:customStyle="1" w:styleId="DraftingNote">
    <w:name w:val="Drafting Note"/>
    <w:basedOn w:val="DefaultParagraphFont"/>
    <w:rsid w:val="00814D40"/>
    <w:rPr>
      <w:b/>
      <w:color w:val="FF0000"/>
      <w:sz w:val="24"/>
      <w:u w:val="dotted"/>
    </w:rPr>
  </w:style>
  <w:style w:type="paragraph" w:customStyle="1" w:styleId="Figure">
    <w:name w:val="Figure"/>
    <w:basedOn w:val="BodyText"/>
    <w:rsid w:val="00814D40"/>
    <w:pPr>
      <w:keepNext/>
      <w:spacing w:before="120" w:after="120" w:line="240" w:lineRule="atLeast"/>
      <w:jc w:val="center"/>
    </w:pPr>
  </w:style>
  <w:style w:type="paragraph" w:customStyle="1" w:styleId="FigureTitle">
    <w:name w:val="Figure Title"/>
    <w:basedOn w:val="Caption"/>
    <w:next w:val="Subtitle"/>
    <w:rsid w:val="00814D40"/>
    <w:rPr>
      <w:sz w:val="24"/>
    </w:rPr>
  </w:style>
  <w:style w:type="paragraph" w:styleId="Subtitle">
    <w:name w:val="Subtitle"/>
    <w:basedOn w:val="Caption"/>
    <w:link w:val="SubtitleChar"/>
    <w:rsid w:val="00814D40"/>
    <w:pPr>
      <w:spacing w:before="0" w:line="200" w:lineRule="exact"/>
      <w:ind w:firstLine="0"/>
    </w:pPr>
    <w:rPr>
      <w:b w:val="0"/>
      <w:sz w:val="20"/>
    </w:rPr>
  </w:style>
  <w:style w:type="paragraph" w:customStyle="1" w:styleId="Finding">
    <w:name w:val="Finding"/>
    <w:basedOn w:val="BodyText"/>
    <w:rsid w:val="00814D40"/>
    <w:pPr>
      <w:keepLines/>
      <w:spacing w:before="180"/>
    </w:pPr>
    <w:rPr>
      <w:i/>
    </w:rPr>
  </w:style>
  <w:style w:type="paragraph" w:customStyle="1" w:styleId="FindingBullet">
    <w:name w:val="Finding Bullet"/>
    <w:basedOn w:val="Finding"/>
    <w:rsid w:val="00814D40"/>
    <w:pPr>
      <w:numPr>
        <w:numId w:val="3"/>
      </w:numPr>
      <w:spacing w:before="80"/>
    </w:pPr>
  </w:style>
  <w:style w:type="paragraph" w:customStyle="1" w:styleId="FindingNoTitle">
    <w:name w:val="Finding NoTitle"/>
    <w:basedOn w:val="Finding"/>
    <w:rsid w:val="00814D40"/>
    <w:pPr>
      <w:spacing w:before="240"/>
    </w:pPr>
  </w:style>
  <w:style w:type="paragraph" w:customStyle="1" w:styleId="RecTitle">
    <w:name w:val="Rec Title"/>
    <w:basedOn w:val="BodyText"/>
    <w:next w:val="Normal"/>
    <w:rsid w:val="00814D40"/>
    <w:pPr>
      <w:keepNext/>
      <w:keepLines/>
    </w:pPr>
    <w:rPr>
      <w:caps/>
      <w:sz w:val="20"/>
    </w:rPr>
  </w:style>
  <w:style w:type="paragraph" w:customStyle="1" w:styleId="FindingTitle">
    <w:name w:val="Finding Title"/>
    <w:basedOn w:val="RecTitle"/>
    <w:next w:val="Finding"/>
    <w:rsid w:val="00814D40"/>
    <w:pPr>
      <w:framePr w:wrap="notBeside" w:hAnchor="text"/>
    </w:pPr>
  </w:style>
  <w:style w:type="character" w:styleId="FootnoteReference">
    <w:name w:val="footnote reference"/>
    <w:basedOn w:val="DefaultParagraphFont"/>
    <w:semiHidden/>
    <w:rsid w:val="00814D40"/>
    <w:rPr>
      <w:rFonts w:ascii="Times New Roman" w:hAnsi="Times New Roman"/>
      <w:position w:val="6"/>
      <w:sz w:val="22"/>
      <w:vertAlign w:val="baseline"/>
    </w:rPr>
  </w:style>
  <w:style w:type="paragraph" w:styleId="FootnoteText">
    <w:name w:val="footnote text"/>
    <w:basedOn w:val="BodyText"/>
    <w:link w:val="FootnoteTextChar"/>
    <w:rsid w:val="00814D4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814D40"/>
    <w:pPr>
      <w:spacing w:before="360" w:after="120"/>
    </w:pPr>
    <w:rPr>
      <w:rFonts w:ascii="Arial" w:hAnsi="Arial"/>
      <w:sz w:val="24"/>
    </w:rPr>
  </w:style>
  <w:style w:type="paragraph" w:customStyle="1" w:styleId="Jurisdictioncommentsbodytext">
    <w:name w:val="Jurisdiction comments body text"/>
    <w:rsid w:val="00814D40"/>
    <w:pPr>
      <w:spacing w:after="140"/>
      <w:jc w:val="both"/>
    </w:pPr>
    <w:rPr>
      <w:rFonts w:ascii="Arial" w:hAnsi="Arial"/>
      <w:sz w:val="24"/>
      <w:lang w:eastAsia="en-US"/>
    </w:rPr>
  </w:style>
  <w:style w:type="paragraph" w:customStyle="1" w:styleId="Jurisdictioncommentsheading">
    <w:name w:val="Jurisdiction comments heading"/>
    <w:rsid w:val="00814D4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14D40"/>
    <w:pPr>
      <w:numPr>
        <w:numId w:val="4"/>
      </w:numPr>
      <w:spacing w:after="140"/>
      <w:jc w:val="both"/>
    </w:pPr>
    <w:rPr>
      <w:rFonts w:ascii="Arial" w:hAnsi="Arial"/>
      <w:sz w:val="24"/>
      <w:lang w:eastAsia="en-US"/>
    </w:rPr>
  </w:style>
  <w:style w:type="paragraph" w:styleId="ListBullet">
    <w:name w:val="List Bullet"/>
    <w:basedOn w:val="BodyText"/>
    <w:rsid w:val="00814D40"/>
    <w:pPr>
      <w:numPr>
        <w:numId w:val="6"/>
      </w:numPr>
      <w:spacing w:before="120"/>
    </w:pPr>
  </w:style>
  <w:style w:type="paragraph" w:styleId="ListBullet2">
    <w:name w:val="List Bullet 2"/>
    <w:basedOn w:val="BodyText"/>
    <w:rsid w:val="00814D40"/>
    <w:pPr>
      <w:numPr>
        <w:numId w:val="8"/>
      </w:numPr>
      <w:spacing w:before="120"/>
    </w:pPr>
  </w:style>
  <w:style w:type="paragraph" w:styleId="ListBullet3">
    <w:name w:val="List Bullet 3"/>
    <w:basedOn w:val="BodyText"/>
    <w:rsid w:val="00814D40"/>
    <w:pPr>
      <w:numPr>
        <w:numId w:val="10"/>
      </w:numPr>
      <w:spacing w:before="120"/>
    </w:pPr>
  </w:style>
  <w:style w:type="paragraph" w:styleId="ListNumber">
    <w:name w:val="List Number"/>
    <w:basedOn w:val="BodyText"/>
    <w:rsid w:val="00814D40"/>
    <w:pPr>
      <w:numPr>
        <w:numId w:val="32"/>
      </w:numPr>
      <w:spacing w:before="120"/>
    </w:pPr>
  </w:style>
  <w:style w:type="paragraph" w:styleId="ListNumber2">
    <w:name w:val="List Number 2"/>
    <w:basedOn w:val="ListNumber"/>
    <w:rsid w:val="00814D40"/>
    <w:pPr>
      <w:numPr>
        <w:ilvl w:val="1"/>
      </w:numPr>
    </w:pPr>
  </w:style>
  <w:style w:type="paragraph" w:styleId="ListNumber3">
    <w:name w:val="List Number 3"/>
    <w:basedOn w:val="ListNumber2"/>
    <w:rsid w:val="00814D40"/>
    <w:pPr>
      <w:numPr>
        <w:ilvl w:val="2"/>
      </w:numPr>
    </w:pPr>
  </w:style>
  <w:style w:type="character" w:customStyle="1" w:styleId="NoteLabel">
    <w:name w:val="Note Label"/>
    <w:basedOn w:val="DefaultParagraphFont"/>
    <w:rsid w:val="00814D40"/>
    <w:rPr>
      <w:rFonts w:ascii="Arial" w:hAnsi="Arial"/>
      <w:b/>
      <w:position w:val="6"/>
      <w:sz w:val="18"/>
    </w:rPr>
  </w:style>
  <w:style w:type="paragraph" w:customStyle="1" w:styleId="PartDivider">
    <w:name w:val="Part Divider"/>
    <w:basedOn w:val="BodyText"/>
    <w:next w:val="BodyText"/>
    <w:semiHidden/>
    <w:rsid w:val="00814D40"/>
    <w:pPr>
      <w:spacing w:before="0" w:line="40" w:lineRule="exact"/>
      <w:jc w:val="right"/>
    </w:pPr>
    <w:rPr>
      <w:smallCaps/>
      <w:sz w:val="16"/>
    </w:rPr>
  </w:style>
  <w:style w:type="paragraph" w:customStyle="1" w:styleId="PartNumber">
    <w:name w:val="Part Number"/>
    <w:basedOn w:val="BodyText"/>
    <w:next w:val="BodyText"/>
    <w:semiHidden/>
    <w:rsid w:val="00814D40"/>
    <w:pPr>
      <w:spacing w:before="4000" w:line="320" w:lineRule="exact"/>
      <w:ind w:left="6634"/>
      <w:jc w:val="right"/>
    </w:pPr>
    <w:rPr>
      <w:smallCaps/>
      <w:spacing w:val="60"/>
      <w:sz w:val="32"/>
    </w:rPr>
  </w:style>
  <w:style w:type="paragraph" w:customStyle="1" w:styleId="PartTitle">
    <w:name w:val="Part Title"/>
    <w:basedOn w:val="BodyText"/>
    <w:semiHidden/>
    <w:rsid w:val="00814D40"/>
    <w:pPr>
      <w:spacing w:before="160" w:after="1360" w:line="520" w:lineRule="exact"/>
      <w:ind w:right="2381"/>
      <w:jc w:val="right"/>
    </w:pPr>
    <w:rPr>
      <w:smallCaps/>
      <w:sz w:val="52"/>
    </w:rPr>
  </w:style>
  <w:style w:type="paragraph" w:styleId="Quote">
    <w:name w:val="Quote"/>
    <w:basedOn w:val="BodyText"/>
    <w:next w:val="BodyText"/>
    <w:qFormat/>
    <w:rsid w:val="00814D40"/>
    <w:pPr>
      <w:spacing w:before="120" w:line="280" w:lineRule="exact"/>
      <w:ind w:left="340"/>
    </w:pPr>
    <w:rPr>
      <w:sz w:val="24"/>
    </w:rPr>
  </w:style>
  <w:style w:type="paragraph" w:customStyle="1" w:styleId="QuoteBullet">
    <w:name w:val="Quote Bullet"/>
    <w:basedOn w:val="Quote"/>
    <w:rsid w:val="00814D40"/>
    <w:pPr>
      <w:numPr>
        <w:numId w:val="14"/>
      </w:numPr>
    </w:pPr>
  </w:style>
  <w:style w:type="paragraph" w:customStyle="1" w:styleId="Rec">
    <w:name w:val="Rec"/>
    <w:basedOn w:val="BodyText"/>
    <w:rsid w:val="00814D40"/>
    <w:pPr>
      <w:keepLines/>
      <w:spacing w:before="180"/>
    </w:pPr>
    <w:rPr>
      <w:b/>
      <w:i/>
    </w:rPr>
  </w:style>
  <w:style w:type="paragraph" w:customStyle="1" w:styleId="RecBullet">
    <w:name w:val="Rec Bullet"/>
    <w:basedOn w:val="Rec"/>
    <w:rsid w:val="00814D40"/>
    <w:pPr>
      <w:numPr>
        <w:numId w:val="15"/>
      </w:numPr>
      <w:spacing w:before="80"/>
    </w:pPr>
  </w:style>
  <w:style w:type="paragraph" w:customStyle="1" w:styleId="RecB">
    <w:name w:val="RecB"/>
    <w:basedOn w:val="Normal"/>
    <w:semiHidden/>
    <w:rsid w:val="00814D4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14D40"/>
    <w:pPr>
      <w:numPr>
        <w:numId w:val="16"/>
      </w:numPr>
      <w:spacing w:before="80"/>
    </w:pPr>
  </w:style>
  <w:style w:type="paragraph" w:customStyle="1" w:styleId="RecBNoTitle">
    <w:name w:val="RecB NoTitle"/>
    <w:basedOn w:val="RecB"/>
    <w:semiHidden/>
    <w:rsid w:val="00814D40"/>
    <w:pPr>
      <w:spacing w:before="240"/>
    </w:pPr>
  </w:style>
  <w:style w:type="paragraph" w:customStyle="1" w:styleId="Reference">
    <w:name w:val="Reference"/>
    <w:basedOn w:val="BodyText"/>
    <w:rsid w:val="00814D40"/>
    <w:pPr>
      <w:spacing w:before="120"/>
      <w:ind w:left="340" w:hanging="340"/>
    </w:pPr>
  </w:style>
  <w:style w:type="paragraph" w:customStyle="1" w:styleId="SequenceInfo">
    <w:name w:val="Sequence Info"/>
    <w:basedOn w:val="BodyText"/>
    <w:semiHidden/>
    <w:rsid w:val="00814D40"/>
    <w:rPr>
      <w:vanish/>
      <w:sz w:val="16"/>
    </w:rPr>
  </w:style>
  <w:style w:type="paragraph" w:customStyle="1" w:styleId="SideNote">
    <w:name w:val="Side Note"/>
    <w:basedOn w:val="BodyText"/>
    <w:next w:val="BodyText"/>
    <w:semiHidden/>
    <w:rsid w:val="00814D4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14D40"/>
    <w:pPr>
      <w:framePr w:wrap="around"/>
      <w:numPr>
        <w:numId w:val="17"/>
      </w:numPr>
      <w:tabs>
        <w:tab w:val="left" w:pos="227"/>
      </w:tabs>
    </w:pPr>
  </w:style>
  <w:style w:type="paragraph" w:customStyle="1" w:styleId="SideNoteGraphic">
    <w:name w:val="Side Note Graphic"/>
    <w:basedOn w:val="SideNote"/>
    <w:next w:val="BodyText"/>
    <w:semiHidden/>
    <w:rsid w:val="00814D40"/>
    <w:pPr>
      <w:framePr w:wrap="around"/>
    </w:pPr>
  </w:style>
  <w:style w:type="paragraph" w:customStyle="1" w:styleId="TableBodyText">
    <w:name w:val="Table Body Text"/>
    <w:basedOn w:val="BodyText"/>
    <w:rsid w:val="00814D4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814D40"/>
    <w:pPr>
      <w:numPr>
        <w:numId w:val="18"/>
      </w:numPr>
      <w:jc w:val="left"/>
    </w:pPr>
  </w:style>
  <w:style w:type="paragraph" w:customStyle="1" w:styleId="TableColumnHeading">
    <w:name w:val="Table Column Heading"/>
    <w:basedOn w:val="TableBodyText"/>
    <w:rsid w:val="00814D40"/>
    <w:pPr>
      <w:spacing w:before="80" w:after="80"/>
    </w:pPr>
    <w:rPr>
      <w:i/>
    </w:rPr>
  </w:style>
  <w:style w:type="paragraph" w:styleId="TOC2">
    <w:name w:val="toc 2"/>
    <w:basedOn w:val="BodyText"/>
    <w:semiHidden/>
    <w:rsid w:val="00814D40"/>
    <w:pPr>
      <w:tabs>
        <w:tab w:val="right" w:pos="8789"/>
      </w:tabs>
      <w:ind w:left="510" w:right="851" w:hanging="510"/>
      <w:jc w:val="left"/>
    </w:pPr>
    <w:rPr>
      <w:b/>
    </w:rPr>
  </w:style>
  <w:style w:type="paragraph" w:styleId="TOC3">
    <w:name w:val="toc 3"/>
    <w:basedOn w:val="TOC2"/>
    <w:semiHidden/>
    <w:rsid w:val="00814D40"/>
    <w:pPr>
      <w:spacing w:before="60"/>
      <w:ind w:left="1190" w:hanging="680"/>
    </w:pPr>
    <w:rPr>
      <w:b w:val="0"/>
    </w:rPr>
  </w:style>
  <w:style w:type="paragraph" w:styleId="TableofFigures">
    <w:name w:val="table of figures"/>
    <w:basedOn w:val="TOC3"/>
    <w:next w:val="BodyText"/>
    <w:semiHidden/>
    <w:rsid w:val="00814D40"/>
    <w:pPr>
      <w:ind w:left="737" w:hanging="737"/>
    </w:pPr>
  </w:style>
  <w:style w:type="paragraph" w:customStyle="1" w:styleId="TableTitle">
    <w:name w:val="Table Title"/>
    <w:basedOn w:val="Caption"/>
    <w:next w:val="Subtitle"/>
    <w:rsid w:val="00814D40"/>
    <w:rPr>
      <w:sz w:val="24"/>
    </w:rPr>
  </w:style>
  <w:style w:type="paragraph" w:customStyle="1" w:styleId="TableUnitsRow">
    <w:name w:val="Table Units Row"/>
    <w:basedOn w:val="TableBodyText"/>
    <w:rsid w:val="00814D40"/>
    <w:pPr>
      <w:spacing w:before="80" w:after="80"/>
    </w:pPr>
  </w:style>
  <w:style w:type="paragraph" w:styleId="TOC1">
    <w:name w:val="toc 1"/>
    <w:basedOn w:val="Normal"/>
    <w:next w:val="TOC2"/>
    <w:semiHidden/>
    <w:rsid w:val="00814D40"/>
    <w:pPr>
      <w:tabs>
        <w:tab w:val="right" w:pos="8789"/>
      </w:tabs>
      <w:spacing w:before="480" w:after="60" w:line="320" w:lineRule="exact"/>
      <w:ind w:left="1191" w:right="851" w:hanging="1191"/>
    </w:pPr>
    <w:rPr>
      <w:b/>
      <w:caps/>
    </w:rPr>
  </w:style>
  <w:style w:type="paragraph" w:styleId="TOC4">
    <w:name w:val="toc 4"/>
    <w:basedOn w:val="TOC3"/>
    <w:semiHidden/>
    <w:rsid w:val="00814D40"/>
    <w:pPr>
      <w:ind w:left="1191" w:firstLine="0"/>
    </w:pPr>
  </w:style>
  <w:style w:type="paragraph" w:customStyle="1" w:styleId="RecBBullet2">
    <w:name w:val="RecB Bullet 2"/>
    <w:basedOn w:val="ListBullet2"/>
    <w:semiHidden/>
    <w:rsid w:val="00814D40"/>
    <w:pPr>
      <w:pBdr>
        <w:left w:val="single" w:sz="24" w:space="29" w:color="C0C0C0"/>
      </w:pBdr>
    </w:pPr>
    <w:rPr>
      <w:b/>
      <w:i/>
    </w:rPr>
  </w:style>
  <w:style w:type="paragraph" w:styleId="BalloonText">
    <w:name w:val="Balloon Text"/>
    <w:basedOn w:val="Normal"/>
    <w:link w:val="BalloonTextChar"/>
    <w:rsid w:val="00814D40"/>
    <w:rPr>
      <w:rFonts w:ascii="Tahoma" w:hAnsi="Tahoma" w:cs="Tahoma"/>
      <w:sz w:val="16"/>
      <w:szCs w:val="16"/>
    </w:rPr>
  </w:style>
  <w:style w:type="character" w:customStyle="1" w:styleId="BalloonTextChar">
    <w:name w:val="Balloon Text Char"/>
    <w:basedOn w:val="DefaultParagraphFont"/>
    <w:link w:val="BalloonText"/>
    <w:rsid w:val="00814D40"/>
    <w:rPr>
      <w:rFonts w:ascii="Tahoma" w:hAnsi="Tahoma" w:cs="Tahoma"/>
      <w:sz w:val="16"/>
      <w:szCs w:val="16"/>
    </w:rPr>
  </w:style>
  <w:style w:type="character" w:customStyle="1" w:styleId="SubtitleChar">
    <w:name w:val="Subtitle Char"/>
    <w:basedOn w:val="DefaultParagraphFont"/>
    <w:link w:val="Subtitle"/>
    <w:rsid w:val="00814D40"/>
    <w:rPr>
      <w:rFonts w:ascii="Arial" w:hAnsi="Arial"/>
      <w:szCs w:val="24"/>
    </w:rPr>
  </w:style>
  <w:style w:type="paragraph" w:customStyle="1" w:styleId="BoxListBullet3">
    <w:name w:val="Box List Bullet 3"/>
    <w:basedOn w:val="ListBullet3"/>
    <w:rsid w:val="00814D40"/>
    <w:pPr>
      <w:numPr>
        <w:numId w:val="4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14D40"/>
    <w:rPr>
      <w:i/>
      <w:iCs/>
    </w:rPr>
  </w:style>
  <w:style w:type="paragraph" w:customStyle="1" w:styleId="BoxQuoteBullet">
    <w:name w:val="Box Quote Bullet"/>
    <w:basedOn w:val="BoxQuote"/>
    <w:next w:val="Box"/>
    <w:rsid w:val="00814D40"/>
    <w:pPr>
      <w:numPr>
        <w:numId w:val="45"/>
      </w:numPr>
      <w:ind w:left="568" w:hanging="284"/>
    </w:pPr>
  </w:style>
  <w:style w:type="paragraph" w:customStyle="1" w:styleId="InformationRequestBullet">
    <w:name w:val="Information Request Bullet"/>
    <w:basedOn w:val="ListBullet"/>
    <w:next w:val="BodyText"/>
    <w:rsid w:val="00814D40"/>
    <w:pPr>
      <w:numPr>
        <w:numId w:val="46"/>
      </w:numPr>
      <w:ind w:left="340" w:hanging="340"/>
    </w:pPr>
    <w:rPr>
      <w:rFonts w:ascii="Arial" w:hAnsi="Arial"/>
      <w:i/>
      <w:sz w:val="24"/>
    </w:rPr>
  </w:style>
  <w:style w:type="character" w:customStyle="1" w:styleId="BodyTextChar">
    <w:name w:val="Body Text Char"/>
    <w:basedOn w:val="DefaultParagraphFont"/>
    <w:link w:val="BodyText"/>
    <w:rsid w:val="00B214D3"/>
    <w:rPr>
      <w:sz w:val="26"/>
    </w:rPr>
  </w:style>
  <w:style w:type="character" w:customStyle="1" w:styleId="CommentTextChar">
    <w:name w:val="Comment Text Char"/>
    <w:basedOn w:val="DefaultParagraphFont"/>
    <w:link w:val="CommentText"/>
    <w:semiHidden/>
    <w:rsid w:val="005337A5"/>
    <w:rPr>
      <w:szCs w:val="24"/>
    </w:rPr>
  </w:style>
  <w:style w:type="table" w:styleId="TableGrid">
    <w:name w:val="Table Grid"/>
    <w:basedOn w:val="TableNormal"/>
    <w:rsid w:val="002438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2C244E"/>
    <w:pPr>
      <w:spacing w:before="0" w:line="240" w:lineRule="auto"/>
      <w:ind w:left="0" w:firstLine="0"/>
    </w:pPr>
    <w:rPr>
      <w:b/>
      <w:bCs/>
      <w:szCs w:val="20"/>
    </w:rPr>
  </w:style>
  <w:style w:type="character" w:customStyle="1" w:styleId="CommentSubjectChar">
    <w:name w:val="Comment Subject Char"/>
    <w:basedOn w:val="CommentTextChar"/>
    <w:link w:val="CommentSubject"/>
    <w:rsid w:val="002C244E"/>
    <w:rPr>
      <w:b/>
      <w:bCs/>
      <w:szCs w:val="24"/>
    </w:rPr>
  </w:style>
  <w:style w:type="character" w:styleId="Hyperlink">
    <w:name w:val="Hyperlink"/>
    <w:basedOn w:val="DefaultParagraphFont"/>
    <w:uiPriority w:val="99"/>
    <w:unhideWhenUsed/>
    <w:rsid w:val="00427351"/>
    <w:rPr>
      <w:color w:val="0000FF" w:themeColor="hyperlink"/>
      <w:u w:val="single"/>
    </w:rPr>
  </w:style>
  <w:style w:type="paragraph" w:styleId="Revision">
    <w:name w:val="Revision"/>
    <w:hidden/>
    <w:uiPriority w:val="99"/>
    <w:semiHidden/>
    <w:rsid w:val="00451451"/>
    <w:rPr>
      <w:sz w:val="26"/>
      <w:szCs w:val="24"/>
    </w:rPr>
  </w:style>
  <w:style w:type="character" w:customStyle="1" w:styleId="Heading2Char">
    <w:name w:val="Heading 2 Char"/>
    <w:basedOn w:val="DefaultParagraphFont"/>
    <w:link w:val="Heading2"/>
    <w:rsid w:val="00E63D7B"/>
    <w:rPr>
      <w:rFonts w:ascii="Arial" w:hAnsi="Arial"/>
      <w:b/>
      <w:sz w:val="32"/>
    </w:rPr>
  </w:style>
  <w:style w:type="paragraph" w:styleId="ListParagraph">
    <w:name w:val="List Paragraph"/>
    <w:basedOn w:val="Normal"/>
    <w:uiPriority w:val="34"/>
    <w:rsid w:val="00C33255"/>
    <w:pPr>
      <w:ind w:left="720"/>
      <w:contextualSpacing/>
    </w:pPr>
  </w:style>
  <w:style w:type="character" w:customStyle="1" w:styleId="Heading4Char">
    <w:name w:val="Heading 4 Char"/>
    <w:basedOn w:val="DefaultParagraphFont"/>
    <w:link w:val="Heading4"/>
    <w:rsid w:val="008E1A55"/>
    <w:rPr>
      <w:rFonts w:ascii="Arial" w:hAnsi="Arial"/>
      <w:i/>
      <w:sz w:val="24"/>
    </w:rPr>
  </w:style>
  <w:style w:type="character" w:customStyle="1" w:styleId="FootnoteTextChar">
    <w:name w:val="Footnote Text Char"/>
    <w:basedOn w:val="DefaultParagraphFont"/>
    <w:link w:val="FootnoteText"/>
    <w:rsid w:val="00C17655"/>
    <w:rPr>
      <w:sz w:val="22"/>
    </w:rPr>
  </w:style>
  <w:style w:type="character" w:customStyle="1" w:styleId="Heading3Char">
    <w:name w:val="Heading 3 Char"/>
    <w:basedOn w:val="DefaultParagraphFont"/>
    <w:link w:val="Heading3"/>
    <w:rsid w:val="003F2052"/>
    <w:rPr>
      <w:rFonts w:ascii="Arial" w:hAnsi="Arial"/>
      <w:b/>
      <w:sz w:val="26"/>
    </w:rPr>
  </w:style>
  <w:style w:type="paragraph" w:customStyle="1" w:styleId="BoxSpaceAbove">
    <w:name w:val="Box Space Above"/>
    <w:basedOn w:val="BodyText"/>
    <w:rsid w:val="00814D40"/>
    <w:pPr>
      <w:keepNext/>
      <w:spacing w:before="360" w:line="80" w:lineRule="exact"/>
      <w:jc w:val="left"/>
    </w:pPr>
  </w:style>
  <w:style w:type="paragraph" w:customStyle="1" w:styleId="BoxSpaceBelow">
    <w:name w:val="Box Space Below"/>
    <w:basedOn w:val="Box"/>
    <w:rsid w:val="00814D40"/>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91768">
      <w:bodyDiv w:val="1"/>
      <w:marLeft w:val="0"/>
      <w:marRight w:val="0"/>
      <w:marTop w:val="0"/>
      <w:marBottom w:val="0"/>
      <w:divBdr>
        <w:top w:val="none" w:sz="0" w:space="0" w:color="auto"/>
        <w:left w:val="none" w:sz="0" w:space="0" w:color="auto"/>
        <w:bottom w:val="none" w:sz="0" w:space="0" w:color="auto"/>
        <w:right w:val="none" w:sz="0" w:space="0" w:color="auto"/>
      </w:divBdr>
    </w:div>
    <w:div w:id="547911036">
      <w:bodyDiv w:val="1"/>
      <w:marLeft w:val="0"/>
      <w:marRight w:val="0"/>
      <w:marTop w:val="0"/>
      <w:marBottom w:val="0"/>
      <w:divBdr>
        <w:top w:val="none" w:sz="0" w:space="0" w:color="auto"/>
        <w:left w:val="none" w:sz="0" w:space="0" w:color="auto"/>
        <w:bottom w:val="none" w:sz="0" w:space="0" w:color="auto"/>
        <w:right w:val="none" w:sz="0" w:space="0" w:color="auto"/>
      </w:divBdr>
    </w:div>
    <w:div w:id="636180006">
      <w:bodyDiv w:val="1"/>
      <w:marLeft w:val="0"/>
      <w:marRight w:val="0"/>
      <w:marTop w:val="0"/>
      <w:marBottom w:val="0"/>
      <w:divBdr>
        <w:top w:val="none" w:sz="0" w:space="0" w:color="auto"/>
        <w:left w:val="none" w:sz="0" w:space="0" w:color="auto"/>
        <w:bottom w:val="none" w:sz="0" w:space="0" w:color="auto"/>
        <w:right w:val="none" w:sz="0" w:space="0" w:color="auto"/>
      </w:divBdr>
      <w:divsChild>
        <w:div w:id="1277757028">
          <w:marLeft w:val="0"/>
          <w:marRight w:val="0"/>
          <w:marTop w:val="0"/>
          <w:marBottom w:val="0"/>
          <w:divBdr>
            <w:top w:val="none" w:sz="0" w:space="0" w:color="auto"/>
            <w:left w:val="none" w:sz="0" w:space="0" w:color="auto"/>
            <w:bottom w:val="none" w:sz="0" w:space="0" w:color="auto"/>
            <w:right w:val="none" w:sz="0" w:space="0" w:color="auto"/>
          </w:divBdr>
          <w:divsChild>
            <w:div w:id="36980269">
              <w:marLeft w:val="0"/>
              <w:marRight w:val="0"/>
              <w:marTop w:val="0"/>
              <w:marBottom w:val="0"/>
              <w:divBdr>
                <w:top w:val="none" w:sz="0" w:space="0" w:color="auto"/>
                <w:left w:val="none" w:sz="0" w:space="0" w:color="auto"/>
                <w:bottom w:val="none" w:sz="0" w:space="0" w:color="auto"/>
                <w:right w:val="none" w:sz="0" w:space="0" w:color="auto"/>
              </w:divBdr>
              <w:divsChild>
                <w:div w:id="1330712444">
                  <w:marLeft w:val="3600"/>
                  <w:marRight w:val="0"/>
                  <w:marTop w:val="150"/>
                  <w:marBottom w:val="0"/>
                  <w:divBdr>
                    <w:top w:val="none" w:sz="0" w:space="0" w:color="auto"/>
                    <w:left w:val="none" w:sz="0" w:space="0" w:color="auto"/>
                    <w:bottom w:val="none" w:sz="0" w:space="0" w:color="auto"/>
                    <w:right w:val="none" w:sz="0" w:space="0" w:color="auto"/>
                  </w:divBdr>
                  <w:divsChild>
                    <w:div w:id="1437024045">
                      <w:marLeft w:val="0"/>
                      <w:marRight w:val="0"/>
                      <w:marTop w:val="480"/>
                      <w:marBottom w:val="480"/>
                      <w:divBdr>
                        <w:top w:val="none" w:sz="0" w:space="0" w:color="auto"/>
                        <w:left w:val="none" w:sz="0" w:space="0" w:color="auto"/>
                        <w:bottom w:val="none" w:sz="0" w:space="0" w:color="auto"/>
                        <w:right w:val="none" w:sz="0" w:space="0" w:color="auto"/>
                      </w:divBdr>
                      <w:divsChild>
                        <w:div w:id="1060518810">
                          <w:marLeft w:val="0"/>
                          <w:marRight w:val="0"/>
                          <w:marTop w:val="0"/>
                          <w:marBottom w:val="0"/>
                          <w:divBdr>
                            <w:top w:val="none" w:sz="0" w:space="0" w:color="auto"/>
                            <w:left w:val="none" w:sz="0" w:space="0" w:color="auto"/>
                            <w:bottom w:val="none" w:sz="0" w:space="0" w:color="auto"/>
                            <w:right w:val="none" w:sz="0" w:space="0" w:color="auto"/>
                          </w:divBdr>
                          <w:divsChild>
                            <w:div w:id="502209961">
                              <w:marLeft w:val="0"/>
                              <w:marRight w:val="0"/>
                              <w:marTop w:val="0"/>
                              <w:marBottom w:val="0"/>
                              <w:divBdr>
                                <w:top w:val="none" w:sz="0" w:space="0" w:color="auto"/>
                                <w:left w:val="none" w:sz="0" w:space="0" w:color="auto"/>
                                <w:bottom w:val="none" w:sz="0" w:space="0" w:color="auto"/>
                                <w:right w:val="none" w:sz="0" w:space="0" w:color="auto"/>
                              </w:divBdr>
                            </w:div>
                            <w:div w:id="211019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835086">
      <w:bodyDiv w:val="1"/>
      <w:marLeft w:val="0"/>
      <w:marRight w:val="0"/>
      <w:marTop w:val="0"/>
      <w:marBottom w:val="0"/>
      <w:divBdr>
        <w:top w:val="none" w:sz="0" w:space="0" w:color="auto"/>
        <w:left w:val="none" w:sz="0" w:space="0" w:color="auto"/>
        <w:bottom w:val="none" w:sz="0" w:space="0" w:color="auto"/>
        <w:right w:val="none" w:sz="0" w:space="0" w:color="auto"/>
      </w:divBdr>
      <w:divsChild>
        <w:div w:id="1739522103">
          <w:marLeft w:val="0"/>
          <w:marRight w:val="0"/>
          <w:marTop w:val="0"/>
          <w:marBottom w:val="0"/>
          <w:divBdr>
            <w:top w:val="none" w:sz="0" w:space="0" w:color="auto"/>
            <w:left w:val="none" w:sz="0" w:space="0" w:color="auto"/>
            <w:bottom w:val="none" w:sz="0" w:space="0" w:color="auto"/>
            <w:right w:val="none" w:sz="0" w:space="0" w:color="auto"/>
          </w:divBdr>
          <w:divsChild>
            <w:div w:id="468671544">
              <w:marLeft w:val="0"/>
              <w:marRight w:val="0"/>
              <w:marTop w:val="0"/>
              <w:marBottom w:val="0"/>
              <w:divBdr>
                <w:top w:val="none" w:sz="0" w:space="0" w:color="auto"/>
                <w:left w:val="none" w:sz="0" w:space="0" w:color="auto"/>
                <w:bottom w:val="none" w:sz="0" w:space="0" w:color="auto"/>
                <w:right w:val="none" w:sz="0" w:space="0" w:color="auto"/>
              </w:divBdr>
              <w:divsChild>
                <w:div w:id="674960690">
                  <w:marLeft w:val="300"/>
                  <w:marRight w:val="0"/>
                  <w:marTop w:val="0"/>
                  <w:marBottom w:val="0"/>
                  <w:divBdr>
                    <w:top w:val="none" w:sz="0" w:space="0" w:color="auto"/>
                    <w:left w:val="none" w:sz="0" w:space="0" w:color="auto"/>
                    <w:bottom w:val="none" w:sz="0" w:space="0" w:color="auto"/>
                    <w:right w:val="none" w:sz="0" w:space="0" w:color="auto"/>
                  </w:divBdr>
                  <w:divsChild>
                    <w:div w:id="1678457804">
                      <w:marLeft w:val="0"/>
                      <w:marRight w:val="0"/>
                      <w:marTop w:val="0"/>
                      <w:marBottom w:val="0"/>
                      <w:divBdr>
                        <w:top w:val="none" w:sz="0" w:space="0" w:color="auto"/>
                        <w:left w:val="none" w:sz="0" w:space="0" w:color="auto"/>
                        <w:bottom w:val="none" w:sz="0" w:space="0" w:color="auto"/>
                        <w:right w:val="none" w:sz="0" w:space="0" w:color="auto"/>
                      </w:divBdr>
                      <w:divsChild>
                        <w:div w:id="1128350957">
                          <w:marLeft w:val="0"/>
                          <w:marRight w:val="0"/>
                          <w:marTop w:val="0"/>
                          <w:marBottom w:val="0"/>
                          <w:divBdr>
                            <w:top w:val="none" w:sz="0" w:space="0" w:color="auto"/>
                            <w:left w:val="none" w:sz="0" w:space="0" w:color="auto"/>
                            <w:bottom w:val="none" w:sz="0" w:space="0" w:color="auto"/>
                            <w:right w:val="none" w:sz="0" w:space="0" w:color="auto"/>
                          </w:divBdr>
                          <w:divsChild>
                            <w:div w:id="2845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44206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B3302-6794-49C4-A6C4-5EDDA7854BD4}">
  <ds:schemaRefs>
    <ds:schemaRef ds:uri="http://schemas.openxmlformats.org/officeDocument/2006/bibliography"/>
  </ds:schemaRefs>
</ds:datastoreItem>
</file>

<file path=customXml/itemProps2.xml><?xml version="1.0" encoding="utf-8"?>
<ds:datastoreItem xmlns:ds="http://schemas.openxmlformats.org/officeDocument/2006/customXml" ds:itemID="{01D9AB35-89C1-4E43-BBCE-23F5245DC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183</TotalTime>
  <Pages>28</Pages>
  <Words>7669</Words>
  <Characters>43343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Structural adjustment</vt:lpstr>
    </vt:vector>
  </TitlesOfParts>
  <Company>Productivity Commission</Company>
  <LinksUpToDate>false</LinksUpToDate>
  <CharactersWithSpaces>50911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adjustment</dc:title>
  <dc:subject>annual report 2011-12</dc:subject>
  <dc:creator>Productivity Commission</dc:creator>
  <cp:keywords/>
  <dc:description>1.</dc:description>
  <cp:lastModifiedBy>Productivity Commission</cp:lastModifiedBy>
  <cp:revision>49</cp:revision>
  <cp:lastPrinted>2012-10-19T00:48:00Z</cp:lastPrinted>
  <dcterms:created xsi:type="dcterms:W3CDTF">2012-10-15T04:12:00Z</dcterms:created>
  <dcterms:modified xsi:type="dcterms:W3CDTF">2012-11-01T00:53:00Z</dcterms:modified>
</cp:coreProperties>
</file>