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6E" w:rsidRDefault="008F60ED">
      <w:pPr>
        <w:rPr>
          <w:noProof/>
          <w:lang w:eastAsia="en-AU"/>
        </w:rPr>
      </w:pPr>
      <w:r>
        <w:rPr>
          <w:noProof/>
          <w:lang w:eastAsia="en-AU"/>
        </w:rPr>
        <w:drawing>
          <wp:anchor distT="0" distB="0" distL="114300" distR="114300" simplePos="0" relativeHeight="251659264" behindDoc="0" locked="0" layoutInCell="1" allowOverlap="1">
            <wp:simplePos x="0" y="0"/>
            <wp:positionH relativeFrom="margin">
              <wp:posOffset>-1151890</wp:posOffset>
            </wp:positionH>
            <wp:positionV relativeFrom="margin">
              <wp:posOffset>-1245235</wp:posOffset>
            </wp:positionV>
            <wp:extent cx="7562850" cy="10685145"/>
            <wp:effectExtent l="0" t="0" r="0" b="1905"/>
            <wp:wrapSquare wrapText="bothSides"/>
            <wp:docPr id="1" name="Picture 1" descr="Australian Government Productivity Commission logo. Cover of the Annual Report 2011-12. Productivity Commission Annual Report S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ual-report-2011-12-cover.jpg"/>
                    <pic:cNvPicPr/>
                  </pic:nvPicPr>
                  <pic:blipFill>
                    <a:blip r:embed="rId8">
                      <a:extLst>
                        <a:ext uri="{28A0092B-C50C-407E-A947-70E740481C1C}">
                          <a14:useLocalDpi xmlns:a14="http://schemas.microsoft.com/office/drawing/2010/main" val="0"/>
                        </a:ext>
                      </a:extLst>
                    </a:blip>
                    <a:stretch>
                      <a:fillRect/>
                    </a:stretch>
                  </pic:blipFill>
                  <pic:spPr>
                    <a:xfrm>
                      <a:off x="0" y="0"/>
                      <a:ext cx="7562850" cy="10685145"/>
                    </a:xfrm>
                    <a:prstGeom prst="rect">
                      <a:avLst/>
                    </a:prstGeom>
                  </pic:spPr>
                </pic:pic>
              </a:graphicData>
            </a:graphic>
            <wp14:sizeRelH relativeFrom="margin">
              <wp14:pctWidth>0</wp14:pctWidth>
            </wp14:sizeRelH>
            <wp14:sizeRelV relativeFrom="margin">
              <wp14:pctHeight>0</wp14:pctHeight>
            </wp14:sizeRelV>
          </wp:anchor>
        </w:drawing>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B03350" w:rsidRDefault="00B03350">
      <w:pPr>
        <w:pStyle w:val="BodyText"/>
        <w:tabs>
          <w:tab w:val="left" w:pos="851"/>
        </w:tabs>
        <w:spacing w:before="200" w:after="120"/>
        <w:jc w:val="left"/>
        <w:rPr>
          <w:rFonts w:ascii="Arial" w:hAnsi="Arial" w:cs="Arial"/>
          <w:sz w:val="16"/>
          <w:szCs w:val="16"/>
          <w:lang w:eastAsia="en-AU"/>
        </w:rPr>
      </w:pPr>
      <w:bookmarkStart w:id="0" w:name="ISSN"/>
      <w:bookmarkEnd w:id="0"/>
      <w:r>
        <w:rPr>
          <w:b/>
          <w:sz w:val="24"/>
        </w:rPr>
        <w:t>ISSN</w:t>
      </w:r>
      <w:r>
        <w:rPr>
          <w:b/>
          <w:sz w:val="24"/>
        </w:rPr>
        <w:tab/>
      </w:r>
      <w:r w:rsidR="00C51E45" w:rsidRPr="00782B4E">
        <w:rPr>
          <w:b/>
          <w:sz w:val="24"/>
        </w:rPr>
        <w:t>1035-</w:t>
      </w:r>
      <w:r w:rsidR="00640F62" w:rsidRPr="00640F62">
        <w:rPr>
          <w:b/>
          <w:sz w:val="24"/>
        </w:rPr>
        <w:t>5243</w:t>
      </w:r>
      <w:r>
        <w:rPr>
          <w:b/>
          <w:sz w:val="24"/>
        </w:rPr>
        <w:br/>
        <w:t>ISBN</w:t>
      </w:r>
      <w:r>
        <w:rPr>
          <w:b/>
          <w:sz w:val="24"/>
        </w:rPr>
        <w:tab/>
      </w:r>
      <w:r w:rsidR="00C51E45" w:rsidRPr="00782B4E">
        <w:rPr>
          <w:b/>
          <w:sz w:val="24"/>
        </w:rPr>
        <w:t>978-1-74037-416-3</w:t>
      </w:r>
    </w:p>
    <w:p w:rsidR="003E7802" w:rsidRPr="00691AB5" w:rsidRDefault="003E7802" w:rsidP="00FA4A24">
      <w:pPr>
        <w:pStyle w:val="BodyText"/>
        <w:rPr>
          <w:snapToGrid w:val="0"/>
        </w:rPr>
      </w:pPr>
      <w:r w:rsidRPr="00691AB5">
        <w:rPr>
          <w:snapToGrid w:val="0"/>
        </w:rPr>
        <w:t xml:space="preserve">This work is copyright. Apart from any use as permitted under the </w:t>
      </w:r>
      <w:r w:rsidRPr="00097C15">
        <w:rPr>
          <w:i/>
          <w:snapToGrid w:val="0"/>
        </w:rPr>
        <w:t>Copyright Act 1968</w:t>
      </w:r>
      <w:r w:rsidRPr="00691AB5">
        <w:rPr>
          <w:snapToGrid w:val="0"/>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rPr>
        <w:t>Productivity Commission</w:t>
      </w:r>
      <w:r w:rsidRPr="00691AB5">
        <w:rPr>
          <w:snapToGrid w:val="0"/>
        </w:rPr>
        <w:t xml:space="preserve">. Requests and inquiries concerning reproduction and rights should be addressed to </w:t>
      </w:r>
      <w:r w:rsidR="009B12EF">
        <w:rPr>
          <w:snapToGrid w:val="0"/>
        </w:rPr>
        <w:t>Media and Publications (see below)</w:t>
      </w:r>
      <w:r w:rsidR="00734127">
        <w:rPr>
          <w:snapToGrid w:val="0"/>
        </w:rPr>
        <w:t>.</w:t>
      </w:r>
    </w:p>
    <w:p w:rsidR="003E7802" w:rsidRDefault="003E7802" w:rsidP="003E7802">
      <w:pPr>
        <w:pStyle w:val="BodyText"/>
        <w:spacing w:before="160" w:line="240" w:lineRule="auto"/>
        <w:rPr>
          <w:i/>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Me</w:t>
      </w:r>
      <w:r w:rsidR="00734127">
        <w:rPr>
          <w:i/>
          <w:snapToGrid w:val="0"/>
          <w:sz w:val="24"/>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B03350" w:rsidRPr="00051780" w:rsidRDefault="00B03350" w:rsidP="00B03350">
      <w:pPr>
        <w:pStyle w:val="BodyText"/>
        <w:spacing w:before="160" w:after="120" w:line="240" w:lineRule="auto"/>
        <w:rPr>
          <w:sz w:val="24"/>
          <w:szCs w:val="24"/>
        </w:rPr>
      </w:pPr>
      <w:r>
        <w:rPr>
          <w:sz w:val="24"/>
          <w:szCs w:val="24"/>
        </w:rPr>
        <w:t xml:space="preserve">Productivity Commission 2012, </w:t>
      </w:r>
      <w:r>
        <w:rPr>
          <w:i/>
          <w:sz w:val="24"/>
          <w:szCs w:val="24"/>
        </w:rPr>
        <w:t xml:space="preserve">Annual Report 2011-12, </w:t>
      </w:r>
      <w:r>
        <w:rPr>
          <w:sz w:val="24"/>
          <w:szCs w:val="24"/>
        </w:rPr>
        <w:t>Annual Report Series, Productivity Commission, Canberra</w:t>
      </w:r>
      <w:r w:rsidR="00761D2F">
        <w:rPr>
          <w:sz w:val="24"/>
          <w:szCs w:val="24"/>
        </w:rPr>
        <w:t>.</w:t>
      </w:r>
    </w:p>
    <w:p w:rsidR="00B03350" w:rsidRPr="00507F3C" w:rsidRDefault="00B03350" w:rsidP="00B03350">
      <w:pPr>
        <w:pStyle w:val="BodyText"/>
        <w:spacing w:before="160" w:after="120" w:line="240" w:lineRule="auto"/>
        <w:rPr>
          <w:sz w:val="20"/>
        </w:rPr>
      </w:pPr>
      <w:proofErr w:type="spellStart"/>
      <w:r>
        <w:rPr>
          <w:sz w:val="20"/>
        </w:rPr>
        <w:t>JEL</w:t>
      </w:r>
      <w:proofErr w:type="spellEnd"/>
      <w:r>
        <w:rPr>
          <w:sz w:val="20"/>
        </w:rPr>
        <w:t xml:space="preserve"> code: D</w:t>
      </w:r>
    </w:p>
    <w:p w:rsidR="003E7802" w:rsidRPr="00DC75C7" w:rsidRDefault="003E7802" w:rsidP="003E7802">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 w:val="24"/>
          <w:szCs w:val="24"/>
        </w:rPr>
      </w:pPr>
      <w:r w:rsidRPr="00DC75C7">
        <w:rPr>
          <w:b/>
          <w:i/>
          <w:sz w:val="24"/>
          <w:szCs w:val="24"/>
        </w:rPr>
        <w:t>The Productivity Commission</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Commission’s independence is underpinned by an Act of Parliament. Its processes and outputs are open to public scrutiny and are driven by concern for the wellbeing of the community as a whole.</w:t>
      </w:r>
    </w:p>
    <w:p w:rsidR="00B03350" w:rsidRDefault="003E7802" w:rsidP="00704F3B">
      <w:pPr>
        <w:pStyle w:val="BodyText"/>
        <w:pBdr>
          <w:top w:val="single" w:sz="4" w:space="5" w:color="auto"/>
          <w:left w:val="single" w:sz="4" w:space="8" w:color="auto"/>
          <w:bottom w:val="single" w:sz="4" w:space="14" w:color="auto"/>
          <w:right w:val="single" w:sz="4" w:space="8" w:color="auto"/>
        </w:pBdr>
        <w:spacing w:before="160" w:line="240" w:lineRule="auto"/>
        <w:ind w:left="284" w:right="284"/>
      </w:pPr>
      <w:r w:rsidRPr="00BB5DCF">
        <w:rPr>
          <w:sz w:val="24"/>
          <w:szCs w:val="24"/>
        </w:rPr>
        <w:t>Further information on the Productivity Commission can be obtained from the Commission’s website (www.pc.gov.au) or by contacting Media and Publications on (03) 9653 2244 or email: maps@pc.gov.au</w:t>
      </w:r>
      <w:bookmarkStart w:id="1" w:name="cov"/>
      <w:bookmarkEnd w:id="1"/>
    </w:p>
    <w:p w:rsidR="00B03350" w:rsidRDefault="00335D59">
      <w:pPr>
        <w:pStyle w:val="LetterAddress"/>
      </w:pPr>
      <w:bookmarkStart w:id="2" w:name="_GoBack"/>
      <w:r>
        <w:rPr>
          <w:noProof/>
        </w:rPr>
        <w:lastRenderedPageBreak/>
        <w:drawing>
          <wp:anchor distT="0" distB="0" distL="114300" distR="114300" simplePos="0" relativeHeight="251661312" behindDoc="0" locked="0" layoutInCell="1" allowOverlap="1" wp14:anchorId="645AA97B" wp14:editId="0524D0AB">
            <wp:simplePos x="0" y="0"/>
            <wp:positionH relativeFrom="column">
              <wp:posOffset>-1132840</wp:posOffset>
            </wp:positionH>
            <wp:positionV relativeFrom="paragraph">
              <wp:posOffset>-1260475</wp:posOffset>
            </wp:positionV>
            <wp:extent cx="7533005" cy="10692130"/>
            <wp:effectExtent l="0" t="0" r="0" b="0"/>
            <wp:wrapSquare wrapText="bothSides"/>
            <wp:docPr id="2" name="Picture 2" descr="Letter signed by the Chairman and Commissioners on 18 October 2012 addressed to the Assiaant Treasurer.&#10;Dear Assistant Treasurer, We submit to you the Productivity Commission's annual report for 2011-12. The report is prepared in accordance with section 10 of the Productivity Commission Act 1998. The Commission's Act requires that a copy of this report be tabled within 15 sitting days of each House of Parliament after the day of receipt of th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gif"/>
                    <pic:cNvPicPr/>
                  </pic:nvPicPr>
                  <pic:blipFill>
                    <a:blip r:embed="rId9">
                      <a:extLst>
                        <a:ext uri="{28A0092B-C50C-407E-A947-70E740481C1C}">
                          <a14:useLocalDpi xmlns:a14="http://schemas.microsoft.com/office/drawing/2010/main" val="0"/>
                        </a:ext>
                      </a:extLst>
                    </a:blip>
                    <a:stretch>
                      <a:fillRect/>
                    </a:stretch>
                  </pic:blipFill>
                  <pic:spPr>
                    <a:xfrm>
                      <a:off x="0" y="0"/>
                      <a:ext cx="7533005" cy="10692130"/>
                    </a:xfrm>
                    <a:prstGeom prst="rect">
                      <a:avLst/>
                    </a:prstGeom>
                  </pic:spPr>
                </pic:pic>
              </a:graphicData>
            </a:graphic>
            <wp14:sizeRelH relativeFrom="page">
              <wp14:pctWidth>0</wp14:pctWidth>
            </wp14:sizeRelH>
            <wp14:sizeRelV relativeFrom="page">
              <wp14:pctHeight>0</wp14:pctHeight>
            </wp14:sizeRelV>
          </wp:anchor>
        </w:drawing>
      </w:r>
      <w:bookmarkEnd w:id="2"/>
    </w:p>
    <w:p w:rsidR="004505B9" w:rsidRDefault="004505B9">
      <w:pPr>
        <w:pStyle w:val="LetterAddress"/>
      </w:pPr>
    </w:p>
    <w:p w:rsidR="004505B9" w:rsidRDefault="004505B9">
      <w:pPr>
        <w:rPr>
          <w:sz w:val="24"/>
          <w:lang w:eastAsia="en-AU"/>
        </w:rPr>
      </w:pPr>
      <w:r>
        <w:br w:type="page"/>
      </w:r>
    </w:p>
    <w:p w:rsidR="00B03350" w:rsidRDefault="00B03350" w:rsidP="00B03350">
      <w:pPr>
        <w:pStyle w:val="Heading3"/>
        <w:spacing w:before="0"/>
        <w:ind w:left="709" w:hanging="709"/>
        <w:rPr>
          <w:szCs w:val="26"/>
        </w:rPr>
      </w:pPr>
      <w:bookmarkStart w:id="3" w:name="Contents"/>
      <w:bookmarkEnd w:id="3"/>
      <w:r w:rsidRPr="006D673C">
        <w:rPr>
          <w:szCs w:val="26"/>
        </w:rPr>
        <w:lastRenderedPageBreak/>
        <w:t>Chairman and Commissioners</w:t>
      </w:r>
    </w:p>
    <w:p w:rsidR="00B03350" w:rsidRDefault="00B03350" w:rsidP="00B03350">
      <w:pPr>
        <w:ind w:left="709" w:hanging="709"/>
      </w:pPr>
    </w:p>
    <w:p w:rsidR="00B03350" w:rsidRDefault="00B03350" w:rsidP="00B03350">
      <w:pPr>
        <w:ind w:left="709" w:hanging="709"/>
      </w:pPr>
    </w:p>
    <w:p w:rsidR="00B03350" w:rsidRPr="00E1626A" w:rsidRDefault="00B03350" w:rsidP="00B03350">
      <w:pPr>
        <w:ind w:left="426"/>
        <w:jc w:val="center"/>
      </w:pPr>
      <w:r>
        <w:rPr>
          <w:noProof/>
          <w:lang w:eastAsia="en-AU"/>
        </w:rPr>
        <w:drawing>
          <wp:inline distT="0" distB="0" distL="0" distR="0" wp14:anchorId="51D671C0" wp14:editId="2AD6B80F">
            <wp:extent cx="4105275" cy="1762125"/>
            <wp:effectExtent l="19050" t="19050" r="28575" b="28575"/>
            <wp:docPr id="9" name="Picture 9" descr="Philip Weickhardt, Gary Banks (Chairman) and Patricia Sco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W,GB&amp;PS2_cropped"/>
                    <pic:cNvPicPr>
                      <a:picLocks noChangeAspect="1" noChangeArrowheads="1"/>
                    </pic:cNvPicPr>
                  </pic:nvPicPr>
                  <pic:blipFill>
                    <a:blip r:embed="rId10" cstate="print">
                      <a:extLst>
                        <a:ext uri="{28A0092B-C50C-407E-A947-70E740481C1C}">
                          <a14:useLocalDpi xmlns:a14="http://schemas.microsoft.com/office/drawing/2010/main" val="0"/>
                        </a:ext>
                      </a:extLst>
                    </a:blip>
                    <a:srcRect t="5627" b="5627"/>
                    <a:stretch>
                      <a:fillRect/>
                    </a:stretch>
                  </pic:blipFill>
                  <pic:spPr bwMode="auto">
                    <a:xfrm>
                      <a:off x="0" y="0"/>
                      <a:ext cx="4105275" cy="1762125"/>
                    </a:xfrm>
                    <a:prstGeom prst="rect">
                      <a:avLst/>
                    </a:prstGeom>
                    <a:noFill/>
                    <a:ln w="6350" cmpd="sng">
                      <a:solidFill>
                        <a:srgbClr val="000000"/>
                      </a:solidFill>
                      <a:miter lim="800000"/>
                      <a:headEnd/>
                      <a:tailEnd/>
                    </a:ln>
                    <a:effectLst/>
                  </pic:spPr>
                </pic:pic>
              </a:graphicData>
            </a:graphic>
          </wp:inline>
        </w:drawing>
      </w:r>
    </w:p>
    <w:p w:rsidR="00B03350" w:rsidRPr="00953BDF" w:rsidRDefault="00B03350" w:rsidP="00101946">
      <w:pPr>
        <w:tabs>
          <w:tab w:val="left" w:pos="1843"/>
        </w:tabs>
        <w:spacing w:before="120" w:after="480"/>
        <w:ind w:right="-113"/>
        <w:jc w:val="center"/>
        <w:rPr>
          <w:rFonts w:ascii="Arial" w:hAnsi="Arial" w:cs="Arial"/>
          <w:sz w:val="18"/>
          <w:szCs w:val="18"/>
        </w:rPr>
      </w:pPr>
      <w:r w:rsidRPr="00953BDF">
        <w:rPr>
          <w:rFonts w:ascii="Arial" w:hAnsi="Arial" w:cs="Arial"/>
          <w:sz w:val="18"/>
          <w:szCs w:val="18"/>
        </w:rPr>
        <w:t>Philip Weickhardt, Gary Banks (Chairman) &amp; Patricia Scott</w:t>
      </w:r>
    </w:p>
    <w:p w:rsidR="00B03350" w:rsidRPr="003874F5" w:rsidRDefault="00B03350" w:rsidP="00B03350">
      <w:pPr>
        <w:ind w:left="709" w:hanging="709"/>
        <w:jc w:val="right"/>
      </w:pPr>
      <w:r>
        <w:rPr>
          <w:noProof/>
          <w:lang w:eastAsia="en-AU"/>
        </w:rPr>
        <w:drawing>
          <wp:inline distT="0" distB="0" distL="0" distR="0" wp14:anchorId="0A5FD1BF" wp14:editId="18FE4C01">
            <wp:extent cx="2552700" cy="1552575"/>
            <wp:effectExtent l="19050" t="19050" r="19050" b="28575"/>
            <wp:docPr id="10" name="Picture 10" descr="Alison McClelland and Robert Fitzger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Mc&amp;RF2"/>
                    <pic:cNvPicPr>
                      <a:picLocks noChangeAspect="1" noChangeArrowheads="1"/>
                    </pic:cNvPicPr>
                  </pic:nvPicPr>
                  <pic:blipFill>
                    <a:blip r:embed="rId11" cstate="print">
                      <a:extLst>
                        <a:ext uri="{28A0092B-C50C-407E-A947-70E740481C1C}">
                          <a14:useLocalDpi xmlns:a14="http://schemas.microsoft.com/office/drawing/2010/main" val="0"/>
                        </a:ext>
                      </a:extLst>
                    </a:blip>
                    <a:srcRect t="15880" r="6976"/>
                    <a:stretch>
                      <a:fillRect/>
                    </a:stretch>
                  </pic:blipFill>
                  <pic:spPr bwMode="auto">
                    <a:xfrm>
                      <a:off x="0" y="0"/>
                      <a:ext cx="2552700" cy="1552575"/>
                    </a:xfrm>
                    <a:prstGeom prst="rect">
                      <a:avLst/>
                    </a:prstGeom>
                    <a:noFill/>
                    <a:ln w="6350" cmpd="sng">
                      <a:solidFill>
                        <a:srgbClr val="000000"/>
                      </a:solidFill>
                      <a:miter lim="800000"/>
                      <a:headEnd/>
                      <a:tailEnd/>
                    </a:ln>
                    <a:effectLst/>
                  </pic:spPr>
                </pic:pic>
              </a:graphicData>
            </a:graphic>
          </wp:inline>
        </w:drawing>
      </w:r>
      <w:r w:rsidR="00101946">
        <w:tab/>
      </w:r>
      <w:r>
        <w:rPr>
          <w:noProof/>
          <w:lang w:eastAsia="en-AU"/>
        </w:rPr>
        <w:drawing>
          <wp:inline distT="0" distB="0" distL="0" distR="0" wp14:anchorId="6EB67E01" wp14:editId="6A0CDCAE">
            <wp:extent cx="2343150" cy="1543050"/>
            <wp:effectExtent l="19050" t="19050" r="19050" b="19050"/>
            <wp:docPr id="11" name="Picture 11" descr="Mike Woods (Deputy Chairman) and Wendy Cra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W&amp;WC-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3150" cy="1543050"/>
                    </a:xfrm>
                    <a:prstGeom prst="rect">
                      <a:avLst/>
                    </a:prstGeom>
                    <a:noFill/>
                    <a:ln w="6350" cmpd="sng">
                      <a:solidFill>
                        <a:srgbClr val="000000"/>
                      </a:solidFill>
                      <a:miter lim="800000"/>
                      <a:headEnd/>
                      <a:tailEnd/>
                    </a:ln>
                    <a:effectLst/>
                  </pic:spPr>
                </pic:pic>
              </a:graphicData>
            </a:graphic>
          </wp:inline>
        </w:drawing>
      </w:r>
    </w:p>
    <w:p w:rsidR="00B03350" w:rsidRPr="000902D4" w:rsidRDefault="00B03350" w:rsidP="00101946">
      <w:pPr>
        <w:tabs>
          <w:tab w:val="left" w:pos="567"/>
          <w:tab w:val="left" w:pos="4962"/>
        </w:tabs>
        <w:spacing w:before="120" w:after="480"/>
        <w:ind w:left="851" w:right="-113"/>
        <w:jc w:val="center"/>
        <w:rPr>
          <w:rFonts w:ascii="Arial" w:hAnsi="Arial" w:cs="Arial"/>
          <w:sz w:val="18"/>
          <w:szCs w:val="18"/>
        </w:rPr>
      </w:pPr>
      <w:r w:rsidRPr="000902D4">
        <w:rPr>
          <w:rFonts w:ascii="Arial" w:hAnsi="Arial" w:cs="Arial"/>
          <w:sz w:val="18"/>
          <w:szCs w:val="18"/>
        </w:rPr>
        <w:t>Alison McClelland &amp; Robert Fitzgerald</w:t>
      </w:r>
      <w:r w:rsidRPr="000902D4">
        <w:rPr>
          <w:rFonts w:ascii="Arial" w:hAnsi="Arial" w:cs="Arial"/>
          <w:sz w:val="18"/>
          <w:szCs w:val="18"/>
        </w:rPr>
        <w:tab/>
        <w:t>Mike Woods (Deputy Chairman) &amp; Wendy Craik</w:t>
      </w:r>
    </w:p>
    <w:p w:rsidR="00B03350" w:rsidRPr="006F3394" w:rsidRDefault="00B03350" w:rsidP="00B03350">
      <w:pPr>
        <w:ind w:left="426"/>
        <w:jc w:val="center"/>
      </w:pPr>
      <w:r>
        <w:rPr>
          <w:noProof/>
          <w:lang w:eastAsia="en-AU"/>
        </w:rPr>
        <w:drawing>
          <wp:inline distT="0" distB="0" distL="0" distR="0" wp14:anchorId="0A7AE3D8" wp14:editId="278386C6">
            <wp:extent cx="3943350" cy="1762125"/>
            <wp:effectExtent l="19050" t="19050" r="19050" b="28575"/>
            <wp:docPr id="12" name="Picture 12" descr="Angela MacRae, Warren Mundy and Jonathan Cop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Mac,WM&amp;JC"/>
                    <pic:cNvPicPr>
                      <a:picLocks noChangeAspect="1" noChangeArrowheads="1"/>
                    </pic:cNvPicPr>
                  </pic:nvPicPr>
                  <pic:blipFill>
                    <a:blip r:embed="rId13" cstate="print">
                      <a:extLst>
                        <a:ext uri="{28A0092B-C50C-407E-A947-70E740481C1C}">
                          <a14:useLocalDpi xmlns:a14="http://schemas.microsoft.com/office/drawing/2010/main" val="0"/>
                        </a:ext>
                      </a:extLst>
                    </a:blip>
                    <a:srcRect l="6262" t="26770" r="3975" b="12920"/>
                    <a:stretch>
                      <a:fillRect/>
                    </a:stretch>
                  </pic:blipFill>
                  <pic:spPr bwMode="auto">
                    <a:xfrm>
                      <a:off x="0" y="0"/>
                      <a:ext cx="3943350" cy="1762125"/>
                    </a:xfrm>
                    <a:prstGeom prst="rect">
                      <a:avLst/>
                    </a:prstGeom>
                    <a:noFill/>
                    <a:ln w="6350" cmpd="sng">
                      <a:solidFill>
                        <a:srgbClr val="000000"/>
                      </a:solidFill>
                      <a:miter lim="800000"/>
                      <a:headEnd/>
                      <a:tailEnd/>
                    </a:ln>
                    <a:effectLst/>
                  </pic:spPr>
                </pic:pic>
              </a:graphicData>
            </a:graphic>
          </wp:inline>
        </w:drawing>
      </w:r>
    </w:p>
    <w:p w:rsidR="00B03350" w:rsidRPr="00953BDF" w:rsidRDefault="00B03350" w:rsidP="00101946">
      <w:pPr>
        <w:tabs>
          <w:tab w:val="left" w:pos="1985"/>
        </w:tabs>
        <w:spacing w:before="120"/>
        <w:jc w:val="center"/>
        <w:rPr>
          <w:rFonts w:ascii="Arial" w:hAnsi="Arial" w:cs="Arial"/>
          <w:sz w:val="18"/>
          <w:szCs w:val="18"/>
        </w:rPr>
      </w:pPr>
      <w:r w:rsidRPr="00953BDF">
        <w:rPr>
          <w:rFonts w:ascii="Arial" w:hAnsi="Arial" w:cs="Arial"/>
          <w:sz w:val="18"/>
          <w:szCs w:val="18"/>
        </w:rPr>
        <w:t>Angela MacRae, Warren Mundy &amp; Jonathan Coppel</w:t>
      </w:r>
    </w:p>
    <w:p w:rsidR="0086644E" w:rsidRDefault="0086644E"/>
    <w:p w:rsidR="0086644E" w:rsidRDefault="0086644E"/>
    <w:p w:rsidR="00B03350" w:rsidRDefault="00B03350">
      <w:r>
        <w:br w:type="page"/>
      </w:r>
    </w:p>
    <w:p w:rsidR="004505B9" w:rsidRDefault="004505B9" w:rsidP="00B03350">
      <w:pPr>
        <w:pStyle w:val="BodyText"/>
        <w:sectPr w:rsidR="004505B9" w:rsidSect="00B2146E">
          <w:type w:val="oddPage"/>
          <w:pgSz w:w="11907" w:h="16840" w:code="9"/>
          <w:pgMar w:top="1985" w:right="1304" w:bottom="426" w:left="1814" w:header="1701" w:footer="567" w:gutter="0"/>
          <w:pgNumType w:fmt="lowerRoman"/>
          <w:cols w:space="720"/>
        </w:sectPr>
      </w:pPr>
    </w:p>
    <w:p w:rsidR="00B03350" w:rsidRDefault="00B03350" w:rsidP="00B03350">
      <w:pPr>
        <w:pStyle w:val="BodyText"/>
      </w:pPr>
      <w:r>
        <w:lastRenderedPageBreak/>
        <w:t>Acknowledgments</w:t>
      </w:r>
    </w:p>
    <w:p w:rsidR="00795963" w:rsidRDefault="00B03350" w:rsidP="00A10C18">
      <w:pPr>
        <w:pStyle w:val="BodyText"/>
        <w:jc w:val="left"/>
      </w:pPr>
      <w:r>
        <w:t>The Commission wishes to thank its staff for their continued efforts, commitment and support during the past year</w:t>
      </w:r>
      <w:r w:rsidR="008B451B">
        <w:t>.</w:t>
      </w:r>
    </w:p>
    <w:p w:rsidR="00795963" w:rsidRDefault="00795963" w:rsidP="00795963">
      <w:pPr>
        <w:pStyle w:val="BodyText"/>
        <w:jc w:val="left"/>
      </w:pPr>
    </w:p>
    <w:p w:rsidR="00B03350" w:rsidRPr="00B03350" w:rsidRDefault="00B03350" w:rsidP="00D37B08">
      <w:pPr>
        <w:pStyle w:val="BodyText"/>
        <w:jc w:val="left"/>
        <w:rPr>
          <w:kern w:val="28"/>
          <w:sz w:val="52"/>
          <w:szCs w:val="26"/>
        </w:rPr>
        <w:sectPr w:rsidR="00B03350" w:rsidRPr="00B03350" w:rsidSect="004505B9">
          <w:headerReference w:type="even" r:id="rId14"/>
          <w:headerReference w:type="default" r:id="rId15"/>
          <w:footerReference w:type="even" r:id="rId16"/>
          <w:footerReference w:type="default" r:id="rId17"/>
          <w:pgSz w:w="11907" w:h="16840" w:code="9"/>
          <w:pgMar w:top="1985" w:right="1304" w:bottom="426" w:left="1814" w:header="1701" w:footer="567" w:gutter="0"/>
          <w:pgNumType w:fmt="lowerRoman"/>
          <w:cols w:space="720"/>
        </w:sectPr>
      </w:pPr>
    </w:p>
    <w:p w:rsidR="00782B4E" w:rsidRDefault="00735FEA" w:rsidP="008206EE">
      <w:pPr>
        <w:pStyle w:val="Heading1NotTOC"/>
        <w:rPr>
          <w:noProof/>
        </w:rPr>
      </w:pPr>
      <w:r w:rsidRPr="00B153C3">
        <w:lastRenderedPageBreak/>
        <w:t>Contents</w:t>
      </w:r>
      <w:bookmarkStart w:id="4" w:name="InsertContents"/>
      <w:bookmarkEnd w:id="4"/>
    </w:p>
    <w:p w:rsidR="00782B4E" w:rsidRDefault="00782B4E">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704F3B">
        <w:rPr>
          <w:noProof/>
        </w:rPr>
        <w:t>xi</w:t>
      </w:r>
    </w:p>
    <w:p w:rsidR="00782B4E" w:rsidRDefault="00782B4E" w:rsidP="00782B4E">
      <w:pPr>
        <w:pStyle w:val="TOC1"/>
        <w:spacing w:before="360"/>
        <w:rPr>
          <w:noProof/>
        </w:rPr>
      </w:pPr>
      <w:r>
        <w:rPr>
          <w:noProof/>
        </w:rPr>
        <w:t>CHAPTERS</w:t>
      </w:r>
    </w:p>
    <w:p w:rsidR="00782B4E" w:rsidRDefault="00782B4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Structural adjustment in a ‘multi-speed’ economy</w:t>
      </w:r>
      <w:r>
        <w:rPr>
          <w:noProof/>
        </w:rPr>
        <w:tab/>
        <w:t>1</w:t>
      </w:r>
    </w:p>
    <w:p w:rsidR="00782B4E" w:rsidRDefault="00782B4E">
      <w:pPr>
        <w:pStyle w:val="TOC2"/>
        <w:rPr>
          <w:rFonts w:asciiTheme="minorHAnsi" w:eastAsiaTheme="minorEastAsia" w:hAnsiTheme="minorHAnsi" w:cstheme="minorBidi"/>
          <w:noProof/>
          <w:sz w:val="22"/>
          <w:szCs w:val="22"/>
          <w:lang w:eastAsia="en-AU"/>
        </w:rPr>
      </w:pPr>
      <w:r>
        <w:rPr>
          <w:noProof/>
        </w:rPr>
        <w:t>Sectoral pressures from the mining boom</w:t>
      </w:r>
      <w:r>
        <w:rPr>
          <w:noProof/>
        </w:rPr>
        <w:tab/>
        <w:t>2</w:t>
      </w:r>
    </w:p>
    <w:p w:rsidR="00782B4E" w:rsidRDefault="00782B4E">
      <w:pPr>
        <w:pStyle w:val="TOC2"/>
        <w:rPr>
          <w:rFonts w:asciiTheme="minorHAnsi" w:eastAsiaTheme="minorEastAsia" w:hAnsiTheme="minorHAnsi" w:cstheme="minorBidi"/>
          <w:noProof/>
          <w:sz w:val="22"/>
          <w:szCs w:val="22"/>
          <w:lang w:eastAsia="en-AU"/>
        </w:rPr>
      </w:pPr>
      <w:r>
        <w:rPr>
          <w:noProof/>
        </w:rPr>
        <w:t>Recent changes in perspective</w:t>
      </w:r>
      <w:r>
        <w:rPr>
          <w:noProof/>
        </w:rPr>
        <w:tab/>
        <w:t>5</w:t>
      </w:r>
    </w:p>
    <w:p w:rsidR="00782B4E" w:rsidRDefault="00782B4E">
      <w:pPr>
        <w:pStyle w:val="TOC2"/>
        <w:rPr>
          <w:rFonts w:asciiTheme="minorHAnsi" w:eastAsiaTheme="minorEastAsia" w:hAnsiTheme="minorHAnsi" w:cstheme="minorBidi"/>
          <w:noProof/>
          <w:sz w:val="22"/>
          <w:szCs w:val="22"/>
          <w:lang w:eastAsia="en-AU"/>
        </w:rPr>
      </w:pPr>
      <w:r>
        <w:rPr>
          <w:noProof/>
        </w:rPr>
        <w:t>A closer look at sectoral changes</w:t>
      </w:r>
      <w:r>
        <w:rPr>
          <w:noProof/>
        </w:rPr>
        <w:tab/>
        <w:t>13</w:t>
      </w:r>
    </w:p>
    <w:p w:rsidR="00782B4E" w:rsidRDefault="00782B4E">
      <w:pPr>
        <w:pStyle w:val="TOC2"/>
        <w:rPr>
          <w:rFonts w:asciiTheme="minorHAnsi" w:eastAsiaTheme="minorEastAsia" w:hAnsiTheme="minorHAnsi" w:cstheme="minorBidi"/>
          <w:noProof/>
          <w:sz w:val="22"/>
          <w:szCs w:val="22"/>
          <w:lang w:eastAsia="en-AU"/>
        </w:rPr>
      </w:pPr>
      <w:r>
        <w:rPr>
          <w:noProof/>
        </w:rPr>
        <w:t>Regions have also benefited</w:t>
      </w:r>
      <w:r>
        <w:rPr>
          <w:noProof/>
        </w:rPr>
        <w:tab/>
        <w:t>22</w:t>
      </w:r>
    </w:p>
    <w:p w:rsidR="00782B4E" w:rsidRDefault="00782B4E">
      <w:pPr>
        <w:pStyle w:val="TOC2"/>
        <w:rPr>
          <w:rFonts w:asciiTheme="minorHAnsi" w:eastAsiaTheme="minorEastAsia" w:hAnsiTheme="minorHAnsi" w:cstheme="minorBidi"/>
          <w:noProof/>
          <w:sz w:val="22"/>
          <w:szCs w:val="22"/>
          <w:lang w:eastAsia="en-AU"/>
        </w:rPr>
      </w:pPr>
      <w:r>
        <w:rPr>
          <w:noProof/>
        </w:rPr>
        <w:t>Benefits and costs of recent structural change</w:t>
      </w:r>
      <w:r>
        <w:rPr>
          <w:noProof/>
        </w:rPr>
        <w:tab/>
        <w:t>24</w:t>
      </w:r>
    </w:p>
    <w:p w:rsidR="00782B4E" w:rsidRDefault="00782B4E">
      <w:pPr>
        <w:pStyle w:val="TOC2"/>
        <w:rPr>
          <w:rFonts w:asciiTheme="minorHAnsi" w:eastAsiaTheme="minorEastAsia" w:hAnsiTheme="minorHAnsi" w:cstheme="minorBidi"/>
          <w:noProof/>
          <w:sz w:val="22"/>
          <w:szCs w:val="22"/>
          <w:lang w:eastAsia="en-AU"/>
        </w:rPr>
      </w:pPr>
      <w:r>
        <w:rPr>
          <w:noProof/>
        </w:rPr>
        <w:t>Enhancing flexibility and adaptability is the key</w:t>
      </w:r>
      <w:r>
        <w:rPr>
          <w:noProof/>
        </w:rPr>
        <w:tab/>
        <w:t>27</w:t>
      </w:r>
    </w:p>
    <w:p w:rsidR="00782B4E" w:rsidRDefault="00782B4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Review of Commission activities and performance</w:t>
      </w:r>
      <w:r>
        <w:rPr>
          <w:noProof/>
        </w:rPr>
        <w:tab/>
        <w:t>29</w:t>
      </w:r>
    </w:p>
    <w:p w:rsidR="00782B4E" w:rsidRDefault="00782B4E">
      <w:pPr>
        <w:pStyle w:val="TOC2"/>
        <w:rPr>
          <w:rFonts w:asciiTheme="minorHAnsi" w:eastAsiaTheme="minorEastAsia" w:hAnsiTheme="minorHAnsi" w:cstheme="minorBidi"/>
          <w:noProof/>
          <w:sz w:val="22"/>
          <w:szCs w:val="22"/>
          <w:lang w:eastAsia="en-AU"/>
        </w:rPr>
      </w:pPr>
      <w:r>
        <w:rPr>
          <w:noProof/>
        </w:rPr>
        <w:t>Overview</w:t>
      </w:r>
      <w:r>
        <w:rPr>
          <w:noProof/>
        </w:rPr>
        <w:tab/>
        <w:t>30</w:t>
      </w:r>
    </w:p>
    <w:p w:rsidR="00782B4E" w:rsidRDefault="00782B4E">
      <w:pPr>
        <w:pStyle w:val="TOC2"/>
        <w:rPr>
          <w:rFonts w:asciiTheme="minorHAnsi" w:eastAsiaTheme="minorEastAsia" w:hAnsiTheme="minorHAnsi" w:cstheme="minorBidi"/>
          <w:noProof/>
          <w:sz w:val="22"/>
          <w:szCs w:val="22"/>
          <w:lang w:eastAsia="en-AU"/>
        </w:rPr>
      </w:pPr>
      <w:r>
        <w:rPr>
          <w:noProof/>
        </w:rPr>
        <w:t>Year in review</w:t>
      </w:r>
      <w:r>
        <w:rPr>
          <w:noProof/>
        </w:rPr>
        <w:tab/>
        <w:t>33</w:t>
      </w:r>
    </w:p>
    <w:p w:rsidR="00782B4E" w:rsidRDefault="00782B4E">
      <w:pPr>
        <w:pStyle w:val="TOC2"/>
        <w:rPr>
          <w:rFonts w:asciiTheme="minorHAnsi" w:eastAsiaTheme="minorEastAsia" w:hAnsiTheme="minorHAnsi" w:cstheme="minorBidi"/>
          <w:noProof/>
          <w:sz w:val="22"/>
          <w:szCs w:val="22"/>
          <w:lang w:eastAsia="en-AU"/>
        </w:rPr>
      </w:pPr>
      <w:r>
        <w:rPr>
          <w:noProof/>
        </w:rPr>
        <w:t>Transparency and public consultation</w:t>
      </w:r>
      <w:r>
        <w:rPr>
          <w:noProof/>
        </w:rPr>
        <w:tab/>
        <w:t>40</w:t>
      </w:r>
    </w:p>
    <w:p w:rsidR="00782B4E" w:rsidRDefault="00782B4E">
      <w:pPr>
        <w:pStyle w:val="TOC2"/>
        <w:rPr>
          <w:rFonts w:asciiTheme="minorHAnsi" w:eastAsiaTheme="minorEastAsia" w:hAnsiTheme="minorHAnsi" w:cstheme="minorBidi"/>
          <w:noProof/>
          <w:sz w:val="22"/>
          <w:szCs w:val="22"/>
          <w:lang w:eastAsia="en-AU"/>
        </w:rPr>
      </w:pPr>
      <w:r>
        <w:rPr>
          <w:noProof/>
        </w:rPr>
        <w:t>Feedback on the Commission’s work</w:t>
      </w:r>
      <w:r>
        <w:rPr>
          <w:noProof/>
        </w:rPr>
        <w:tab/>
        <w:t>45</w:t>
      </w:r>
    </w:p>
    <w:p w:rsidR="00782B4E" w:rsidRDefault="00782B4E">
      <w:pPr>
        <w:pStyle w:val="TOC2"/>
        <w:rPr>
          <w:rFonts w:asciiTheme="minorHAnsi" w:eastAsiaTheme="minorEastAsia" w:hAnsiTheme="minorHAnsi" w:cstheme="minorBidi"/>
          <w:noProof/>
          <w:sz w:val="22"/>
          <w:szCs w:val="22"/>
          <w:lang w:eastAsia="en-AU"/>
        </w:rPr>
      </w:pPr>
      <w:r>
        <w:rPr>
          <w:noProof/>
        </w:rPr>
        <w:t>Policy and wider impacts</w:t>
      </w:r>
      <w:r>
        <w:rPr>
          <w:noProof/>
        </w:rPr>
        <w:tab/>
        <w:t>46</w:t>
      </w:r>
    </w:p>
    <w:p w:rsidR="00782B4E" w:rsidRDefault="00782B4E">
      <w:pPr>
        <w:pStyle w:val="TOC2"/>
        <w:rPr>
          <w:rFonts w:asciiTheme="minorHAnsi" w:eastAsiaTheme="minorEastAsia" w:hAnsiTheme="minorHAnsi" w:cstheme="minorBidi"/>
          <w:noProof/>
          <w:sz w:val="22"/>
          <w:szCs w:val="22"/>
          <w:lang w:eastAsia="en-AU"/>
        </w:rPr>
      </w:pPr>
      <w:r>
        <w:rPr>
          <w:noProof/>
        </w:rPr>
        <w:t>Associated reporting</w:t>
      </w:r>
      <w:r>
        <w:rPr>
          <w:noProof/>
        </w:rPr>
        <w:tab/>
        <w:t>54</w:t>
      </w:r>
    </w:p>
    <w:p w:rsidR="00782B4E" w:rsidRDefault="00782B4E" w:rsidP="00782B4E">
      <w:pPr>
        <w:pStyle w:val="TOC1"/>
        <w:spacing w:before="480"/>
        <w:rPr>
          <w:noProof/>
        </w:rPr>
      </w:pPr>
      <w:r>
        <w:rPr>
          <w:noProof/>
        </w:rPr>
        <w:t>APPENDI</w:t>
      </w:r>
      <w:r w:rsidR="00220C49">
        <w:rPr>
          <w:noProof/>
        </w:rPr>
        <w:t>C</w:t>
      </w:r>
      <w:r>
        <w:rPr>
          <w:noProof/>
        </w:rPr>
        <w:t>ES</w:t>
      </w:r>
    </w:p>
    <w:p w:rsidR="00782B4E" w:rsidRDefault="00782B4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Management and accountability</w:t>
      </w:r>
      <w:r>
        <w:rPr>
          <w:noProof/>
        </w:rPr>
        <w:tab/>
        <w:t>57</w:t>
      </w:r>
    </w:p>
    <w:p w:rsidR="00782B4E" w:rsidRDefault="00782B4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Program performance</w:t>
      </w:r>
      <w:r>
        <w:rPr>
          <w:noProof/>
        </w:rPr>
        <w:tab/>
        <w:t>85</w:t>
      </w:r>
    </w:p>
    <w:p w:rsidR="00782B4E" w:rsidRDefault="00782B4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Competitive neutrality complaints</w:t>
      </w:r>
      <w:r>
        <w:rPr>
          <w:noProof/>
        </w:rPr>
        <w:tab/>
        <w:t>145</w:t>
      </w:r>
    </w:p>
    <w:p w:rsidR="00782B4E" w:rsidRDefault="00782B4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Government commissioned projects</w:t>
      </w:r>
      <w:r>
        <w:rPr>
          <w:noProof/>
        </w:rPr>
        <w:tab/>
        <w:t>153</w:t>
      </w:r>
    </w:p>
    <w:p w:rsidR="00782B4E" w:rsidRDefault="00782B4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Supporting research and related activities</w:t>
      </w:r>
      <w:r>
        <w:rPr>
          <w:noProof/>
        </w:rPr>
        <w:tab/>
        <w:t>179</w:t>
      </w:r>
    </w:p>
    <w:p w:rsidR="00782B4E" w:rsidRDefault="00782B4E">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Publications</w:t>
      </w:r>
      <w:r>
        <w:rPr>
          <w:noProof/>
        </w:rPr>
        <w:tab/>
        <w:t>191</w:t>
      </w:r>
    </w:p>
    <w:p w:rsidR="00782B4E" w:rsidRDefault="00782B4E">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Financial statements</w:t>
      </w:r>
      <w:r>
        <w:rPr>
          <w:noProof/>
        </w:rPr>
        <w:tab/>
        <w:t>195</w:t>
      </w:r>
    </w:p>
    <w:p w:rsidR="00782B4E" w:rsidRPr="000134DC" w:rsidRDefault="00782B4E" w:rsidP="00782B4E">
      <w:pPr>
        <w:pStyle w:val="TOC1"/>
        <w:spacing w:before="360"/>
        <w:rPr>
          <w:noProof/>
        </w:rPr>
      </w:pPr>
      <w:r>
        <w:rPr>
          <w:noProof/>
        </w:rPr>
        <w:lastRenderedPageBreak/>
        <w:t>Attachments</w:t>
      </w:r>
    </w:p>
    <w:p w:rsidR="00782B4E" w:rsidRDefault="00782B4E" w:rsidP="00782B4E">
      <w:pPr>
        <w:pStyle w:val="TOC1"/>
        <w:rPr>
          <w:noProof/>
        </w:rPr>
      </w:pPr>
      <w:r>
        <w:rPr>
          <w:noProof/>
        </w:rPr>
        <w:t>A1</w:t>
      </w:r>
      <w:r>
        <w:rPr>
          <w:noProof/>
        </w:rPr>
        <w:tab/>
        <w:t>Commissioner and employee statistics</w:t>
      </w:r>
      <w:r>
        <w:rPr>
          <w:noProof/>
        </w:rPr>
        <w:tab/>
        <w:t>77</w:t>
      </w:r>
    </w:p>
    <w:p w:rsidR="00782B4E" w:rsidRDefault="00782B4E" w:rsidP="00782B4E">
      <w:pPr>
        <w:pStyle w:val="TOC1"/>
        <w:rPr>
          <w:noProof/>
        </w:rPr>
      </w:pPr>
      <w:r>
        <w:rPr>
          <w:noProof/>
        </w:rPr>
        <w:t>A2</w:t>
      </w:r>
      <w:r>
        <w:rPr>
          <w:noProof/>
        </w:rPr>
        <w:tab/>
        <w:t>Agency Resource Statement — 2011-12</w:t>
      </w:r>
      <w:r>
        <w:rPr>
          <w:noProof/>
        </w:rPr>
        <w:tab/>
        <w:t>80</w:t>
      </w:r>
    </w:p>
    <w:p w:rsidR="00782B4E" w:rsidRDefault="00782B4E" w:rsidP="00782B4E">
      <w:pPr>
        <w:pStyle w:val="TOC1"/>
        <w:rPr>
          <w:noProof/>
        </w:rPr>
      </w:pPr>
      <w:r>
        <w:rPr>
          <w:noProof/>
        </w:rPr>
        <w:t>A3</w:t>
      </w:r>
      <w:r>
        <w:rPr>
          <w:noProof/>
        </w:rPr>
        <w:tab/>
        <w:t>Fraud control certificate</w:t>
      </w:r>
      <w:r>
        <w:rPr>
          <w:noProof/>
        </w:rPr>
        <w:tab/>
        <w:t>81</w:t>
      </w:r>
    </w:p>
    <w:p w:rsidR="00782B4E" w:rsidRDefault="00782B4E" w:rsidP="00782B4E">
      <w:pPr>
        <w:pStyle w:val="TOC1"/>
        <w:spacing w:before="80"/>
        <w:rPr>
          <w:noProof/>
        </w:rPr>
      </w:pPr>
      <w:r>
        <w:rPr>
          <w:noProof/>
        </w:rPr>
        <w:t>A4</w:t>
      </w:r>
      <w:r>
        <w:rPr>
          <w:noProof/>
        </w:rPr>
        <w:tab/>
        <w:t>Compliance Index</w:t>
      </w:r>
      <w:r>
        <w:rPr>
          <w:noProof/>
        </w:rPr>
        <w:tab/>
      </w:r>
      <w:r w:rsidR="00C51E45">
        <w:rPr>
          <w:noProof/>
        </w:rPr>
        <w:t>82</w:t>
      </w:r>
    </w:p>
    <w:p w:rsidR="00782B4E" w:rsidRDefault="00782B4E" w:rsidP="00782B4E">
      <w:pPr>
        <w:pStyle w:val="TOC1"/>
        <w:rPr>
          <w:rFonts w:asciiTheme="minorHAnsi" w:eastAsiaTheme="minorEastAsia" w:hAnsiTheme="minorHAnsi" w:cstheme="minorBidi"/>
          <w:b w:val="0"/>
          <w:noProof/>
          <w:sz w:val="22"/>
          <w:szCs w:val="22"/>
          <w:lang w:eastAsia="en-AU"/>
        </w:rPr>
      </w:pPr>
      <w:r>
        <w:rPr>
          <w:noProof/>
        </w:rPr>
        <w:t>References</w:t>
      </w:r>
      <w:r>
        <w:rPr>
          <w:noProof/>
        </w:rPr>
        <w:tab/>
        <w:t>243</w:t>
      </w:r>
    </w:p>
    <w:p w:rsidR="00782B4E" w:rsidRDefault="00782B4E">
      <w:pPr>
        <w:pStyle w:val="TOC1"/>
        <w:rPr>
          <w:rFonts w:asciiTheme="minorHAnsi" w:eastAsiaTheme="minorEastAsia" w:hAnsiTheme="minorHAnsi" w:cstheme="minorBidi"/>
          <w:b w:val="0"/>
          <w:noProof/>
          <w:sz w:val="22"/>
          <w:szCs w:val="22"/>
          <w:lang w:eastAsia="en-AU"/>
        </w:rPr>
      </w:pPr>
      <w:r>
        <w:rPr>
          <w:noProof/>
        </w:rPr>
        <w:t>Index</w:t>
      </w:r>
      <w:r>
        <w:rPr>
          <w:noProof/>
        </w:rPr>
        <w:tab/>
        <w:t>26</w:t>
      </w:r>
      <w:r w:rsidR="006850C7">
        <w:rPr>
          <w:noProof/>
        </w:rPr>
        <w:t>3</w:t>
      </w:r>
    </w:p>
    <w:p w:rsidR="001B7F1E" w:rsidRPr="00CA581C" w:rsidRDefault="00CA581C" w:rsidP="00C51E45">
      <w:pPr>
        <w:pStyle w:val="TOC1"/>
        <w:spacing w:before="360"/>
        <w:rPr>
          <w:b w:val="0"/>
        </w:rPr>
      </w:pPr>
      <w:r>
        <w:t>Boxes</w:t>
      </w:r>
    </w:p>
    <w:p w:rsidR="00EE62B3" w:rsidRDefault="00EE62B3" w:rsidP="00EE62B3">
      <w:pPr>
        <w:pStyle w:val="TOC2"/>
        <w:tabs>
          <w:tab w:val="left" w:pos="1540"/>
        </w:tabs>
        <w:ind w:left="709" w:hanging="652"/>
        <w:rPr>
          <w:rFonts w:asciiTheme="minorHAnsi" w:eastAsiaTheme="minorEastAsia" w:hAnsiTheme="minorHAnsi" w:cstheme="minorBidi"/>
          <w:noProof/>
          <w:sz w:val="22"/>
          <w:szCs w:val="22"/>
          <w:lang w:eastAsia="en-AU"/>
        </w:rPr>
      </w:pPr>
      <w:r w:rsidRPr="006A35B1">
        <w:rPr>
          <w:noProof/>
        </w:rPr>
        <w:t>1</w:t>
      </w:r>
      <w:r w:rsidR="008454CD">
        <w:rPr>
          <w:noProof/>
        </w:rPr>
        <w:t>.1</w:t>
      </w:r>
      <w:r>
        <w:rPr>
          <w:rFonts w:asciiTheme="minorHAnsi" w:eastAsiaTheme="minorEastAsia" w:hAnsiTheme="minorHAnsi" w:cstheme="minorBidi"/>
          <w:noProof/>
          <w:sz w:val="22"/>
          <w:szCs w:val="22"/>
          <w:lang w:eastAsia="en-AU"/>
        </w:rPr>
        <w:tab/>
      </w:r>
      <w:r>
        <w:rPr>
          <w:noProof/>
        </w:rPr>
        <w:t>The three phases of the mining boom</w:t>
      </w:r>
      <w:r>
        <w:rPr>
          <w:noProof/>
        </w:rPr>
        <w:tab/>
        <w:t>3</w:t>
      </w:r>
    </w:p>
    <w:p w:rsidR="00EE62B3" w:rsidRDefault="008454CD" w:rsidP="00EE62B3">
      <w:pPr>
        <w:pStyle w:val="TOC2"/>
        <w:tabs>
          <w:tab w:val="left" w:pos="1540"/>
        </w:tabs>
        <w:ind w:left="709" w:hanging="652"/>
        <w:rPr>
          <w:rFonts w:asciiTheme="minorHAnsi" w:eastAsiaTheme="minorEastAsia" w:hAnsiTheme="minorHAnsi" w:cstheme="minorBidi"/>
          <w:noProof/>
          <w:sz w:val="22"/>
          <w:szCs w:val="22"/>
          <w:lang w:eastAsia="en-AU"/>
        </w:rPr>
      </w:pPr>
      <w:r>
        <w:rPr>
          <w:noProof/>
        </w:rPr>
        <w:t>1.</w:t>
      </w:r>
      <w:r w:rsidR="00EE62B3" w:rsidRPr="006A35B1">
        <w:rPr>
          <w:noProof/>
        </w:rPr>
        <w:t>2</w:t>
      </w:r>
      <w:r w:rsidR="00EE62B3">
        <w:rPr>
          <w:rFonts w:asciiTheme="minorHAnsi" w:eastAsiaTheme="minorEastAsia" w:hAnsiTheme="minorHAnsi" w:cstheme="minorBidi"/>
          <w:noProof/>
          <w:sz w:val="22"/>
          <w:szCs w:val="22"/>
          <w:lang w:eastAsia="en-AU"/>
        </w:rPr>
        <w:tab/>
      </w:r>
      <w:r w:rsidR="00EE62B3">
        <w:rPr>
          <w:noProof/>
        </w:rPr>
        <w:t>Drivers of structural change</w:t>
      </w:r>
      <w:r w:rsidR="00EE62B3">
        <w:rPr>
          <w:noProof/>
        </w:rPr>
        <w:tab/>
        <w:t>6</w:t>
      </w:r>
    </w:p>
    <w:p w:rsidR="00EE62B3" w:rsidRDefault="008454CD" w:rsidP="00EE62B3">
      <w:pPr>
        <w:pStyle w:val="TOC2"/>
        <w:tabs>
          <w:tab w:val="left" w:pos="1540"/>
        </w:tabs>
        <w:ind w:left="709" w:hanging="652"/>
        <w:rPr>
          <w:rFonts w:asciiTheme="minorHAnsi" w:eastAsiaTheme="minorEastAsia" w:hAnsiTheme="minorHAnsi" w:cstheme="minorBidi"/>
          <w:noProof/>
          <w:sz w:val="22"/>
          <w:szCs w:val="22"/>
          <w:lang w:eastAsia="en-AU"/>
        </w:rPr>
      </w:pPr>
      <w:r>
        <w:rPr>
          <w:noProof/>
        </w:rPr>
        <w:t>1.</w:t>
      </w:r>
      <w:r w:rsidR="00EE62B3" w:rsidRPr="006A35B1">
        <w:rPr>
          <w:noProof/>
        </w:rPr>
        <w:t>3</w:t>
      </w:r>
      <w:r w:rsidR="00EE62B3">
        <w:rPr>
          <w:rFonts w:asciiTheme="minorHAnsi" w:eastAsiaTheme="minorEastAsia" w:hAnsiTheme="minorHAnsi" w:cstheme="minorBidi"/>
          <w:noProof/>
          <w:sz w:val="22"/>
          <w:szCs w:val="22"/>
          <w:lang w:eastAsia="en-AU"/>
        </w:rPr>
        <w:tab/>
      </w:r>
      <w:r w:rsidR="00EE62B3">
        <w:rPr>
          <w:noProof/>
        </w:rPr>
        <w:t>The services sector: a study in diversity</w:t>
      </w:r>
      <w:r w:rsidR="00EE62B3">
        <w:rPr>
          <w:noProof/>
        </w:rPr>
        <w:tab/>
        <w:t>17</w:t>
      </w:r>
    </w:p>
    <w:p w:rsidR="00EE62B3" w:rsidRDefault="008454CD" w:rsidP="00EE62B3">
      <w:pPr>
        <w:pStyle w:val="TOC2"/>
        <w:tabs>
          <w:tab w:val="left" w:pos="1540"/>
        </w:tabs>
        <w:ind w:left="709" w:hanging="652"/>
        <w:rPr>
          <w:rFonts w:asciiTheme="minorHAnsi" w:eastAsiaTheme="minorEastAsia" w:hAnsiTheme="minorHAnsi" w:cstheme="minorBidi"/>
          <w:noProof/>
          <w:sz w:val="22"/>
          <w:szCs w:val="22"/>
          <w:lang w:eastAsia="en-AU"/>
        </w:rPr>
      </w:pPr>
      <w:r>
        <w:rPr>
          <w:noProof/>
        </w:rPr>
        <w:t>1.</w:t>
      </w:r>
      <w:r w:rsidR="00EE62B3" w:rsidRPr="006A35B1">
        <w:rPr>
          <w:noProof/>
        </w:rPr>
        <w:t>4</w:t>
      </w:r>
      <w:r w:rsidR="00EE62B3">
        <w:rPr>
          <w:rFonts w:asciiTheme="minorHAnsi" w:eastAsiaTheme="minorEastAsia" w:hAnsiTheme="minorHAnsi" w:cstheme="minorBidi"/>
          <w:noProof/>
          <w:sz w:val="22"/>
          <w:szCs w:val="22"/>
          <w:lang w:eastAsia="en-AU"/>
        </w:rPr>
        <w:tab/>
      </w:r>
      <w:r w:rsidR="00EE62B3">
        <w:rPr>
          <w:noProof/>
        </w:rPr>
        <w:t>Adjustment assistance by governments</w:t>
      </w:r>
      <w:r w:rsidR="00EE62B3">
        <w:rPr>
          <w:noProof/>
        </w:rPr>
        <w:tab/>
        <w:t>24</w:t>
      </w:r>
    </w:p>
    <w:p w:rsidR="00EE62B3" w:rsidRDefault="008454CD" w:rsidP="00EE62B3">
      <w:pPr>
        <w:pStyle w:val="TOC2"/>
        <w:tabs>
          <w:tab w:val="left" w:pos="1540"/>
        </w:tabs>
        <w:ind w:left="709" w:hanging="652"/>
        <w:rPr>
          <w:rFonts w:asciiTheme="minorHAnsi" w:eastAsiaTheme="minorEastAsia" w:hAnsiTheme="minorHAnsi" w:cstheme="minorBidi"/>
          <w:noProof/>
          <w:sz w:val="22"/>
          <w:szCs w:val="22"/>
          <w:lang w:eastAsia="en-AU"/>
        </w:rPr>
      </w:pPr>
      <w:r>
        <w:rPr>
          <w:noProof/>
        </w:rPr>
        <w:t>1.</w:t>
      </w:r>
      <w:r w:rsidR="00EE62B3" w:rsidRPr="006A35B1">
        <w:rPr>
          <w:noProof/>
        </w:rPr>
        <w:t>5</w:t>
      </w:r>
      <w:r w:rsidR="00EE62B3">
        <w:rPr>
          <w:rFonts w:asciiTheme="minorHAnsi" w:eastAsiaTheme="minorEastAsia" w:hAnsiTheme="minorHAnsi" w:cstheme="minorBidi"/>
          <w:noProof/>
          <w:sz w:val="22"/>
          <w:szCs w:val="22"/>
          <w:lang w:eastAsia="en-AU"/>
        </w:rPr>
        <w:tab/>
      </w:r>
      <w:r w:rsidR="00EE62B3">
        <w:rPr>
          <w:noProof/>
        </w:rPr>
        <w:t>Mining income benefits to Australians</w:t>
      </w:r>
      <w:r w:rsidR="00EE62B3">
        <w:rPr>
          <w:noProof/>
        </w:rPr>
        <w:tab/>
        <w:t>26</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2.1</w:t>
      </w:r>
      <w:r>
        <w:rPr>
          <w:rFonts w:asciiTheme="minorHAnsi" w:eastAsiaTheme="minorEastAsia" w:hAnsiTheme="minorHAnsi" w:cstheme="minorBidi"/>
          <w:noProof/>
          <w:sz w:val="22"/>
          <w:szCs w:val="22"/>
          <w:lang w:eastAsia="en-AU"/>
        </w:rPr>
        <w:tab/>
      </w:r>
      <w:r>
        <w:rPr>
          <w:noProof/>
        </w:rPr>
        <w:t>Commission publications in 2011-12</w:t>
      </w:r>
      <w:r>
        <w:rPr>
          <w:noProof/>
        </w:rPr>
        <w:tab/>
        <w:t>31</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2.2</w:t>
      </w:r>
      <w:r>
        <w:rPr>
          <w:rFonts w:asciiTheme="minorHAnsi" w:eastAsiaTheme="minorEastAsia" w:hAnsiTheme="minorHAnsi" w:cstheme="minorBidi"/>
          <w:noProof/>
          <w:sz w:val="22"/>
          <w:szCs w:val="22"/>
          <w:lang w:eastAsia="en-AU"/>
        </w:rPr>
        <w:tab/>
      </w:r>
      <w:r>
        <w:rPr>
          <w:noProof/>
        </w:rPr>
        <w:t>Participative and transparent processes: two examples</w:t>
      </w:r>
      <w:r>
        <w:rPr>
          <w:noProof/>
        </w:rPr>
        <w:tab/>
        <w:t>41</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2.3</w:t>
      </w:r>
      <w:r>
        <w:rPr>
          <w:rFonts w:asciiTheme="minorHAnsi" w:eastAsiaTheme="minorEastAsia" w:hAnsiTheme="minorHAnsi" w:cstheme="minorBidi"/>
          <w:noProof/>
          <w:sz w:val="22"/>
          <w:szCs w:val="22"/>
          <w:lang w:eastAsia="en-AU"/>
        </w:rPr>
        <w:tab/>
      </w:r>
      <w:r>
        <w:rPr>
          <w:noProof/>
        </w:rPr>
        <w:t>Support for Commission activities: some recent examples</w:t>
      </w:r>
      <w:r>
        <w:rPr>
          <w:noProof/>
        </w:rPr>
        <w:tab/>
        <w:t>47</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B.1</w:t>
      </w:r>
      <w:r>
        <w:rPr>
          <w:rFonts w:asciiTheme="minorHAnsi" w:eastAsiaTheme="minorEastAsia" w:hAnsiTheme="minorHAnsi" w:cstheme="minorBidi"/>
          <w:noProof/>
          <w:sz w:val="22"/>
          <w:szCs w:val="22"/>
          <w:lang w:eastAsia="en-AU"/>
        </w:rPr>
        <w:tab/>
      </w:r>
      <w:r>
        <w:rPr>
          <w:noProof/>
        </w:rPr>
        <w:t>Performance indicators for the Commission</w:t>
      </w:r>
      <w:r>
        <w:rPr>
          <w:noProof/>
        </w:rPr>
        <w:tab/>
        <w:t>90</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B.2</w:t>
      </w:r>
      <w:r>
        <w:rPr>
          <w:rFonts w:asciiTheme="minorHAnsi" w:eastAsiaTheme="minorEastAsia" w:hAnsiTheme="minorHAnsi" w:cstheme="minorBidi"/>
          <w:noProof/>
          <w:sz w:val="22"/>
          <w:szCs w:val="22"/>
          <w:lang w:eastAsia="en-AU"/>
        </w:rPr>
        <w:tab/>
      </w:r>
      <w:r>
        <w:rPr>
          <w:noProof/>
        </w:rPr>
        <w:t>Longer-term influence</w:t>
      </w:r>
      <w:r>
        <w:rPr>
          <w:noProof/>
        </w:rPr>
        <w:tab/>
        <w:t>91</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B.3</w:t>
      </w:r>
      <w:r>
        <w:rPr>
          <w:rFonts w:asciiTheme="minorHAnsi" w:eastAsiaTheme="minorEastAsia" w:hAnsiTheme="minorHAnsi" w:cstheme="minorBidi"/>
          <w:noProof/>
          <w:sz w:val="22"/>
          <w:szCs w:val="22"/>
          <w:lang w:eastAsia="en-AU"/>
        </w:rPr>
        <w:tab/>
      </w:r>
      <w:r>
        <w:rPr>
          <w:noProof/>
        </w:rPr>
        <w:t>Supporting research and annual reporting publications, 2011</w:t>
      </w:r>
      <w:r>
        <w:rPr>
          <w:noProof/>
        </w:rPr>
        <w:noBreakHyphen/>
        <w:t>12</w:t>
      </w:r>
      <w:r>
        <w:rPr>
          <w:noProof/>
        </w:rPr>
        <w:tab/>
        <w:t>139</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6A35B1">
        <w:rPr>
          <w:noProof/>
        </w:rPr>
        <w:t>B.4</w:t>
      </w:r>
      <w:r>
        <w:rPr>
          <w:rFonts w:asciiTheme="minorHAnsi" w:eastAsiaTheme="minorEastAsia" w:hAnsiTheme="minorHAnsi" w:cstheme="minorBidi"/>
          <w:noProof/>
          <w:sz w:val="22"/>
          <w:szCs w:val="22"/>
          <w:lang w:eastAsia="en-AU"/>
        </w:rPr>
        <w:tab/>
      </w:r>
      <w:r>
        <w:rPr>
          <w:noProof/>
        </w:rPr>
        <w:t>Supporting research projects underway at 30 June 2012</w:t>
      </w:r>
      <w:r>
        <w:rPr>
          <w:noProof/>
        </w:rPr>
        <w:tab/>
        <w:t>140</w:t>
      </w:r>
    </w:p>
    <w:p w:rsidR="00CA581C" w:rsidRPr="00CA581C" w:rsidRDefault="00CA581C" w:rsidP="00EE62B3">
      <w:pPr>
        <w:pStyle w:val="TOC2"/>
        <w:tabs>
          <w:tab w:val="left" w:pos="1760"/>
        </w:tabs>
        <w:ind w:left="709" w:hanging="652"/>
      </w:pPr>
    </w:p>
    <w:p w:rsidR="00CA581C" w:rsidRPr="00CA581C" w:rsidRDefault="00CA581C" w:rsidP="00C51E45">
      <w:pPr>
        <w:pStyle w:val="TOC1"/>
        <w:spacing w:before="360"/>
        <w:rPr>
          <w:b w:val="0"/>
        </w:rPr>
      </w:pPr>
      <w:r>
        <w:t>Figures</w:t>
      </w:r>
    </w:p>
    <w:p w:rsidR="00EE62B3" w:rsidRDefault="00EE62B3" w:rsidP="00EE62B3">
      <w:pPr>
        <w:pStyle w:val="TOC2"/>
        <w:tabs>
          <w:tab w:val="left" w:pos="1760"/>
        </w:tabs>
        <w:ind w:left="709" w:hanging="652"/>
        <w:rPr>
          <w:rFonts w:asciiTheme="minorHAnsi" w:eastAsiaTheme="minorEastAsia" w:hAnsiTheme="minorHAnsi" w:cstheme="minorBidi"/>
          <w:noProof/>
          <w:sz w:val="22"/>
          <w:szCs w:val="22"/>
          <w:lang w:eastAsia="en-AU"/>
        </w:rPr>
      </w:pPr>
      <w:r w:rsidRPr="00A85609">
        <w:rPr>
          <w:noProof/>
        </w:rPr>
        <w:t>1</w:t>
      </w:r>
      <w:r w:rsidR="008454CD">
        <w:rPr>
          <w:noProof/>
        </w:rPr>
        <w:t>.1</w:t>
      </w:r>
      <w:r>
        <w:rPr>
          <w:rFonts w:asciiTheme="minorHAnsi" w:eastAsiaTheme="minorEastAsia" w:hAnsiTheme="minorHAnsi" w:cstheme="minorBidi"/>
          <w:noProof/>
          <w:sz w:val="22"/>
          <w:szCs w:val="22"/>
          <w:lang w:eastAsia="en-AU"/>
        </w:rPr>
        <w:tab/>
      </w:r>
      <w:r>
        <w:rPr>
          <w:noProof/>
        </w:rPr>
        <w:t>Terms of trade reached an all-time peak in 2011</w:t>
      </w:r>
      <w:r>
        <w:rPr>
          <w:noProof/>
        </w:rPr>
        <w:tab/>
        <w:t>3</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2</w:t>
      </w:r>
      <w:r w:rsidR="00EE62B3">
        <w:rPr>
          <w:rFonts w:asciiTheme="minorHAnsi" w:eastAsiaTheme="minorEastAsia" w:hAnsiTheme="minorHAnsi" w:cstheme="minorBidi"/>
          <w:noProof/>
          <w:sz w:val="22"/>
          <w:szCs w:val="22"/>
          <w:lang w:eastAsia="en-AU"/>
        </w:rPr>
        <w:tab/>
      </w:r>
      <w:r w:rsidR="00EE62B3">
        <w:rPr>
          <w:noProof/>
        </w:rPr>
        <w:t>The relative price of ‘non-tradeables’ has risen</w:t>
      </w:r>
      <w:r w:rsidR="00EE62B3">
        <w:rPr>
          <w:noProof/>
        </w:rPr>
        <w:tab/>
        <w:t>4</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3</w:t>
      </w:r>
      <w:r w:rsidR="00EE62B3">
        <w:rPr>
          <w:rFonts w:asciiTheme="minorHAnsi" w:eastAsiaTheme="minorEastAsia" w:hAnsiTheme="minorHAnsi" w:cstheme="minorBidi"/>
          <w:noProof/>
          <w:sz w:val="22"/>
          <w:szCs w:val="22"/>
          <w:lang w:eastAsia="en-AU"/>
        </w:rPr>
        <w:tab/>
      </w:r>
      <w:r w:rsidR="00EE62B3">
        <w:rPr>
          <w:noProof/>
        </w:rPr>
        <w:t>Structural change indexes reveal precedents</w:t>
      </w:r>
      <w:r w:rsidR="00EE62B3">
        <w:rPr>
          <w:noProof/>
        </w:rPr>
        <w:tab/>
        <w:t>7</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4</w:t>
      </w:r>
      <w:r w:rsidR="00EE62B3">
        <w:rPr>
          <w:rFonts w:asciiTheme="minorHAnsi" w:eastAsiaTheme="minorEastAsia" w:hAnsiTheme="minorHAnsi" w:cstheme="minorBidi"/>
          <w:noProof/>
          <w:sz w:val="22"/>
          <w:szCs w:val="22"/>
          <w:lang w:eastAsia="en-AU"/>
        </w:rPr>
        <w:tab/>
      </w:r>
      <w:r w:rsidR="00EE62B3">
        <w:rPr>
          <w:noProof/>
        </w:rPr>
        <w:t>A tale of two booms: inflation, wages and unemployment</w:t>
      </w:r>
      <w:r w:rsidR="00EE62B3">
        <w:rPr>
          <w:noProof/>
        </w:rPr>
        <w:tab/>
        <w:t>9</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5</w:t>
      </w:r>
      <w:r w:rsidR="00EE62B3">
        <w:rPr>
          <w:rFonts w:asciiTheme="minorHAnsi" w:eastAsiaTheme="minorEastAsia" w:hAnsiTheme="minorHAnsi" w:cstheme="minorBidi"/>
          <w:noProof/>
          <w:sz w:val="22"/>
          <w:szCs w:val="22"/>
          <w:lang w:eastAsia="en-AU"/>
        </w:rPr>
        <w:tab/>
      </w:r>
      <w:r w:rsidR="00EE62B3">
        <w:rPr>
          <w:noProof/>
        </w:rPr>
        <w:t>A ‘commodity currency’: the rising dollar and the terms of trade</w:t>
      </w:r>
      <w:r w:rsidR="00EE62B3">
        <w:rPr>
          <w:noProof/>
        </w:rPr>
        <w:tab/>
        <w:t>10</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6</w:t>
      </w:r>
      <w:r w:rsidR="00EE62B3">
        <w:rPr>
          <w:rFonts w:asciiTheme="minorHAnsi" w:eastAsiaTheme="minorEastAsia" w:hAnsiTheme="minorHAnsi" w:cstheme="minorBidi"/>
          <w:noProof/>
          <w:sz w:val="22"/>
          <w:szCs w:val="22"/>
          <w:lang w:eastAsia="en-AU"/>
        </w:rPr>
        <w:tab/>
      </w:r>
      <w:r w:rsidR="00EE62B3">
        <w:rPr>
          <w:noProof/>
        </w:rPr>
        <w:t>Wage movements have reflected local conditions</w:t>
      </w:r>
      <w:r w:rsidR="00EE62B3">
        <w:rPr>
          <w:noProof/>
        </w:rPr>
        <w:tab/>
        <w:t>12</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7</w:t>
      </w:r>
      <w:r w:rsidR="00EE62B3">
        <w:rPr>
          <w:rFonts w:asciiTheme="minorHAnsi" w:eastAsiaTheme="minorEastAsia" w:hAnsiTheme="minorHAnsi" w:cstheme="minorBidi"/>
          <w:noProof/>
          <w:sz w:val="22"/>
          <w:szCs w:val="22"/>
          <w:lang w:eastAsia="en-AU"/>
        </w:rPr>
        <w:tab/>
      </w:r>
      <w:r w:rsidR="00EE62B3">
        <w:rPr>
          <w:noProof/>
        </w:rPr>
        <w:t>Secular trends in sectoral shares since WWII</w:t>
      </w:r>
      <w:r w:rsidR="00EE62B3">
        <w:rPr>
          <w:noProof/>
        </w:rPr>
        <w:tab/>
        <w:t>14</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lastRenderedPageBreak/>
        <w:t>1.</w:t>
      </w:r>
      <w:r w:rsidR="00EE62B3" w:rsidRPr="00A85609">
        <w:rPr>
          <w:noProof/>
        </w:rPr>
        <w:t>8</w:t>
      </w:r>
      <w:r w:rsidR="00EE62B3">
        <w:rPr>
          <w:rFonts w:asciiTheme="minorHAnsi" w:eastAsiaTheme="minorEastAsia" w:hAnsiTheme="minorHAnsi" w:cstheme="minorBidi"/>
          <w:noProof/>
          <w:sz w:val="22"/>
          <w:szCs w:val="22"/>
          <w:lang w:eastAsia="en-AU"/>
        </w:rPr>
        <w:tab/>
      </w:r>
      <w:r w:rsidR="00EE62B3">
        <w:rPr>
          <w:noProof/>
        </w:rPr>
        <w:t>Sectoral shares of employment in the OECD</w:t>
      </w:r>
      <w:r w:rsidR="00EE62B3">
        <w:rPr>
          <w:noProof/>
        </w:rPr>
        <w:tab/>
        <w:t>15</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9</w:t>
      </w:r>
      <w:r w:rsidR="00EE62B3">
        <w:rPr>
          <w:rFonts w:asciiTheme="minorHAnsi" w:eastAsiaTheme="minorEastAsia" w:hAnsiTheme="minorHAnsi" w:cstheme="minorBidi"/>
          <w:noProof/>
          <w:sz w:val="22"/>
          <w:szCs w:val="22"/>
          <w:lang w:eastAsia="en-AU"/>
        </w:rPr>
        <w:tab/>
      </w:r>
      <w:r w:rsidR="00EE62B3">
        <w:rPr>
          <w:noProof/>
        </w:rPr>
        <w:t>Structural changes within services</w:t>
      </w:r>
      <w:r w:rsidR="00EE62B3">
        <w:rPr>
          <w:noProof/>
        </w:rPr>
        <w:tab/>
        <w:t>18</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10</w:t>
      </w:r>
      <w:r w:rsidR="00EE62B3">
        <w:rPr>
          <w:rFonts w:asciiTheme="minorHAnsi" w:eastAsiaTheme="minorEastAsia" w:hAnsiTheme="minorHAnsi" w:cstheme="minorBidi"/>
          <w:noProof/>
          <w:sz w:val="22"/>
          <w:szCs w:val="22"/>
          <w:lang w:eastAsia="en-AU"/>
        </w:rPr>
        <w:tab/>
      </w:r>
      <w:r w:rsidR="00EE62B3">
        <w:rPr>
          <w:noProof/>
        </w:rPr>
        <w:t>Manufacturing output, employment and multi-factor productivity</w:t>
      </w:r>
      <w:r w:rsidR="00EE62B3">
        <w:rPr>
          <w:noProof/>
        </w:rPr>
        <w:tab/>
        <w:t>19</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11</w:t>
      </w:r>
      <w:r w:rsidR="00EE62B3">
        <w:rPr>
          <w:rFonts w:asciiTheme="minorHAnsi" w:eastAsiaTheme="minorEastAsia" w:hAnsiTheme="minorHAnsi" w:cstheme="minorBidi"/>
          <w:noProof/>
          <w:sz w:val="22"/>
          <w:szCs w:val="22"/>
          <w:lang w:eastAsia="en-AU"/>
        </w:rPr>
        <w:tab/>
      </w:r>
      <w:r w:rsidR="00EE62B3">
        <w:rPr>
          <w:noProof/>
        </w:rPr>
        <w:t>Manufacturing employment changes and industry assistance</w:t>
      </w:r>
      <w:r w:rsidR="00EE62B3">
        <w:rPr>
          <w:noProof/>
        </w:rPr>
        <w:tab/>
        <w:t>20</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12</w:t>
      </w:r>
      <w:r w:rsidR="00EE62B3">
        <w:rPr>
          <w:rFonts w:asciiTheme="minorHAnsi" w:eastAsiaTheme="minorEastAsia" w:hAnsiTheme="minorHAnsi" w:cstheme="minorBidi"/>
          <w:noProof/>
          <w:sz w:val="22"/>
          <w:szCs w:val="22"/>
          <w:lang w:eastAsia="en-AU"/>
        </w:rPr>
        <w:tab/>
      </w:r>
      <w:r w:rsidR="00EE62B3">
        <w:rPr>
          <w:noProof/>
        </w:rPr>
        <w:t>Manufacturing industries with declining employment</w:t>
      </w:r>
      <w:r w:rsidR="00EE62B3">
        <w:rPr>
          <w:noProof/>
        </w:rPr>
        <w:tab/>
        <w:t>21</w:t>
      </w:r>
    </w:p>
    <w:p w:rsidR="00EE62B3" w:rsidRDefault="008454CD" w:rsidP="00EE62B3">
      <w:pPr>
        <w:pStyle w:val="TOC2"/>
        <w:tabs>
          <w:tab w:val="left" w:pos="1760"/>
        </w:tabs>
        <w:ind w:left="709" w:hanging="652"/>
        <w:rPr>
          <w:rFonts w:asciiTheme="minorHAnsi" w:eastAsiaTheme="minorEastAsia" w:hAnsiTheme="minorHAnsi" w:cstheme="minorBidi"/>
          <w:noProof/>
          <w:sz w:val="22"/>
          <w:szCs w:val="22"/>
          <w:lang w:eastAsia="en-AU"/>
        </w:rPr>
      </w:pPr>
      <w:r>
        <w:rPr>
          <w:noProof/>
        </w:rPr>
        <w:t>1.</w:t>
      </w:r>
      <w:r w:rsidR="00EE62B3" w:rsidRPr="00A85609">
        <w:rPr>
          <w:noProof/>
        </w:rPr>
        <w:t>13</w:t>
      </w:r>
      <w:r w:rsidR="00EE62B3">
        <w:rPr>
          <w:rFonts w:asciiTheme="minorHAnsi" w:eastAsiaTheme="minorEastAsia" w:hAnsiTheme="minorHAnsi" w:cstheme="minorBidi"/>
          <w:noProof/>
          <w:sz w:val="22"/>
          <w:szCs w:val="22"/>
          <w:lang w:eastAsia="en-AU"/>
        </w:rPr>
        <w:tab/>
      </w:r>
      <w:r w:rsidR="00EE62B3">
        <w:rPr>
          <w:noProof/>
        </w:rPr>
        <w:t>Employment Structural Change Indexes, by state and territory and region</w:t>
      </w:r>
      <w:r w:rsidR="00EE62B3">
        <w:rPr>
          <w:noProof/>
          <w:position w:val="6"/>
        </w:rPr>
        <w:tab/>
      </w:r>
      <w:r w:rsidR="00EE62B3">
        <w:rPr>
          <w:noProof/>
        </w:rPr>
        <w:tab/>
        <w:t>22</w:t>
      </w:r>
    </w:p>
    <w:p w:rsidR="00EE62B3" w:rsidRDefault="00EE62B3" w:rsidP="00EE62B3">
      <w:pPr>
        <w:pStyle w:val="TOC2"/>
        <w:tabs>
          <w:tab w:val="left" w:pos="1799"/>
        </w:tabs>
        <w:ind w:left="709" w:hanging="652"/>
        <w:rPr>
          <w:rFonts w:asciiTheme="minorHAnsi" w:eastAsiaTheme="minorEastAsia" w:hAnsiTheme="minorHAnsi" w:cstheme="minorBidi"/>
          <w:noProof/>
          <w:sz w:val="22"/>
          <w:szCs w:val="22"/>
          <w:lang w:eastAsia="en-AU"/>
        </w:rPr>
      </w:pPr>
      <w:r w:rsidRPr="00A85609">
        <w:rPr>
          <w:noProof/>
        </w:rPr>
        <w:t>2.1</w:t>
      </w:r>
      <w:r>
        <w:rPr>
          <w:rFonts w:asciiTheme="minorHAnsi" w:eastAsiaTheme="minorEastAsia" w:hAnsiTheme="minorHAnsi" w:cstheme="minorBidi"/>
          <w:noProof/>
          <w:sz w:val="22"/>
          <w:szCs w:val="22"/>
          <w:lang w:eastAsia="en-AU"/>
        </w:rPr>
        <w:tab/>
      </w:r>
      <w:r>
        <w:rPr>
          <w:noProof/>
        </w:rPr>
        <w:t>References on hand</w:t>
      </w:r>
      <w:r>
        <w:rPr>
          <w:noProof/>
        </w:rPr>
        <w:tab/>
        <w:t>33</w:t>
      </w:r>
    </w:p>
    <w:p w:rsidR="00EE62B3" w:rsidRDefault="00EE62B3" w:rsidP="00EE62B3">
      <w:pPr>
        <w:pStyle w:val="TOC2"/>
        <w:tabs>
          <w:tab w:val="left" w:pos="1799"/>
        </w:tabs>
        <w:ind w:left="709" w:hanging="652"/>
        <w:rPr>
          <w:rFonts w:asciiTheme="minorHAnsi" w:eastAsiaTheme="minorEastAsia" w:hAnsiTheme="minorHAnsi" w:cstheme="minorBidi"/>
          <w:noProof/>
          <w:sz w:val="22"/>
          <w:szCs w:val="22"/>
          <w:lang w:eastAsia="en-AU"/>
        </w:rPr>
      </w:pPr>
      <w:r w:rsidRPr="00A85609">
        <w:rPr>
          <w:noProof/>
        </w:rPr>
        <w:t>2.2</w:t>
      </w:r>
      <w:r>
        <w:rPr>
          <w:rFonts w:asciiTheme="minorHAnsi" w:eastAsiaTheme="minorEastAsia" w:hAnsiTheme="minorHAnsi" w:cstheme="minorBidi"/>
          <w:noProof/>
          <w:sz w:val="22"/>
          <w:szCs w:val="22"/>
          <w:lang w:eastAsia="en-AU"/>
        </w:rPr>
        <w:tab/>
      </w:r>
      <w:r>
        <w:rPr>
          <w:noProof/>
        </w:rPr>
        <w:t>Website hits</w:t>
      </w:r>
      <w:r>
        <w:rPr>
          <w:noProof/>
        </w:rPr>
        <w:tab/>
        <w:t>44</w:t>
      </w:r>
    </w:p>
    <w:p w:rsidR="00EE62B3" w:rsidRDefault="00EE62B3" w:rsidP="00EE62B3">
      <w:pPr>
        <w:pStyle w:val="TOC2"/>
        <w:tabs>
          <w:tab w:val="left" w:pos="1799"/>
        </w:tabs>
        <w:ind w:left="709" w:hanging="652"/>
        <w:rPr>
          <w:rFonts w:asciiTheme="minorHAnsi" w:eastAsiaTheme="minorEastAsia" w:hAnsiTheme="minorHAnsi" w:cstheme="minorBidi"/>
          <w:noProof/>
          <w:sz w:val="22"/>
          <w:szCs w:val="22"/>
          <w:lang w:eastAsia="en-AU"/>
        </w:rPr>
      </w:pPr>
      <w:r w:rsidRPr="00A85609">
        <w:rPr>
          <w:noProof/>
        </w:rPr>
        <w:t>2.3</w:t>
      </w:r>
      <w:r>
        <w:rPr>
          <w:rFonts w:asciiTheme="minorHAnsi" w:eastAsiaTheme="minorEastAsia" w:hAnsiTheme="minorHAnsi" w:cstheme="minorBidi"/>
          <w:noProof/>
          <w:sz w:val="22"/>
          <w:szCs w:val="22"/>
          <w:lang w:eastAsia="en-AU"/>
        </w:rPr>
        <w:tab/>
      </w:r>
      <w:r>
        <w:rPr>
          <w:noProof/>
        </w:rPr>
        <w:t>Mentions of the Commission in Australian parliaments, 2008-09 to 2011-12</w:t>
      </w:r>
      <w:r>
        <w:rPr>
          <w:noProof/>
        </w:rPr>
        <w:tab/>
      </w:r>
      <w:r>
        <w:rPr>
          <w:noProof/>
        </w:rPr>
        <w:tab/>
        <w:t>53</w:t>
      </w:r>
    </w:p>
    <w:p w:rsidR="00EE62B3" w:rsidRDefault="00EE62B3" w:rsidP="00EE62B3">
      <w:pPr>
        <w:pStyle w:val="TOC2"/>
        <w:tabs>
          <w:tab w:val="left" w:pos="1857"/>
        </w:tabs>
        <w:ind w:left="709" w:hanging="652"/>
        <w:rPr>
          <w:rFonts w:asciiTheme="minorHAnsi" w:eastAsiaTheme="minorEastAsia" w:hAnsiTheme="minorHAnsi" w:cstheme="minorBidi"/>
          <w:noProof/>
          <w:sz w:val="22"/>
          <w:szCs w:val="22"/>
          <w:lang w:eastAsia="en-AU"/>
        </w:rPr>
      </w:pPr>
      <w:r w:rsidRPr="00A85609">
        <w:rPr>
          <w:noProof/>
        </w:rPr>
        <w:t>A.1</w:t>
      </w:r>
      <w:r>
        <w:rPr>
          <w:rFonts w:asciiTheme="minorHAnsi" w:eastAsiaTheme="minorEastAsia" w:hAnsiTheme="minorHAnsi" w:cstheme="minorBidi"/>
          <w:noProof/>
          <w:sz w:val="22"/>
          <w:szCs w:val="22"/>
          <w:lang w:eastAsia="en-AU"/>
        </w:rPr>
        <w:tab/>
      </w:r>
      <w:r>
        <w:rPr>
          <w:noProof/>
        </w:rPr>
        <w:t>Productivity Commission structure and senior staff, 30 June 2012</w:t>
      </w:r>
      <w:r>
        <w:rPr>
          <w:noProof/>
        </w:rPr>
        <w:tab/>
        <w:t>58</w:t>
      </w:r>
    </w:p>
    <w:p w:rsidR="00EE62B3" w:rsidRDefault="00EE62B3" w:rsidP="00EE62B3">
      <w:pPr>
        <w:pStyle w:val="TOC2"/>
        <w:tabs>
          <w:tab w:val="left" w:pos="1842"/>
        </w:tabs>
        <w:ind w:left="709" w:hanging="652"/>
        <w:rPr>
          <w:rFonts w:asciiTheme="minorHAnsi" w:eastAsiaTheme="minorEastAsia" w:hAnsiTheme="minorHAnsi" w:cstheme="minorBidi"/>
          <w:noProof/>
          <w:sz w:val="22"/>
          <w:szCs w:val="22"/>
          <w:lang w:eastAsia="en-AU"/>
        </w:rPr>
      </w:pPr>
      <w:r w:rsidRPr="00A85609">
        <w:rPr>
          <w:noProof/>
        </w:rPr>
        <w:t>B.1</w:t>
      </w:r>
      <w:r>
        <w:rPr>
          <w:rFonts w:asciiTheme="minorHAnsi" w:eastAsiaTheme="minorEastAsia" w:hAnsiTheme="minorHAnsi" w:cstheme="minorBidi"/>
          <w:noProof/>
          <w:sz w:val="22"/>
          <w:szCs w:val="22"/>
          <w:lang w:eastAsia="en-AU"/>
        </w:rPr>
        <w:tab/>
      </w:r>
      <w:r>
        <w:rPr>
          <w:noProof/>
        </w:rPr>
        <w:t>Productivity Commission main activities 2011-12</w:t>
      </w:r>
      <w:r>
        <w:rPr>
          <w:noProof/>
        </w:rPr>
        <w:tab/>
        <w:t>86</w:t>
      </w:r>
    </w:p>
    <w:p w:rsidR="00CA581C" w:rsidRPr="00CA581C" w:rsidRDefault="00CA581C" w:rsidP="00EE62B3">
      <w:pPr>
        <w:pStyle w:val="TOC2"/>
        <w:tabs>
          <w:tab w:val="left" w:pos="1842"/>
        </w:tabs>
        <w:ind w:left="709" w:hanging="652"/>
      </w:pPr>
    </w:p>
    <w:p w:rsidR="00B03350" w:rsidRPr="00CA581C" w:rsidRDefault="00CA581C" w:rsidP="00C51E45">
      <w:pPr>
        <w:pStyle w:val="TOC1"/>
        <w:spacing w:before="360"/>
        <w:rPr>
          <w:b w:val="0"/>
        </w:rPr>
      </w:pPr>
      <w:r>
        <w:t>Tables</w:t>
      </w:r>
    </w:p>
    <w:p w:rsidR="00EE62B3" w:rsidRDefault="00EE62B3" w:rsidP="00EE62B3">
      <w:pPr>
        <w:pStyle w:val="TOC2"/>
        <w:tabs>
          <w:tab w:val="left" w:pos="851"/>
          <w:tab w:val="left" w:pos="1540"/>
        </w:tabs>
        <w:ind w:left="851" w:hanging="794"/>
        <w:rPr>
          <w:rFonts w:asciiTheme="minorHAnsi" w:eastAsiaTheme="minorEastAsia" w:hAnsiTheme="minorHAnsi" w:cstheme="minorBidi"/>
          <w:noProof/>
          <w:sz w:val="22"/>
          <w:szCs w:val="22"/>
          <w:lang w:eastAsia="en-AU"/>
        </w:rPr>
      </w:pPr>
      <w:r w:rsidRPr="00D631B9">
        <w:rPr>
          <w:noProof/>
        </w:rPr>
        <w:t>1</w:t>
      </w:r>
      <w:r w:rsidR="008454CD">
        <w:rPr>
          <w:noProof/>
        </w:rPr>
        <w:t>.1</w:t>
      </w:r>
      <w:r>
        <w:rPr>
          <w:rFonts w:asciiTheme="minorHAnsi" w:eastAsiaTheme="minorEastAsia" w:hAnsiTheme="minorHAnsi" w:cstheme="minorBidi"/>
          <w:noProof/>
          <w:sz w:val="22"/>
          <w:szCs w:val="22"/>
          <w:lang w:eastAsia="en-AU"/>
        </w:rPr>
        <w:tab/>
      </w:r>
      <w:r>
        <w:rPr>
          <w:noProof/>
        </w:rPr>
        <w:t>Average unemployment duration has fallen</w:t>
      </w:r>
      <w:r>
        <w:rPr>
          <w:noProof/>
        </w:rPr>
        <w:tab/>
        <w:t>13</w:t>
      </w:r>
    </w:p>
    <w:p w:rsidR="00EE62B3" w:rsidRDefault="008454CD" w:rsidP="00EE62B3">
      <w:pPr>
        <w:pStyle w:val="TOC2"/>
        <w:tabs>
          <w:tab w:val="left" w:pos="851"/>
          <w:tab w:val="left" w:pos="1540"/>
        </w:tabs>
        <w:ind w:left="851" w:hanging="794"/>
        <w:rPr>
          <w:rFonts w:asciiTheme="minorHAnsi" w:eastAsiaTheme="minorEastAsia" w:hAnsiTheme="minorHAnsi" w:cstheme="minorBidi"/>
          <w:noProof/>
          <w:sz w:val="22"/>
          <w:szCs w:val="22"/>
          <w:lang w:eastAsia="en-AU"/>
        </w:rPr>
      </w:pPr>
      <w:r>
        <w:rPr>
          <w:noProof/>
        </w:rPr>
        <w:t>1.</w:t>
      </w:r>
      <w:r w:rsidR="00EE62B3" w:rsidRPr="00D631B9">
        <w:rPr>
          <w:noProof/>
        </w:rPr>
        <w:t>2</w:t>
      </w:r>
      <w:r w:rsidR="00EE62B3">
        <w:rPr>
          <w:rFonts w:asciiTheme="minorHAnsi" w:eastAsiaTheme="minorEastAsia" w:hAnsiTheme="minorHAnsi" w:cstheme="minorBidi"/>
          <w:noProof/>
          <w:sz w:val="22"/>
          <w:szCs w:val="22"/>
          <w:lang w:eastAsia="en-AU"/>
        </w:rPr>
        <w:tab/>
      </w:r>
      <w:r w:rsidR="00EE62B3">
        <w:rPr>
          <w:noProof/>
        </w:rPr>
        <w:t>Service industries shares of sectoral value added and employment</w:t>
      </w:r>
      <w:r w:rsidR="00EE62B3">
        <w:rPr>
          <w:noProof/>
        </w:rPr>
        <w:tab/>
        <w:t>17</w:t>
      </w:r>
    </w:p>
    <w:p w:rsidR="00EE62B3" w:rsidRDefault="00EE62B3" w:rsidP="00EE62B3">
      <w:pPr>
        <w:pStyle w:val="TOC2"/>
        <w:tabs>
          <w:tab w:val="left" w:pos="851"/>
          <w:tab w:val="left" w:pos="1770"/>
        </w:tabs>
        <w:ind w:left="851" w:hanging="794"/>
        <w:rPr>
          <w:rFonts w:asciiTheme="minorHAnsi" w:eastAsiaTheme="minorEastAsia" w:hAnsiTheme="minorHAnsi" w:cstheme="minorBidi"/>
          <w:noProof/>
          <w:sz w:val="22"/>
          <w:szCs w:val="22"/>
          <w:lang w:eastAsia="en-AU"/>
        </w:rPr>
      </w:pPr>
      <w:r w:rsidRPr="00D631B9">
        <w:rPr>
          <w:noProof/>
        </w:rPr>
        <w:t>A.1</w:t>
      </w:r>
      <w:r>
        <w:rPr>
          <w:rFonts w:asciiTheme="minorHAnsi" w:eastAsiaTheme="minorEastAsia" w:hAnsiTheme="minorHAnsi" w:cstheme="minorBidi"/>
          <w:noProof/>
          <w:sz w:val="22"/>
          <w:szCs w:val="22"/>
          <w:lang w:eastAsia="en-AU"/>
        </w:rPr>
        <w:tab/>
      </w:r>
      <w:r>
        <w:rPr>
          <w:noProof/>
        </w:rPr>
        <w:t>Financial and staffing resources summary</w:t>
      </w:r>
      <w:r>
        <w:rPr>
          <w:noProof/>
        </w:rPr>
        <w:tab/>
        <w:t>61</w:t>
      </w:r>
    </w:p>
    <w:p w:rsidR="00EE62B3" w:rsidRDefault="00EE62B3" w:rsidP="00EE62B3">
      <w:pPr>
        <w:pStyle w:val="TOC2"/>
        <w:tabs>
          <w:tab w:val="left" w:pos="851"/>
          <w:tab w:val="left" w:pos="1770"/>
        </w:tabs>
        <w:ind w:left="851" w:hanging="794"/>
        <w:rPr>
          <w:rFonts w:asciiTheme="minorHAnsi" w:eastAsiaTheme="minorEastAsia" w:hAnsiTheme="minorHAnsi" w:cstheme="minorBidi"/>
          <w:noProof/>
          <w:sz w:val="22"/>
          <w:szCs w:val="22"/>
          <w:lang w:eastAsia="en-AU"/>
        </w:rPr>
      </w:pPr>
      <w:r w:rsidRPr="00D631B9">
        <w:rPr>
          <w:noProof/>
        </w:rPr>
        <w:t>A.2</w:t>
      </w:r>
      <w:r>
        <w:rPr>
          <w:rFonts w:asciiTheme="minorHAnsi" w:eastAsiaTheme="minorEastAsia" w:hAnsiTheme="minorHAnsi" w:cstheme="minorBidi"/>
          <w:noProof/>
          <w:sz w:val="22"/>
          <w:szCs w:val="22"/>
          <w:lang w:eastAsia="en-AU"/>
        </w:rPr>
        <w:tab/>
      </w:r>
      <w:r>
        <w:rPr>
          <w:noProof/>
        </w:rPr>
        <w:t>Performance bonuses paid for 2011-12</w:t>
      </w:r>
      <w:r>
        <w:rPr>
          <w:noProof/>
        </w:rPr>
        <w:tab/>
        <w:t>68</w:t>
      </w:r>
    </w:p>
    <w:p w:rsidR="00EE62B3" w:rsidRDefault="00EE62B3" w:rsidP="00EE62B3">
      <w:pPr>
        <w:pStyle w:val="TOC2"/>
        <w:tabs>
          <w:tab w:val="left" w:pos="851"/>
          <w:tab w:val="left" w:pos="1770"/>
        </w:tabs>
        <w:ind w:left="851" w:hanging="794"/>
        <w:rPr>
          <w:rFonts w:asciiTheme="minorHAnsi" w:eastAsiaTheme="minorEastAsia" w:hAnsiTheme="minorHAnsi" w:cstheme="minorBidi"/>
          <w:noProof/>
          <w:sz w:val="22"/>
          <w:szCs w:val="22"/>
          <w:lang w:eastAsia="en-AU"/>
        </w:rPr>
      </w:pPr>
      <w:r w:rsidRPr="00D631B9">
        <w:rPr>
          <w:noProof/>
        </w:rPr>
        <w:t>A.3</w:t>
      </w:r>
      <w:r>
        <w:rPr>
          <w:rFonts w:asciiTheme="minorHAnsi" w:eastAsiaTheme="minorEastAsia" w:hAnsiTheme="minorHAnsi" w:cstheme="minorBidi"/>
          <w:noProof/>
          <w:sz w:val="22"/>
          <w:szCs w:val="22"/>
          <w:lang w:eastAsia="en-AU"/>
        </w:rPr>
        <w:tab/>
      </w:r>
      <w:r>
        <w:rPr>
          <w:noProof/>
        </w:rPr>
        <w:t>Expenditure on consultancies, 2007-08 to 2011-12</w:t>
      </w:r>
      <w:r>
        <w:rPr>
          <w:noProof/>
        </w:rPr>
        <w:tab/>
        <w:t>72</w:t>
      </w:r>
    </w:p>
    <w:p w:rsidR="00EE62B3" w:rsidRDefault="00EE62B3" w:rsidP="00EE62B3">
      <w:pPr>
        <w:pStyle w:val="TOC2"/>
        <w:tabs>
          <w:tab w:val="left" w:pos="851"/>
          <w:tab w:val="left" w:pos="1900"/>
        </w:tabs>
        <w:ind w:left="851" w:hanging="794"/>
        <w:rPr>
          <w:rFonts w:asciiTheme="minorHAnsi" w:eastAsiaTheme="minorEastAsia" w:hAnsiTheme="minorHAnsi" w:cstheme="minorBidi"/>
          <w:noProof/>
          <w:sz w:val="22"/>
          <w:szCs w:val="22"/>
          <w:lang w:eastAsia="en-AU"/>
        </w:rPr>
      </w:pPr>
      <w:r w:rsidRPr="00D631B9">
        <w:rPr>
          <w:noProof/>
        </w:rPr>
        <w:t>A1.1</w:t>
      </w:r>
      <w:r>
        <w:rPr>
          <w:rFonts w:asciiTheme="minorHAnsi" w:eastAsiaTheme="minorEastAsia" w:hAnsiTheme="minorHAnsi" w:cstheme="minorBidi"/>
          <w:noProof/>
          <w:sz w:val="22"/>
          <w:szCs w:val="22"/>
          <w:lang w:eastAsia="en-AU"/>
        </w:rPr>
        <w:tab/>
      </w:r>
      <w:r>
        <w:rPr>
          <w:noProof/>
        </w:rPr>
        <w:t>Chairman and Commissioners, 30 June 2012</w:t>
      </w:r>
      <w:r>
        <w:rPr>
          <w:noProof/>
        </w:rPr>
        <w:tab/>
        <w:t>77</w:t>
      </w:r>
    </w:p>
    <w:p w:rsidR="00EE62B3" w:rsidRDefault="00EE62B3" w:rsidP="00EE62B3">
      <w:pPr>
        <w:pStyle w:val="TOC2"/>
        <w:tabs>
          <w:tab w:val="left" w:pos="851"/>
          <w:tab w:val="left" w:pos="1965"/>
        </w:tabs>
        <w:ind w:left="851" w:hanging="794"/>
        <w:rPr>
          <w:rFonts w:asciiTheme="minorHAnsi" w:eastAsiaTheme="minorEastAsia" w:hAnsiTheme="minorHAnsi" w:cstheme="minorBidi"/>
          <w:noProof/>
          <w:sz w:val="22"/>
          <w:szCs w:val="22"/>
          <w:lang w:eastAsia="en-AU"/>
        </w:rPr>
      </w:pPr>
      <w:r w:rsidRPr="00D631B9">
        <w:rPr>
          <w:noProof/>
        </w:rPr>
        <w:t>A1.2</w:t>
      </w:r>
      <w:r>
        <w:rPr>
          <w:noProof/>
        </w:rPr>
        <w:t xml:space="preserve"> </w:t>
      </w:r>
      <w:r>
        <w:rPr>
          <w:rFonts w:asciiTheme="minorHAnsi" w:eastAsiaTheme="minorEastAsia" w:hAnsiTheme="minorHAnsi" w:cstheme="minorBidi"/>
          <w:noProof/>
          <w:sz w:val="22"/>
          <w:szCs w:val="22"/>
          <w:lang w:eastAsia="en-AU"/>
        </w:rPr>
        <w:tab/>
      </w:r>
      <w:r>
        <w:rPr>
          <w:noProof/>
        </w:rPr>
        <w:t>Part-time Associate Commissioners, 30 June 2012</w:t>
      </w:r>
      <w:r>
        <w:rPr>
          <w:noProof/>
        </w:rPr>
        <w:tab/>
        <w:t>77</w:t>
      </w:r>
    </w:p>
    <w:p w:rsidR="00EE62B3" w:rsidRDefault="00EE62B3" w:rsidP="00EE62B3">
      <w:pPr>
        <w:pStyle w:val="TOC2"/>
        <w:tabs>
          <w:tab w:val="left" w:pos="851"/>
          <w:tab w:val="left" w:pos="1900"/>
        </w:tabs>
        <w:ind w:left="851" w:hanging="794"/>
        <w:rPr>
          <w:rFonts w:asciiTheme="minorHAnsi" w:eastAsiaTheme="minorEastAsia" w:hAnsiTheme="minorHAnsi" w:cstheme="minorBidi"/>
          <w:noProof/>
          <w:sz w:val="22"/>
          <w:szCs w:val="22"/>
          <w:lang w:eastAsia="en-AU"/>
        </w:rPr>
      </w:pPr>
      <w:r w:rsidRPr="00D631B9">
        <w:rPr>
          <w:noProof/>
        </w:rPr>
        <w:t>A1.3</w:t>
      </w:r>
      <w:r>
        <w:rPr>
          <w:rFonts w:asciiTheme="minorHAnsi" w:eastAsiaTheme="minorEastAsia" w:hAnsiTheme="minorHAnsi" w:cstheme="minorBidi"/>
          <w:noProof/>
          <w:sz w:val="22"/>
          <w:szCs w:val="22"/>
          <w:lang w:eastAsia="en-AU"/>
        </w:rPr>
        <w:tab/>
      </w:r>
      <w:r>
        <w:rPr>
          <w:noProof/>
        </w:rPr>
        <w:t>Part-time Associate Commissioners completing appointments during 2011-12</w:t>
      </w:r>
      <w:r>
        <w:rPr>
          <w:noProof/>
        </w:rPr>
        <w:tab/>
        <w:t>78</w:t>
      </w:r>
    </w:p>
    <w:p w:rsidR="00EE62B3" w:rsidRDefault="00EE62B3" w:rsidP="00EE62B3">
      <w:pPr>
        <w:pStyle w:val="TOC2"/>
        <w:tabs>
          <w:tab w:val="left" w:pos="851"/>
          <w:tab w:val="left" w:pos="1900"/>
        </w:tabs>
        <w:ind w:left="851" w:hanging="794"/>
        <w:rPr>
          <w:rFonts w:asciiTheme="minorHAnsi" w:eastAsiaTheme="minorEastAsia" w:hAnsiTheme="minorHAnsi" w:cstheme="minorBidi"/>
          <w:noProof/>
          <w:sz w:val="22"/>
          <w:szCs w:val="22"/>
          <w:lang w:eastAsia="en-AU"/>
        </w:rPr>
      </w:pPr>
      <w:r w:rsidRPr="00D631B9">
        <w:rPr>
          <w:noProof/>
        </w:rPr>
        <w:t>A1.4</w:t>
      </w:r>
      <w:r>
        <w:rPr>
          <w:rFonts w:asciiTheme="minorHAnsi" w:eastAsiaTheme="minorEastAsia" w:hAnsiTheme="minorHAnsi" w:cstheme="minorBidi"/>
          <w:noProof/>
          <w:sz w:val="22"/>
          <w:szCs w:val="22"/>
          <w:lang w:eastAsia="en-AU"/>
        </w:rPr>
        <w:tab/>
      </w:r>
      <w:r>
        <w:rPr>
          <w:noProof/>
        </w:rPr>
        <w:t>Employees by location and gender, 30 June 2012</w:t>
      </w:r>
      <w:r>
        <w:rPr>
          <w:noProof/>
        </w:rPr>
        <w:tab/>
        <w:t>78</w:t>
      </w:r>
    </w:p>
    <w:p w:rsidR="00EE62B3" w:rsidRDefault="00EE62B3" w:rsidP="00EE62B3">
      <w:pPr>
        <w:pStyle w:val="TOC2"/>
        <w:tabs>
          <w:tab w:val="left" w:pos="851"/>
          <w:tab w:val="left" w:pos="1900"/>
        </w:tabs>
        <w:ind w:left="851" w:hanging="794"/>
        <w:rPr>
          <w:rFonts w:asciiTheme="minorHAnsi" w:eastAsiaTheme="minorEastAsia" w:hAnsiTheme="minorHAnsi" w:cstheme="minorBidi"/>
          <w:noProof/>
          <w:sz w:val="22"/>
          <w:szCs w:val="22"/>
          <w:lang w:eastAsia="en-AU"/>
        </w:rPr>
      </w:pPr>
      <w:r w:rsidRPr="00D631B9">
        <w:rPr>
          <w:noProof/>
        </w:rPr>
        <w:t>A1.5</w:t>
      </w:r>
      <w:r>
        <w:rPr>
          <w:rFonts w:asciiTheme="minorHAnsi" w:eastAsiaTheme="minorEastAsia" w:hAnsiTheme="minorHAnsi" w:cstheme="minorBidi"/>
          <w:noProof/>
          <w:sz w:val="22"/>
          <w:szCs w:val="22"/>
          <w:lang w:eastAsia="en-AU"/>
        </w:rPr>
        <w:tab/>
      </w:r>
      <w:r>
        <w:rPr>
          <w:noProof/>
        </w:rPr>
        <w:t>Employees by employment status and gender, 30 June 2012</w:t>
      </w:r>
      <w:r>
        <w:rPr>
          <w:noProof/>
        </w:rPr>
        <w:tab/>
        <w:t>79</w:t>
      </w:r>
    </w:p>
    <w:p w:rsidR="00EE62B3" w:rsidRDefault="00EE62B3" w:rsidP="00EE62B3">
      <w:pPr>
        <w:pStyle w:val="TOC2"/>
        <w:tabs>
          <w:tab w:val="left" w:pos="851"/>
          <w:tab w:val="left" w:pos="1900"/>
        </w:tabs>
        <w:ind w:left="851" w:hanging="794"/>
        <w:rPr>
          <w:rFonts w:asciiTheme="minorHAnsi" w:eastAsiaTheme="minorEastAsia" w:hAnsiTheme="minorHAnsi" w:cstheme="minorBidi"/>
          <w:noProof/>
          <w:sz w:val="22"/>
          <w:szCs w:val="22"/>
          <w:lang w:eastAsia="en-AU"/>
        </w:rPr>
      </w:pPr>
      <w:r w:rsidRPr="00D631B9">
        <w:rPr>
          <w:noProof/>
        </w:rPr>
        <w:t>A1.6</w:t>
      </w:r>
      <w:r>
        <w:rPr>
          <w:rFonts w:asciiTheme="minorHAnsi" w:eastAsiaTheme="minorEastAsia" w:hAnsiTheme="minorHAnsi" w:cstheme="minorBidi"/>
          <w:noProof/>
          <w:sz w:val="22"/>
          <w:szCs w:val="22"/>
          <w:lang w:eastAsia="en-AU"/>
        </w:rPr>
        <w:tab/>
      </w:r>
      <w:r>
        <w:rPr>
          <w:noProof/>
        </w:rPr>
        <w:t>Employees by level and reason for separation, 2011-12</w:t>
      </w:r>
      <w:r>
        <w:rPr>
          <w:noProof/>
        </w:rPr>
        <w:tab/>
        <w:t>79</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B.1</w:t>
      </w:r>
      <w:r>
        <w:rPr>
          <w:rFonts w:asciiTheme="minorHAnsi" w:eastAsiaTheme="minorEastAsia" w:hAnsiTheme="minorHAnsi" w:cstheme="minorBidi"/>
          <w:noProof/>
          <w:sz w:val="22"/>
          <w:szCs w:val="22"/>
          <w:lang w:eastAsia="en-AU"/>
        </w:rPr>
        <w:tab/>
      </w:r>
      <w:r>
        <w:rPr>
          <w:noProof/>
        </w:rPr>
        <w:t>Use of Commission publications in parliamentary committee reports in 2011-12</w:t>
      </w:r>
      <w:r>
        <w:rPr>
          <w:noProof/>
        </w:rPr>
        <w:tab/>
        <w:t>94</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B.2</w:t>
      </w:r>
      <w:r>
        <w:rPr>
          <w:rFonts w:asciiTheme="minorHAnsi" w:eastAsiaTheme="minorEastAsia" w:hAnsiTheme="minorHAnsi" w:cstheme="minorBidi"/>
          <w:noProof/>
          <w:sz w:val="22"/>
          <w:szCs w:val="22"/>
          <w:lang w:eastAsia="en-AU"/>
        </w:rPr>
        <w:tab/>
      </w:r>
      <w:r>
        <w:rPr>
          <w:noProof/>
        </w:rPr>
        <w:t>Parliamentary Library use of Commission publications in 2011-12</w:t>
      </w:r>
      <w:r>
        <w:rPr>
          <w:noProof/>
        </w:rPr>
        <w:tab/>
        <w:t>96</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lastRenderedPageBreak/>
        <w:t>B.3</w:t>
      </w:r>
      <w:r>
        <w:rPr>
          <w:rFonts w:asciiTheme="minorHAnsi" w:eastAsiaTheme="minorEastAsia" w:hAnsiTheme="minorHAnsi" w:cstheme="minorBidi"/>
          <w:noProof/>
          <w:sz w:val="22"/>
          <w:szCs w:val="22"/>
          <w:lang w:eastAsia="en-AU"/>
        </w:rPr>
        <w:tab/>
      </w:r>
      <w:r>
        <w:rPr>
          <w:noProof/>
        </w:rPr>
        <w:t>Program of public inquiries and other government-commissioned projects</w:t>
      </w:r>
      <w:r>
        <w:rPr>
          <w:noProof/>
          <w:position w:val="6"/>
        </w:rPr>
        <w:tab/>
      </w:r>
      <w:r>
        <w:rPr>
          <w:noProof/>
        </w:rPr>
        <w:tab/>
        <w:t>104</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B.4</w:t>
      </w:r>
      <w:r>
        <w:rPr>
          <w:rFonts w:asciiTheme="minorHAnsi" w:eastAsiaTheme="minorEastAsia" w:hAnsiTheme="minorHAnsi" w:cstheme="minorBidi"/>
          <w:noProof/>
          <w:sz w:val="22"/>
          <w:szCs w:val="22"/>
          <w:lang w:eastAsia="en-AU"/>
        </w:rPr>
        <w:tab/>
      </w:r>
      <w:r>
        <w:rPr>
          <w:noProof/>
        </w:rPr>
        <w:t>Public inquiry and other commissioned project activity, 2007-08 to 2011-12</w:t>
      </w:r>
      <w:r>
        <w:rPr>
          <w:noProof/>
        </w:rPr>
        <w:tab/>
      </w:r>
      <w:r>
        <w:rPr>
          <w:noProof/>
        </w:rPr>
        <w:tab/>
        <w:t>105</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B.5</w:t>
      </w:r>
      <w:r>
        <w:rPr>
          <w:rFonts w:asciiTheme="minorHAnsi" w:eastAsiaTheme="minorEastAsia" w:hAnsiTheme="minorHAnsi" w:cstheme="minorBidi"/>
          <w:noProof/>
          <w:sz w:val="22"/>
          <w:szCs w:val="22"/>
          <w:lang w:eastAsia="en-AU"/>
        </w:rPr>
        <w:tab/>
      </w:r>
      <w:r>
        <w:rPr>
          <w:noProof/>
        </w:rPr>
        <w:t>Cost of public inquiries and other commissioned projects completed in 2011-12</w:t>
      </w:r>
      <w:r>
        <w:rPr>
          <w:noProof/>
        </w:rPr>
        <w:tab/>
        <w:t>106</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B.6</w:t>
      </w:r>
      <w:r>
        <w:rPr>
          <w:rFonts w:asciiTheme="minorHAnsi" w:eastAsiaTheme="minorEastAsia" w:hAnsiTheme="minorHAnsi" w:cstheme="minorBidi"/>
          <w:noProof/>
          <w:sz w:val="22"/>
          <w:szCs w:val="22"/>
          <w:lang w:eastAsia="en-AU"/>
        </w:rPr>
        <w:tab/>
      </w:r>
      <w:r>
        <w:rPr>
          <w:noProof/>
        </w:rPr>
        <w:t>Direct administrative expenditure on public inquiries and other government-commissioned projects, 2007-08 to 2011-12</w:t>
      </w:r>
      <w:r>
        <w:rPr>
          <w:noProof/>
        </w:rPr>
        <w:tab/>
        <w:t>107</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B.7</w:t>
      </w:r>
      <w:r>
        <w:rPr>
          <w:rFonts w:asciiTheme="minorHAnsi" w:eastAsiaTheme="minorEastAsia" w:hAnsiTheme="minorHAnsi" w:cstheme="minorBidi"/>
          <w:noProof/>
          <w:sz w:val="22"/>
          <w:szCs w:val="22"/>
          <w:lang w:eastAsia="en-AU"/>
        </w:rPr>
        <w:tab/>
      </w:r>
      <w:r>
        <w:rPr>
          <w:noProof/>
        </w:rPr>
        <w:t>Impact of Commission inquiry reports on government policy making</w:t>
      </w:r>
      <w:r>
        <w:rPr>
          <w:noProof/>
        </w:rPr>
        <w:tab/>
      </w:r>
      <w:r>
        <w:rPr>
          <w:noProof/>
        </w:rPr>
        <w:tab/>
        <w:t>114</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B.8</w:t>
      </w:r>
      <w:r>
        <w:rPr>
          <w:rFonts w:asciiTheme="minorHAnsi" w:eastAsiaTheme="minorEastAsia" w:hAnsiTheme="minorHAnsi" w:cstheme="minorBidi"/>
          <w:noProof/>
          <w:sz w:val="22"/>
          <w:szCs w:val="22"/>
          <w:lang w:eastAsia="en-AU"/>
        </w:rPr>
        <w:tab/>
      </w:r>
      <w:r>
        <w:rPr>
          <w:noProof/>
        </w:rPr>
        <w:t>Formal competitive neutrality complaints, 2007-08 to 2011</w:t>
      </w:r>
      <w:r>
        <w:rPr>
          <w:noProof/>
        </w:rPr>
        <w:noBreakHyphen/>
        <w:t>12</w:t>
      </w:r>
      <w:r>
        <w:rPr>
          <w:noProof/>
        </w:rPr>
        <w:tab/>
        <w:t>135</w:t>
      </w:r>
    </w:p>
    <w:p w:rsidR="00EE62B3" w:rsidRDefault="00EE62B3" w:rsidP="00EE62B3">
      <w:pPr>
        <w:pStyle w:val="TOC2"/>
        <w:tabs>
          <w:tab w:val="left" w:pos="851"/>
          <w:tab w:val="left" w:pos="1770"/>
        </w:tabs>
        <w:ind w:left="851" w:hanging="794"/>
        <w:rPr>
          <w:rFonts w:asciiTheme="minorHAnsi" w:eastAsiaTheme="minorEastAsia" w:hAnsiTheme="minorHAnsi" w:cstheme="minorBidi"/>
          <w:noProof/>
          <w:sz w:val="22"/>
          <w:szCs w:val="22"/>
          <w:lang w:eastAsia="en-AU"/>
        </w:rPr>
      </w:pPr>
      <w:r w:rsidRPr="00D631B9">
        <w:rPr>
          <w:noProof/>
        </w:rPr>
        <w:t>D.1</w:t>
      </w:r>
      <w:r>
        <w:rPr>
          <w:rFonts w:asciiTheme="minorHAnsi" w:eastAsiaTheme="minorEastAsia" w:hAnsiTheme="minorHAnsi" w:cstheme="minorBidi"/>
          <w:noProof/>
          <w:sz w:val="22"/>
          <w:szCs w:val="22"/>
          <w:lang w:eastAsia="en-AU"/>
        </w:rPr>
        <w:tab/>
      </w:r>
      <w:r>
        <w:rPr>
          <w:noProof/>
        </w:rPr>
        <w:t>Stage of completion of commissioned projects and government responses to Commission reports</w:t>
      </w:r>
      <w:r>
        <w:rPr>
          <w:noProof/>
        </w:rPr>
        <w:tab/>
        <w:t>154</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E.1</w:t>
      </w:r>
      <w:r>
        <w:rPr>
          <w:rFonts w:asciiTheme="minorHAnsi" w:eastAsiaTheme="minorEastAsia" w:hAnsiTheme="minorHAnsi" w:cstheme="minorBidi"/>
          <w:noProof/>
          <w:sz w:val="22"/>
          <w:szCs w:val="22"/>
          <w:lang w:eastAsia="en-AU"/>
        </w:rPr>
        <w:tab/>
      </w:r>
      <w:r>
        <w:rPr>
          <w:noProof/>
        </w:rPr>
        <w:t>Speeches and presentations by the Chairman, Commissioners and staff, 2011-12</w:t>
      </w:r>
      <w:r>
        <w:rPr>
          <w:noProof/>
        </w:rPr>
        <w:tab/>
        <w:t>184</w:t>
      </w:r>
    </w:p>
    <w:p w:rsidR="00EE62B3" w:rsidRDefault="00EE62B3" w:rsidP="00EE62B3">
      <w:pPr>
        <w:pStyle w:val="TOC2"/>
        <w:tabs>
          <w:tab w:val="left" w:pos="851"/>
          <w:tab w:val="left" w:pos="1760"/>
        </w:tabs>
        <w:ind w:left="851" w:hanging="794"/>
        <w:rPr>
          <w:rFonts w:asciiTheme="minorHAnsi" w:eastAsiaTheme="minorEastAsia" w:hAnsiTheme="minorHAnsi" w:cstheme="minorBidi"/>
          <w:noProof/>
          <w:sz w:val="22"/>
          <w:szCs w:val="22"/>
          <w:lang w:eastAsia="en-AU"/>
        </w:rPr>
      </w:pPr>
      <w:r w:rsidRPr="00D631B9">
        <w:rPr>
          <w:noProof/>
        </w:rPr>
        <w:t>E.2</w:t>
      </w:r>
      <w:r>
        <w:rPr>
          <w:rFonts w:asciiTheme="minorHAnsi" w:eastAsiaTheme="minorEastAsia" w:hAnsiTheme="minorHAnsi" w:cstheme="minorBidi"/>
          <w:noProof/>
          <w:sz w:val="22"/>
          <w:szCs w:val="22"/>
          <w:lang w:eastAsia="en-AU"/>
        </w:rPr>
        <w:tab/>
      </w:r>
      <w:r w:rsidRPr="00D631B9">
        <w:rPr>
          <w:noProof/>
        </w:rPr>
        <w:t>International delegations and visitors, 2011-12</w:t>
      </w:r>
      <w:r>
        <w:rPr>
          <w:noProof/>
        </w:rPr>
        <w:tab/>
        <w:t>189</w:t>
      </w:r>
    </w:p>
    <w:p w:rsidR="00CA581C" w:rsidRPr="00CA581C" w:rsidRDefault="00CA581C" w:rsidP="00EE62B3">
      <w:pPr>
        <w:pStyle w:val="TOC2"/>
        <w:tabs>
          <w:tab w:val="left" w:pos="851"/>
        </w:tabs>
        <w:ind w:left="851" w:hanging="794"/>
      </w:pPr>
    </w:p>
    <w:p w:rsidR="00B03350" w:rsidRPr="00B03350" w:rsidRDefault="00B03350" w:rsidP="00B03350">
      <w:pPr>
        <w:pStyle w:val="BodyText"/>
      </w:pPr>
    </w:p>
    <w:p w:rsidR="00735FEA" w:rsidRDefault="00735FEA">
      <w:pPr>
        <w:pStyle w:val="BodyText"/>
        <w:sectPr w:rsidR="00735FEA" w:rsidSect="00795963">
          <w:headerReference w:type="even" r:id="rId18"/>
          <w:headerReference w:type="default" r:id="rId19"/>
          <w:footerReference w:type="even" r:id="rId20"/>
          <w:footerReference w:type="default" r:id="rId21"/>
          <w:pgSz w:w="11907" w:h="16840" w:code="9"/>
          <w:pgMar w:top="1985" w:right="1304" w:bottom="1418" w:left="1814" w:header="1701" w:footer="567" w:gutter="0"/>
          <w:pgNumType w:fmt="lowerRoman"/>
          <w:cols w:space="720"/>
        </w:sectPr>
      </w:pPr>
    </w:p>
    <w:p w:rsidR="00735FEA" w:rsidRDefault="00735FEA" w:rsidP="00F7477E">
      <w:pPr>
        <w:pStyle w:val="Heading1"/>
      </w:pPr>
      <w:bookmarkStart w:id="5" w:name="Abbreviations"/>
      <w:bookmarkStart w:id="6" w:name="RDnote"/>
      <w:bookmarkStart w:id="7" w:name="EndContents"/>
      <w:bookmarkStart w:id="8" w:name="_Toc338146675"/>
      <w:bookmarkEnd w:id="5"/>
      <w:bookmarkEnd w:id="6"/>
      <w:bookmarkEnd w:id="7"/>
      <w:r>
        <w:lastRenderedPageBreak/>
        <w:t>Abbreviations</w:t>
      </w:r>
      <w:bookmarkEnd w:id="8"/>
      <w:r>
        <w:t xml:space="preserve"> </w:t>
      </w:r>
    </w:p>
    <w:p w:rsidR="00B03350" w:rsidRDefault="00B03350" w:rsidP="00B03350">
      <w:pPr>
        <w:pStyle w:val="Abbreviation"/>
        <w:tabs>
          <w:tab w:val="left" w:pos="1701"/>
        </w:tabs>
        <w:spacing w:before="80"/>
        <w:ind w:left="1985" w:hanging="1985"/>
      </w:pPr>
      <w:r>
        <w:t>ABS</w:t>
      </w:r>
      <w:r>
        <w:tab/>
        <w:t>Australian Bureau of Statistics</w:t>
      </w:r>
    </w:p>
    <w:p w:rsidR="00B03350" w:rsidRDefault="00B03350" w:rsidP="00B03350">
      <w:pPr>
        <w:pStyle w:val="Abbreviation"/>
        <w:tabs>
          <w:tab w:val="left" w:pos="1701"/>
        </w:tabs>
        <w:spacing w:before="80"/>
        <w:ind w:left="1985" w:hanging="1985"/>
      </w:pPr>
      <w:proofErr w:type="spellStart"/>
      <w:r>
        <w:t>ACCC</w:t>
      </w:r>
      <w:proofErr w:type="spellEnd"/>
      <w:r>
        <w:tab/>
        <w:t>Australian Competition and Consumer Commission</w:t>
      </w:r>
    </w:p>
    <w:p w:rsidR="00B03350" w:rsidRDefault="00B03350" w:rsidP="00B03350">
      <w:pPr>
        <w:pStyle w:val="Abbreviation"/>
        <w:tabs>
          <w:tab w:val="left" w:pos="1701"/>
        </w:tabs>
        <w:spacing w:before="80"/>
        <w:ind w:left="1985" w:hanging="1985"/>
      </w:pPr>
      <w:proofErr w:type="spellStart"/>
      <w:r>
        <w:t>ACCI</w:t>
      </w:r>
      <w:proofErr w:type="spellEnd"/>
      <w:r>
        <w:tab/>
        <w:t>Australian Chamber of Commerce and Industry</w:t>
      </w:r>
    </w:p>
    <w:p w:rsidR="00B03350" w:rsidRDefault="00B03350" w:rsidP="00B03350">
      <w:pPr>
        <w:pStyle w:val="Abbreviation"/>
        <w:tabs>
          <w:tab w:val="left" w:pos="1701"/>
        </w:tabs>
        <w:spacing w:before="80"/>
        <w:ind w:left="1985" w:hanging="1985"/>
      </w:pPr>
      <w:r>
        <w:t>AGCNCO</w:t>
      </w:r>
      <w:r>
        <w:tab/>
        <w:t>Australian Government Competitive Neutrality Complaints Office</w:t>
      </w:r>
    </w:p>
    <w:p w:rsidR="00B03350" w:rsidRDefault="00B03350" w:rsidP="00B03350">
      <w:pPr>
        <w:pStyle w:val="Abbreviation"/>
        <w:tabs>
          <w:tab w:val="left" w:pos="1701"/>
        </w:tabs>
        <w:spacing w:before="80"/>
        <w:ind w:left="1985" w:hanging="1985"/>
      </w:pPr>
      <w:proofErr w:type="spellStart"/>
      <w:r>
        <w:t>AIHW</w:t>
      </w:r>
      <w:proofErr w:type="spellEnd"/>
      <w:r>
        <w:tab/>
        <w:t>Australian Institute of Health and Welfare</w:t>
      </w:r>
    </w:p>
    <w:p w:rsidR="00B03350" w:rsidRDefault="00B03350" w:rsidP="00B03350">
      <w:pPr>
        <w:pStyle w:val="Abbreviation"/>
        <w:tabs>
          <w:tab w:val="left" w:pos="1701"/>
        </w:tabs>
        <w:spacing w:before="80"/>
        <w:ind w:left="1985" w:hanging="1985"/>
      </w:pPr>
      <w:r>
        <w:t>ALGA</w:t>
      </w:r>
      <w:r>
        <w:tab/>
        <w:t>Australian Local Government Association</w:t>
      </w:r>
    </w:p>
    <w:p w:rsidR="00B03350" w:rsidRDefault="00B03350" w:rsidP="00B03350">
      <w:pPr>
        <w:pStyle w:val="Abbreviation"/>
        <w:tabs>
          <w:tab w:val="left" w:pos="1701"/>
        </w:tabs>
        <w:spacing w:before="80"/>
        <w:ind w:left="1985" w:hanging="1985"/>
      </w:pPr>
      <w:proofErr w:type="spellStart"/>
      <w:r>
        <w:t>ANAO</w:t>
      </w:r>
      <w:proofErr w:type="spellEnd"/>
      <w:r>
        <w:tab/>
        <w:t>Australian National Audit Office</w:t>
      </w:r>
    </w:p>
    <w:p w:rsidR="00B03350" w:rsidRDefault="00B03350" w:rsidP="00B03350">
      <w:pPr>
        <w:pStyle w:val="Abbreviation"/>
        <w:tabs>
          <w:tab w:val="left" w:pos="1701"/>
        </w:tabs>
        <w:spacing w:before="80"/>
        <w:ind w:left="1985" w:hanging="1985"/>
      </w:pPr>
      <w:proofErr w:type="spellStart"/>
      <w:r>
        <w:t>ANU</w:t>
      </w:r>
      <w:proofErr w:type="spellEnd"/>
      <w:r>
        <w:tab/>
        <w:t>Australian National University</w:t>
      </w:r>
    </w:p>
    <w:p w:rsidR="00B03350" w:rsidRDefault="00B03350" w:rsidP="00B03350">
      <w:pPr>
        <w:pStyle w:val="Abbreviation"/>
        <w:tabs>
          <w:tab w:val="left" w:pos="1701"/>
        </w:tabs>
        <w:spacing w:before="80"/>
        <w:ind w:left="1985" w:hanging="1985"/>
      </w:pPr>
      <w:proofErr w:type="spellStart"/>
      <w:r>
        <w:t>ANZSIC</w:t>
      </w:r>
      <w:proofErr w:type="spellEnd"/>
      <w:r>
        <w:tab/>
        <w:t xml:space="preserve">Australian and </w:t>
      </w:r>
      <w:smartTag w:uri="urn:schemas-microsoft-com:office:smarttags" w:element="place">
        <w:smartTag w:uri="urn:schemas-microsoft-com:office:smarttags" w:element="country-region">
          <w:r>
            <w:t>New Zealand</w:t>
          </w:r>
        </w:smartTag>
      </w:smartTag>
      <w:r>
        <w:t xml:space="preserve"> Standard Industrial Classification</w:t>
      </w:r>
    </w:p>
    <w:p w:rsidR="00B03350" w:rsidRDefault="00B03350" w:rsidP="00B03350">
      <w:pPr>
        <w:pStyle w:val="Abbreviation"/>
        <w:tabs>
          <w:tab w:val="left" w:pos="1701"/>
        </w:tabs>
        <w:spacing w:before="80"/>
        <w:ind w:left="1985" w:hanging="1985"/>
      </w:pPr>
      <w:proofErr w:type="spellStart"/>
      <w:r>
        <w:t>ANZSOG</w:t>
      </w:r>
      <w:proofErr w:type="spellEnd"/>
      <w:r>
        <w:tab/>
      </w:r>
      <w:smartTag w:uri="urn:schemas-microsoft-com:office:smarttags" w:element="country-region">
        <w:r>
          <w:t>Australia</w:t>
        </w:r>
      </w:smartTag>
      <w:r>
        <w:t xml:space="preserve"> and </w:t>
      </w:r>
      <w:smartTag w:uri="urn:schemas-microsoft-com:office:smarttags" w:element="place">
        <w:smartTag w:uri="urn:schemas-microsoft-com:office:smarttags" w:element="PlaceName">
          <w:r>
            <w:t>New Zealand</w:t>
          </w:r>
        </w:smartTag>
        <w:r>
          <w:t xml:space="preserve"> </w:t>
        </w:r>
        <w:smartTag w:uri="urn:schemas-microsoft-com:office:smarttags" w:element="PlaceType">
          <w:r>
            <w:t>School</w:t>
          </w:r>
        </w:smartTag>
      </w:smartTag>
      <w:r>
        <w:t xml:space="preserve"> of Government</w:t>
      </w:r>
    </w:p>
    <w:p w:rsidR="00B03350" w:rsidRDefault="00B03350" w:rsidP="00B03350">
      <w:pPr>
        <w:pStyle w:val="Abbreviation"/>
        <w:tabs>
          <w:tab w:val="left" w:pos="1701"/>
        </w:tabs>
        <w:spacing w:before="80"/>
        <w:ind w:left="1985" w:hanging="1985"/>
      </w:pPr>
      <w:r>
        <w:t>APEC</w:t>
      </w:r>
      <w:r>
        <w:tab/>
        <w:t>Asia-Pacific Economic Cooperation</w:t>
      </w:r>
    </w:p>
    <w:p w:rsidR="00B03350" w:rsidRDefault="00B03350" w:rsidP="00B03350">
      <w:pPr>
        <w:pStyle w:val="Abbreviation"/>
        <w:tabs>
          <w:tab w:val="left" w:pos="1701"/>
        </w:tabs>
        <w:spacing w:before="80"/>
        <w:ind w:left="1985" w:hanging="1985"/>
      </w:pPr>
      <w:r>
        <w:t>APRA</w:t>
      </w:r>
      <w:r>
        <w:tab/>
        <w:t>Australian Prudential Regulation Authority</w:t>
      </w:r>
    </w:p>
    <w:p w:rsidR="00B03350" w:rsidRDefault="00B03350" w:rsidP="00B03350">
      <w:pPr>
        <w:pStyle w:val="Abbreviation"/>
        <w:tabs>
          <w:tab w:val="left" w:pos="1701"/>
        </w:tabs>
        <w:spacing w:before="80"/>
        <w:ind w:left="1985" w:hanging="1985"/>
      </w:pPr>
      <w:r>
        <w:t>APS</w:t>
      </w:r>
      <w:r>
        <w:tab/>
        <w:t>Australian Public Service</w:t>
      </w:r>
    </w:p>
    <w:p w:rsidR="00B03350" w:rsidRDefault="00B03350" w:rsidP="00B03350">
      <w:pPr>
        <w:pStyle w:val="Abbreviation"/>
        <w:tabs>
          <w:tab w:val="left" w:pos="1701"/>
        </w:tabs>
        <w:spacing w:before="80"/>
        <w:ind w:left="1985" w:hanging="1985"/>
      </w:pPr>
      <w:proofErr w:type="spellStart"/>
      <w:r>
        <w:t>BRCWG</w:t>
      </w:r>
      <w:proofErr w:type="spellEnd"/>
      <w:r>
        <w:tab/>
        <w:t>Business Regulation and Competition Working Group (COAG)</w:t>
      </w:r>
    </w:p>
    <w:p w:rsidR="00B03350" w:rsidRDefault="00B03350" w:rsidP="00B03350">
      <w:pPr>
        <w:pStyle w:val="Abbreviation"/>
        <w:tabs>
          <w:tab w:val="left" w:pos="1701"/>
        </w:tabs>
        <w:spacing w:before="80"/>
        <w:ind w:left="1985" w:hanging="1985"/>
      </w:pPr>
      <w:proofErr w:type="spellStart"/>
      <w:r>
        <w:t>CEDA</w:t>
      </w:r>
      <w:proofErr w:type="spellEnd"/>
      <w:r>
        <w:tab/>
        <w:t>Committee for Economic Development of Australia</w:t>
      </w:r>
    </w:p>
    <w:p w:rsidR="00B03350" w:rsidRDefault="00B03350" w:rsidP="00B03350">
      <w:pPr>
        <w:pStyle w:val="Abbreviation"/>
        <w:tabs>
          <w:tab w:val="left" w:pos="1701"/>
        </w:tabs>
        <w:spacing w:before="80"/>
        <w:ind w:left="1985" w:hanging="1985"/>
      </w:pPr>
      <w:r>
        <w:t>COAG</w:t>
      </w:r>
      <w:r>
        <w:tab/>
        <w:t>Council of Australian Governments</w:t>
      </w:r>
    </w:p>
    <w:p w:rsidR="00B03350" w:rsidRDefault="00B03350" w:rsidP="00B03350">
      <w:pPr>
        <w:pStyle w:val="Abbreviation"/>
        <w:tabs>
          <w:tab w:val="left" w:pos="1701"/>
        </w:tabs>
        <w:spacing w:before="80"/>
        <w:ind w:left="1985" w:hanging="1985"/>
      </w:pPr>
      <w:r>
        <w:t>CRC</w:t>
      </w:r>
      <w:r>
        <w:tab/>
        <w:t>COAG Reform Council</w:t>
      </w:r>
    </w:p>
    <w:p w:rsidR="00BE363E" w:rsidRDefault="00BE363E" w:rsidP="00B03350">
      <w:pPr>
        <w:pStyle w:val="Abbreviation"/>
        <w:tabs>
          <w:tab w:val="left" w:pos="1701"/>
        </w:tabs>
        <w:spacing w:before="80"/>
        <w:ind w:left="1985" w:hanging="1985"/>
      </w:pPr>
      <w:proofErr w:type="spellStart"/>
      <w:r>
        <w:t>EFIC</w:t>
      </w:r>
      <w:proofErr w:type="spellEnd"/>
      <w:r>
        <w:tab/>
        <w:t>Export Finance and Investment Corporation</w:t>
      </w:r>
    </w:p>
    <w:p w:rsidR="00B03350" w:rsidRDefault="00B03350" w:rsidP="00B03350">
      <w:pPr>
        <w:pStyle w:val="Abbreviation"/>
        <w:tabs>
          <w:tab w:val="left" w:pos="1701"/>
        </w:tabs>
        <w:spacing w:before="80"/>
        <w:ind w:left="1985" w:hanging="1985"/>
      </w:pPr>
      <w:proofErr w:type="spellStart"/>
      <w:r>
        <w:t>EGWW</w:t>
      </w:r>
      <w:proofErr w:type="spellEnd"/>
      <w:r>
        <w:tab/>
        <w:t>Electricity, gas, water &amp; waste services</w:t>
      </w:r>
    </w:p>
    <w:p w:rsidR="00B03350" w:rsidRDefault="00B03350" w:rsidP="00B03350">
      <w:pPr>
        <w:pStyle w:val="Abbreviation"/>
        <w:tabs>
          <w:tab w:val="left" w:pos="1701"/>
        </w:tabs>
        <w:spacing w:before="80"/>
        <w:ind w:left="1985" w:hanging="1985"/>
      </w:pPr>
      <w:proofErr w:type="spellStart"/>
      <w:r>
        <w:t>GS</w:t>
      </w:r>
      <w:proofErr w:type="spellEnd"/>
      <w:r>
        <w:tab/>
        <w:t>Gas supply</w:t>
      </w:r>
    </w:p>
    <w:p w:rsidR="00B03350" w:rsidRDefault="00B03350" w:rsidP="00B03350">
      <w:pPr>
        <w:pStyle w:val="Abbreviation"/>
        <w:tabs>
          <w:tab w:val="left" w:pos="1701"/>
        </w:tabs>
        <w:spacing w:before="80"/>
        <w:ind w:left="1985" w:hanging="1985"/>
      </w:pPr>
      <w:r>
        <w:t>GDP</w:t>
      </w:r>
      <w:r>
        <w:tab/>
        <w:t>Gross Domestic Product</w:t>
      </w:r>
    </w:p>
    <w:p w:rsidR="00B03350" w:rsidRDefault="00B03350" w:rsidP="00B03350">
      <w:pPr>
        <w:pStyle w:val="Abbreviation"/>
        <w:tabs>
          <w:tab w:val="left" w:pos="1701"/>
        </w:tabs>
        <w:spacing w:before="80"/>
        <w:ind w:left="1985" w:hanging="1985"/>
      </w:pPr>
      <w:proofErr w:type="spellStart"/>
      <w:r>
        <w:t>GTAP</w:t>
      </w:r>
      <w:proofErr w:type="spellEnd"/>
      <w:r>
        <w:tab/>
        <w:t>Global Trade Analysis Project</w:t>
      </w:r>
    </w:p>
    <w:p w:rsidR="00B03350" w:rsidRDefault="00B03350" w:rsidP="00B03350">
      <w:pPr>
        <w:pStyle w:val="Abbreviation"/>
        <w:tabs>
          <w:tab w:val="left" w:pos="1701"/>
        </w:tabs>
        <w:spacing w:before="80"/>
        <w:ind w:left="1985" w:hanging="1985"/>
      </w:pPr>
      <w:proofErr w:type="spellStart"/>
      <w:r>
        <w:t>GTEs</w:t>
      </w:r>
      <w:proofErr w:type="spellEnd"/>
      <w:r>
        <w:tab/>
        <w:t>Government trading enterprises</w:t>
      </w:r>
    </w:p>
    <w:p w:rsidR="00B03350" w:rsidRDefault="00B03350" w:rsidP="00B03350">
      <w:pPr>
        <w:pStyle w:val="Abbreviation"/>
        <w:tabs>
          <w:tab w:val="left" w:pos="1701"/>
        </w:tabs>
        <w:spacing w:before="80"/>
        <w:ind w:left="1985" w:hanging="1985"/>
      </w:pPr>
      <w:proofErr w:type="spellStart"/>
      <w:r>
        <w:t>ICTs</w:t>
      </w:r>
      <w:proofErr w:type="spellEnd"/>
      <w:r>
        <w:tab/>
        <w:t>Information and communication technologies</w:t>
      </w:r>
    </w:p>
    <w:p w:rsidR="00B03350" w:rsidRDefault="00B03350" w:rsidP="00B03350">
      <w:pPr>
        <w:pStyle w:val="Abbreviation"/>
        <w:tabs>
          <w:tab w:val="left" w:pos="1701"/>
        </w:tabs>
        <w:spacing w:before="80"/>
        <w:ind w:left="1985" w:hanging="1985"/>
      </w:pPr>
      <w:r>
        <w:t>IMF</w:t>
      </w:r>
      <w:r>
        <w:tab/>
        <w:t>International Monetary Fund</w:t>
      </w:r>
    </w:p>
    <w:p w:rsidR="00B03350" w:rsidRDefault="00B03350" w:rsidP="00B03350">
      <w:pPr>
        <w:pStyle w:val="Abbreviation"/>
        <w:tabs>
          <w:tab w:val="left" w:pos="1701"/>
        </w:tabs>
        <w:spacing w:before="80"/>
        <w:ind w:left="1985" w:hanging="1985"/>
      </w:pPr>
      <w:r>
        <w:t>LP</w:t>
      </w:r>
      <w:r>
        <w:tab/>
        <w:t xml:space="preserve">labour productivity </w:t>
      </w:r>
    </w:p>
    <w:p w:rsidR="00B03350" w:rsidRDefault="00B03350" w:rsidP="00B03350">
      <w:pPr>
        <w:pStyle w:val="Abbreviation"/>
        <w:tabs>
          <w:tab w:val="left" w:pos="1701"/>
        </w:tabs>
        <w:spacing w:before="80"/>
        <w:ind w:left="1985" w:hanging="1985"/>
      </w:pPr>
      <w:r>
        <w:t>MFP</w:t>
      </w:r>
      <w:r>
        <w:tab/>
        <w:t>multifactor productivity</w:t>
      </w:r>
    </w:p>
    <w:p w:rsidR="00B03350" w:rsidRPr="009417E6" w:rsidRDefault="00B03350" w:rsidP="00B03350">
      <w:pPr>
        <w:pStyle w:val="Abbreviation"/>
        <w:tabs>
          <w:tab w:val="left" w:pos="1701"/>
        </w:tabs>
        <w:spacing w:before="80"/>
        <w:ind w:left="1985" w:hanging="1985"/>
      </w:pPr>
      <w:proofErr w:type="spellStart"/>
      <w:r>
        <w:t>NAPLAN</w:t>
      </w:r>
      <w:proofErr w:type="spellEnd"/>
      <w:r>
        <w:tab/>
      </w:r>
      <w:r w:rsidRPr="009417E6">
        <w:t>National Assessment Program for Literacy and Numeracy</w:t>
      </w:r>
    </w:p>
    <w:p w:rsidR="00B03350" w:rsidRDefault="00B03350" w:rsidP="00B03350">
      <w:pPr>
        <w:pStyle w:val="Abbreviation"/>
        <w:tabs>
          <w:tab w:val="left" w:pos="1701"/>
        </w:tabs>
        <w:spacing w:before="80"/>
        <w:ind w:left="1985" w:hanging="1985"/>
      </w:pPr>
      <w:proofErr w:type="spellStart"/>
      <w:r>
        <w:lastRenderedPageBreak/>
        <w:t>NATSEM</w:t>
      </w:r>
      <w:proofErr w:type="spellEnd"/>
      <w:r>
        <w:tab/>
        <w:t>National Centre for Social and Economic Modelling</w:t>
      </w:r>
    </w:p>
    <w:p w:rsidR="00B03350" w:rsidRDefault="00B03350" w:rsidP="00B03350">
      <w:pPr>
        <w:pStyle w:val="Abbreviation"/>
        <w:tabs>
          <w:tab w:val="left" w:pos="1701"/>
        </w:tabs>
        <w:spacing w:before="80"/>
        <w:ind w:left="1985" w:hanging="1985"/>
      </w:pPr>
      <w:proofErr w:type="spellStart"/>
      <w:r>
        <w:t>NBN</w:t>
      </w:r>
      <w:proofErr w:type="spellEnd"/>
      <w:r>
        <w:tab/>
        <w:t>National Broadband Network</w:t>
      </w:r>
    </w:p>
    <w:p w:rsidR="00B03350" w:rsidRDefault="00B03350" w:rsidP="00B03350">
      <w:pPr>
        <w:pStyle w:val="Abbreviation"/>
        <w:tabs>
          <w:tab w:val="left" w:pos="1701"/>
        </w:tabs>
        <w:spacing w:before="80"/>
        <w:ind w:left="1985" w:hanging="1985"/>
      </w:pPr>
      <w:r>
        <w:t>NCP</w:t>
      </w:r>
      <w:r>
        <w:tab/>
        <w:t>National Competition Policy</w:t>
      </w:r>
    </w:p>
    <w:p w:rsidR="00B03350" w:rsidRDefault="00B03350" w:rsidP="00B03350">
      <w:pPr>
        <w:pStyle w:val="Abbreviation"/>
        <w:tabs>
          <w:tab w:val="left" w:pos="1701"/>
        </w:tabs>
        <w:spacing w:before="80"/>
        <w:ind w:left="1985" w:hanging="1985"/>
      </w:pPr>
      <w:r>
        <w:t>NRA</w:t>
      </w:r>
      <w:r>
        <w:tab/>
        <w:t>National Reform Agenda</w:t>
      </w:r>
    </w:p>
    <w:p w:rsidR="00B03350" w:rsidRDefault="00B03350" w:rsidP="00B03350">
      <w:pPr>
        <w:pStyle w:val="Abbreviation"/>
        <w:tabs>
          <w:tab w:val="left" w:pos="1701"/>
        </w:tabs>
        <w:spacing w:before="80"/>
        <w:ind w:left="1985" w:hanging="1985"/>
      </w:pPr>
      <w:r>
        <w:t>OECD</w:t>
      </w:r>
      <w:r>
        <w:tab/>
        <w:t>Organisation for Economic Cooperation and Development</w:t>
      </w:r>
    </w:p>
    <w:p w:rsidR="00B03350" w:rsidRDefault="00B03350" w:rsidP="00B03350">
      <w:pPr>
        <w:pStyle w:val="Abbreviation"/>
        <w:tabs>
          <w:tab w:val="left" w:pos="1701"/>
        </w:tabs>
        <w:spacing w:before="80"/>
        <w:ind w:left="1985" w:hanging="1985"/>
      </w:pPr>
      <w:r>
        <w:t>OHS</w:t>
      </w:r>
      <w:r>
        <w:tab/>
        <w:t>Occupation health and safety</w:t>
      </w:r>
    </w:p>
    <w:p w:rsidR="00B03350" w:rsidRPr="00797748" w:rsidRDefault="00B03350" w:rsidP="00B03350">
      <w:pPr>
        <w:pStyle w:val="Abbreviation"/>
        <w:tabs>
          <w:tab w:val="left" w:pos="1701"/>
        </w:tabs>
        <w:spacing w:before="80"/>
        <w:ind w:left="1985" w:hanging="1985"/>
      </w:pPr>
      <w:proofErr w:type="spellStart"/>
      <w:r>
        <w:t>OID</w:t>
      </w:r>
      <w:proofErr w:type="spellEnd"/>
      <w:r>
        <w:tab/>
      </w:r>
      <w:r w:rsidRPr="00797748">
        <w:t>Overcoming Indigenous Disadvantage report</w:t>
      </w:r>
    </w:p>
    <w:p w:rsidR="00B03350" w:rsidRDefault="00B03350" w:rsidP="00B03350">
      <w:pPr>
        <w:pStyle w:val="Abbreviation"/>
        <w:tabs>
          <w:tab w:val="left" w:pos="1701"/>
        </w:tabs>
        <w:spacing w:before="80"/>
        <w:ind w:left="1985" w:hanging="1985"/>
      </w:pPr>
      <w:r>
        <w:t>PC</w:t>
      </w:r>
      <w:r>
        <w:tab/>
        <w:t>Productivity Commission</w:t>
      </w:r>
    </w:p>
    <w:p w:rsidR="00BD4FE0" w:rsidRDefault="00BD4FE0" w:rsidP="00B03350">
      <w:pPr>
        <w:pStyle w:val="Abbreviation"/>
        <w:tabs>
          <w:tab w:val="left" w:pos="1701"/>
        </w:tabs>
        <w:spacing w:before="80"/>
        <w:ind w:left="1985" w:hanging="1985"/>
      </w:pPr>
      <w:r>
        <w:t>RBA</w:t>
      </w:r>
      <w:r>
        <w:tab/>
        <w:t>Reserve Bank of Australia</w:t>
      </w:r>
    </w:p>
    <w:p w:rsidR="00B03350" w:rsidRDefault="00B03350" w:rsidP="00B03350">
      <w:pPr>
        <w:pStyle w:val="Abbreviation"/>
        <w:tabs>
          <w:tab w:val="left" w:pos="1701"/>
        </w:tabs>
        <w:spacing w:before="80"/>
        <w:ind w:left="1985" w:hanging="1985"/>
      </w:pPr>
      <w:r>
        <w:t>R&amp;D</w:t>
      </w:r>
      <w:r>
        <w:tab/>
        <w:t>Research and development</w:t>
      </w:r>
    </w:p>
    <w:p w:rsidR="00B03350" w:rsidRPr="00797748" w:rsidRDefault="00B03350" w:rsidP="00B03350">
      <w:pPr>
        <w:pStyle w:val="Abbreviation"/>
        <w:tabs>
          <w:tab w:val="left" w:pos="1701"/>
        </w:tabs>
        <w:spacing w:before="80"/>
        <w:ind w:left="1985" w:hanging="1985"/>
      </w:pPr>
      <w:r>
        <w:t>ROGS</w:t>
      </w:r>
      <w:r>
        <w:tab/>
      </w:r>
      <w:r w:rsidRPr="00797748">
        <w:t>Report on Government Services</w:t>
      </w:r>
    </w:p>
    <w:p w:rsidR="00B03350" w:rsidRDefault="00B03350" w:rsidP="00B03350">
      <w:pPr>
        <w:pStyle w:val="Abbreviation"/>
        <w:tabs>
          <w:tab w:val="left" w:pos="1701"/>
        </w:tabs>
        <w:spacing w:before="80"/>
        <w:ind w:left="1985" w:hanging="1985"/>
      </w:pPr>
      <w:r>
        <w:t>SES</w:t>
      </w:r>
      <w:r>
        <w:tab/>
        <w:t>Senior Executive Service</w:t>
      </w:r>
    </w:p>
    <w:p w:rsidR="00BD4FE0" w:rsidRDefault="00BD4FE0" w:rsidP="00CA581C">
      <w:pPr>
        <w:pStyle w:val="Abbreviation"/>
        <w:tabs>
          <w:tab w:val="left" w:pos="1701"/>
        </w:tabs>
        <w:spacing w:before="80"/>
        <w:ind w:left="1985" w:hanging="1985"/>
      </w:pPr>
      <w:r>
        <w:t>SLA</w:t>
      </w:r>
      <w:r>
        <w:tab/>
        <w:t>Statistical Local Areas</w:t>
      </w:r>
    </w:p>
    <w:p w:rsidR="00BD4FE0" w:rsidRDefault="00BD4FE0" w:rsidP="00CA581C">
      <w:pPr>
        <w:pStyle w:val="Abbreviation"/>
        <w:tabs>
          <w:tab w:val="left" w:pos="1701"/>
        </w:tabs>
        <w:spacing w:before="80"/>
        <w:ind w:left="1985" w:hanging="1985"/>
      </w:pPr>
      <w:proofErr w:type="spellStart"/>
      <w:r>
        <w:t>TCF</w:t>
      </w:r>
      <w:proofErr w:type="spellEnd"/>
      <w:r>
        <w:tab/>
        <w:t>Textiles, clothing and footwear</w:t>
      </w:r>
    </w:p>
    <w:p w:rsidR="00CA581C" w:rsidRDefault="00B03350" w:rsidP="00CA581C">
      <w:pPr>
        <w:pStyle w:val="Abbreviation"/>
        <w:tabs>
          <w:tab w:val="left" w:pos="1701"/>
        </w:tabs>
        <w:spacing w:before="80"/>
        <w:ind w:left="1985" w:hanging="1985"/>
      </w:pPr>
      <w:proofErr w:type="spellStart"/>
      <w:r>
        <w:t>WSSD</w:t>
      </w:r>
      <w:proofErr w:type="spellEnd"/>
      <w:r>
        <w:tab/>
        <w:t>Water supply sewerage &amp; drainage services</w:t>
      </w:r>
    </w:p>
    <w:p w:rsidR="00CA581C" w:rsidRDefault="00CA581C" w:rsidP="00CA581C">
      <w:pPr>
        <w:pStyle w:val="Abbreviation"/>
        <w:tabs>
          <w:tab w:val="left" w:pos="1701"/>
        </w:tabs>
        <w:spacing w:before="80"/>
        <w:ind w:left="1985" w:hanging="1985"/>
      </w:pPr>
    </w:p>
    <w:p w:rsidR="00782B4E" w:rsidRPr="002A09E3" w:rsidRDefault="00782B4E" w:rsidP="00B03350">
      <w:pPr>
        <w:pStyle w:val="Abbreviation"/>
        <w:tabs>
          <w:tab w:val="left" w:pos="1701"/>
        </w:tabs>
        <w:spacing w:before="80"/>
        <w:ind w:left="1985" w:hanging="1985"/>
        <w:rPr>
          <w:rStyle w:val="CommentReference"/>
          <w:vanish w:val="0"/>
        </w:rPr>
      </w:pPr>
    </w:p>
    <w:sectPr w:rsidR="00782B4E" w:rsidRPr="002A09E3"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EF" w:rsidRDefault="002513EF">
      <w:r>
        <w:separator/>
      </w:r>
    </w:p>
    <w:p w:rsidR="002513EF" w:rsidRDefault="002513EF"/>
    <w:p w:rsidR="002513EF" w:rsidRDefault="002513EF"/>
  </w:endnote>
  <w:endnote w:type="continuationSeparator" w:id="0">
    <w:p w:rsidR="002513EF" w:rsidRDefault="002513EF">
      <w:r>
        <w:continuationSeparator/>
      </w:r>
    </w:p>
    <w:p w:rsidR="002513EF" w:rsidRDefault="002513EF"/>
    <w:p w:rsidR="002513EF" w:rsidRDefault="00251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B9" w:rsidRDefault="004505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B9" w:rsidRDefault="004505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513EF">
      <w:trPr>
        <w:trHeight w:hRule="exact" w:val="740"/>
      </w:trPr>
      <w:tc>
        <w:tcPr>
          <w:tcW w:w="510" w:type="dxa"/>
          <w:tcBorders>
            <w:top w:val="single" w:sz="6" w:space="0" w:color="auto"/>
          </w:tcBorders>
        </w:tcPr>
        <w:p w:rsidR="002513EF" w:rsidRPr="008206EE" w:rsidRDefault="002513EF">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D01A9">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2513EF" w:rsidRDefault="005D01A9">
          <w:pPr>
            <w:pStyle w:val="Footer"/>
          </w:pPr>
          <w:r>
            <w:fldChar w:fldCharType="begin"/>
          </w:r>
          <w:r>
            <w:instrText xml:space="preserve"> STYLEREF "Heading 1 Not TOC" \* MERGEFORMAT </w:instrText>
          </w:r>
          <w:r>
            <w:fldChar w:fldCharType="separate"/>
          </w:r>
          <w:r w:rsidRPr="005D01A9">
            <w:rPr>
              <w:b/>
              <w:bCs/>
              <w:noProof/>
              <w:lang w:val="en-US"/>
            </w:rPr>
            <w:t>Contents</w:t>
          </w:r>
          <w:r>
            <w:rPr>
              <w:b/>
              <w:bCs/>
              <w:noProof/>
              <w:lang w:val="en-US"/>
            </w:rPr>
            <w:fldChar w:fldCharType="end"/>
          </w:r>
        </w:p>
      </w:tc>
      <w:tc>
        <w:tcPr>
          <w:tcW w:w="6634" w:type="dxa"/>
        </w:tcPr>
        <w:p w:rsidR="002513EF" w:rsidRDefault="002513EF">
          <w:pPr>
            <w:pStyle w:val="Footer"/>
            <w:rPr>
              <w:caps w:val="0"/>
            </w:rPr>
          </w:pPr>
        </w:p>
      </w:tc>
    </w:tr>
  </w:tbl>
  <w:p w:rsidR="002513EF" w:rsidRDefault="002513E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513EF" w:rsidTr="008F7DB7">
      <w:trPr>
        <w:trHeight w:hRule="exact" w:val="740"/>
      </w:trPr>
      <w:tc>
        <w:tcPr>
          <w:tcW w:w="6634" w:type="dxa"/>
        </w:tcPr>
        <w:p w:rsidR="002513EF" w:rsidRDefault="002513EF">
          <w:pPr>
            <w:pStyle w:val="Footer"/>
          </w:pPr>
        </w:p>
      </w:tc>
      <w:tc>
        <w:tcPr>
          <w:tcW w:w="1644" w:type="dxa"/>
          <w:tcBorders>
            <w:top w:val="single" w:sz="6" w:space="0" w:color="auto"/>
          </w:tcBorders>
        </w:tcPr>
        <w:p w:rsidR="002513EF" w:rsidRPr="008F7DB7" w:rsidRDefault="002513EF">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5D01A9" w:rsidRPr="005D01A9">
            <w:rPr>
              <w:b/>
              <w:bCs/>
              <w:noProof/>
              <w:lang w:val="en-US"/>
            </w:rPr>
            <w:t>Contents</w:t>
          </w:r>
          <w:r w:rsidRPr="008F7DB7">
            <w:rPr>
              <w:noProof/>
            </w:rPr>
            <w:fldChar w:fldCharType="end"/>
          </w:r>
        </w:p>
      </w:tc>
      <w:tc>
        <w:tcPr>
          <w:tcW w:w="510" w:type="dxa"/>
          <w:tcBorders>
            <w:top w:val="single" w:sz="6" w:space="0" w:color="auto"/>
          </w:tcBorders>
        </w:tcPr>
        <w:p w:rsidR="002513EF" w:rsidRPr="00C55A45" w:rsidRDefault="002513EF">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D01A9">
            <w:rPr>
              <w:rStyle w:val="PageNumber"/>
              <w:caps w:val="0"/>
              <w:noProof/>
            </w:rPr>
            <w:t>vii</w:t>
          </w:r>
          <w:r w:rsidRPr="00C55A45">
            <w:rPr>
              <w:rStyle w:val="PageNumber"/>
              <w:caps w:val="0"/>
              <w:noProof/>
            </w:rPr>
            <w:fldChar w:fldCharType="end"/>
          </w:r>
        </w:p>
      </w:tc>
    </w:tr>
  </w:tbl>
  <w:p w:rsidR="002513EF" w:rsidRDefault="002513E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2513EF" w:rsidTr="008F7DB7">
      <w:trPr>
        <w:trHeight w:hRule="exact" w:val="740"/>
      </w:trPr>
      <w:tc>
        <w:tcPr>
          <w:tcW w:w="510" w:type="dxa"/>
          <w:tcBorders>
            <w:top w:val="single" w:sz="6" w:space="0" w:color="auto"/>
          </w:tcBorders>
        </w:tcPr>
        <w:p w:rsidR="002513EF" w:rsidRPr="00C55A45" w:rsidRDefault="002513EF">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D01A9">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2513EF" w:rsidRDefault="002513EF">
          <w:pPr>
            <w:pStyle w:val="Footer"/>
            <w:rPr>
              <w:noProof/>
            </w:rPr>
          </w:pPr>
          <w:r>
            <w:rPr>
              <w:noProof/>
            </w:rPr>
            <w:fldChar w:fldCharType="begin"/>
          </w:r>
          <w:r>
            <w:rPr>
              <w:noProof/>
            </w:rPr>
            <w:instrText xml:space="preserve"> STYLEREF "Heading 1" \* MERGEFORMAT </w:instrText>
          </w:r>
          <w:r>
            <w:rPr>
              <w:noProof/>
            </w:rPr>
            <w:fldChar w:fldCharType="separate"/>
          </w:r>
          <w:r w:rsidR="005D01A9">
            <w:rPr>
              <w:noProof/>
            </w:rPr>
            <w:t>Abbreviations</w:t>
          </w:r>
          <w:r>
            <w:rPr>
              <w:noProof/>
            </w:rPr>
            <w:fldChar w:fldCharType="end"/>
          </w:r>
        </w:p>
      </w:tc>
      <w:tc>
        <w:tcPr>
          <w:tcW w:w="6634" w:type="dxa"/>
        </w:tcPr>
        <w:p w:rsidR="002513EF" w:rsidRDefault="002513EF">
          <w:pPr>
            <w:pStyle w:val="Footer"/>
            <w:rPr>
              <w:caps w:val="0"/>
            </w:rPr>
          </w:pPr>
        </w:p>
      </w:tc>
    </w:tr>
  </w:tbl>
  <w:p w:rsidR="002513EF" w:rsidRDefault="002513E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2513EF">
      <w:trPr>
        <w:trHeight w:hRule="exact" w:val="740"/>
      </w:trPr>
      <w:tc>
        <w:tcPr>
          <w:tcW w:w="6663" w:type="dxa"/>
        </w:tcPr>
        <w:p w:rsidR="002513EF" w:rsidRDefault="002513EF">
          <w:pPr>
            <w:pStyle w:val="Footer"/>
          </w:pPr>
        </w:p>
      </w:tc>
      <w:tc>
        <w:tcPr>
          <w:tcW w:w="1615" w:type="dxa"/>
          <w:tcBorders>
            <w:top w:val="single" w:sz="6" w:space="0" w:color="auto"/>
          </w:tcBorders>
        </w:tcPr>
        <w:p w:rsidR="002513EF" w:rsidRDefault="005D01A9">
          <w:pPr>
            <w:pStyle w:val="Footer"/>
            <w:rPr>
              <w:rStyle w:val="PageNumber"/>
              <w:b w:val="0"/>
            </w:rPr>
          </w:pPr>
          <w:r>
            <w:fldChar w:fldCharType="begin"/>
          </w:r>
          <w:r>
            <w:instrText xml:space="preserve"> STYLEREF "Heading 1" \* MERGEFORMAT </w:instrText>
          </w:r>
          <w:r>
            <w:fldChar w:fldCharType="separate"/>
          </w:r>
          <w:r>
            <w:rPr>
              <w:noProof/>
            </w:rPr>
            <w:t>Abbreviations</w:t>
          </w:r>
          <w:r>
            <w:rPr>
              <w:noProof/>
            </w:rPr>
            <w:fldChar w:fldCharType="end"/>
          </w:r>
        </w:p>
      </w:tc>
      <w:tc>
        <w:tcPr>
          <w:tcW w:w="510" w:type="dxa"/>
          <w:tcBorders>
            <w:top w:val="single" w:sz="6" w:space="0" w:color="auto"/>
          </w:tcBorders>
        </w:tcPr>
        <w:p w:rsidR="002513EF" w:rsidRPr="00E15FDC" w:rsidRDefault="002513EF">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5D01A9">
            <w:rPr>
              <w:rStyle w:val="PageNumber"/>
              <w:caps w:val="0"/>
              <w:noProof/>
            </w:rPr>
            <w:t>xi</w:t>
          </w:r>
          <w:r w:rsidRPr="00E15FDC">
            <w:rPr>
              <w:rStyle w:val="PageNumber"/>
              <w:caps w:val="0"/>
              <w:noProof/>
            </w:rPr>
            <w:fldChar w:fldCharType="end"/>
          </w:r>
        </w:p>
      </w:tc>
    </w:tr>
  </w:tbl>
  <w:p w:rsidR="002513EF" w:rsidRDefault="002513EF"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EF" w:rsidRDefault="002513EF">
      <w:r>
        <w:separator/>
      </w:r>
    </w:p>
    <w:p w:rsidR="002513EF" w:rsidRDefault="002513EF"/>
    <w:p w:rsidR="002513EF" w:rsidRDefault="002513EF"/>
  </w:footnote>
  <w:footnote w:type="continuationSeparator" w:id="0">
    <w:p w:rsidR="002513EF" w:rsidRDefault="002513EF">
      <w:r>
        <w:continuationSeparator/>
      </w:r>
    </w:p>
    <w:p w:rsidR="002513EF" w:rsidRDefault="002513EF"/>
    <w:p w:rsidR="002513EF" w:rsidRDefault="002513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B9" w:rsidRDefault="004505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B9" w:rsidRDefault="004505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513EF">
      <w:tc>
        <w:tcPr>
          <w:tcW w:w="2155" w:type="dxa"/>
          <w:tcBorders>
            <w:top w:val="single" w:sz="24" w:space="0" w:color="auto"/>
          </w:tcBorders>
        </w:tcPr>
        <w:p w:rsidR="002513EF" w:rsidRDefault="002513EF">
          <w:pPr>
            <w:pStyle w:val="Header"/>
          </w:pPr>
        </w:p>
      </w:tc>
      <w:tc>
        <w:tcPr>
          <w:tcW w:w="6634" w:type="dxa"/>
          <w:tcBorders>
            <w:top w:val="single" w:sz="6" w:space="0" w:color="auto"/>
          </w:tcBorders>
        </w:tcPr>
        <w:p w:rsidR="002513EF" w:rsidRDefault="002513EF">
          <w:pPr>
            <w:pStyle w:val="Header"/>
          </w:pPr>
        </w:p>
      </w:tc>
    </w:tr>
  </w:tbl>
  <w:p w:rsidR="002513EF" w:rsidRDefault="002513E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513EF" w:rsidTr="005C68FE">
      <w:tc>
        <w:tcPr>
          <w:tcW w:w="6634" w:type="dxa"/>
          <w:tcBorders>
            <w:top w:val="single" w:sz="6" w:space="0" w:color="auto"/>
          </w:tcBorders>
        </w:tcPr>
        <w:p w:rsidR="002513EF" w:rsidRDefault="002513EF" w:rsidP="005C68FE">
          <w:pPr>
            <w:pStyle w:val="HeaderOdd"/>
          </w:pPr>
        </w:p>
      </w:tc>
      <w:tc>
        <w:tcPr>
          <w:tcW w:w="2155" w:type="dxa"/>
          <w:tcBorders>
            <w:top w:val="single" w:sz="24" w:space="0" w:color="auto"/>
          </w:tcBorders>
        </w:tcPr>
        <w:p w:rsidR="002513EF" w:rsidRDefault="002513EF" w:rsidP="005C68FE">
          <w:pPr>
            <w:pStyle w:val="HeaderOdd"/>
          </w:pPr>
        </w:p>
      </w:tc>
    </w:tr>
  </w:tbl>
  <w:p w:rsidR="002513EF" w:rsidRPr="005C68FE" w:rsidRDefault="002513EF"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513EF" w:rsidTr="005C68FE">
      <w:tc>
        <w:tcPr>
          <w:tcW w:w="2155" w:type="dxa"/>
          <w:tcBorders>
            <w:top w:val="single" w:sz="24" w:space="0" w:color="auto"/>
          </w:tcBorders>
        </w:tcPr>
        <w:p w:rsidR="002513EF" w:rsidRDefault="002513EF" w:rsidP="005C68FE">
          <w:pPr>
            <w:pStyle w:val="HeaderEven"/>
          </w:pPr>
        </w:p>
      </w:tc>
      <w:tc>
        <w:tcPr>
          <w:tcW w:w="6634" w:type="dxa"/>
          <w:tcBorders>
            <w:top w:val="single" w:sz="6" w:space="0" w:color="auto"/>
          </w:tcBorders>
        </w:tcPr>
        <w:p w:rsidR="002513EF" w:rsidRDefault="002513EF" w:rsidP="005C68FE">
          <w:pPr>
            <w:pStyle w:val="HeaderEven"/>
          </w:pPr>
        </w:p>
      </w:tc>
    </w:tr>
  </w:tbl>
  <w:p w:rsidR="002513EF" w:rsidRDefault="002513EF"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513EF">
      <w:tc>
        <w:tcPr>
          <w:tcW w:w="6634" w:type="dxa"/>
          <w:tcBorders>
            <w:top w:val="single" w:sz="6" w:space="0" w:color="auto"/>
          </w:tcBorders>
        </w:tcPr>
        <w:p w:rsidR="002513EF" w:rsidRDefault="002513EF">
          <w:pPr>
            <w:pStyle w:val="HeaderOdd"/>
          </w:pPr>
        </w:p>
      </w:tc>
      <w:tc>
        <w:tcPr>
          <w:tcW w:w="2155" w:type="dxa"/>
          <w:tcBorders>
            <w:top w:val="single" w:sz="24" w:space="0" w:color="auto"/>
          </w:tcBorders>
        </w:tcPr>
        <w:p w:rsidR="002513EF" w:rsidRDefault="002513EF">
          <w:pPr>
            <w:pStyle w:val="HeaderOdd"/>
          </w:pPr>
        </w:p>
      </w:tc>
    </w:tr>
  </w:tbl>
  <w:p w:rsidR="002513EF" w:rsidRDefault="002513EF"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50"/>
    <w:rsid w:val="000134DC"/>
    <w:rsid w:val="00017AFC"/>
    <w:rsid w:val="00025878"/>
    <w:rsid w:val="00026B38"/>
    <w:rsid w:val="000502D3"/>
    <w:rsid w:val="000623BF"/>
    <w:rsid w:val="00095EEA"/>
    <w:rsid w:val="00097C15"/>
    <w:rsid w:val="000B416E"/>
    <w:rsid w:val="000C7512"/>
    <w:rsid w:val="000D6E7B"/>
    <w:rsid w:val="000F185F"/>
    <w:rsid w:val="000F2CFF"/>
    <w:rsid w:val="000F2F5F"/>
    <w:rsid w:val="000F751F"/>
    <w:rsid w:val="00101946"/>
    <w:rsid w:val="00106041"/>
    <w:rsid w:val="0013399B"/>
    <w:rsid w:val="00181F4B"/>
    <w:rsid w:val="00196FB3"/>
    <w:rsid w:val="001A5071"/>
    <w:rsid w:val="001B4E73"/>
    <w:rsid w:val="001B7F1E"/>
    <w:rsid w:val="001D4B1F"/>
    <w:rsid w:val="001D6629"/>
    <w:rsid w:val="001F2270"/>
    <w:rsid w:val="00205A82"/>
    <w:rsid w:val="00211BEE"/>
    <w:rsid w:val="002179C6"/>
    <w:rsid w:val="00220C49"/>
    <w:rsid w:val="002513EF"/>
    <w:rsid w:val="00261607"/>
    <w:rsid w:val="00264D3B"/>
    <w:rsid w:val="00265685"/>
    <w:rsid w:val="00281D5F"/>
    <w:rsid w:val="002923AD"/>
    <w:rsid w:val="00296592"/>
    <w:rsid w:val="002A09E3"/>
    <w:rsid w:val="002A0A4B"/>
    <w:rsid w:val="002B636E"/>
    <w:rsid w:val="002B64D6"/>
    <w:rsid w:val="002C12F5"/>
    <w:rsid w:val="002D6FCE"/>
    <w:rsid w:val="00335D59"/>
    <w:rsid w:val="003B41E0"/>
    <w:rsid w:val="003D566E"/>
    <w:rsid w:val="003D624D"/>
    <w:rsid w:val="003E7802"/>
    <w:rsid w:val="00433C81"/>
    <w:rsid w:val="00446D6B"/>
    <w:rsid w:val="004505B9"/>
    <w:rsid w:val="00457B3F"/>
    <w:rsid w:val="00463022"/>
    <w:rsid w:val="00481CF0"/>
    <w:rsid w:val="004A0D1C"/>
    <w:rsid w:val="004A3D33"/>
    <w:rsid w:val="004B492A"/>
    <w:rsid w:val="004C0B0C"/>
    <w:rsid w:val="004E52E2"/>
    <w:rsid w:val="004E6BB4"/>
    <w:rsid w:val="00515D43"/>
    <w:rsid w:val="0052544D"/>
    <w:rsid w:val="00551FB8"/>
    <w:rsid w:val="00560F43"/>
    <w:rsid w:val="005654D0"/>
    <w:rsid w:val="005B17AB"/>
    <w:rsid w:val="005B1FCE"/>
    <w:rsid w:val="005C68FE"/>
    <w:rsid w:val="005D01A9"/>
    <w:rsid w:val="00602523"/>
    <w:rsid w:val="00604351"/>
    <w:rsid w:val="00607D8A"/>
    <w:rsid w:val="0061590F"/>
    <w:rsid w:val="00636497"/>
    <w:rsid w:val="00640F62"/>
    <w:rsid w:val="00641AE2"/>
    <w:rsid w:val="0064456A"/>
    <w:rsid w:val="00650DDA"/>
    <w:rsid w:val="0065126A"/>
    <w:rsid w:val="006802D4"/>
    <w:rsid w:val="00683849"/>
    <w:rsid w:val="006850C7"/>
    <w:rsid w:val="00691AB5"/>
    <w:rsid w:val="006B4FC4"/>
    <w:rsid w:val="006E1E6B"/>
    <w:rsid w:val="006F0EAC"/>
    <w:rsid w:val="006F6A85"/>
    <w:rsid w:val="0070328D"/>
    <w:rsid w:val="00704F3B"/>
    <w:rsid w:val="00731F96"/>
    <w:rsid w:val="00734127"/>
    <w:rsid w:val="00735FEA"/>
    <w:rsid w:val="00743460"/>
    <w:rsid w:val="00743A27"/>
    <w:rsid w:val="00753DC6"/>
    <w:rsid w:val="0075578C"/>
    <w:rsid w:val="00761D2F"/>
    <w:rsid w:val="00762519"/>
    <w:rsid w:val="007734B5"/>
    <w:rsid w:val="007809B8"/>
    <w:rsid w:val="00782B4E"/>
    <w:rsid w:val="00795963"/>
    <w:rsid w:val="008206EE"/>
    <w:rsid w:val="008214B1"/>
    <w:rsid w:val="00836ED7"/>
    <w:rsid w:val="008453AC"/>
    <w:rsid w:val="008454CD"/>
    <w:rsid w:val="008578C4"/>
    <w:rsid w:val="00860D09"/>
    <w:rsid w:val="00862044"/>
    <w:rsid w:val="0086644E"/>
    <w:rsid w:val="00893465"/>
    <w:rsid w:val="008B451B"/>
    <w:rsid w:val="008C305F"/>
    <w:rsid w:val="008C3AD2"/>
    <w:rsid w:val="008C7C3D"/>
    <w:rsid w:val="008D6F66"/>
    <w:rsid w:val="008E1BEA"/>
    <w:rsid w:val="008E43D2"/>
    <w:rsid w:val="008F04C9"/>
    <w:rsid w:val="008F60ED"/>
    <w:rsid w:val="008F7DB7"/>
    <w:rsid w:val="009064D3"/>
    <w:rsid w:val="00915300"/>
    <w:rsid w:val="00933B0C"/>
    <w:rsid w:val="0093489C"/>
    <w:rsid w:val="00935676"/>
    <w:rsid w:val="0095716F"/>
    <w:rsid w:val="0098401D"/>
    <w:rsid w:val="009A789F"/>
    <w:rsid w:val="009B12EF"/>
    <w:rsid w:val="009B6185"/>
    <w:rsid w:val="009E1E78"/>
    <w:rsid w:val="00A10C18"/>
    <w:rsid w:val="00A1597D"/>
    <w:rsid w:val="00A46989"/>
    <w:rsid w:val="00A71CE9"/>
    <w:rsid w:val="00A72A19"/>
    <w:rsid w:val="00A75A30"/>
    <w:rsid w:val="00A901D1"/>
    <w:rsid w:val="00AB2A48"/>
    <w:rsid w:val="00AC3236"/>
    <w:rsid w:val="00AD4874"/>
    <w:rsid w:val="00AE1F8A"/>
    <w:rsid w:val="00B03350"/>
    <w:rsid w:val="00B036B2"/>
    <w:rsid w:val="00B153C3"/>
    <w:rsid w:val="00B2146E"/>
    <w:rsid w:val="00B22087"/>
    <w:rsid w:val="00B3558F"/>
    <w:rsid w:val="00B722F2"/>
    <w:rsid w:val="00B95339"/>
    <w:rsid w:val="00BB334E"/>
    <w:rsid w:val="00BB5DCF"/>
    <w:rsid w:val="00BD4FE0"/>
    <w:rsid w:val="00BE363E"/>
    <w:rsid w:val="00BF59EA"/>
    <w:rsid w:val="00BF79CD"/>
    <w:rsid w:val="00C0721B"/>
    <w:rsid w:val="00C27C50"/>
    <w:rsid w:val="00C34C8C"/>
    <w:rsid w:val="00C50792"/>
    <w:rsid w:val="00C51E45"/>
    <w:rsid w:val="00C55A45"/>
    <w:rsid w:val="00C904D9"/>
    <w:rsid w:val="00C94C06"/>
    <w:rsid w:val="00CA48BF"/>
    <w:rsid w:val="00CA581C"/>
    <w:rsid w:val="00CB3ACC"/>
    <w:rsid w:val="00CB4745"/>
    <w:rsid w:val="00CC36E6"/>
    <w:rsid w:val="00CD2163"/>
    <w:rsid w:val="00CD4FE7"/>
    <w:rsid w:val="00CE5D96"/>
    <w:rsid w:val="00CE7344"/>
    <w:rsid w:val="00CF26EE"/>
    <w:rsid w:val="00D310F0"/>
    <w:rsid w:val="00D37B08"/>
    <w:rsid w:val="00D500A9"/>
    <w:rsid w:val="00D64121"/>
    <w:rsid w:val="00D732FE"/>
    <w:rsid w:val="00D772E9"/>
    <w:rsid w:val="00DA31AB"/>
    <w:rsid w:val="00DA3281"/>
    <w:rsid w:val="00DA6D3E"/>
    <w:rsid w:val="00DC02E8"/>
    <w:rsid w:val="00DC75C7"/>
    <w:rsid w:val="00DC78D3"/>
    <w:rsid w:val="00DE6682"/>
    <w:rsid w:val="00DF4592"/>
    <w:rsid w:val="00E129D4"/>
    <w:rsid w:val="00E15FDC"/>
    <w:rsid w:val="00E24E90"/>
    <w:rsid w:val="00E2651B"/>
    <w:rsid w:val="00E6069C"/>
    <w:rsid w:val="00E6632E"/>
    <w:rsid w:val="00E66486"/>
    <w:rsid w:val="00E75018"/>
    <w:rsid w:val="00E90CF2"/>
    <w:rsid w:val="00ED0F61"/>
    <w:rsid w:val="00EE62B3"/>
    <w:rsid w:val="00EE73E1"/>
    <w:rsid w:val="00F12107"/>
    <w:rsid w:val="00F13165"/>
    <w:rsid w:val="00F24EE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5654D0"/>
    <w:pPr>
      <w:numPr>
        <w:numId w:val="16"/>
      </w:numPr>
      <w:tabs>
        <w:tab w:val="clear" w:pos="360"/>
        <w:tab w:val="left" w:pos="340"/>
      </w:tabs>
      <w:spacing w:before="120"/>
      <w:ind w:left="0" w:firstLine="0"/>
    </w:pPr>
  </w:style>
  <w:style w:type="paragraph" w:styleId="ListBullet2">
    <w:name w:val="List Bullet 2"/>
    <w:basedOn w:val="BodyText"/>
    <w:rsid w:val="005654D0"/>
    <w:pPr>
      <w:numPr>
        <w:numId w:val="17"/>
      </w:numPr>
      <w:tabs>
        <w:tab w:val="clear" w:pos="644"/>
        <w:tab w:val="num" w:pos="360"/>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firstLine="0"/>
    </w:pPr>
  </w:style>
  <w:style w:type="paragraph" w:styleId="ListNumber">
    <w:name w:val="List Number"/>
    <w:basedOn w:val="BodyText"/>
    <w:rsid w:val="005654D0"/>
    <w:pPr>
      <w:numPr>
        <w:numId w:val="28"/>
      </w:numPr>
      <w:tabs>
        <w:tab w:val="clear" w:pos="340"/>
        <w:tab w:val="num" w:pos="360"/>
      </w:tabs>
      <w:spacing w:before="120" w:line="320" w:lineRule="atLeast"/>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B03350"/>
    <w:rPr>
      <w:caps/>
      <w:spacing w:val="-4"/>
      <w:sz w:val="16"/>
      <w:lang w:eastAsia="en-US"/>
    </w:rPr>
  </w:style>
  <w:style w:type="character" w:customStyle="1" w:styleId="Heading1Char">
    <w:name w:val="Heading 1 Char"/>
    <w:basedOn w:val="DefaultParagraphFont"/>
    <w:link w:val="Heading1"/>
    <w:rsid w:val="00B03350"/>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5654D0"/>
    <w:pPr>
      <w:numPr>
        <w:numId w:val="16"/>
      </w:numPr>
      <w:tabs>
        <w:tab w:val="clear" w:pos="360"/>
        <w:tab w:val="left" w:pos="340"/>
      </w:tabs>
      <w:spacing w:before="120"/>
      <w:ind w:left="0" w:firstLine="0"/>
    </w:pPr>
  </w:style>
  <w:style w:type="paragraph" w:styleId="ListBullet2">
    <w:name w:val="List Bullet 2"/>
    <w:basedOn w:val="BodyText"/>
    <w:rsid w:val="005654D0"/>
    <w:pPr>
      <w:numPr>
        <w:numId w:val="17"/>
      </w:numPr>
      <w:tabs>
        <w:tab w:val="clear" w:pos="644"/>
        <w:tab w:val="num" w:pos="360"/>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firstLine="0"/>
    </w:pPr>
  </w:style>
  <w:style w:type="paragraph" w:styleId="ListNumber">
    <w:name w:val="List Number"/>
    <w:basedOn w:val="BodyText"/>
    <w:rsid w:val="005654D0"/>
    <w:pPr>
      <w:numPr>
        <w:numId w:val="28"/>
      </w:numPr>
      <w:tabs>
        <w:tab w:val="clear" w:pos="340"/>
        <w:tab w:val="num" w:pos="360"/>
      </w:tabs>
      <w:spacing w:before="120" w:line="320" w:lineRule="atLeast"/>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B03350"/>
    <w:rPr>
      <w:caps/>
      <w:spacing w:val="-4"/>
      <w:sz w:val="16"/>
      <w:lang w:eastAsia="en-US"/>
    </w:rPr>
  </w:style>
  <w:style w:type="character" w:customStyle="1" w:styleId="Heading1Char">
    <w:name w:val="Heading 1 Char"/>
    <w:basedOn w:val="DefaultParagraphFont"/>
    <w:link w:val="Heading1"/>
    <w:rsid w:val="00B03350"/>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81450898">
      <w:bodyDiv w:val="1"/>
      <w:marLeft w:val="0"/>
      <w:marRight w:val="0"/>
      <w:marTop w:val="0"/>
      <w:marBottom w:val="0"/>
      <w:divBdr>
        <w:top w:val="none" w:sz="0" w:space="0" w:color="auto"/>
        <w:left w:val="none" w:sz="0" w:space="0" w:color="auto"/>
        <w:bottom w:val="none" w:sz="0" w:space="0" w:color="auto"/>
        <w:right w:val="none" w:sz="0" w:space="0" w:color="auto"/>
      </w:divBdr>
    </w:div>
    <w:div w:id="176444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eader" Target="header3.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29</TotalTime>
  <Pages>12</Pages>
  <Words>1167</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Productivity Commission</cp:lastModifiedBy>
  <cp:revision>20</cp:revision>
  <cp:lastPrinted>2012-10-18T05:50:00Z</cp:lastPrinted>
  <dcterms:created xsi:type="dcterms:W3CDTF">2012-10-26T03:42:00Z</dcterms:created>
  <dcterms:modified xsi:type="dcterms:W3CDTF">2012-11-01T00:44:00Z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