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chart3.xml" ContentType="application/vnd.openxmlformats-officedocument.drawingml.chart+xml"/>
  <Override PartName="/word/theme/themeOverride2.xml" ContentType="application/vnd.openxmlformats-officedocument.themeOverride+xml"/>
  <Override PartName="/word/charts/chart4.xml" ContentType="application/vnd.openxmlformats-officedocument.drawingml.chart+xml"/>
  <Override PartName="/word/theme/themeOverride3.xml" ContentType="application/vnd.openxmlformats-officedocument.themeOverride+xml"/>
  <Override PartName="/word/charts/chart5.xml" ContentType="application/vnd.openxmlformats-officedocument.drawingml.chart+xml"/>
  <Override PartName="/word/charts/chart6.xml" ContentType="application/vnd.openxmlformats-officedocument.drawingml.chart+xml"/>
  <Override PartName="/word/theme/themeOverride4.xml" ContentType="application/vnd.openxmlformats-officedocument.themeOverride+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theme/themeOverride5.xml" ContentType="application/vnd.openxmlformats-officedocument.themeOverride+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3F1BF2" w:rsidP="003F1BF2">
      <w:pPr>
        <w:pStyle w:val="Heading1"/>
        <w:spacing w:before="0"/>
      </w:pPr>
      <w:bookmarkStart w:id="0" w:name="ChapterNumber"/>
      <w:bookmarkStart w:id="1" w:name="_GoBack"/>
      <w:bookmarkEnd w:id="1"/>
      <w:r>
        <w:t>3</w:t>
      </w:r>
      <w:bookmarkEnd w:id="0"/>
      <w:r>
        <w:tab/>
      </w:r>
      <w:bookmarkStart w:id="2" w:name="ChapterTitle"/>
      <w:r>
        <w:t>Structural change in output and investment</w:t>
      </w:r>
      <w:bookmarkEnd w:id="2"/>
    </w:p>
    <w:p w:rsidR="00ED5793" w:rsidRDefault="00ED5793">
      <w:pPr>
        <w:pStyle w:val="BoxSpaceAbove"/>
      </w:pPr>
      <w:bookmarkStart w:id="3" w:name="begin"/>
      <w:bookmarkEnd w:id="3"/>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D5793">
        <w:tc>
          <w:tcPr>
            <w:tcW w:w="8771" w:type="dxa"/>
            <w:tcBorders>
              <w:top w:val="single" w:sz="6" w:space="0" w:color="auto"/>
              <w:bottom w:val="nil"/>
            </w:tcBorders>
          </w:tcPr>
          <w:p w:rsidR="00ED5793" w:rsidRDefault="00ED5793">
            <w:pPr>
              <w:pStyle w:val="BoxTitle"/>
            </w:pPr>
            <w:r>
              <w:t>Key points</w:t>
            </w:r>
          </w:p>
        </w:tc>
      </w:tr>
      <w:tr w:rsidR="00ED5793">
        <w:trPr>
          <w:cantSplit/>
        </w:trPr>
        <w:tc>
          <w:tcPr>
            <w:tcW w:w="8771" w:type="dxa"/>
            <w:tcBorders>
              <w:top w:val="nil"/>
              <w:left w:val="single" w:sz="6" w:space="0" w:color="auto"/>
              <w:bottom w:val="nil"/>
              <w:right w:val="single" w:sz="6" w:space="0" w:color="auto"/>
            </w:tcBorders>
          </w:tcPr>
          <w:p w:rsidR="00ED5793" w:rsidRDefault="00ED5793" w:rsidP="00ED5793">
            <w:pPr>
              <w:pStyle w:val="BoxListBullet"/>
            </w:pPr>
            <w:r>
              <w:t xml:space="preserve">The magnitude of structural change </w:t>
            </w:r>
            <w:r w:rsidRPr="006514FA">
              <w:rPr>
                <w:i/>
              </w:rPr>
              <w:t xml:space="preserve">between </w:t>
            </w:r>
            <w:r>
              <w:rPr>
                <w:i/>
              </w:rPr>
              <w:t xml:space="preserve">major </w:t>
            </w:r>
            <w:r w:rsidRPr="00740E0B">
              <w:rPr>
                <w:i/>
              </w:rPr>
              <w:t>sectors</w:t>
            </w:r>
            <w:r>
              <w:t xml:space="preserve"> during the 2000s was significant but not unprecedented. The Australian economy has experienced comparable levels of change in sectoral shares of output in previous decades.</w:t>
            </w:r>
          </w:p>
          <w:p w:rsidR="00ED5793" w:rsidRDefault="00ED5793" w:rsidP="00ED5793">
            <w:pPr>
              <w:pStyle w:val="BoxListBullet2"/>
              <w:numPr>
                <w:ilvl w:val="0"/>
                <w:numId w:val="2"/>
              </w:numPr>
            </w:pPr>
            <w:r>
              <w:t xml:space="preserve">In an historical context, changes in sectoral shares of </w:t>
            </w:r>
            <w:r w:rsidRPr="007F150F">
              <w:rPr>
                <w:i/>
              </w:rPr>
              <w:t>real</w:t>
            </w:r>
            <w:r>
              <w:t xml:space="preserve"> output were relatively modest in the 2000s, notwithstanding the significant impact of the terms of trade and the high Australian dollar on some individual industries.</w:t>
            </w:r>
          </w:p>
          <w:p w:rsidR="00ED5793" w:rsidRDefault="00ED5793" w:rsidP="00ED5793">
            <w:pPr>
              <w:pStyle w:val="BoxListBullet2"/>
              <w:numPr>
                <w:ilvl w:val="0"/>
                <w:numId w:val="2"/>
              </w:numPr>
            </w:pPr>
            <w:r>
              <w:t>Sectoral shares of nominal output and investment changed relatively quickly over the decade to 2012, reflecting the natural resources boom, as well as the longer</w:t>
            </w:r>
            <w:r>
              <w:noBreakHyphen/>
              <w:t xml:space="preserve">term shift towards the production of services and the relative decline of manufacturing. </w:t>
            </w:r>
          </w:p>
          <w:p w:rsidR="00ED5793" w:rsidRDefault="00ED5793" w:rsidP="00ED5793">
            <w:pPr>
              <w:pStyle w:val="BoxListBullet"/>
            </w:pPr>
            <w:r>
              <w:t xml:space="preserve">On some measures, however, there were record rates of structural change </w:t>
            </w:r>
            <w:r w:rsidRPr="007F150F">
              <w:rPr>
                <w:i/>
              </w:rPr>
              <w:t xml:space="preserve">between </w:t>
            </w:r>
            <w:r>
              <w:rPr>
                <w:i/>
              </w:rPr>
              <w:t>s</w:t>
            </w:r>
            <w:r w:rsidRPr="007F150F">
              <w:rPr>
                <w:i/>
              </w:rPr>
              <w:t xml:space="preserve">tates and </w:t>
            </w:r>
            <w:r>
              <w:rPr>
                <w:i/>
              </w:rPr>
              <w:t>t</w:t>
            </w:r>
            <w:r w:rsidRPr="007F150F">
              <w:rPr>
                <w:i/>
              </w:rPr>
              <w:t>erritories</w:t>
            </w:r>
            <w:r>
              <w:t>.</w:t>
            </w:r>
          </w:p>
          <w:p w:rsidR="00ED5793" w:rsidRDefault="00ED5793" w:rsidP="00ED5793">
            <w:pPr>
              <w:pStyle w:val="BoxListBullet2"/>
              <w:numPr>
                <w:ilvl w:val="0"/>
                <w:numId w:val="2"/>
              </w:numPr>
            </w:pPr>
            <w:r>
              <w:t xml:space="preserve">Structural change in state and territory shares of </w:t>
            </w:r>
            <w:r w:rsidRPr="007F150F">
              <w:rPr>
                <w:i/>
              </w:rPr>
              <w:t>nominal</w:t>
            </w:r>
            <w:r>
              <w:t xml:space="preserve"> output and investment in the 2000s exceeded rates recorded at any time in the previous 40 years.</w:t>
            </w:r>
          </w:p>
          <w:p w:rsidR="00ED5793" w:rsidRDefault="00ED5793" w:rsidP="00ED5793">
            <w:pPr>
              <w:pStyle w:val="BoxListBullet2"/>
              <w:numPr>
                <w:ilvl w:val="0"/>
                <w:numId w:val="2"/>
              </w:numPr>
            </w:pPr>
            <w:r>
              <w:t>The natural resources boom and associated ‘multi</w:t>
            </w:r>
            <w:r>
              <w:noBreakHyphen/>
              <w:t>speed’ economy appear to have had more pronounced effects on factor reallocation among states and territories than among sectors.</w:t>
            </w:r>
          </w:p>
          <w:p w:rsidR="00ED5793" w:rsidRDefault="00ED5793" w:rsidP="00ED5793">
            <w:pPr>
              <w:pStyle w:val="BoxListBullet2"/>
              <w:numPr>
                <w:ilvl w:val="0"/>
                <w:numId w:val="2"/>
              </w:numPr>
            </w:pPr>
            <w:r>
              <w:t xml:space="preserve">Rates of structural change in state and territory shares of </w:t>
            </w:r>
            <w:r>
              <w:rPr>
                <w:i/>
              </w:rPr>
              <w:t>real</w:t>
            </w:r>
            <w:r>
              <w:t xml:space="preserve"> output, on the other hand, while large, were comparable to the peaks in previous decades.</w:t>
            </w:r>
          </w:p>
          <w:p w:rsidR="00ED5793" w:rsidRDefault="00ED5793" w:rsidP="00BC08A8">
            <w:pPr>
              <w:pStyle w:val="BoxListBullet"/>
            </w:pPr>
            <w:r>
              <w:t>The higher rates of change observed in nominal, rather than real, shares of output — by sector, as well as by state and territory — indicate that structural change in the 2000s reflected changes in relative prices (the high terms of trade and real exchange rate appreciation) more than changes in output volumes.</w:t>
            </w:r>
          </w:p>
        </w:tc>
      </w:tr>
      <w:tr w:rsidR="00ED5793">
        <w:trPr>
          <w:cantSplit/>
        </w:trPr>
        <w:tc>
          <w:tcPr>
            <w:tcW w:w="8771" w:type="dxa"/>
            <w:tcBorders>
              <w:top w:val="nil"/>
              <w:left w:val="single" w:sz="6" w:space="0" w:color="auto"/>
              <w:bottom w:val="single" w:sz="6" w:space="0" w:color="auto"/>
              <w:right w:val="single" w:sz="6" w:space="0" w:color="auto"/>
            </w:tcBorders>
          </w:tcPr>
          <w:p w:rsidR="00ED5793" w:rsidRDefault="00ED5793">
            <w:pPr>
              <w:pStyle w:val="Box"/>
              <w:spacing w:before="0" w:line="120" w:lineRule="exact"/>
            </w:pPr>
          </w:p>
        </w:tc>
      </w:tr>
      <w:tr w:rsidR="00ED5793" w:rsidRPr="000863A5">
        <w:tc>
          <w:tcPr>
            <w:tcW w:w="8771" w:type="dxa"/>
            <w:tcBorders>
              <w:top w:val="nil"/>
              <w:left w:val="nil"/>
              <w:bottom w:val="nil"/>
              <w:right w:val="nil"/>
            </w:tcBorders>
          </w:tcPr>
          <w:p w:rsidR="00ED5793" w:rsidRPr="00626D32" w:rsidRDefault="00ED5793" w:rsidP="00120A96">
            <w:pPr>
              <w:pStyle w:val="BoxSpaceBelow"/>
            </w:pPr>
          </w:p>
        </w:tc>
      </w:tr>
    </w:tbl>
    <w:p w:rsidR="003F1BF2" w:rsidRDefault="003F1BF2" w:rsidP="003F1BF2">
      <w:pPr>
        <w:pStyle w:val="BodyText"/>
      </w:pPr>
      <w:r>
        <w:t xml:space="preserve">This chapter presents selected patterns of change in the composition of output and investment, across industries and regions. (Patterns of change in the composition of employment are covered in chapter 4.) These patterns chart the way in which the economy has responded, over time, to the interaction between the fundamental economic variables described in chapter 1 and the global and domestic forces of change (chapter 2). Section 3.1 examines structural change in output and section 3.2 structural change in investment. Section 3.3 analyses structural change across states and territories. </w:t>
      </w:r>
    </w:p>
    <w:p w:rsidR="003F1BF2" w:rsidRDefault="003F1BF2" w:rsidP="003F1BF2">
      <w:pPr>
        <w:pStyle w:val="Heading2"/>
      </w:pPr>
      <w:bookmarkStart w:id="4" w:name="_Toc330888396"/>
      <w:r>
        <w:lastRenderedPageBreak/>
        <w:t>3.</w:t>
      </w:r>
      <w:r>
        <w:rPr>
          <w:noProof/>
        </w:rPr>
        <w:t>1</w:t>
      </w:r>
      <w:r>
        <w:rPr>
          <w:noProof/>
        </w:rPr>
        <w:tab/>
      </w:r>
      <w:bookmarkEnd w:id="4"/>
      <w:r>
        <w:t xml:space="preserve">Structural change in output </w:t>
      </w:r>
    </w:p>
    <w:p w:rsidR="003F1BF2" w:rsidRPr="00A92042" w:rsidRDefault="003F1BF2" w:rsidP="003F1BF2">
      <w:pPr>
        <w:pStyle w:val="BodyText"/>
      </w:pPr>
      <w:r>
        <w:t>Structural change in the Australian economy is apparent even at a relatively aggregated level, and several long</w:t>
      </w:r>
      <w:r>
        <w:noBreakHyphen/>
        <w:t xml:space="preserve">term trends are discernible. First, the </w:t>
      </w:r>
      <w:r w:rsidRPr="00A92042">
        <w:t>manufacturing and agricultural sectors’ shares of total output (nominal gross value added) have been in decline since at least the 1960s (figure 3.1). Most of the decline in manufacturing’s share of output preceded the 2000s natural resources boom. At its relative peak in the mid</w:t>
      </w:r>
      <w:r w:rsidRPr="00A92042">
        <w:noBreakHyphen/>
        <w:t>1960s, manufacturing accounted for over one</w:t>
      </w:r>
      <w:r w:rsidRPr="00A92042">
        <w:noBreakHyphen/>
        <w:t>quarter of total output, declining to about 14 per cent in 2000, and then to 9 per cent in 2011. Agriculture, for its part, began its long</w:t>
      </w:r>
      <w:r w:rsidRPr="00A92042">
        <w:noBreakHyphen/>
        <w:t>run decline even earlier than manufacturing — in 1950, it was responsible for one</w:t>
      </w:r>
      <w:r w:rsidRPr="00A92042">
        <w:noBreakHyphen/>
        <w:t>quarter of the nation’s total nominal output but, by 1990, this had dropped to 5 per cent. In the past two decades, its output share has been steady at about 3 to 4 per cent.</w:t>
      </w:r>
    </w:p>
    <w:p w:rsidR="003F1BF2" w:rsidRPr="00A92042" w:rsidRDefault="003F1BF2" w:rsidP="003F1BF2">
      <w:pPr>
        <w:pStyle w:val="BodyText"/>
      </w:pPr>
      <w:r w:rsidRPr="00A92042">
        <w:t>Second, the scale of the recent expansion of the mining sector is clearly in evidence in figure 3.1. Between 2000 and 2012, that sector’s share of total nominal output more than doubled from 5 per cent to 11 per cent, a larger share than reached in previous mining booms. The nominal output share of mining is now approximately back to where it was at the turn of the twentieth century (Battelino 2010).</w:t>
      </w:r>
      <w:r w:rsidRPr="00A92042">
        <w:footnoteReference w:id="1"/>
      </w:r>
    </w:p>
    <w:p w:rsidR="003F1BF2" w:rsidRDefault="003F1BF2" w:rsidP="003F1BF2">
      <w:pPr>
        <w:pStyle w:val="BodyText"/>
      </w:pPr>
      <w:r w:rsidRPr="00A92042">
        <w:t>Third, figure 3.1 reveals a steadily rising output share of services until the early</w:t>
      </w:r>
      <w:r>
        <w:t xml:space="preserve"> 2000s,</w:t>
      </w:r>
      <w:r w:rsidRPr="00D66E48">
        <w:t xml:space="preserve"> </w:t>
      </w:r>
      <w:r>
        <w:t xml:space="preserve">followed by a plateauing </w:t>
      </w:r>
      <w:r w:rsidRPr="00D66E48">
        <w:t xml:space="preserve">in the last ten years or so. This </w:t>
      </w:r>
      <w:r>
        <w:t xml:space="preserve">recent </w:t>
      </w:r>
      <w:r w:rsidRPr="00D66E48">
        <w:t>trend is</w:t>
      </w:r>
      <w:r>
        <w:t xml:space="preserve"> likely to be due to a number of factors. First, </w:t>
      </w:r>
      <w:r w:rsidRPr="00D66E48">
        <w:t>the</w:t>
      </w:r>
      <w:r>
        <w:t xml:space="preserve"> rapid</w:t>
      </w:r>
      <w:r w:rsidRPr="00D66E48">
        <w:t xml:space="preserve"> growth in the </w:t>
      </w:r>
      <w:r>
        <w:t>value</w:t>
      </w:r>
      <w:r w:rsidRPr="00D66E48">
        <w:t xml:space="preserve"> of mining output</w:t>
      </w:r>
      <w:r>
        <w:t xml:space="preserve"> has, by definition, ‘crowded out’ the shares of the other sectors, including services. Second,</w:t>
      </w:r>
      <w:r w:rsidRPr="00D66E48">
        <w:t xml:space="preserve"> </w:t>
      </w:r>
      <w:r>
        <w:t xml:space="preserve">the international competitiveness of some trade-exposed services industries such as higher education and tourism was affected by the strength of the Australian dollar, resulting in output reductions. Last but not least, the ABS measures </w:t>
      </w:r>
      <w:r w:rsidRPr="00D66E48">
        <w:t>output</w:t>
      </w:r>
      <w:r>
        <w:t>s</w:t>
      </w:r>
      <w:r w:rsidRPr="00D66E48">
        <w:t xml:space="preserve"> of </w:t>
      </w:r>
      <w:r>
        <w:t xml:space="preserve">‘non-market’ </w:t>
      </w:r>
      <w:r w:rsidRPr="00D66E48">
        <w:t>services</w:t>
      </w:r>
      <w:r>
        <w:t xml:space="preserve"> such as health and education</w:t>
      </w:r>
      <w:r w:rsidRPr="00D66E48">
        <w:t xml:space="preserve"> </w:t>
      </w:r>
      <w:r>
        <w:t>via input costs, due to the absence of market valuation of those outputs</w:t>
      </w:r>
      <w:r w:rsidRPr="00D66E48">
        <w:t>.</w:t>
      </w:r>
      <w:r>
        <w:rPr>
          <w:rStyle w:val="FootnoteReference"/>
        </w:rPr>
        <w:footnoteReference w:id="2"/>
      </w:r>
      <w:r>
        <w:t xml:space="preserve"> As labour accounts for the bulk of input costs in the production of those services, the relatively slow growth of nominal wages in the last decade (PC 2012a) constrained measured growth in the overall value of services. </w:t>
      </w:r>
    </w:p>
    <w:p w:rsidR="003F1BF2" w:rsidRDefault="003F1BF2" w:rsidP="003F1BF2">
      <w:pPr>
        <w:pStyle w:val="FigureTitle"/>
      </w:pPr>
      <w:r>
        <w:rPr>
          <w:b w:val="0"/>
        </w:rPr>
        <w:lastRenderedPageBreak/>
        <w:t xml:space="preserve">Figure </w:t>
      </w:r>
      <w:bookmarkStart w:id="5" w:name="OLE_LINK13"/>
      <w:r>
        <w:rPr>
          <w:b w:val="0"/>
        </w:rPr>
        <w:t>3.</w:t>
      </w:r>
      <w:r>
        <w:rPr>
          <w:b w:val="0"/>
          <w:noProof/>
        </w:rPr>
        <w:t>1</w:t>
      </w:r>
      <w:bookmarkEnd w:id="5"/>
      <w:r>
        <w:tab/>
        <w:t>Sectoral shares of output, 1949 to 2012</w:t>
      </w:r>
      <w:r>
        <w:rPr>
          <w:rStyle w:val="NoteLabel"/>
          <w:b/>
        </w:rPr>
        <w:t>a, b</w:t>
      </w:r>
    </w:p>
    <w:p w:rsidR="003F1BF2" w:rsidRDefault="003F1BF2" w:rsidP="003F1BF2">
      <w:pPr>
        <w:pStyle w:val="Subtitle"/>
      </w:pPr>
      <w:r>
        <w:t>Nominal gross value added</w:t>
      </w:r>
    </w:p>
    <w:tbl>
      <w:tblPr>
        <w:tblW w:w="0" w:type="auto"/>
        <w:tblInd w:w="119" w:type="dxa"/>
        <w:tblBorders>
          <w:top w:val="single" w:sz="6" w:space="0" w:color="auto"/>
          <w:bottom w:val="single" w:sz="6" w:space="0" w:color="auto"/>
        </w:tblBorders>
        <w:tblLayout w:type="fixed"/>
        <w:tblLook w:val="00A0" w:firstRow="1" w:lastRow="0" w:firstColumn="1" w:lastColumn="0" w:noHBand="0" w:noVBand="0"/>
      </w:tblPr>
      <w:tblGrid>
        <w:gridCol w:w="8777"/>
      </w:tblGrid>
      <w:tr w:rsidR="003F1BF2" w:rsidTr="009268D6">
        <w:tc>
          <w:tcPr>
            <w:tcW w:w="8777" w:type="dxa"/>
            <w:tcBorders>
              <w:top w:val="single" w:sz="6" w:space="0" w:color="auto"/>
              <w:left w:val="nil"/>
              <w:bottom w:val="single" w:sz="6" w:space="0" w:color="auto"/>
              <w:right w:val="nil"/>
            </w:tcBorders>
          </w:tcPr>
          <w:p w:rsidR="003F1BF2" w:rsidRDefault="003F1BF2" w:rsidP="009268D6">
            <w:pPr>
              <w:pStyle w:val="Figure"/>
            </w:pPr>
            <w:r>
              <w:rPr>
                <w:noProof/>
              </w:rPr>
              <w:drawing>
                <wp:inline distT="0" distB="0" distL="0" distR="0" wp14:anchorId="6CABD846" wp14:editId="1794F27D">
                  <wp:extent cx="5400000" cy="2880000"/>
                  <wp:effectExtent l="0" t="0" r="0" b="0"/>
                  <wp:docPr id="1" name="Chart 1" descr="Figure 3.1 Sectoral shares of nominal output from 1949 to 2012. Four sectors shown: agriculture, mining, manufacturing and services. Shares measured in percentages of total nominal gross value added."/>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3F1BF2" w:rsidRPr="00ED5329" w:rsidRDefault="003F1BF2" w:rsidP="003F1BF2">
      <w:pPr>
        <w:pStyle w:val="Note"/>
      </w:pPr>
      <w:r>
        <w:rPr>
          <w:rStyle w:val="NoteLabel"/>
        </w:rPr>
        <w:t>a</w:t>
      </w:r>
      <w:r>
        <w:t xml:space="preserve"> Data in nominal (current price) terms for year ended June.  </w:t>
      </w:r>
      <w:r>
        <w:rPr>
          <w:rStyle w:val="NoteLabel"/>
        </w:rPr>
        <w:t>b</w:t>
      </w:r>
      <w:r>
        <w:t xml:space="preserve"> Sectors and industries are defined in appendix A.</w:t>
      </w:r>
    </w:p>
    <w:p w:rsidR="003F1BF2" w:rsidRDefault="003F1BF2" w:rsidP="003F1BF2">
      <w:pPr>
        <w:pStyle w:val="Source"/>
      </w:pPr>
      <w:r>
        <w:rPr>
          <w:i/>
        </w:rPr>
        <w:t>Sources</w:t>
      </w:r>
      <w:r>
        <w:t>: Productivity Commission estimates using ABS (</w:t>
      </w:r>
      <w:r>
        <w:rPr>
          <w:i/>
        </w:rPr>
        <w:t>Australian System of National Accounts, 2011</w:t>
      </w:r>
      <w:r>
        <w:rPr>
          <w:i/>
        </w:rPr>
        <w:noBreakHyphen/>
        <w:t>12</w:t>
      </w:r>
      <w:r>
        <w:t>, Cat. no. 5204.0) and Connolly, E. (RBA, Sydney, pers. comm., 13 August 2012, unpublished data).</w:t>
      </w:r>
    </w:p>
    <w:p w:rsidR="003F1BF2" w:rsidRPr="00A92042" w:rsidRDefault="003F1BF2" w:rsidP="003F1BF2">
      <w:pPr>
        <w:pStyle w:val="BodyText"/>
      </w:pPr>
      <w:r w:rsidRPr="00A92042">
        <w:t>Overall, the broad sectoral shifts mentioned above are unsurprising, given the drivers of change mentioned in the previous chapter and the stylised sectoral patterns observed in other developed economies. On the supply side, globalisation and the specialisation by newly</w:t>
      </w:r>
      <w:r w:rsidRPr="00A92042">
        <w:noBreakHyphen/>
        <w:t>industrialising economies in the production of lower</w:t>
      </w:r>
      <w:r w:rsidRPr="00A92042">
        <w:noBreakHyphen/>
        <w:t>cost manufactures have coincided with a corresponding specialisation by developed economies in the production of services. Rapid technological advances, an increased stock of human capital, and the availability of cheaper imported consumer, capital and intermediate goods have all supported expansion of industries that are either relatively more capital</w:t>
      </w:r>
      <w:r w:rsidRPr="00A92042">
        <w:noBreakHyphen/>
        <w:t>intensive (Mining, Construction) or those intensive in skilled labour (‘knowledge’ services industries). On the demand side, demographic changes — such as population ageing and immigration — and higher incomes have contributed to increased final demand for services, relative to demand for goods (chapter 2).</w:t>
      </w:r>
    </w:p>
    <w:p w:rsidR="003F1BF2" w:rsidRDefault="003F1BF2" w:rsidP="003F1BF2">
      <w:pPr>
        <w:pStyle w:val="BodyText"/>
      </w:pPr>
      <w:r w:rsidRPr="00A92042">
        <w:t xml:space="preserve">The sectoral patterns illustrated in figure 3.1 are based on data in nominal terms (current price data), and so include the effect of changes in output prices. To focus instead on changes in output volumes, and at a more disaggregated level, sectoral growth rates and shares of real output (based on chain volume measures) are presented in table 3.1. This breakdown (across nine aggregated sectors, as defined in appendix A) reveals modest real growth in mining and strong growth in some, </w:t>
      </w:r>
      <w:r w:rsidRPr="00A92042">
        <w:lastRenderedPageBreak/>
        <w:t>but not all, services</w:t>
      </w:r>
      <w:r>
        <w:t xml:space="preserve"> sectors. Notably, mining recorded output growth of 4.3 per cent per year on average, between 1978 and 2002, but only 3 per cent, on average, in the decade thereafter, the period of the recent natural resources boom. As a result, the share of mining in total </w:t>
      </w:r>
      <w:r w:rsidRPr="00D510B4">
        <w:rPr>
          <w:i/>
        </w:rPr>
        <w:t>real</w:t>
      </w:r>
      <w:r>
        <w:t xml:space="preserve"> output remained largely unchanged during the boom. The contrast between nominal and real output shares of mining reflects the dominance of value over volume effects over this period, due to the strong rise in the terms of trade and exchange rate. This was compounded by the lag between the resources construction boom and the anticipated output response. The magnitude of the investment effort undertaken by the natural resources sector in the past decade is reflected in the strongly growing share of the construction sector over that period.</w:t>
      </w:r>
    </w:p>
    <w:p w:rsidR="003F1BF2" w:rsidRDefault="003F1BF2" w:rsidP="003F1BF2">
      <w:pPr>
        <w:pStyle w:val="TableTitle"/>
        <w:tabs>
          <w:tab w:val="left" w:pos="720"/>
          <w:tab w:val="left" w:pos="1440"/>
          <w:tab w:val="left" w:pos="2160"/>
          <w:tab w:val="left" w:pos="2880"/>
          <w:tab w:val="left" w:pos="3600"/>
          <w:tab w:val="left" w:pos="4320"/>
          <w:tab w:val="left" w:pos="5220"/>
        </w:tabs>
      </w:pPr>
      <w:r>
        <w:rPr>
          <w:b w:val="0"/>
        </w:rPr>
        <w:t xml:space="preserve">Table </w:t>
      </w:r>
      <w:bookmarkStart w:id="6" w:name="OLE_LINK29"/>
      <w:r>
        <w:rPr>
          <w:b w:val="0"/>
        </w:rPr>
        <w:t>3.</w:t>
      </w:r>
      <w:r>
        <w:rPr>
          <w:b w:val="0"/>
          <w:noProof/>
        </w:rPr>
        <w:t>1</w:t>
      </w:r>
      <w:bookmarkEnd w:id="6"/>
      <w:r>
        <w:tab/>
        <w:t>Sectoral growth rates and shares of real output, 1978 to 2012</w:t>
      </w:r>
    </w:p>
    <w:p w:rsidR="003F1BF2" w:rsidRDefault="003F1BF2" w:rsidP="003F1BF2">
      <w:pPr>
        <w:pStyle w:val="Subtitle"/>
      </w:pPr>
      <w:r>
        <w:t>Real gross value added by sector</w:t>
      </w:r>
      <w:r>
        <w:rPr>
          <w:rStyle w:val="NoteLabel"/>
        </w:rPr>
        <w:t>a, b</w:t>
      </w:r>
    </w:p>
    <w:tbl>
      <w:tblPr>
        <w:tblW w:w="5000" w:type="pct"/>
        <w:tblLayout w:type="fixed"/>
        <w:tblCellMar>
          <w:left w:w="0" w:type="dxa"/>
          <w:right w:w="0" w:type="dxa"/>
        </w:tblCellMar>
        <w:tblLook w:val="00A0" w:firstRow="1" w:lastRow="0" w:firstColumn="1" w:lastColumn="0" w:noHBand="0" w:noVBand="0"/>
      </w:tblPr>
      <w:tblGrid>
        <w:gridCol w:w="2015"/>
        <w:gridCol w:w="853"/>
        <w:gridCol w:w="854"/>
        <w:gridCol w:w="135"/>
        <w:gridCol w:w="809"/>
        <w:gridCol w:w="803"/>
        <w:gridCol w:w="805"/>
        <w:gridCol w:w="142"/>
        <w:gridCol w:w="1190"/>
        <w:gridCol w:w="1183"/>
      </w:tblGrid>
      <w:tr w:rsidR="003F1BF2" w:rsidTr="009268D6">
        <w:tc>
          <w:tcPr>
            <w:tcW w:w="1146" w:type="pct"/>
            <w:tcBorders>
              <w:top w:val="single" w:sz="4" w:space="0" w:color="auto"/>
              <w:left w:val="nil"/>
              <w:right w:val="nil"/>
            </w:tcBorders>
          </w:tcPr>
          <w:p w:rsidR="003F1BF2" w:rsidRDefault="003F1BF2" w:rsidP="009268D6">
            <w:pPr>
              <w:pStyle w:val="TableColumnHeading"/>
              <w:jc w:val="left"/>
            </w:pPr>
          </w:p>
        </w:tc>
        <w:tc>
          <w:tcPr>
            <w:tcW w:w="971" w:type="pct"/>
            <w:gridSpan w:val="2"/>
            <w:tcBorders>
              <w:top w:val="single" w:sz="6" w:space="0" w:color="auto"/>
              <w:left w:val="nil"/>
              <w:bottom w:val="single" w:sz="6" w:space="0" w:color="auto"/>
              <w:right w:val="nil"/>
            </w:tcBorders>
          </w:tcPr>
          <w:p w:rsidR="003F1BF2" w:rsidRDefault="003F1BF2" w:rsidP="009268D6">
            <w:pPr>
              <w:pStyle w:val="TableColumnHeading"/>
            </w:pPr>
            <w:r>
              <w:t xml:space="preserve">Average annual growth rate </w:t>
            </w:r>
          </w:p>
        </w:tc>
        <w:tc>
          <w:tcPr>
            <w:tcW w:w="77" w:type="pct"/>
            <w:tcBorders>
              <w:top w:val="single" w:sz="4" w:space="0" w:color="auto"/>
              <w:left w:val="nil"/>
              <w:right w:val="nil"/>
            </w:tcBorders>
          </w:tcPr>
          <w:p w:rsidR="003F1BF2" w:rsidRDefault="003F1BF2" w:rsidP="009268D6">
            <w:pPr>
              <w:pStyle w:val="TableColumnHeading"/>
            </w:pPr>
          </w:p>
        </w:tc>
        <w:tc>
          <w:tcPr>
            <w:tcW w:w="1374" w:type="pct"/>
            <w:gridSpan w:val="3"/>
            <w:tcBorders>
              <w:top w:val="single" w:sz="6" w:space="0" w:color="auto"/>
              <w:left w:val="nil"/>
              <w:bottom w:val="single" w:sz="6" w:space="0" w:color="auto"/>
              <w:right w:val="nil"/>
            </w:tcBorders>
          </w:tcPr>
          <w:p w:rsidR="003F1BF2" w:rsidRDefault="003F1BF2" w:rsidP="009268D6">
            <w:pPr>
              <w:pStyle w:val="TableColumnHeading"/>
            </w:pPr>
            <w:r>
              <w:t>Share of total output</w:t>
            </w:r>
          </w:p>
        </w:tc>
        <w:tc>
          <w:tcPr>
            <w:tcW w:w="81" w:type="pct"/>
            <w:tcBorders>
              <w:top w:val="single" w:sz="4" w:space="0" w:color="auto"/>
              <w:left w:val="nil"/>
              <w:right w:val="nil"/>
            </w:tcBorders>
          </w:tcPr>
          <w:p w:rsidR="003F1BF2" w:rsidRDefault="003F1BF2" w:rsidP="009268D6">
            <w:pPr>
              <w:pStyle w:val="TableColumnHeading"/>
            </w:pPr>
          </w:p>
        </w:tc>
        <w:tc>
          <w:tcPr>
            <w:tcW w:w="1351" w:type="pct"/>
            <w:gridSpan w:val="2"/>
            <w:tcBorders>
              <w:top w:val="single" w:sz="6" w:space="0" w:color="auto"/>
              <w:left w:val="nil"/>
              <w:bottom w:val="single" w:sz="6" w:space="0" w:color="auto"/>
              <w:right w:val="nil"/>
            </w:tcBorders>
          </w:tcPr>
          <w:p w:rsidR="003F1BF2" w:rsidRDefault="003F1BF2" w:rsidP="009268D6">
            <w:pPr>
              <w:pStyle w:val="TableColumnHeading"/>
              <w:ind w:right="28"/>
            </w:pPr>
            <w:r>
              <w:t xml:space="preserve">Change in output share </w:t>
            </w:r>
          </w:p>
        </w:tc>
      </w:tr>
      <w:tr w:rsidR="003F1BF2" w:rsidTr="009268D6">
        <w:tc>
          <w:tcPr>
            <w:tcW w:w="1146" w:type="pct"/>
            <w:tcBorders>
              <w:left w:val="nil"/>
              <w:bottom w:val="nil"/>
              <w:right w:val="nil"/>
            </w:tcBorders>
          </w:tcPr>
          <w:p w:rsidR="003F1BF2" w:rsidRDefault="003F1BF2" w:rsidP="009268D6">
            <w:pPr>
              <w:pStyle w:val="TableUnitsRow"/>
              <w:jc w:val="left"/>
            </w:pPr>
          </w:p>
        </w:tc>
        <w:tc>
          <w:tcPr>
            <w:tcW w:w="485" w:type="pct"/>
            <w:tcBorders>
              <w:top w:val="single" w:sz="6" w:space="0" w:color="auto"/>
              <w:left w:val="nil"/>
              <w:bottom w:val="nil"/>
              <w:right w:val="nil"/>
            </w:tcBorders>
          </w:tcPr>
          <w:p w:rsidR="003F1BF2" w:rsidRDefault="003F1BF2" w:rsidP="00A122B3">
            <w:pPr>
              <w:pStyle w:val="TableUnitsRow"/>
            </w:pPr>
            <w:r>
              <w:t>1978</w:t>
            </w:r>
            <w:r w:rsidR="00A122B3">
              <w:br/>
            </w:r>
            <w:r>
              <w:t>to 2002</w:t>
            </w:r>
          </w:p>
        </w:tc>
        <w:tc>
          <w:tcPr>
            <w:tcW w:w="485" w:type="pct"/>
            <w:tcBorders>
              <w:top w:val="single" w:sz="6" w:space="0" w:color="auto"/>
              <w:left w:val="nil"/>
              <w:bottom w:val="nil"/>
              <w:right w:val="nil"/>
            </w:tcBorders>
          </w:tcPr>
          <w:p w:rsidR="003F1BF2" w:rsidRDefault="003F1BF2" w:rsidP="00A122B3">
            <w:pPr>
              <w:pStyle w:val="TableUnitsRow"/>
            </w:pPr>
            <w:r>
              <w:t>2002</w:t>
            </w:r>
            <w:r w:rsidR="00A122B3">
              <w:br/>
            </w:r>
            <w:r>
              <w:t>to 2012</w:t>
            </w:r>
          </w:p>
        </w:tc>
        <w:tc>
          <w:tcPr>
            <w:tcW w:w="77" w:type="pct"/>
            <w:tcBorders>
              <w:left w:val="nil"/>
              <w:bottom w:val="single" w:sz="4" w:space="0" w:color="auto"/>
              <w:right w:val="nil"/>
            </w:tcBorders>
          </w:tcPr>
          <w:p w:rsidR="003F1BF2" w:rsidRDefault="003F1BF2" w:rsidP="009268D6">
            <w:pPr>
              <w:pStyle w:val="TableUnitsRow"/>
            </w:pPr>
          </w:p>
        </w:tc>
        <w:tc>
          <w:tcPr>
            <w:tcW w:w="460" w:type="pct"/>
            <w:tcBorders>
              <w:top w:val="single" w:sz="6" w:space="0" w:color="auto"/>
              <w:left w:val="nil"/>
              <w:bottom w:val="nil"/>
              <w:right w:val="nil"/>
            </w:tcBorders>
          </w:tcPr>
          <w:p w:rsidR="003F1BF2" w:rsidRDefault="003F1BF2" w:rsidP="009268D6">
            <w:pPr>
              <w:pStyle w:val="TableUnitsRow"/>
            </w:pPr>
            <w:r>
              <w:t>1978</w:t>
            </w:r>
          </w:p>
        </w:tc>
        <w:tc>
          <w:tcPr>
            <w:tcW w:w="457" w:type="pct"/>
            <w:tcBorders>
              <w:top w:val="single" w:sz="6" w:space="0" w:color="auto"/>
              <w:left w:val="nil"/>
              <w:bottom w:val="nil"/>
              <w:right w:val="nil"/>
            </w:tcBorders>
          </w:tcPr>
          <w:p w:rsidR="003F1BF2" w:rsidRDefault="003F1BF2" w:rsidP="009268D6">
            <w:pPr>
              <w:pStyle w:val="TableUnitsRow"/>
            </w:pPr>
            <w:r>
              <w:t>2002</w:t>
            </w:r>
          </w:p>
        </w:tc>
        <w:tc>
          <w:tcPr>
            <w:tcW w:w="458" w:type="pct"/>
            <w:tcBorders>
              <w:top w:val="single" w:sz="6" w:space="0" w:color="auto"/>
              <w:left w:val="nil"/>
              <w:bottom w:val="nil"/>
              <w:right w:val="nil"/>
            </w:tcBorders>
          </w:tcPr>
          <w:p w:rsidR="003F1BF2" w:rsidRDefault="003F1BF2" w:rsidP="009268D6">
            <w:pPr>
              <w:pStyle w:val="TableUnitsRow"/>
            </w:pPr>
            <w:r>
              <w:t>2012</w:t>
            </w:r>
          </w:p>
        </w:tc>
        <w:tc>
          <w:tcPr>
            <w:tcW w:w="81" w:type="pct"/>
            <w:tcBorders>
              <w:left w:val="nil"/>
              <w:bottom w:val="single" w:sz="4" w:space="0" w:color="auto"/>
              <w:right w:val="nil"/>
            </w:tcBorders>
          </w:tcPr>
          <w:p w:rsidR="003F1BF2" w:rsidRDefault="003F1BF2" w:rsidP="009268D6">
            <w:pPr>
              <w:pStyle w:val="TableColumnHeading"/>
            </w:pPr>
          </w:p>
        </w:tc>
        <w:tc>
          <w:tcPr>
            <w:tcW w:w="677" w:type="pct"/>
            <w:tcBorders>
              <w:top w:val="single" w:sz="6" w:space="0" w:color="auto"/>
              <w:left w:val="nil"/>
              <w:bottom w:val="nil"/>
              <w:right w:val="nil"/>
            </w:tcBorders>
          </w:tcPr>
          <w:p w:rsidR="003F1BF2" w:rsidRDefault="003F1BF2" w:rsidP="00A122B3">
            <w:pPr>
              <w:pStyle w:val="TableUnitsRow"/>
            </w:pPr>
            <w:r>
              <w:t>1978</w:t>
            </w:r>
            <w:r w:rsidR="00A122B3">
              <w:br/>
            </w:r>
            <w:r>
              <w:t>to 2002</w:t>
            </w:r>
          </w:p>
        </w:tc>
        <w:tc>
          <w:tcPr>
            <w:tcW w:w="674" w:type="pct"/>
            <w:tcBorders>
              <w:top w:val="single" w:sz="6" w:space="0" w:color="auto"/>
              <w:left w:val="nil"/>
              <w:bottom w:val="nil"/>
              <w:right w:val="nil"/>
            </w:tcBorders>
          </w:tcPr>
          <w:p w:rsidR="003F1BF2" w:rsidRDefault="003F1BF2" w:rsidP="00A122B3">
            <w:pPr>
              <w:pStyle w:val="TableUnitsRow"/>
              <w:ind w:right="28"/>
            </w:pPr>
            <w:r>
              <w:t>2002</w:t>
            </w:r>
            <w:r w:rsidR="00A122B3">
              <w:br/>
            </w:r>
            <w:r>
              <w:t>to 2012</w:t>
            </w:r>
          </w:p>
        </w:tc>
      </w:tr>
      <w:tr w:rsidR="003F1BF2" w:rsidTr="009268D6">
        <w:tc>
          <w:tcPr>
            <w:tcW w:w="1146" w:type="pct"/>
            <w:tcBorders>
              <w:top w:val="single" w:sz="6" w:space="0" w:color="auto"/>
              <w:left w:val="nil"/>
              <w:bottom w:val="nil"/>
              <w:right w:val="nil"/>
            </w:tcBorders>
          </w:tcPr>
          <w:p w:rsidR="003F1BF2" w:rsidRDefault="003F1BF2" w:rsidP="009268D6">
            <w:pPr>
              <w:pStyle w:val="TableUnitsRow"/>
              <w:jc w:val="left"/>
            </w:pPr>
          </w:p>
        </w:tc>
        <w:tc>
          <w:tcPr>
            <w:tcW w:w="485" w:type="pct"/>
            <w:tcBorders>
              <w:top w:val="single" w:sz="6" w:space="0" w:color="auto"/>
              <w:left w:val="nil"/>
              <w:bottom w:val="nil"/>
              <w:right w:val="nil"/>
            </w:tcBorders>
          </w:tcPr>
          <w:p w:rsidR="003F1BF2" w:rsidRDefault="003F1BF2" w:rsidP="009268D6">
            <w:pPr>
              <w:pStyle w:val="TableUnitsRow"/>
            </w:pPr>
            <w:r>
              <w:t>%</w:t>
            </w:r>
          </w:p>
        </w:tc>
        <w:tc>
          <w:tcPr>
            <w:tcW w:w="485" w:type="pct"/>
            <w:tcBorders>
              <w:top w:val="single" w:sz="6" w:space="0" w:color="auto"/>
              <w:left w:val="nil"/>
              <w:bottom w:val="nil"/>
              <w:right w:val="nil"/>
            </w:tcBorders>
          </w:tcPr>
          <w:p w:rsidR="003F1BF2" w:rsidRDefault="003F1BF2" w:rsidP="009268D6">
            <w:pPr>
              <w:pStyle w:val="TableUnitsRow"/>
            </w:pPr>
            <w:r>
              <w:t>%</w:t>
            </w:r>
          </w:p>
        </w:tc>
        <w:tc>
          <w:tcPr>
            <w:tcW w:w="77" w:type="pct"/>
            <w:tcBorders>
              <w:top w:val="single" w:sz="4" w:space="0" w:color="auto"/>
              <w:left w:val="nil"/>
              <w:bottom w:val="nil"/>
              <w:right w:val="nil"/>
            </w:tcBorders>
          </w:tcPr>
          <w:p w:rsidR="003F1BF2" w:rsidRDefault="003F1BF2" w:rsidP="009268D6">
            <w:pPr>
              <w:pStyle w:val="TableUnitsRow"/>
            </w:pPr>
          </w:p>
        </w:tc>
        <w:tc>
          <w:tcPr>
            <w:tcW w:w="460" w:type="pct"/>
            <w:tcBorders>
              <w:top w:val="single" w:sz="6" w:space="0" w:color="auto"/>
              <w:left w:val="nil"/>
              <w:bottom w:val="nil"/>
              <w:right w:val="nil"/>
            </w:tcBorders>
          </w:tcPr>
          <w:p w:rsidR="003F1BF2" w:rsidRDefault="003F1BF2" w:rsidP="009268D6">
            <w:pPr>
              <w:pStyle w:val="TableUnitsRow"/>
            </w:pPr>
            <w:r>
              <w:t>%</w:t>
            </w:r>
          </w:p>
        </w:tc>
        <w:tc>
          <w:tcPr>
            <w:tcW w:w="457" w:type="pct"/>
            <w:tcBorders>
              <w:top w:val="single" w:sz="6" w:space="0" w:color="auto"/>
              <w:left w:val="nil"/>
              <w:bottom w:val="nil"/>
              <w:right w:val="nil"/>
            </w:tcBorders>
          </w:tcPr>
          <w:p w:rsidR="003F1BF2" w:rsidRDefault="003F1BF2" w:rsidP="009268D6">
            <w:pPr>
              <w:pStyle w:val="TableUnitsRow"/>
            </w:pPr>
            <w:r>
              <w:t>%</w:t>
            </w:r>
          </w:p>
        </w:tc>
        <w:tc>
          <w:tcPr>
            <w:tcW w:w="458" w:type="pct"/>
            <w:tcBorders>
              <w:top w:val="single" w:sz="6" w:space="0" w:color="auto"/>
              <w:left w:val="nil"/>
              <w:bottom w:val="nil"/>
              <w:right w:val="nil"/>
            </w:tcBorders>
          </w:tcPr>
          <w:p w:rsidR="003F1BF2" w:rsidRDefault="003F1BF2" w:rsidP="009268D6">
            <w:pPr>
              <w:pStyle w:val="TableUnitsRow"/>
            </w:pPr>
            <w:r>
              <w:t>%</w:t>
            </w:r>
          </w:p>
        </w:tc>
        <w:tc>
          <w:tcPr>
            <w:tcW w:w="81" w:type="pct"/>
            <w:tcBorders>
              <w:top w:val="single" w:sz="4" w:space="0" w:color="auto"/>
              <w:left w:val="nil"/>
              <w:bottom w:val="nil"/>
              <w:right w:val="nil"/>
            </w:tcBorders>
          </w:tcPr>
          <w:p w:rsidR="003F1BF2" w:rsidRDefault="003F1BF2" w:rsidP="009268D6">
            <w:pPr>
              <w:pStyle w:val="TableUnitsRow"/>
            </w:pPr>
          </w:p>
        </w:tc>
        <w:tc>
          <w:tcPr>
            <w:tcW w:w="677" w:type="pct"/>
            <w:tcBorders>
              <w:top w:val="single" w:sz="6" w:space="0" w:color="auto"/>
              <w:left w:val="nil"/>
              <w:bottom w:val="nil"/>
              <w:right w:val="nil"/>
            </w:tcBorders>
          </w:tcPr>
          <w:p w:rsidR="003F1BF2" w:rsidRDefault="003F1BF2" w:rsidP="009268D6">
            <w:pPr>
              <w:pStyle w:val="TableUnitsRow"/>
            </w:pPr>
            <w:r>
              <w:t>Percentage point</w:t>
            </w:r>
          </w:p>
        </w:tc>
        <w:tc>
          <w:tcPr>
            <w:tcW w:w="674" w:type="pct"/>
            <w:tcBorders>
              <w:top w:val="single" w:sz="6" w:space="0" w:color="auto"/>
              <w:left w:val="nil"/>
              <w:bottom w:val="nil"/>
              <w:right w:val="nil"/>
            </w:tcBorders>
          </w:tcPr>
          <w:p w:rsidR="003F1BF2" w:rsidRDefault="003F1BF2" w:rsidP="009268D6">
            <w:pPr>
              <w:pStyle w:val="TableUnitsRow"/>
              <w:ind w:right="28"/>
            </w:pPr>
            <w:r>
              <w:t>Percentage point</w:t>
            </w:r>
          </w:p>
        </w:tc>
      </w:tr>
      <w:tr w:rsidR="003F1BF2" w:rsidTr="009268D6">
        <w:tc>
          <w:tcPr>
            <w:tcW w:w="1146" w:type="pct"/>
            <w:vAlign w:val="bottom"/>
          </w:tcPr>
          <w:p w:rsidR="003F1BF2" w:rsidRPr="001A701A" w:rsidRDefault="003F1BF2" w:rsidP="009268D6">
            <w:pPr>
              <w:pStyle w:val="TableBodyText"/>
              <w:jc w:val="left"/>
            </w:pPr>
            <w:r w:rsidRPr="001A701A">
              <w:t xml:space="preserve">Agriculture </w:t>
            </w:r>
          </w:p>
        </w:tc>
        <w:tc>
          <w:tcPr>
            <w:tcW w:w="485" w:type="pct"/>
            <w:vAlign w:val="bottom"/>
          </w:tcPr>
          <w:p w:rsidR="003F1BF2" w:rsidRDefault="003F1BF2" w:rsidP="009268D6">
            <w:pPr>
              <w:pStyle w:val="TableBodyText"/>
            </w:pPr>
            <w:r>
              <w:t>2.7</w:t>
            </w:r>
          </w:p>
        </w:tc>
        <w:tc>
          <w:tcPr>
            <w:tcW w:w="485" w:type="pct"/>
            <w:vAlign w:val="bottom"/>
          </w:tcPr>
          <w:p w:rsidR="003F1BF2" w:rsidRDefault="003F1BF2" w:rsidP="009268D6">
            <w:pPr>
              <w:pStyle w:val="TableBodyText"/>
            </w:pPr>
            <w:r>
              <w:t>2.3</w:t>
            </w:r>
          </w:p>
        </w:tc>
        <w:tc>
          <w:tcPr>
            <w:tcW w:w="77" w:type="pct"/>
          </w:tcPr>
          <w:p w:rsidR="003F1BF2" w:rsidRDefault="003F1BF2" w:rsidP="009268D6">
            <w:pPr>
              <w:pStyle w:val="TableBodyText"/>
            </w:pPr>
          </w:p>
        </w:tc>
        <w:tc>
          <w:tcPr>
            <w:tcW w:w="460" w:type="pct"/>
            <w:vAlign w:val="bottom"/>
          </w:tcPr>
          <w:p w:rsidR="003F1BF2" w:rsidRDefault="003F1BF2" w:rsidP="009268D6">
            <w:pPr>
              <w:pStyle w:val="TableBodyText"/>
            </w:pPr>
            <w:r>
              <w:t>3.6</w:t>
            </w:r>
          </w:p>
        </w:tc>
        <w:tc>
          <w:tcPr>
            <w:tcW w:w="457" w:type="pct"/>
            <w:vAlign w:val="bottom"/>
          </w:tcPr>
          <w:p w:rsidR="003F1BF2" w:rsidRDefault="003F1BF2" w:rsidP="009268D6">
            <w:pPr>
              <w:pStyle w:val="TableBodyText"/>
            </w:pPr>
            <w:r>
              <w:t>3.0</w:t>
            </w:r>
          </w:p>
        </w:tc>
        <w:tc>
          <w:tcPr>
            <w:tcW w:w="458" w:type="pct"/>
            <w:vAlign w:val="bottom"/>
          </w:tcPr>
          <w:p w:rsidR="003F1BF2" w:rsidRDefault="003F1BF2" w:rsidP="009268D6">
            <w:pPr>
              <w:pStyle w:val="TableBodyText"/>
            </w:pPr>
            <w:r>
              <w:t>2.7</w:t>
            </w:r>
          </w:p>
        </w:tc>
        <w:tc>
          <w:tcPr>
            <w:tcW w:w="81" w:type="pct"/>
          </w:tcPr>
          <w:p w:rsidR="003F1BF2" w:rsidRDefault="003F1BF2" w:rsidP="009268D6">
            <w:pPr>
              <w:pStyle w:val="TableBodyText"/>
            </w:pPr>
          </w:p>
        </w:tc>
        <w:tc>
          <w:tcPr>
            <w:tcW w:w="677" w:type="pct"/>
            <w:vAlign w:val="bottom"/>
          </w:tcPr>
          <w:p w:rsidR="003F1BF2" w:rsidRPr="001A701A" w:rsidRDefault="003F1BF2" w:rsidP="009268D6">
            <w:pPr>
              <w:pStyle w:val="TableBodyText"/>
            </w:pPr>
            <w:r>
              <w:noBreakHyphen/>
              <w:t>0.6</w:t>
            </w:r>
          </w:p>
        </w:tc>
        <w:tc>
          <w:tcPr>
            <w:tcW w:w="674" w:type="pct"/>
            <w:vAlign w:val="bottom"/>
          </w:tcPr>
          <w:p w:rsidR="003F1BF2" w:rsidRPr="001A701A" w:rsidRDefault="003F1BF2" w:rsidP="009268D6">
            <w:pPr>
              <w:pStyle w:val="TableBodyText"/>
              <w:ind w:right="28"/>
            </w:pPr>
            <w:r>
              <w:noBreakHyphen/>
              <w:t>0.2</w:t>
            </w:r>
          </w:p>
        </w:tc>
      </w:tr>
      <w:tr w:rsidR="003F1BF2" w:rsidTr="009268D6">
        <w:tc>
          <w:tcPr>
            <w:tcW w:w="1146" w:type="pct"/>
            <w:vAlign w:val="bottom"/>
          </w:tcPr>
          <w:p w:rsidR="003F1BF2" w:rsidRPr="001A701A" w:rsidRDefault="003F1BF2" w:rsidP="009268D6">
            <w:pPr>
              <w:pStyle w:val="TableBodyText"/>
              <w:jc w:val="left"/>
            </w:pPr>
            <w:r w:rsidRPr="001A701A">
              <w:t>Mining</w:t>
            </w:r>
          </w:p>
        </w:tc>
        <w:tc>
          <w:tcPr>
            <w:tcW w:w="485" w:type="pct"/>
            <w:vAlign w:val="bottom"/>
          </w:tcPr>
          <w:p w:rsidR="003F1BF2" w:rsidRDefault="003F1BF2" w:rsidP="009268D6">
            <w:pPr>
              <w:pStyle w:val="TableBodyText"/>
            </w:pPr>
            <w:r>
              <w:t>4.3</w:t>
            </w:r>
          </w:p>
        </w:tc>
        <w:tc>
          <w:tcPr>
            <w:tcW w:w="485" w:type="pct"/>
            <w:vAlign w:val="bottom"/>
          </w:tcPr>
          <w:p w:rsidR="003F1BF2" w:rsidRDefault="003F1BF2" w:rsidP="009268D6">
            <w:pPr>
              <w:pStyle w:val="TableBodyText"/>
            </w:pPr>
            <w:r>
              <w:t>3.0</w:t>
            </w:r>
          </w:p>
        </w:tc>
        <w:tc>
          <w:tcPr>
            <w:tcW w:w="77" w:type="pct"/>
          </w:tcPr>
          <w:p w:rsidR="003F1BF2" w:rsidRDefault="003F1BF2" w:rsidP="009268D6">
            <w:pPr>
              <w:pStyle w:val="TableBodyText"/>
            </w:pPr>
          </w:p>
        </w:tc>
        <w:tc>
          <w:tcPr>
            <w:tcW w:w="460" w:type="pct"/>
            <w:vAlign w:val="bottom"/>
          </w:tcPr>
          <w:p w:rsidR="003F1BF2" w:rsidRDefault="003F1BF2" w:rsidP="009268D6">
            <w:pPr>
              <w:pStyle w:val="TableBodyText"/>
            </w:pPr>
            <w:r>
              <w:t>9.5</w:t>
            </w:r>
          </w:p>
        </w:tc>
        <w:tc>
          <w:tcPr>
            <w:tcW w:w="457" w:type="pct"/>
            <w:vAlign w:val="bottom"/>
          </w:tcPr>
          <w:p w:rsidR="003F1BF2" w:rsidRDefault="003F1BF2" w:rsidP="009268D6">
            <w:pPr>
              <w:pStyle w:val="TableBodyText"/>
            </w:pPr>
            <w:r>
              <w:t>11.3</w:t>
            </w:r>
          </w:p>
        </w:tc>
        <w:tc>
          <w:tcPr>
            <w:tcW w:w="458" w:type="pct"/>
            <w:vAlign w:val="bottom"/>
          </w:tcPr>
          <w:p w:rsidR="003F1BF2" w:rsidRDefault="003F1BF2" w:rsidP="009268D6">
            <w:pPr>
              <w:pStyle w:val="TableBodyText"/>
            </w:pPr>
            <w:r>
              <w:t>11.3</w:t>
            </w:r>
          </w:p>
        </w:tc>
        <w:tc>
          <w:tcPr>
            <w:tcW w:w="81" w:type="pct"/>
          </w:tcPr>
          <w:p w:rsidR="003F1BF2" w:rsidRDefault="003F1BF2" w:rsidP="009268D6">
            <w:pPr>
              <w:pStyle w:val="TableBodyText"/>
            </w:pPr>
          </w:p>
        </w:tc>
        <w:tc>
          <w:tcPr>
            <w:tcW w:w="677" w:type="pct"/>
            <w:vAlign w:val="bottom"/>
          </w:tcPr>
          <w:p w:rsidR="003F1BF2" w:rsidRPr="001A701A" w:rsidRDefault="003F1BF2" w:rsidP="009268D6">
            <w:pPr>
              <w:pStyle w:val="TableBodyText"/>
            </w:pPr>
            <w:r>
              <w:t>1.8</w:t>
            </w:r>
          </w:p>
        </w:tc>
        <w:tc>
          <w:tcPr>
            <w:tcW w:w="674" w:type="pct"/>
            <w:vAlign w:val="bottom"/>
          </w:tcPr>
          <w:p w:rsidR="003F1BF2" w:rsidRPr="001A701A" w:rsidRDefault="003F1BF2" w:rsidP="009268D6">
            <w:pPr>
              <w:pStyle w:val="TableBodyText"/>
              <w:ind w:right="28"/>
            </w:pPr>
            <w:r>
              <w:noBreakHyphen/>
              <w:t>0.1</w:t>
            </w:r>
          </w:p>
        </w:tc>
      </w:tr>
      <w:tr w:rsidR="003F1BF2" w:rsidTr="009268D6">
        <w:tc>
          <w:tcPr>
            <w:tcW w:w="1146" w:type="pct"/>
            <w:vAlign w:val="bottom"/>
          </w:tcPr>
          <w:p w:rsidR="003F1BF2" w:rsidRPr="001A701A" w:rsidRDefault="003F1BF2" w:rsidP="009268D6">
            <w:pPr>
              <w:pStyle w:val="TableBodyText"/>
              <w:jc w:val="left"/>
            </w:pPr>
            <w:r w:rsidRPr="001A701A">
              <w:t>Manufacturing</w:t>
            </w:r>
          </w:p>
        </w:tc>
        <w:tc>
          <w:tcPr>
            <w:tcW w:w="485" w:type="pct"/>
            <w:vAlign w:val="bottom"/>
          </w:tcPr>
          <w:p w:rsidR="003F1BF2" w:rsidRDefault="003F1BF2" w:rsidP="009268D6">
            <w:pPr>
              <w:pStyle w:val="TableBodyText"/>
            </w:pPr>
            <w:r>
              <w:t>1.7</w:t>
            </w:r>
          </w:p>
        </w:tc>
        <w:tc>
          <w:tcPr>
            <w:tcW w:w="485" w:type="pct"/>
            <w:vAlign w:val="bottom"/>
          </w:tcPr>
          <w:p w:rsidR="003F1BF2" w:rsidRDefault="003F1BF2" w:rsidP="009268D6">
            <w:pPr>
              <w:pStyle w:val="TableBodyText"/>
            </w:pPr>
            <w:r>
              <w:t>0.4</w:t>
            </w:r>
          </w:p>
        </w:tc>
        <w:tc>
          <w:tcPr>
            <w:tcW w:w="77" w:type="pct"/>
          </w:tcPr>
          <w:p w:rsidR="003F1BF2" w:rsidRDefault="003F1BF2" w:rsidP="009268D6">
            <w:pPr>
              <w:pStyle w:val="TableBodyText"/>
            </w:pPr>
          </w:p>
        </w:tc>
        <w:tc>
          <w:tcPr>
            <w:tcW w:w="460" w:type="pct"/>
            <w:vAlign w:val="bottom"/>
          </w:tcPr>
          <w:p w:rsidR="003F1BF2" w:rsidRDefault="003F1BF2" w:rsidP="009268D6">
            <w:pPr>
              <w:pStyle w:val="TableBodyText"/>
            </w:pPr>
            <w:r>
              <w:t>17.3</w:t>
            </w:r>
          </w:p>
        </w:tc>
        <w:tc>
          <w:tcPr>
            <w:tcW w:w="457" w:type="pct"/>
            <w:vAlign w:val="bottom"/>
          </w:tcPr>
          <w:p w:rsidR="003F1BF2" w:rsidRDefault="003F1BF2" w:rsidP="009268D6">
            <w:pPr>
              <w:pStyle w:val="TableBodyText"/>
            </w:pPr>
            <w:r>
              <w:t>11.3</w:t>
            </w:r>
          </w:p>
        </w:tc>
        <w:tc>
          <w:tcPr>
            <w:tcW w:w="458" w:type="pct"/>
            <w:vAlign w:val="bottom"/>
          </w:tcPr>
          <w:p w:rsidR="003F1BF2" w:rsidRDefault="003F1BF2" w:rsidP="009268D6">
            <w:pPr>
              <w:pStyle w:val="TableBodyText"/>
            </w:pPr>
            <w:r>
              <w:t>8.6</w:t>
            </w:r>
          </w:p>
        </w:tc>
        <w:tc>
          <w:tcPr>
            <w:tcW w:w="81" w:type="pct"/>
          </w:tcPr>
          <w:p w:rsidR="003F1BF2" w:rsidRDefault="003F1BF2" w:rsidP="009268D6">
            <w:pPr>
              <w:pStyle w:val="TableBodyText"/>
            </w:pPr>
          </w:p>
        </w:tc>
        <w:tc>
          <w:tcPr>
            <w:tcW w:w="677" w:type="pct"/>
            <w:vAlign w:val="bottom"/>
          </w:tcPr>
          <w:p w:rsidR="003F1BF2" w:rsidRPr="001A701A" w:rsidRDefault="003F1BF2" w:rsidP="009268D6">
            <w:pPr>
              <w:pStyle w:val="TableBodyText"/>
            </w:pPr>
            <w:r>
              <w:noBreakHyphen/>
              <w:t>6.0</w:t>
            </w:r>
          </w:p>
        </w:tc>
        <w:tc>
          <w:tcPr>
            <w:tcW w:w="674" w:type="pct"/>
            <w:vAlign w:val="bottom"/>
          </w:tcPr>
          <w:p w:rsidR="003F1BF2" w:rsidRPr="001A701A" w:rsidRDefault="003F1BF2" w:rsidP="009268D6">
            <w:pPr>
              <w:pStyle w:val="TableBodyText"/>
              <w:ind w:right="28"/>
            </w:pPr>
            <w:r>
              <w:noBreakHyphen/>
              <w:t>2.7</w:t>
            </w:r>
          </w:p>
        </w:tc>
      </w:tr>
      <w:tr w:rsidR="003F1BF2" w:rsidTr="009268D6">
        <w:tc>
          <w:tcPr>
            <w:tcW w:w="1146" w:type="pct"/>
            <w:vAlign w:val="bottom"/>
          </w:tcPr>
          <w:p w:rsidR="003F1BF2" w:rsidRPr="001A701A" w:rsidRDefault="003F1BF2" w:rsidP="009268D6">
            <w:pPr>
              <w:pStyle w:val="TableBodyText"/>
              <w:jc w:val="left"/>
            </w:pPr>
            <w:r w:rsidRPr="001A701A">
              <w:t>Utilities</w:t>
            </w:r>
          </w:p>
        </w:tc>
        <w:tc>
          <w:tcPr>
            <w:tcW w:w="485" w:type="pct"/>
            <w:vAlign w:val="bottom"/>
          </w:tcPr>
          <w:p w:rsidR="003F1BF2" w:rsidRDefault="003F1BF2" w:rsidP="009268D6">
            <w:pPr>
              <w:pStyle w:val="TableBodyText"/>
            </w:pPr>
            <w:r>
              <w:t>3.1</w:t>
            </w:r>
          </w:p>
        </w:tc>
        <w:tc>
          <w:tcPr>
            <w:tcW w:w="485" w:type="pct"/>
            <w:vAlign w:val="bottom"/>
          </w:tcPr>
          <w:p w:rsidR="003F1BF2" w:rsidRDefault="003F1BF2" w:rsidP="009268D6">
            <w:pPr>
              <w:pStyle w:val="TableBodyText"/>
            </w:pPr>
            <w:r>
              <w:t>1.2</w:t>
            </w:r>
          </w:p>
        </w:tc>
        <w:tc>
          <w:tcPr>
            <w:tcW w:w="77" w:type="pct"/>
          </w:tcPr>
          <w:p w:rsidR="003F1BF2" w:rsidRDefault="003F1BF2" w:rsidP="009268D6">
            <w:pPr>
              <w:pStyle w:val="TableBodyText"/>
            </w:pPr>
          </w:p>
        </w:tc>
        <w:tc>
          <w:tcPr>
            <w:tcW w:w="460" w:type="pct"/>
            <w:vAlign w:val="bottom"/>
          </w:tcPr>
          <w:p w:rsidR="003F1BF2" w:rsidRDefault="003F1BF2" w:rsidP="009268D6">
            <w:pPr>
              <w:pStyle w:val="TableBodyText"/>
            </w:pPr>
            <w:r>
              <w:t>3.5</w:t>
            </w:r>
          </w:p>
        </w:tc>
        <w:tc>
          <w:tcPr>
            <w:tcW w:w="457" w:type="pct"/>
            <w:vAlign w:val="bottom"/>
          </w:tcPr>
          <w:p w:rsidR="003F1BF2" w:rsidRDefault="003F1BF2" w:rsidP="009268D6">
            <w:pPr>
              <w:pStyle w:val="TableBodyText"/>
            </w:pPr>
            <w:r>
              <w:t>3.2</w:t>
            </w:r>
          </w:p>
        </w:tc>
        <w:tc>
          <w:tcPr>
            <w:tcW w:w="458" w:type="pct"/>
            <w:vAlign w:val="bottom"/>
          </w:tcPr>
          <w:p w:rsidR="003F1BF2" w:rsidRDefault="003F1BF2" w:rsidP="009268D6">
            <w:pPr>
              <w:pStyle w:val="TableBodyText"/>
            </w:pPr>
            <w:r>
              <w:t>2.7</w:t>
            </w:r>
          </w:p>
        </w:tc>
        <w:tc>
          <w:tcPr>
            <w:tcW w:w="81" w:type="pct"/>
          </w:tcPr>
          <w:p w:rsidR="003F1BF2" w:rsidRDefault="003F1BF2" w:rsidP="009268D6">
            <w:pPr>
              <w:pStyle w:val="TableBodyText"/>
            </w:pPr>
          </w:p>
        </w:tc>
        <w:tc>
          <w:tcPr>
            <w:tcW w:w="677" w:type="pct"/>
            <w:vAlign w:val="bottom"/>
          </w:tcPr>
          <w:p w:rsidR="003F1BF2" w:rsidRPr="001A701A" w:rsidRDefault="003F1BF2" w:rsidP="009268D6">
            <w:pPr>
              <w:pStyle w:val="TableBodyText"/>
            </w:pPr>
            <w:r>
              <w:noBreakHyphen/>
              <w:t>0.3</w:t>
            </w:r>
          </w:p>
        </w:tc>
        <w:tc>
          <w:tcPr>
            <w:tcW w:w="674" w:type="pct"/>
            <w:vAlign w:val="bottom"/>
          </w:tcPr>
          <w:p w:rsidR="003F1BF2" w:rsidRPr="001A701A" w:rsidRDefault="003F1BF2" w:rsidP="009268D6">
            <w:pPr>
              <w:pStyle w:val="TableBodyText"/>
              <w:ind w:right="28"/>
            </w:pPr>
            <w:r>
              <w:noBreakHyphen/>
              <w:t>0.6</w:t>
            </w:r>
          </w:p>
        </w:tc>
      </w:tr>
      <w:tr w:rsidR="003F1BF2" w:rsidTr="009268D6">
        <w:tc>
          <w:tcPr>
            <w:tcW w:w="1146" w:type="pct"/>
            <w:vAlign w:val="bottom"/>
          </w:tcPr>
          <w:p w:rsidR="003F1BF2" w:rsidRPr="001A701A" w:rsidRDefault="003F1BF2" w:rsidP="009268D6">
            <w:pPr>
              <w:pStyle w:val="TableBodyText"/>
              <w:jc w:val="left"/>
            </w:pPr>
            <w:r w:rsidRPr="001A701A">
              <w:t>Construction</w:t>
            </w:r>
          </w:p>
        </w:tc>
        <w:tc>
          <w:tcPr>
            <w:tcW w:w="485" w:type="pct"/>
            <w:vAlign w:val="bottom"/>
          </w:tcPr>
          <w:p w:rsidR="003F1BF2" w:rsidRDefault="003F1BF2" w:rsidP="009268D6">
            <w:pPr>
              <w:pStyle w:val="TableBodyText"/>
            </w:pPr>
            <w:r>
              <w:t>2.6</w:t>
            </w:r>
          </w:p>
        </w:tc>
        <w:tc>
          <w:tcPr>
            <w:tcW w:w="485" w:type="pct"/>
            <w:vAlign w:val="bottom"/>
          </w:tcPr>
          <w:p w:rsidR="003F1BF2" w:rsidRDefault="003F1BF2" w:rsidP="009268D6">
            <w:pPr>
              <w:pStyle w:val="TableBodyText"/>
            </w:pPr>
            <w:r>
              <w:t>5.9</w:t>
            </w:r>
          </w:p>
        </w:tc>
        <w:tc>
          <w:tcPr>
            <w:tcW w:w="77" w:type="pct"/>
          </w:tcPr>
          <w:p w:rsidR="003F1BF2" w:rsidRDefault="003F1BF2" w:rsidP="009268D6">
            <w:pPr>
              <w:pStyle w:val="TableBodyText"/>
            </w:pPr>
          </w:p>
        </w:tc>
        <w:tc>
          <w:tcPr>
            <w:tcW w:w="460" w:type="pct"/>
            <w:vAlign w:val="bottom"/>
          </w:tcPr>
          <w:p w:rsidR="003F1BF2" w:rsidRDefault="003F1BF2" w:rsidP="009268D6">
            <w:pPr>
              <w:pStyle w:val="TableBodyText"/>
            </w:pPr>
            <w:r>
              <w:t>8.2</w:t>
            </w:r>
          </w:p>
        </w:tc>
        <w:tc>
          <w:tcPr>
            <w:tcW w:w="457" w:type="pct"/>
            <w:vAlign w:val="bottom"/>
          </w:tcPr>
          <w:p w:rsidR="003F1BF2" w:rsidRDefault="003F1BF2" w:rsidP="009268D6">
            <w:pPr>
              <w:pStyle w:val="TableBodyText"/>
            </w:pPr>
            <w:r>
              <w:t>6.5</w:t>
            </w:r>
          </w:p>
        </w:tc>
        <w:tc>
          <w:tcPr>
            <w:tcW w:w="458" w:type="pct"/>
            <w:vAlign w:val="bottom"/>
          </w:tcPr>
          <w:p w:rsidR="003F1BF2" w:rsidRDefault="003F1BF2" w:rsidP="009268D6">
            <w:pPr>
              <w:pStyle w:val="TableBodyText"/>
            </w:pPr>
            <w:r>
              <w:t>8.7</w:t>
            </w:r>
          </w:p>
        </w:tc>
        <w:tc>
          <w:tcPr>
            <w:tcW w:w="81" w:type="pct"/>
          </w:tcPr>
          <w:p w:rsidR="003F1BF2" w:rsidRDefault="003F1BF2" w:rsidP="009268D6">
            <w:pPr>
              <w:pStyle w:val="TableBodyText"/>
            </w:pPr>
          </w:p>
        </w:tc>
        <w:tc>
          <w:tcPr>
            <w:tcW w:w="677" w:type="pct"/>
            <w:vAlign w:val="bottom"/>
          </w:tcPr>
          <w:p w:rsidR="003F1BF2" w:rsidRPr="001A701A" w:rsidRDefault="003F1BF2" w:rsidP="009268D6">
            <w:pPr>
              <w:pStyle w:val="TableBodyText"/>
            </w:pPr>
            <w:r>
              <w:noBreakHyphen/>
              <w:t>1.7</w:t>
            </w:r>
          </w:p>
        </w:tc>
        <w:tc>
          <w:tcPr>
            <w:tcW w:w="674" w:type="pct"/>
            <w:vAlign w:val="bottom"/>
          </w:tcPr>
          <w:p w:rsidR="003F1BF2" w:rsidRPr="001A701A" w:rsidRDefault="003F1BF2" w:rsidP="009268D6">
            <w:pPr>
              <w:pStyle w:val="TableBodyText"/>
              <w:ind w:right="28"/>
            </w:pPr>
            <w:r>
              <w:t>2.1</w:t>
            </w:r>
          </w:p>
        </w:tc>
      </w:tr>
      <w:tr w:rsidR="003F1BF2" w:rsidTr="009268D6">
        <w:tc>
          <w:tcPr>
            <w:tcW w:w="1146" w:type="pct"/>
            <w:vAlign w:val="bottom"/>
          </w:tcPr>
          <w:p w:rsidR="003F1BF2" w:rsidRPr="00BF5C73" w:rsidRDefault="003F1BF2" w:rsidP="009268D6">
            <w:pPr>
              <w:pStyle w:val="TableBodyText"/>
              <w:jc w:val="left"/>
            </w:pPr>
            <w:r w:rsidRPr="00D66619">
              <w:t>Distribution services</w:t>
            </w:r>
          </w:p>
        </w:tc>
        <w:tc>
          <w:tcPr>
            <w:tcW w:w="485" w:type="pct"/>
            <w:vAlign w:val="bottom"/>
          </w:tcPr>
          <w:p w:rsidR="003F1BF2" w:rsidRDefault="003F1BF2" w:rsidP="009268D6">
            <w:pPr>
              <w:pStyle w:val="TableBodyText"/>
            </w:pPr>
            <w:r>
              <w:t>3.6</w:t>
            </w:r>
          </w:p>
        </w:tc>
        <w:tc>
          <w:tcPr>
            <w:tcW w:w="485" w:type="pct"/>
            <w:vAlign w:val="bottom"/>
          </w:tcPr>
          <w:p w:rsidR="003F1BF2" w:rsidRDefault="003F1BF2" w:rsidP="009268D6">
            <w:pPr>
              <w:pStyle w:val="TableBodyText"/>
            </w:pPr>
            <w:r>
              <w:t>3.4</w:t>
            </w:r>
          </w:p>
        </w:tc>
        <w:tc>
          <w:tcPr>
            <w:tcW w:w="77" w:type="pct"/>
          </w:tcPr>
          <w:p w:rsidR="003F1BF2" w:rsidRDefault="003F1BF2" w:rsidP="009268D6">
            <w:pPr>
              <w:pStyle w:val="TableBodyText"/>
            </w:pPr>
          </w:p>
        </w:tc>
        <w:tc>
          <w:tcPr>
            <w:tcW w:w="460" w:type="pct"/>
            <w:vAlign w:val="bottom"/>
          </w:tcPr>
          <w:p w:rsidR="003F1BF2" w:rsidRDefault="003F1BF2" w:rsidP="009268D6">
            <w:pPr>
              <w:pStyle w:val="TableBodyText"/>
            </w:pPr>
            <w:r>
              <w:t>18.3</w:t>
            </w:r>
          </w:p>
        </w:tc>
        <w:tc>
          <w:tcPr>
            <w:tcW w:w="457" w:type="pct"/>
            <w:vAlign w:val="bottom"/>
          </w:tcPr>
          <w:p w:rsidR="003F1BF2" w:rsidRDefault="003F1BF2" w:rsidP="009268D6">
            <w:pPr>
              <w:pStyle w:val="TableBodyText"/>
            </w:pPr>
            <w:r>
              <w:t>18.7</w:t>
            </w:r>
          </w:p>
        </w:tc>
        <w:tc>
          <w:tcPr>
            <w:tcW w:w="458" w:type="pct"/>
            <w:vAlign w:val="bottom"/>
          </w:tcPr>
          <w:p w:rsidR="003F1BF2" w:rsidRDefault="003F1BF2" w:rsidP="009268D6">
            <w:pPr>
              <w:pStyle w:val="TableBodyText"/>
            </w:pPr>
            <w:r>
              <w:t>19.2</w:t>
            </w:r>
          </w:p>
        </w:tc>
        <w:tc>
          <w:tcPr>
            <w:tcW w:w="81" w:type="pct"/>
          </w:tcPr>
          <w:p w:rsidR="003F1BF2" w:rsidRDefault="003F1BF2" w:rsidP="009268D6">
            <w:pPr>
              <w:pStyle w:val="TableBodyText"/>
            </w:pPr>
          </w:p>
        </w:tc>
        <w:tc>
          <w:tcPr>
            <w:tcW w:w="677" w:type="pct"/>
            <w:vAlign w:val="bottom"/>
          </w:tcPr>
          <w:p w:rsidR="003F1BF2" w:rsidRPr="00D66619" w:rsidRDefault="003F1BF2" w:rsidP="009268D6">
            <w:pPr>
              <w:pStyle w:val="TableBodyText"/>
            </w:pPr>
            <w:r>
              <w:t>0.4</w:t>
            </w:r>
          </w:p>
        </w:tc>
        <w:tc>
          <w:tcPr>
            <w:tcW w:w="674" w:type="pct"/>
            <w:vAlign w:val="bottom"/>
          </w:tcPr>
          <w:p w:rsidR="003F1BF2" w:rsidRPr="00D66619" w:rsidRDefault="003F1BF2" w:rsidP="009268D6">
            <w:pPr>
              <w:pStyle w:val="TableBodyText"/>
              <w:ind w:right="28"/>
            </w:pPr>
            <w:r>
              <w:t>0.5</w:t>
            </w:r>
          </w:p>
        </w:tc>
      </w:tr>
      <w:tr w:rsidR="003F1BF2" w:rsidTr="009268D6">
        <w:tc>
          <w:tcPr>
            <w:tcW w:w="1146" w:type="pct"/>
            <w:vAlign w:val="bottom"/>
          </w:tcPr>
          <w:p w:rsidR="003F1BF2" w:rsidRPr="00BF5C73" w:rsidRDefault="003F1BF2" w:rsidP="009268D6">
            <w:pPr>
              <w:pStyle w:val="TableBodyText"/>
              <w:jc w:val="left"/>
            </w:pPr>
            <w:r w:rsidRPr="00D66619">
              <w:t>Business services</w:t>
            </w:r>
          </w:p>
        </w:tc>
        <w:tc>
          <w:tcPr>
            <w:tcW w:w="485" w:type="pct"/>
            <w:vAlign w:val="bottom"/>
          </w:tcPr>
          <w:p w:rsidR="003F1BF2" w:rsidRDefault="003F1BF2" w:rsidP="009268D6">
            <w:pPr>
              <w:pStyle w:val="TableBodyText"/>
            </w:pPr>
            <w:r>
              <w:t>5.6</w:t>
            </w:r>
          </w:p>
        </w:tc>
        <w:tc>
          <w:tcPr>
            <w:tcW w:w="485" w:type="pct"/>
            <w:vAlign w:val="bottom"/>
          </w:tcPr>
          <w:p w:rsidR="003F1BF2" w:rsidRDefault="003F1BF2" w:rsidP="009268D6">
            <w:pPr>
              <w:pStyle w:val="TableBodyText"/>
            </w:pPr>
            <w:r>
              <w:t>3.8</w:t>
            </w:r>
          </w:p>
        </w:tc>
        <w:tc>
          <w:tcPr>
            <w:tcW w:w="77" w:type="pct"/>
          </w:tcPr>
          <w:p w:rsidR="003F1BF2" w:rsidRDefault="003F1BF2" w:rsidP="009268D6">
            <w:pPr>
              <w:pStyle w:val="TableBodyText"/>
            </w:pPr>
          </w:p>
        </w:tc>
        <w:tc>
          <w:tcPr>
            <w:tcW w:w="460" w:type="pct"/>
            <w:vAlign w:val="bottom"/>
          </w:tcPr>
          <w:p w:rsidR="003F1BF2" w:rsidRDefault="003F1BF2" w:rsidP="009268D6">
            <w:pPr>
              <w:pStyle w:val="TableBodyText"/>
            </w:pPr>
            <w:r>
              <w:t>13.4</w:t>
            </w:r>
          </w:p>
        </w:tc>
        <w:tc>
          <w:tcPr>
            <w:tcW w:w="457" w:type="pct"/>
            <w:vAlign w:val="bottom"/>
          </w:tcPr>
          <w:p w:rsidR="003F1BF2" w:rsidRDefault="003F1BF2" w:rsidP="009268D6">
            <w:pPr>
              <w:pStyle w:val="TableBodyText"/>
            </w:pPr>
            <w:r>
              <w:t>21.9</w:t>
            </w:r>
          </w:p>
        </w:tc>
        <w:tc>
          <w:tcPr>
            <w:tcW w:w="458" w:type="pct"/>
            <w:vAlign w:val="bottom"/>
          </w:tcPr>
          <w:p w:rsidR="003F1BF2" w:rsidRDefault="003F1BF2" w:rsidP="009268D6">
            <w:pPr>
              <w:pStyle w:val="TableBodyText"/>
            </w:pPr>
            <w:r>
              <w:t>23.7</w:t>
            </w:r>
          </w:p>
        </w:tc>
        <w:tc>
          <w:tcPr>
            <w:tcW w:w="81" w:type="pct"/>
          </w:tcPr>
          <w:p w:rsidR="003F1BF2" w:rsidRDefault="003F1BF2" w:rsidP="009268D6">
            <w:pPr>
              <w:pStyle w:val="TableBodyText"/>
            </w:pPr>
          </w:p>
        </w:tc>
        <w:tc>
          <w:tcPr>
            <w:tcW w:w="677" w:type="pct"/>
            <w:vAlign w:val="bottom"/>
          </w:tcPr>
          <w:p w:rsidR="003F1BF2" w:rsidRPr="00D66619" w:rsidRDefault="003F1BF2" w:rsidP="009268D6">
            <w:pPr>
              <w:pStyle w:val="TableBodyText"/>
            </w:pPr>
            <w:r>
              <w:t>8.5</w:t>
            </w:r>
          </w:p>
        </w:tc>
        <w:tc>
          <w:tcPr>
            <w:tcW w:w="674" w:type="pct"/>
            <w:vAlign w:val="bottom"/>
          </w:tcPr>
          <w:p w:rsidR="003F1BF2" w:rsidRPr="00D66619" w:rsidRDefault="003F1BF2" w:rsidP="009268D6">
            <w:pPr>
              <w:pStyle w:val="TableBodyText"/>
              <w:ind w:right="28"/>
            </w:pPr>
            <w:r>
              <w:t>1.7</w:t>
            </w:r>
          </w:p>
        </w:tc>
      </w:tr>
      <w:tr w:rsidR="003F1BF2" w:rsidTr="009268D6">
        <w:tc>
          <w:tcPr>
            <w:tcW w:w="1146" w:type="pct"/>
            <w:vAlign w:val="bottom"/>
          </w:tcPr>
          <w:p w:rsidR="003F1BF2" w:rsidRPr="00BF5C73" w:rsidRDefault="003F1BF2" w:rsidP="009268D6">
            <w:pPr>
              <w:pStyle w:val="TableBodyText"/>
              <w:jc w:val="left"/>
            </w:pPr>
            <w:r w:rsidRPr="00D66619">
              <w:t>Social services</w:t>
            </w:r>
          </w:p>
        </w:tc>
        <w:tc>
          <w:tcPr>
            <w:tcW w:w="485" w:type="pct"/>
            <w:vAlign w:val="bottom"/>
          </w:tcPr>
          <w:p w:rsidR="003F1BF2" w:rsidRDefault="003F1BF2" w:rsidP="009268D6">
            <w:pPr>
              <w:pStyle w:val="TableBodyText"/>
            </w:pPr>
            <w:r>
              <w:t>3.2</w:t>
            </w:r>
          </w:p>
        </w:tc>
        <w:tc>
          <w:tcPr>
            <w:tcW w:w="485" w:type="pct"/>
            <w:vAlign w:val="bottom"/>
          </w:tcPr>
          <w:p w:rsidR="003F1BF2" w:rsidRDefault="003F1BF2" w:rsidP="009268D6">
            <w:pPr>
              <w:pStyle w:val="TableBodyText"/>
            </w:pPr>
            <w:r>
              <w:t>3.0</w:t>
            </w:r>
          </w:p>
        </w:tc>
        <w:tc>
          <w:tcPr>
            <w:tcW w:w="77" w:type="pct"/>
          </w:tcPr>
          <w:p w:rsidR="003F1BF2" w:rsidRDefault="003F1BF2" w:rsidP="009268D6">
            <w:pPr>
              <w:pStyle w:val="TableBodyText"/>
            </w:pPr>
          </w:p>
        </w:tc>
        <w:tc>
          <w:tcPr>
            <w:tcW w:w="460" w:type="pct"/>
            <w:vAlign w:val="bottom"/>
          </w:tcPr>
          <w:p w:rsidR="003F1BF2" w:rsidRDefault="003F1BF2" w:rsidP="009268D6">
            <w:pPr>
              <w:pStyle w:val="TableBodyText"/>
            </w:pPr>
            <w:r>
              <w:t>19.1</w:t>
            </w:r>
          </w:p>
        </w:tc>
        <w:tc>
          <w:tcPr>
            <w:tcW w:w="457" w:type="pct"/>
            <w:vAlign w:val="bottom"/>
          </w:tcPr>
          <w:p w:rsidR="003F1BF2" w:rsidRDefault="003F1BF2" w:rsidP="009268D6">
            <w:pPr>
              <w:pStyle w:val="TableBodyText"/>
            </w:pPr>
            <w:r>
              <w:t>17.6</w:t>
            </w:r>
          </w:p>
        </w:tc>
        <w:tc>
          <w:tcPr>
            <w:tcW w:w="458" w:type="pct"/>
            <w:vAlign w:val="bottom"/>
          </w:tcPr>
          <w:p w:rsidR="003F1BF2" w:rsidRDefault="003F1BF2" w:rsidP="009268D6">
            <w:pPr>
              <w:pStyle w:val="TableBodyText"/>
            </w:pPr>
            <w:r>
              <w:t>17.5</w:t>
            </w:r>
          </w:p>
        </w:tc>
        <w:tc>
          <w:tcPr>
            <w:tcW w:w="81" w:type="pct"/>
          </w:tcPr>
          <w:p w:rsidR="003F1BF2" w:rsidRDefault="003F1BF2" w:rsidP="009268D6">
            <w:pPr>
              <w:pStyle w:val="TableBodyText"/>
            </w:pPr>
          </w:p>
        </w:tc>
        <w:tc>
          <w:tcPr>
            <w:tcW w:w="677" w:type="pct"/>
            <w:vAlign w:val="bottom"/>
          </w:tcPr>
          <w:p w:rsidR="003F1BF2" w:rsidRPr="00D66619" w:rsidRDefault="003F1BF2" w:rsidP="009268D6">
            <w:pPr>
              <w:pStyle w:val="TableBodyText"/>
            </w:pPr>
            <w:r>
              <w:noBreakHyphen/>
              <w:t>1.4</w:t>
            </w:r>
          </w:p>
        </w:tc>
        <w:tc>
          <w:tcPr>
            <w:tcW w:w="674" w:type="pct"/>
            <w:vAlign w:val="bottom"/>
          </w:tcPr>
          <w:p w:rsidR="003F1BF2" w:rsidRPr="00D66619" w:rsidRDefault="003F1BF2" w:rsidP="009268D6">
            <w:pPr>
              <w:pStyle w:val="TableBodyText"/>
              <w:ind w:right="28"/>
            </w:pPr>
            <w:r>
              <w:noBreakHyphen/>
              <w:t>0.2</w:t>
            </w:r>
          </w:p>
        </w:tc>
      </w:tr>
      <w:tr w:rsidR="003F1BF2" w:rsidTr="009268D6">
        <w:tc>
          <w:tcPr>
            <w:tcW w:w="1146" w:type="pct"/>
            <w:tcBorders>
              <w:top w:val="nil"/>
              <w:left w:val="nil"/>
              <w:right w:val="nil"/>
            </w:tcBorders>
            <w:vAlign w:val="bottom"/>
          </w:tcPr>
          <w:p w:rsidR="003F1BF2" w:rsidRPr="00BF5C73" w:rsidRDefault="003F1BF2" w:rsidP="009268D6">
            <w:pPr>
              <w:pStyle w:val="TableBodyText"/>
              <w:jc w:val="left"/>
            </w:pPr>
            <w:r w:rsidRPr="00D66619">
              <w:t>Personal services</w:t>
            </w:r>
          </w:p>
        </w:tc>
        <w:tc>
          <w:tcPr>
            <w:tcW w:w="485" w:type="pct"/>
            <w:tcBorders>
              <w:top w:val="nil"/>
              <w:left w:val="nil"/>
              <w:right w:val="nil"/>
            </w:tcBorders>
            <w:vAlign w:val="bottom"/>
          </w:tcPr>
          <w:p w:rsidR="003F1BF2" w:rsidRDefault="003F1BF2" w:rsidP="009268D6">
            <w:pPr>
              <w:pStyle w:val="TableBodyText"/>
            </w:pPr>
            <w:r>
              <w:t>3.0</w:t>
            </w:r>
          </w:p>
        </w:tc>
        <w:tc>
          <w:tcPr>
            <w:tcW w:w="485" w:type="pct"/>
            <w:tcBorders>
              <w:top w:val="nil"/>
              <w:left w:val="nil"/>
              <w:right w:val="nil"/>
            </w:tcBorders>
            <w:vAlign w:val="bottom"/>
          </w:tcPr>
          <w:p w:rsidR="003F1BF2" w:rsidRDefault="003F1BF2" w:rsidP="009268D6">
            <w:pPr>
              <w:pStyle w:val="TableBodyText"/>
            </w:pPr>
            <w:r>
              <w:t>2.0</w:t>
            </w:r>
          </w:p>
        </w:tc>
        <w:tc>
          <w:tcPr>
            <w:tcW w:w="77" w:type="pct"/>
            <w:tcBorders>
              <w:top w:val="nil"/>
              <w:left w:val="nil"/>
              <w:right w:val="nil"/>
            </w:tcBorders>
          </w:tcPr>
          <w:p w:rsidR="003F1BF2" w:rsidRDefault="003F1BF2" w:rsidP="009268D6">
            <w:pPr>
              <w:pStyle w:val="TableBodyText"/>
            </w:pPr>
          </w:p>
        </w:tc>
        <w:tc>
          <w:tcPr>
            <w:tcW w:w="460" w:type="pct"/>
            <w:tcBorders>
              <w:top w:val="nil"/>
              <w:left w:val="nil"/>
              <w:right w:val="nil"/>
            </w:tcBorders>
            <w:vAlign w:val="bottom"/>
          </w:tcPr>
          <w:p w:rsidR="003F1BF2" w:rsidRDefault="003F1BF2" w:rsidP="009268D6">
            <w:pPr>
              <w:pStyle w:val="TableBodyText"/>
            </w:pPr>
            <w:r>
              <w:t>7.1</w:t>
            </w:r>
          </w:p>
        </w:tc>
        <w:tc>
          <w:tcPr>
            <w:tcW w:w="457" w:type="pct"/>
            <w:tcBorders>
              <w:top w:val="nil"/>
              <w:left w:val="nil"/>
              <w:right w:val="nil"/>
            </w:tcBorders>
            <w:vAlign w:val="bottom"/>
          </w:tcPr>
          <w:p w:rsidR="003F1BF2" w:rsidRDefault="003F1BF2" w:rsidP="009268D6">
            <w:pPr>
              <w:pStyle w:val="TableBodyText"/>
            </w:pPr>
            <w:r>
              <w:t>6.4</w:t>
            </w:r>
          </w:p>
        </w:tc>
        <w:tc>
          <w:tcPr>
            <w:tcW w:w="458" w:type="pct"/>
            <w:tcBorders>
              <w:top w:val="nil"/>
              <w:left w:val="nil"/>
              <w:right w:val="nil"/>
            </w:tcBorders>
            <w:vAlign w:val="bottom"/>
          </w:tcPr>
          <w:p w:rsidR="003F1BF2" w:rsidRDefault="003F1BF2" w:rsidP="009268D6">
            <w:pPr>
              <w:pStyle w:val="TableBodyText"/>
            </w:pPr>
            <w:r>
              <w:t>5.7</w:t>
            </w:r>
          </w:p>
        </w:tc>
        <w:tc>
          <w:tcPr>
            <w:tcW w:w="81" w:type="pct"/>
            <w:tcBorders>
              <w:top w:val="nil"/>
              <w:left w:val="nil"/>
              <w:right w:val="nil"/>
            </w:tcBorders>
          </w:tcPr>
          <w:p w:rsidR="003F1BF2" w:rsidRDefault="003F1BF2" w:rsidP="009268D6">
            <w:pPr>
              <w:pStyle w:val="TableBodyText"/>
            </w:pPr>
          </w:p>
        </w:tc>
        <w:tc>
          <w:tcPr>
            <w:tcW w:w="677" w:type="pct"/>
            <w:tcBorders>
              <w:top w:val="nil"/>
              <w:left w:val="nil"/>
              <w:right w:val="nil"/>
            </w:tcBorders>
            <w:vAlign w:val="bottom"/>
          </w:tcPr>
          <w:p w:rsidR="003F1BF2" w:rsidRPr="00D66619" w:rsidRDefault="003F1BF2" w:rsidP="009268D6">
            <w:pPr>
              <w:pStyle w:val="TableBodyText"/>
            </w:pPr>
            <w:r>
              <w:noBreakHyphen/>
              <w:t>0.8</w:t>
            </w:r>
          </w:p>
        </w:tc>
        <w:tc>
          <w:tcPr>
            <w:tcW w:w="674" w:type="pct"/>
            <w:tcBorders>
              <w:top w:val="nil"/>
              <w:left w:val="nil"/>
              <w:right w:val="nil"/>
            </w:tcBorders>
            <w:vAlign w:val="bottom"/>
          </w:tcPr>
          <w:p w:rsidR="003F1BF2" w:rsidRPr="00D66619" w:rsidRDefault="003F1BF2" w:rsidP="009268D6">
            <w:pPr>
              <w:pStyle w:val="TableBodyText"/>
              <w:ind w:right="28"/>
            </w:pPr>
            <w:r>
              <w:noBreakHyphen/>
              <w:t>0.7</w:t>
            </w:r>
          </w:p>
        </w:tc>
      </w:tr>
      <w:tr w:rsidR="003F1BF2" w:rsidTr="009268D6">
        <w:tc>
          <w:tcPr>
            <w:tcW w:w="1146" w:type="pct"/>
            <w:tcBorders>
              <w:left w:val="nil"/>
              <w:bottom w:val="single" w:sz="6" w:space="0" w:color="auto"/>
              <w:right w:val="nil"/>
            </w:tcBorders>
            <w:vAlign w:val="bottom"/>
          </w:tcPr>
          <w:p w:rsidR="003F1BF2" w:rsidRPr="00BF5C73" w:rsidRDefault="003F1BF2" w:rsidP="009268D6">
            <w:pPr>
              <w:pStyle w:val="TableBodyText"/>
              <w:spacing w:before="80"/>
              <w:jc w:val="left"/>
            </w:pPr>
            <w:r w:rsidRPr="00D66619">
              <w:t>Total (</w:t>
            </w:r>
            <w:r>
              <w:t xml:space="preserve">9 </w:t>
            </w:r>
            <w:r w:rsidRPr="00D66619">
              <w:t>sector</w:t>
            </w:r>
            <w:r>
              <w:t>s</w:t>
            </w:r>
            <w:r w:rsidRPr="00D66619">
              <w:t>)</w:t>
            </w:r>
          </w:p>
        </w:tc>
        <w:tc>
          <w:tcPr>
            <w:tcW w:w="485" w:type="pct"/>
            <w:tcBorders>
              <w:left w:val="nil"/>
              <w:bottom w:val="single" w:sz="6" w:space="0" w:color="auto"/>
              <w:right w:val="nil"/>
            </w:tcBorders>
            <w:vAlign w:val="bottom"/>
          </w:tcPr>
          <w:p w:rsidR="003F1BF2" w:rsidRDefault="003F1BF2" w:rsidP="009268D6">
            <w:pPr>
              <w:pStyle w:val="TableBodyText"/>
            </w:pPr>
            <w:r>
              <w:t>3.5</w:t>
            </w:r>
          </w:p>
        </w:tc>
        <w:tc>
          <w:tcPr>
            <w:tcW w:w="485" w:type="pct"/>
            <w:tcBorders>
              <w:left w:val="nil"/>
              <w:bottom w:val="single" w:sz="6" w:space="0" w:color="auto"/>
              <w:right w:val="nil"/>
            </w:tcBorders>
            <w:vAlign w:val="bottom"/>
          </w:tcPr>
          <w:p w:rsidR="003F1BF2" w:rsidRDefault="003F1BF2" w:rsidP="009268D6">
            <w:pPr>
              <w:pStyle w:val="TableBodyText"/>
            </w:pPr>
            <w:r>
              <w:t>3.1</w:t>
            </w:r>
          </w:p>
        </w:tc>
        <w:tc>
          <w:tcPr>
            <w:tcW w:w="77" w:type="pct"/>
            <w:tcBorders>
              <w:left w:val="nil"/>
              <w:bottom w:val="single" w:sz="6" w:space="0" w:color="auto"/>
              <w:right w:val="nil"/>
            </w:tcBorders>
          </w:tcPr>
          <w:p w:rsidR="003F1BF2" w:rsidRDefault="003F1BF2" w:rsidP="009268D6">
            <w:pPr>
              <w:pStyle w:val="TableBodyText"/>
            </w:pPr>
          </w:p>
        </w:tc>
        <w:tc>
          <w:tcPr>
            <w:tcW w:w="460" w:type="pct"/>
            <w:tcBorders>
              <w:left w:val="nil"/>
              <w:bottom w:val="single" w:sz="6" w:space="0" w:color="auto"/>
              <w:right w:val="nil"/>
            </w:tcBorders>
            <w:vAlign w:val="bottom"/>
          </w:tcPr>
          <w:p w:rsidR="003F1BF2" w:rsidRDefault="003F1BF2" w:rsidP="009268D6">
            <w:pPr>
              <w:pStyle w:val="TableBodyText"/>
            </w:pPr>
            <w:r>
              <w:t>100.0</w:t>
            </w:r>
          </w:p>
        </w:tc>
        <w:tc>
          <w:tcPr>
            <w:tcW w:w="457" w:type="pct"/>
            <w:tcBorders>
              <w:left w:val="nil"/>
              <w:bottom w:val="single" w:sz="6" w:space="0" w:color="auto"/>
              <w:right w:val="nil"/>
            </w:tcBorders>
            <w:vAlign w:val="bottom"/>
          </w:tcPr>
          <w:p w:rsidR="003F1BF2" w:rsidRDefault="003F1BF2" w:rsidP="009268D6">
            <w:pPr>
              <w:pStyle w:val="TableBodyText"/>
            </w:pPr>
            <w:r>
              <w:t>100.0</w:t>
            </w:r>
          </w:p>
        </w:tc>
        <w:tc>
          <w:tcPr>
            <w:tcW w:w="458" w:type="pct"/>
            <w:tcBorders>
              <w:left w:val="nil"/>
              <w:bottom w:val="single" w:sz="6" w:space="0" w:color="auto"/>
              <w:right w:val="nil"/>
            </w:tcBorders>
            <w:vAlign w:val="bottom"/>
          </w:tcPr>
          <w:p w:rsidR="003F1BF2" w:rsidRDefault="003F1BF2" w:rsidP="009268D6">
            <w:pPr>
              <w:pStyle w:val="TableBodyText"/>
            </w:pPr>
            <w:r>
              <w:t>100.0</w:t>
            </w:r>
          </w:p>
        </w:tc>
        <w:tc>
          <w:tcPr>
            <w:tcW w:w="81" w:type="pct"/>
            <w:tcBorders>
              <w:left w:val="nil"/>
              <w:bottom w:val="single" w:sz="6" w:space="0" w:color="auto"/>
              <w:right w:val="nil"/>
            </w:tcBorders>
          </w:tcPr>
          <w:p w:rsidR="003F1BF2" w:rsidRDefault="003F1BF2" w:rsidP="009268D6">
            <w:pPr>
              <w:pStyle w:val="TableBodyText"/>
            </w:pPr>
          </w:p>
        </w:tc>
        <w:tc>
          <w:tcPr>
            <w:tcW w:w="677" w:type="pct"/>
            <w:tcBorders>
              <w:left w:val="nil"/>
              <w:bottom w:val="single" w:sz="6" w:space="0" w:color="auto"/>
              <w:right w:val="nil"/>
            </w:tcBorders>
            <w:vAlign w:val="bottom"/>
          </w:tcPr>
          <w:p w:rsidR="003F1BF2" w:rsidRPr="00D66619" w:rsidRDefault="003F1BF2" w:rsidP="009268D6">
            <w:pPr>
              <w:pStyle w:val="TableBodyText"/>
            </w:pPr>
            <w:r>
              <w:t>na</w:t>
            </w:r>
          </w:p>
        </w:tc>
        <w:tc>
          <w:tcPr>
            <w:tcW w:w="674" w:type="pct"/>
            <w:tcBorders>
              <w:left w:val="nil"/>
              <w:bottom w:val="single" w:sz="6" w:space="0" w:color="auto"/>
              <w:right w:val="nil"/>
            </w:tcBorders>
            <w:vAlign w:val="bottom"/>
          </w:tcPr>
          <w:p w:rsidR="003F1BF2" w:rsidRPr="00D66619" w:rsidRDefault="003F1BF2" w:rsidP="009268D6">
            <w:pPr>
              <w:pStyle w:val="TableBodyText"/>
              <w:ind w:right="28"/>
            </w:pPr>
            <w:r>
              <w:t>na</w:t>
            </w:r>
          </w:p>
        </w:tc>
      </w:tr>
    </w:tbl>
    <w:p w:rsidR="003F1BF2" w:rsidRDefault="003F1BF2" w:rsidP="003F1BF2">
      <w:pPr>
        <w:pStyle w:val="Note"/>
      </w:pPr>
      <w:r>
        <w:rPr>
          <w:rStyle w:val="NoteLabel"/>
        </w:rPr>
        <w:t>a</w:t>
      </w:r>
      <w:r>
        <w:t xml:space="preserve"> Chain volume measures (reference year 2010-11) for year ended June. Sectors are broad industry groupings, as defined in appendix A. Output shares are calculated by dividing real gross value added for the sector by the sum across the nine sectors. This sum is not the same as reported real gross domestic product, due to the way chain volume measures are calculated.  </w:t>
      </w:r>
      <w:r>
        <w:rPr>
          <w:rStyle w:val="NoteLabel"/>
        </w:rPr>
        <w:t>b</w:t>
      </w:r>
      <w:r>
        <w:t xml:space="preserve"> Shares may not add up, due to rounding.  </w:t>
      </w:r>
      <w:r w:rsidRPr="00D510B4">
        <w:rPr>
          <w:b/>
        </w:rPr>
        <w:t>na</w:t>
      </w:r>
      <w:r>
        <w:t xml:space="preserve"> Not applicable.</w:t>
      </w:r>
    </w:p>
    <w:p w:rsidR="003F1BF2" w:rsidRDefault="003F1BF2" w:rsidP="003F1BF2">
      <w:pPr>
        <w:pStyle w:val="Source"/>
      </w:pPr>
      <w:r>
        <w:rPr>
          <w:i/>
        </w:rPr>
        <w:t>Source</w:t>
      </w:r>
      <w:r>
        <w:t>: ABS (</w:t>
      </w:r>
      <w:r>
        <w:rPr>
          <w:i/>
        </w:rPr>
        <w:t>Australian System of National Accounts, 2011</w:t>
      </w:r>
      <w:r>
        <w:rPr>
          <w:i/>
        </w:rPr>
        <w:noBreakHyphen/>
        <w:t>12</w:t>
      </w:r>
      <w:r>
        <w:t>, Cat. no. 5204.0).</w:t>
      </w:r>
    </w:p>
    <w:p w:rsidR="003F1BF2" w:rsidRDefault="003F1BF2" w:rsidP="003F1BF2">
      <w:pPr>
        <w:pStyle w:val="BodyText"/>
      </w:pPr>
      <w:r>
        <w:t>Figure 3.1 provides further illustration of the continuing relative contraction of the manufacturing and agricultural sectors. Even though both these sectors experienced real output growth between 1978 and 2012, their share of total real gross value added declined further over the period.</w:t>
      </w:r>
    </w:p>
    <w:p w:rsidR="003F1BF2" w:rsidRPr="006D5509" w:rsidRDefault="003F1BF2" w:rsidP="003F1BF2">
      <w:pPr>
        <w:pStyle w:val="BodyText"/>
      </w:pPr>
      <w:r>
        <w:t>The picture provided by the remaining sectors — covering service activities — is diverse. The rapid growth in the share of business services stands out, particularly during the 1978–2002 period.</w:t>
      </w:r>
      <w:r w:rsidRPr="006D5509">
        <w:t xml:space="preserve"> </w:t>
      </w:r>
      <w:r w:rsidRPr="00D66E48">
        <w:t>Conversely, some service</w:t>
      </w:r>
      <w:r>
        <w:t xml:space="preserve"> categories</w:t>
      </w:r>
      <w:r w:rsidRPr="00D66E48">
        <w:t xml:space="preserve"> such as </w:t>
      </w:r>
      <w:r>
        <w:t xml:space="preserve">social </w:t>
      </w:r>
      <w:r>
        <w:lastRenderedPageBreak/>
        <w:t>and personal services</w:t>
      </w:r>
      <w:r w:rsidRPr="00D66E48">
        <w:t xml:space="preserve">, despite being </w:t>
      </w:r>
      <w:r>
        <w:t>largely</w:t>
      </w:r>
      <w:r w:rsidRPr="00D66E48">
        <w:t xml:space="preserve"> non</w:t>
      </w:r>
      <w:r>
        <w:noBreakHyphen/>
      </w:r>
      <w:r w:rsidRPr="00D66E48">
        <w:t xml:space="preserve">tradeable, </w:t>
      </w:r>
      <w:r>
        <w:t>have seen their output share fall in the last 30 years or so</w:t>
      </w:r>
      <w:r w:rsidRPr="00D66E48">
        <w:t>.</w:t>
      </w:r>
      <w:r>
        <w:t xml:space="preserve"> For social services in particular, this may reflect in part the effects of input costs valuation of non-market services, already mentioned, as this sector comprises both the Education and training and Health care and social assistance industries.</w:t>
      </w:r>
      <w:r>
        <w:rPr>
          <w:rStyle w:val="FootnoteReference"/>
        </w:rPr>
        <w:footnoteReference w:id="3"/>
      </w:r>
      <w:r>
        <w:t xml:space="preserve"> Despite the declining share of the overall social services sector in total real output, the individual share of the Health care and social assistance industry grew by 1.6 percentage points between 1978 and 2012 — from 5.3 per cent to 6.9 per cent (data not shown).  </w:t>
      </w:r>
    </w:p>
    <w:p w:rsidR="003F1BF2" w:rsidRPr="00A92042" w:rsidRDefault="003F1BF2" w:rsidP="00275991">
      <w:pPr>
        <w:pStyle w:val="Heading3"/>
      </w:pPr>
      <w:r w:rsidRPr="00A92042">
        <w:t>Increased structural change reflects price effects</w:t>
      </w:r>
    </w:p>
    <w:p w:rsidR="003F1BF2" w:rsidRDefault="003F1BF2" w:rsidP="003F1BF2">
      <w:pPr>
        <w:pStyle w:val="BodyText"/>
      </w:pPr>
      <w:r>
        <w:t>Price effects are apparent in structural change indexes (SCIs). These indexes are a commonly</w:t>
      </w:r>
      <w:r>
        <w:noBreakHyphen/>
        <w:t xml:space="preserve">used method for measuring the rate of structural change, and have been used in previous Commission work (De Laine, Lee and Woodbridge 1997; PC 1998; Parham 2012) as well as by others (Connolly and Lewis 2010; Connolly and Orsmond 2011). The SCI shows the rate at which sectoral (or regional) shares of output (or employment or investment) are changing over time. </w:t>
      </w:r>
    </w:p>
    <w:p w:rsidR="003F1BF2" w:rsidRDefault="003F1BF2" w:rsidP="003F1BF2">
      <w:pPr>
        <w:pStyle w:val="BodyText"/>
      </w:pPr>
      <w:r>
        <w:t>Following standard practice, structural change indexes presented in this chapter (and in chapter 4) are calculated as half the sum of the (absolute) five</w:t>
      </w:r>
      <w:r>
        <w:noBreakHyphen/>
        <w:t>year change in the five</w:t>
      </w:r>
      <w:r>
        <w:noBreakHyphen/>
        <w:t>year moving average of industry shares of output. Thus, an SCI value of 2 in a given year indicates that 2 per cent of total output has been ‘reallocated’ between sectors, on average, over the preceding five years. An increase in the index value over time implies an increased rate of change in sectoral shares of output. It should be noted that the index is sensitive to settings such as the level of disaggregation (greater disaggregation results in greater measured structural change) and the choice of time span (the longer the span, the ‘smoother’ the indicator). Further discussion of the calculation and use of SCIs is provided in appendix B.</w:t>
      </w:r>
    </w:p>
    <w:p w:rsidR="003F1BF2" w:rsidRDefault="003F1BF2" w:rsidP="003F1BF2">
      <w:pPr>
        <w:pStyle w:val="BodyText"/>
      </w:pPr>
      <w:r>
        <w:t xml:space="preserve">In nominal terms, the rate of structural change in sectoral shares of output increased during the 2000s — reaching a peak in 2011 — but is nevertheless comparable with that observed in previous periods of rapid structural change (figure 3.2). By contrast, measured structural change in real output has been considerably lower in the past decade than in earlier periods. As shown in table 3.1, changes in most sectoral shares of real output were relatively small during the 2002–2012 period. This suggests that the rising nominal structural change index during that period predominantly reflected the effects of high commodity prices on the value of the </w:t>
      </w:r>
      <w:r>
        <w:lastRenderedPageBreak/>
        <w:t>natural resources sector’s output. Relatively slow volume growth in that sector also underlies the low rate of structural change in real terms (figure 3.2). However, once the recently</w:t>
      </w:r>
      <w:r>
        <w:noBreakHyphen/>
        <w:t>installed mining and energy extraction capacity comes on stream, that measure of structural change could increase.</w:t>
      </w:r>
    </w:p>
    <w:p w:rsidR="003F1BF2" w:rsidRDefault="003F1BF2" w:rsidP="003F1BF2">
      <w:pPr>
        <w:pStyle w:val="FigureTitle"/>
      </w:pPr>
      <w:r>
        <w:rPr>
          <w:b w:val="0"/>
        </w:rPr>
        <w:t xml:space="preserve">Figure </w:t>
      </w:r>
      <w:bookmarkStart w:id="7" w:name="OLE_LINK20"/>
      <w:r>
        <w:rPr>
          <w:b w:val="0"/>
        </w:rPr>
        <w:t>3.</w:t>
      </w:r>
      <w:r>
        <w:rPr>
          <w:b w:val="0"/>
          <w:noProof/>
        </w:rPr>
        <w:t>2</w:t>
      </w:r>
      <w:bookmarkEnd w:id="7"/>
      <w:r>
        <w:tab/>
        <w:t>Structural change in sectoral shares of nominal and real output</w:t>
      </w:r>
    </w:p>
    <w:p w:rsidR="003F1BF2" w:rsidRDefault="003F1BF2" w:rsidP="003F1BF2">
      <w:pPr>
        <w:pStyle w:val="Subtitle"/>
      </w:pPr>
      <w:r>
        <w:t>Structural change indexes</w:t>
      </w:r>
      <w:r w:rsidR="00FD7C7B">
        <w:t xml:space="preserve"> for an</w:t>
      </w:r>
      <w:r>
        <w:t xml:space="preserve"> </w:t>
      </w:r>
      <w:r w:rsidR="004629BC">
        <w:t>eight-sector aggregation of industries</w:t>
      </w:r>
      <w:r>
        <w:rPr>
          <w:rStyle w:val="NoteLabel"/>
        </w:rPr>
        <w:t>a</w:t>
      </w:r>
    </w:p>
    <w:tbl>
      <w:tblPr>
        <w:tblW w:w="0" w:type="auto"/>
        <w:tblInd w:w="119" w:type="dxa"/>
        <w:tblBorders>
          <w:top w:val="single" w:sz="6" w:space="0" w:color="auto"/>
          <w:bottom w:val="single" w:sz="6" w:space="0" w:color="auto"/>
        </w:tblBorders>
        <w:tblLayout w:type="fixed"/>
        <w:tblLook w:val="00A0" w:firstRow="1" w:lastRow="0" w:firstColumn="1" w:lastColumn="0" w:noHBand="0" w:noVBand="0"/>
      </w:tblPr>
      <w:tblGrid>
        <w:gridCol w:w="8777"/>
      </w:tblGrid>
      <w:tr w:rsidR="003F1BF2" w:rsidTr="009268D6">
        <w:tc>
          <w:tcPr>
            <w:tcW w:w="8777" w:type="dxa"/>
            <w:tcBorders>
              <w:top w:val="single" w:sz="6" w:space="0" w:color="auto"/>
              <w:left w:val="nil"/>
              <w:bottom w:val="single" w:sz="6" w:space="0" w:color="auto"/>
              <w:right w:val="nil"/>
            </w:tcBorders>
          </w:tcPr>
          <w:p w:rsidR="003F1BF2" w:rsidRDefault="003F1BF2" w:rsidP="009268D6">
            <w:pPr>
              <w:pStyle w:val="Figure"/>
            </w:pPr>
            <w:r>
              <w:rPr>
                <w:noProof/>
              </w:rPr>
              <w:drawing>
                <wp:inline distT="0" distB="0" distL="0" distR="0" wp14:anchorId="48275F08" wp14:editId="29758389">
                  <wp:extent cx="5400000" cy="2880000"/>
                  <wp:effectExtent l="0" t="0" r="0" b="0"/>
                  <wp:docPr id="7" name="Chart 7" descr="Figure 3.2 Structural change indexes in sectoral shares of nominal output and real output, from 1958 to 2012. Nominal output measured as factor income by industry in current prices. Real output measured as gross value added by industry in chain volume terms (reference year is 2010-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3F1BF2" w:rsidRDefault="003F1BF2" w:rsidP="003F1BF2">
      <w:pPr>
        <w:pStyle w:val="Note"/>
      </w:pPr>
      <w:r>
        <w:rPr>
          <w:rStyle w:val="NoteLabel"/>
        </w:rPr>
        <w:t>a</w:t>
      </w:r>
      <w:r>
        <w:t xml:space="preserve"> Calculated as half the sum of the (absolute) five</w:t>
      </w:r>
      <w:r>
        <w:noBreakHyphen/>
        <w:t>year change in the five</w:t>
      </w:r>
      <w:r>
        <w:noBreakHyphen/>
        <w:t>year moving average of sectoral shares, with the final year indicated. The eight</w:t>
      </w:r>
      <w:r>
        <w:noBreakHyphen/>
        <w:t>sector classification follows Connolly and Lewis (2010), footnote 8, and is described in appendix A. ‘</w:t>
      </w:r>
      <w:r w:rsidRPr="00B37E92">
        <w:t>Nominal output</w:t>
      </w:r>
      <w:r>
        <w:t>’ is factor income by industry, at current prices, for year ended June. ‘</w:t>
      </w:r>
      <w:r w:rsidRPr="00B37E92">
        <w:t>Real output</w:t>
      </w:r>
      <w:r>
        <w:t>’</w:t>
      </w:r>
      <w:r w:rsidRPr="000C09AD">
        <w:t xml:space="preserve"> </w:t>
      </w:r>
      <w:r>
        <w:t>is gross value added by industry in chain volume terms (reference year 2010-11) for year ended June.</w:t>
      </w:r>
    </w:p>
    <w:p w:rsidR="003F1BF2" w:rsidRDefault="003F1BF2" w:rsidP="003F1BF2">
      <w:pPr>
        <w:pStyle w:val="Source"/>
      </w:pPr>
      <w:r>
        <w:rPr>
          <w:i/>
        </w:rPr>
        <w:t>Sources</w:t>
      </w:r>
      <w:r>
        <w:t>: Productivity Commission estimates using ABS (</w:t>
      </w:r>
      <w:r>
        <w:rPr>
          <w:i/>
        </w:rPr>
        <w:t>Australian System of National Accounts, 2011</w:t>
      </w:r>
      <w:r>
        <w:rPr>
          <w:i/>
        </w:rPr>
        <w:noBreakHyphen/>
        <w:t>12</w:t>
      </w:r>
      <w:r>
        <w:t>, Cat. no. 5204.0) and Connolly, E. (RBA, Sydney, pers. comm., 13 August 2012, unpublished data).</w:t>
      </w:r>
    </w:p>
    <w:p w:rsidR="004629BC" w:rsidRDefault="004629BC" w:rsidP="004629BC">
      <w:pPr>
        <w:pStyle w:val="BodyText"/>
      </w:pPr>
      <w:r>
        <w:t>The results in figure 3.2 suggest that the 1970s to early 1980s period was the ‘peak’ era for structural change in real terms, as measured through SCIs, in Australia’s recent past. Although it is beyond the scope of this supplement to examine the reasons for the much greater level of the measured real SCI in the 1970s–1980s, plausible contributing influences would have been energy price rises due to the multiple oil shocks, as well as natural resources discoveries, rural and minerals commodities booms, and trade reforms.</w:t>
      </w:r>
    </w:p>
    <w:p w:rsidR="006B5180" w:rsidRDefault="004629BC" w:rsidP="004629BC">
      <w:pPr>
        <w:pStyle w:val="BodyText"/>
      </w:pPr>
      <w:r>
        <w:t xml:space="preserve">It </w:t>
      </w:r>
      <w:r w:rsidR="00FD7C7B">
        <w:t>should be noted</w:t>
      </w:r>
      <w:r>
        <w:t xml:space="preserve"> that a comparison of structural change peaks over time is unavoidably influenced by the level of aggregation </w:t>
      </w:r>
      <w:r w:rsidR="00FD7C7B">
        <w:t>selected</w:t>
      </w:r>
      <w:r>
        <w:t xml:space="preserve">. If the </w:t>
      </w:r>
      <w:r w:rsidR="00FD7C7B">
        <w:t xml:space="preserve">five-sector </w:t>
      </w:r>
      <w:r>
        <w:t>aggregation of services</w:t>
      </w:r>
      <w:r w:rsidR="00FD7C7B">
        <w:t xml:space="preserve"> </w:t>
      </w:r>
      <w:r>
        <w:t xml:space="preserve">used </w:t>
      </w:r>
      <w:r w:rsidR="0055783F">
        <w:t>as part of</w:t>
      </w:r>
      <w:r>
        <w:t xml:space="preserve"> figure 3.2 w</w:t>
      </w:r>
      <w:r w:rsidR="00FD7C7B">
        <w:t xml:space="preserve">ere </w:t>
      </w:r>
      <w:r>
        <w:t xml:space="preserve">replaced </w:t>
      </w:r>
      <w:r w:rsidR="000A02F8">
        <w:t>with</w:t>
      </w:r>
      <w:r>
        <w:t xml:space="preserve"> </w:t>
      </w:r>
      <w:r w:rsidR="00F019B1">
        <w:t xml:space="preserve">the underlying </w:t>
      </w:r>
      <w:r w:rsidR="00FD7C7B">
        <w:t>16</w:t>
      </w:r>
      <w:r w:rsidR="005636D3">
        <w:t> </w:t>
      </w:r>
      <w:r w:rsidR="004F4435">
        <w:t xml:space="preserve">disaggregated </w:t>
      </w:r>
      <w:r w:rsidR="006B5180">
        <w:t xml:space="preserve">service </w:t>
      </w:r>
      <w:r w:rsidR="00FD7C7B">
        <w:t>industries, structural change index values</w:t>
      </w:r>
      <w:r w:rsidR="006B5180">
        <w:t xml:space="preserve"> for each year</w:t>
      </w:r>
      <w:r w:rsidR="00FD7C7B">
        <w:t xml:space="preserve"> would be </w:t>
      </w:r>
      <w:r w:rsidR="006B5180">
        <w:t>higher. Moreover, the size of the various peaks</w:t>
      </w:r>
      <w:r w:rsidR="005F76D1">
        <w:t>, relative to each other,</w:t>
      </w:r>
      <w:r w:rsidR="006B5180">
        <w:t xml:space="preserve"> </w:t>
      </w:r>
      <w:r w:rsidR="006B5180">
        <w:lastRenderedPageBreak/>
        <w:t xml:space="preserve">would change, as the scope for shifts in industry output shares would increase. For example, the adverse </w:t>
      </w:r>
      <w:r w:rsidR="00B313FD">
        <w:t>impact</w:t>
      </w:r>
      <w:r w:rsidR="006B5180">
        <w:t xml:space="preserve"> of the high Australian dollar on some trade-exposed components of the Education and </w:t>
      </w:r>
      <w:r w:rsidR="00B313FD">
        <w:t>training</w:t>
      </w:r>
      <w:r w:rsidR="006B5180">
        <w:t xml:space="preserve"> and Accommodation and food services industries would be more likely to be reflected in a 19-industry structural change index than in </w:t>
      </w:r>
      <w:r w:rsidR="005F76D1">
        <w:t>the</w:t>
      </w:r>
      <w:r w:rsidR="006B5180">
        <w:t xml:space="preserve"> 8-sector index</w:t>
      </w:r>
      <w:r w:rsidR="005F76D1">
        <w:t xml:space="preserve"> in figure 3.2</w:t>
      </w:r>
      <w:r w:rsidR="006B5180">
        <w:t xml:space="preserve">. </w:t>
      </w:r>
    </w:p>
    <w:p w:rsidR="004629BC" w:rsidRDefault="006B5180" w:rsidP="004629BC">
      <w:pPr>
        <w:pStyle w:val="BodyText"/>
      </w:pPr>
      <w:r>
        <w:t>Nonetheless, the conclusion that the peak era for structural change in real output was in the late 1970s and early 1980s would not be affected by a move to a 19</w:t>
      </w:r>
      <w:r w:rsidR="00B313FD">
        <w:noBreakHyphen/>
      </w:r>
      <w:r>
        <w:t>industry index.</w:t>
      </w:r>
      <w:r w:rsidR="00B313FD">
        <w:rPr>
          <w:rStyle w:val="FootnoteReference"/>
        </w:rPr>
        <w:footnoteReference w:id="4"/>
      </w:r>
    </w:p>
    <w:p w:rsidR="003F1BF2" w:rsidRDefault="003F1BF2" w:rsidP="003F1BF2">
      <w:pPr>
        <w:pStyle w:val="Heading3"/>
      </w:pPr>
      <w:r>
        <w:t>Goods</w:t>
      </w:r>
      <w:r>
        <w:noBreakHyphen/>
        <w:t>producing industries</w:t>
      </w:r>
    </w:p>
    <w:p w:rsidR="003F1BF2" w:rsidRDefault="003F1BF2" w:rsidP="003F1BF2">
      <w:pPr>
        <w:pStyle w:val="BodyText"/>
      </w:pPr>
      <w:r>
        <w:t>Due to the tradeable nature of their output, goods</w:t>
      </w:r>
      <w:r>
        <w:noBreakHyphen/>
        <w:t>producing industries (agriculture, mining and manufacturing) tend to be more exposed to competition from overseas producers, in both domestic and foreign markets. The past decade has seen increasing price pressures on many manufacturing industries by lower</w:t>
      </w:r>
      <w:r>
        <w:noBreakHyphen/>
        <w:t>cost overseas producers and an appreciation of the exchange rate — part of the ‘Dutch disease’ or ‘two</w:t>
      </w:r>
      <w:r>
        <w:noBreakHyphen/>
        <w:t>speed economy’ concepts, as discussed in chapter 1 (box 1.4). These competitive pressures have contributed to low growth rates and declining shares of output in many manufacturing industries (table 3.2). The decline is most pronounced in the relatively labour</w:t>
      </w:r>
      <w:r>
        <w:noBreakHyphen/>
        <w:t>intensive production of trade-exposed goods such as Textiles, clothing and footwear. Emerging economies such as China and other Asian countries (Malaysia, Thailand, Indonesia), with much larger endowments of low</w:t>
      </w:r>
      <w:r>
        <w:noBreakHyphen/>
        <w:t xml:space="preserve">cost, lower-skilled labour, have a pronounced comparative advantage in these products. Recent decades have also seen significant reductions in tariff assistance to local manufacturers (PC 2012f). </w:t>
      </w:r>
    </w:p>
    <w:p w:rsidR="003F1BF2" w:rsidRDefault="003F1BF2" w:rsidP="003F1BF2">
      <w:pPr>
        <w:pStyle w:val="TableTitle"/>
        <w:tabs>
          <w:tab w:val="left" w:pos="720"/>
          <w:tab w:val="left" w:pos="1440"/>
          <w:tab w:val="left" w:pos="2160"/>
          <w:tab w:val="left" w:pos="2880"/>
          <w:tab w:val="left" w:pos="3600"/>
          <w:tab w:val="left" w:pos="4320"/>
          <w:tab w:val="left" w:pos="5220"/>
        </w:tabs>
      </w:pPr>
      <w:r>
        <w:rPr>
          <w:b w:val="0"/>
        </w:rPr>
        <w:lastRenderedPageBreak/>
        <w:t xml:space="preserve">Table </w:t>
      </w:r>
      <w:bookmarkStart w:id="8" w:name="OLE_LINK28"/>
      <w:r>
        <w:rPr>
          <w:b w:val="0"/>
        </w:rPr>
        <w:t>3.</w:t>
      </w:r>
      <w:r>
        <w:rPr>
          <w:b w:val="0"/>
          <w:noProof/>
        </w:rPr>
        <w:t>2</w:t>
      </w:r>
      <w:bookmarkEnd w:id="8"/>
      <w:r>
        <w:tab/>
        <w:t xml:space="preserve">Manufacturing industries — growth rates and shares of real output </w:t>
      </w:r>
    </w:p>
    <w:p w:rsidR="003F1BF2" w:rsidRDefault="003F1BF2" w:rsidP="003F1BF2">
      <w:pPr>
        <w:pStyle w:val="Subtitle"/>
      </w:pPr>
      <w:r>
        <w:t>Real gross value added by sector, 1978 to 2012</w:t>
      </w:r>
      <w:r>
        <w:rPr>
          <w:rStyle w:val="NoteLabel"/>
        </w:rPr>
        <w:t>a, b</w:t>
      </w:r>
    </w:p>
    <w:tbl>
      <w:tblPr>
        <w:tblW w:w="5000" w:type="pct"/>
        <w:tblLayout w:type="fixed"/>
        <w:tblCellMar>
          <w:left w:w="0" w:type="dxa"/>
          <w:right w:w="0" w:type="dxa"/>
        </w:tblCellMar>
        <w:tblLook w:val="00A0" w:firstRow="1" w:lastRow="0" w:firstColumn="1" w:lastColumn="0" w:noHBand="0" w:noVBand="0"/>
      </w:tblPr>
      <w:tblGrid>
        <w:gridCol w:w="2978"/>
        <w:gridCol w:w="1419"/>
        <w:gridCol w:w="1420"/>
        <w:gridCol w:w="190"/>
        <w:gridCol w:w="928"/>
        <w:gridCol w:w="928"/>
        <w:gridCol w:w="926"/>
      </w:tblGrid>
      <w:tr w:rsidR="003F1BF2" w:rsidTr="009268D6">
        <w:tc>
          <w:tcPr>
            <w:tcW w:w="1694" w:type="pct"/>
            <w:tcBorders>
              <w:top w:val="single" w:sz="4" w:space="0" w:color="auto"/>
              <w:left w:val="nil"/>
              <w:right w:val="nil"/>
            </w:tcBorders>
            <w:shd w:val="clear" w:color="auto" w:fill="auto"/>
          </w:tcPr>
          <w:p w:rsidR="003F1BF2" w:rsidRDefault="003F1BF2" w:rsidP="009268D6">
            <w:pPr>
              <w:pStyle w:val="TableColumnHeading"/>
              <w:jc w:val="left"/>
            </w:pPr>
          </w:p>
        </w:tc>
        <w:tc>
          <w:tcPr>
            <w:tcW w:w="1615" w:type="pct"/>
            <w:gridSpan w:val="2"/>
            <w:tcBorders>
              <w:top w:val="single" w:sz="6" w:space="0" w:color="auto"/>
              <w:left w:val="nil"/>
              <w:bottom w:val="single" w:sz="4" w:space="0" w:color="auto"/>
              <w:right w:val="nil"/>
            </w:tcBorders>
            <w:shd w:val="clear" w:color="auto" w:fill="auto"/>
          </w:tcPr>
          <w:p w:rsidR="003F1BF2" w:rsidRDefault="003F1BF2" w:rsidP="009268D6">
            <w:pPr>
              <w:pStyle w:val="TableColumnHeading"/>
            </w:pPr>
            <w:r>
              <w:t>Average annual growth rate</w:t>
            </w:r>
          </w:p>
        </w:tc>
        <w:tc>
          <w:tcPr>
            <w:tcW w:w="108" w:type="pct"/>
            <w:tcBorders>
              <w:top w:val="single" w:sz="4" w:space="0" w:color="auto"/>
              <w:left w:val="nil"/>
              <w:right w:val="nil"/>
            </w:tcBorders>
          </w:tcPr>
          <w:p w:rsidR="003F1BF2" w:rsidRDefault="003F1BF2" w:rsidP="009268D6">
            <w:pPr>
              <w:pStyle w:val="TableColumnHeading"/>
            </w:pPr>
          </w:p>
        </w:tc>
        <w:tc>
          <w:tcPr>
            <w:tcW w:w="1584" w:type="pct"/>
            <w:gridSpan w:val="3"/>
            <w:tcBorders>
              <w:top w:val="single" w:sz="6" w:space="0" w:color="auto"/>
              <w:left w:val="nil"/>
              <w:bottom w:val="single" w:sz="4" w:space="0" w:color="auto"/>
              <w:right w:val="nil"/>
            </w:tcBorders>
            <w:shd w:val="clear" w:color="auto" w:fill="auto"/>
          </w:tcPr>
          <w:p w:rsidR="003F1BF2" w:rsidRDefault="003F1BF2" w:rsidP="009268D6">
            <w:pPr>
              <w:pStyle w:val="TableColumnHeading"/>
            </w:pPr>
            <w:r>
              <w:t>Share of manufacturing output</w:t>
            </w:r>
          </w:p>
        </w:tc>
      </w:tr>
      <w:tr w:rsidR="003F1BF2" w:rsidTr="009268D6">
        <w:tc>
          <w:tcPr>
            <w:tcW w:w="1694" w:type="pct"/>
            <w:tcBorders>
              <w:left w:val="nil"/>
              <w:bottom w:val="nil"/>
              <w:right w:val="nil"/>
            </w:tcBorders>
            <w:shd w:val="clear" w:color="auto" w:fill="auto"/>
          </w:tcPr>
          <w:p w:rsidR="003F1BF2" w:rsidRDefault="003F1BF2" w:rsidP="009268D6">
            <w:pPr>
              <w:pStyle w:val="TableUnitsRow"/>
              <w:jc w:val="left"/>
            </w:pPr>
          </w:p>
        </w:tc>
        <w:tc>
          <w:tcPr>
            <w:tcW w:w="807" w:type="pct"/>
            <w:tcBorders>
              <w:top w:val="single" w:sz="4" w:space="0" w:color="auto"/>
              <w:left w:val="nil"/>
              <w:bottom w:val="nil"/>
              <w:right w:val="nil"/>
            </w:tcBorders>
            <w:shd w:val="clear" w:color="auto" w:fill="auto"/>
          </w:tcPr>
          <w:p w:rsidR="003F1BF2" w:rsidRDefault="003F1BF2" w:rsidP="009268D6">
            <w:pPr>
              <w:pStyle w:val="TableUnitsRow"/>
            </w:pPr>
            <w:r>
              <w:t>1978 to 2002</w:t>
            </w:r>
          </w:p>
        </w:tc>
        <w:tc>
          <w:tcPr>
            <w:tcW w:w="807" w:type="pct"/>
            <w:tcBorders>
              <w:top w:val="single" w:sz="4" w:space="0" w:color="auto"/>
              <w:left w:val="nil"/>
              <w:bottom w:val="nil"/>
              <w:right w:val="nil"/>
            </w:tcBorders>
          </w:tcPr>
          <w:p w:rsidR="003F1BF2" w:rsidRDefault="003F1BF2" w:rsidP="009268D6">
            <w:pPr>
              <w:pStyle w:val="TableUnitsRow"/>
            </w:pPr>
            <w:r>
              <w:t>2002 to 2012</w:t>
            </w:r>
          </w:p>
        </w:tc>
        <w:tc>
          <w:tcPr>
            <w:tcW w:w="108" w:type="pct"/>
            <w:tcBorders>
              <w:left w:val="nil"/>
              <w:bottom w:val="single" w:sz="4" w:space="0" w:color="auto"/>
              <w:right w:val="nil"/>
            </w:tcBorders>
          </w:tcPr>
          <w:p w:rsidR="003F1BF2" w:rsidRDefault="003F1BF2" w:rsidP="009268D6">
            <w:pPr>
              <w:pStyle w:val="TableUnitsRow"/>
            </w:pPr>
          </w:p>
        </w:tc>
        <w:tc>
          <w:tcPr>
            <w:tcW w:w="528" w:type="pct"/>
            <w:tcBorders>
              <w:top w:val="single" w:sz="4" w:space="0" w:color="auto"/>
              <w:left w:val="nil"/>
              <w:bottom w:val="nil"/>
              <w:right w:val="nil"/>
            </w:tcBorders>
            <w:shd w:val="clear" w:color="auto" w:fill="auto"/>
          </w:tcPr>
          <w:p w:rsidR="003F1BF2" w:rsidRDefault="003F1BF2" w:rsidP="009268D6">
            <w:pPr>
              <w:pStyle w:val="TableUnitsRow"/>
            </w:pPr>
            <w:r>
              <w:t>1978</w:t>
            </w:r>
          </w:p>
        </w:tc>
        <w:tc>
          <w:tcPr>
            <w:tcW w:w="528" w:type="pct"/>
            <w:tcBorders>
              <w:top w:val="single" w:sz="4" w:space="0" w:color="auto"/>
              <w:left w:val="nil"/>
              <w:bottom w:val="nil"/>
              <w:right w:val="nil"/>
            </w:tcBorders>
            <w:shd w:val="clear" w:color="auto" w:fill="auto"/>
          </w:tcPr>
          <w:p w:rsidR="003F1BF2" w:rsidRDefault="003F1BF2" w:rsidP="009268D6">
            <w:pPr>
              <w:pStyle w:val="TableUnitsRow"/>
            </w:pPr>
            <w:r>
              <w:t>2002</w:t>
            </w:r>
          </w:p>
        </w:tc>
        <w:tc>
          <w:tcPr>
            <w:tcW w:w="528" w:type="pct"/>
            <w:tcBorders>
              <w:top w:val="single" w:sz="4" w:space="0" w:color="auto"/>
              <w:left w:val="nil"/>
              <w:bottom w:val="nil"/>
              <w:right w:val="nil"/>
            </w:tcBorders>
            <w:shd w:val="clear" w:color="auto" w:fill="auto"/>
          </w:tcPr>
          <w:p w:rsidR="003F1BF2" w:rsidRDefault="003F1BF2" w:rsidP="009268D6">
            <w:pPr>
              <w:pStyle w:val="TableUnitsRow"/>
              <w:ind w:right="28"/>
            </w:pPr>
            <w:r>
              <w:t>2012</w:t>
            </w:r>
          </w:p>
        </w:tc>
      </w:tr>
      <w:tr w:rsidR="003F1BF2" w:rsidTr="009268D6">
        <w:tc>
          <w:tcPr>
            <w:tcW w:w="1694" w:type="pct"/>
            <w:tcBorders>
              <w:top w:val="single" w:sz="4" w:space="0" w:color="auto"/>
              <w:left w:val="nil"/>
              <w:bottom w:val="nil"/>
              <w:right w:val="nil"/>
            </w:tcBorders>
            <w:shd w:val="clear" w:color="auto" w:fill="auto"/>
          </w:tcPr>
          <w:p w:rsidR="003F1BF2" w:rsidRDefault="003F1BF2" w:rsidP="009268D6">
            <w:pPr>
              <w:pStyle w:val="TableUnitsRow"/>
              <w:jc w:val="left"/>
            </w:pPr>
          </w:p>
        </w:tc>
        <w:tc>
          <w:tcPr>
            <w:tcW w:w="807" w:type="pct"/>
            <w:tcBorders>
              <w:top w:val="single" w:sz="4" w:space="0" w:color="auto"/>
              <w:left w:val="nil"/>
              <w:bottom w:val="nil"/>
              <w:right w:val="nil"/>
            </w:tcBorders>
            <w:shd w:val="clear" w:color="auto" w:fill="auto"/>
          </w:tcPr>
          <w:p w:rsidR="003F1BF2" w:rsidRDefault="003F1BF2" w:rsidP="009268D6">
            <w:pPr>
              <w:pStyle w:val="TableUnitsRow"/>
            </w:pPr>
            <w:r>
              <w:t>%</w:t>
            </w:r>
          </w:p>
        </w:tc>
        <w:tc>
          <w:tcPr>
            <w:tcW w:w="807" w:type="pct"/>
            <w:tcBorders>
              <w:top w:val="single" w:sz="4" w:space="0" w:color="auto"/>
              <w:left w:val="nil"/>
              <w:bottom w:val="nil"/>
              <w:right w:val="nil"/>
            </w:tcBorders>
          </w:tcPr>
          <w:p w:rsidR="003F1BF2" w:rsidRDefault="003F1BF2" w:rsidP="009268D6">
            <w:pPr>
              <w:pStyle w:val="TableUnitsRow"/>
            </w:pPr>
            <w:r>
              <w:t>%</w:t>
            </w:r>
          </w:p>
        </w:tc>
        <w:tc>
          <w:tcPr>
            <w:tcW w:w="108" w:type="pct"/>
            <w:tcBorders>
              <w:top w:val="single" w:sz="4" w:space="0" w:color="auto"/>
              <w:left w:val="nil"/>
              <w:bottom w:val="nil"/>
              <w:right w:val="nil"/>
            </w:tcBorders>
          </w:tcPr>
          <w:p w:rsidR="003F1BF2" w:rsidRDefault="003F1BF2" w:rsidP="009268D6">
            <w:pPr>
              <w:pStyle w:val="TableUnitsRow"/>
            </w:pPr>
          </w:p>
        </w:tc>
        <w:tc>
          <w:tcPr>
            <w:tcW w:w="528" w:type="pct"/>
            <w:tcBorders>
              <w:top w:val="single" w:sz="4" w:space="0" w:color="auto"/>
              <w:left w:val="nil"/>
              <w:bottom w:val="nil"/>
              <w:right w:val="nil"/>
            </w:tcBorders>
            <w:shd w:val="clear" w:color="auto" w:fill="auto"/>
          </w:tcPr>
          <w:p w:rsidR="003F1BF2" w:rsidRDefault="003F1BF2" w:rsidP="009268D6">
            <w:pPr>
              <w:pStyle w:val="TableUnitsRow"/>
            </w:pPr>
            <w:r>
              <w:t>%</w:t>
            </w:r>
          </w:p>
        </w:tc>
        <w:tc>
          <w:tcPr>
            <w:tcW w:w="528" w:type="pct"/>
            <w:tcBorders>
              <w:top w:val="single" w:sz="4" w:space="0" w:color="auto"/>
              <w:left w:val="nil"/>
              <w:bottom w:val="nil"/>
              <w:right w:val="nil"/>
            </w:tcBorders>
            <w:shd w:val="clear" w:color="auto" w:fill="auto"/>
          </w:tcPr>
          <w:p w:rsidR="003F1BF2" w:rsidRDefault="003F1BF2" w:rsidP="009268D6">
            <w:pPr>
              <w:pStyle w:val="TableUnitsRow"/>
            </w:pPr>
            <w:r>
              <w:t>%</w:t>
            </w:r>
          </w:p>
        </w:tc>
        <w:tc>
          <w:tcPr>
            <w:tcW w:w="528" w:type="pct"/>
            <w:tcBorders>
              <w:top w:val="single" w:sz="4" w:space="0" w:color="auto"/>
              <w:left w:val="nil"/>
              <w:bottom w:val="nil"/>
              <w:right w:val="nil"/>
            </w:tcBorders>
            <w:shd w:val="clear" w:color="auto" w:fill="auto"/>
          </w:tcPr>
          <w:p w:rsidR="003F1BF2" w:rsidRDefault="003F1BF2" w:rsidP="009268D6">
            <w:pPr>
              <w:pStyle w:val="TableUnitsRow"/>
              <w:ind w:right="28"/>
            </w:pPr>
            <w:r>
              <w:t>%</w:t>
            </w:r>
          </w:p>
        </w:tc>
      </w:tr>
      <w:tr w:rsidR="003F1BF2" w:rsidTr="009268D6">
        <w:tc>
          <w:tcPr>
            <w:tcW w:w="1694" w:type="pct"/>
            <w:tcBorders>
              <w:left w:val="nil"/>
              <w:bottom w:val="nil"/>
              <w:right w:val="nil"/>
            </w:tcBorders>
            <w:shd w:val="clear" w:color="auto" w:fill="auto"/>
            <w:vAlign w:val="bottom"/>
          </w:tcPr>
          <w:p w:rsidR="003F1BF2" w:rsidRPr="008750F8" w:rsidRDefault="003F1BF2" w:rsidP="009268D6">
            <w:pPr>
              <w:pStyle w:val="TableBodyText"/>
              <w:jc w:val="left"/>
            </w:pPr>
            <w:r w:rsidRPr="008750F8">
              <w:t>Food</w:t>
            </w:r>
            <w:r>
              <w:t xml:space="preserve">, </w:t>
            </w:r>
            <w:r w:rsidRPr="008750F8">
              <w:t>beverage</w:t>
            </w:r>
            <w:r>
              <w:t xml:space="preserve"> and </w:t>
            </w:r>
            <w:r w:rsidRPr="008750F8">
              <w:t>tobacco</w:t>
            </w:r>
          </w:p>
        </w:tc>
        <w:tc>
          <w:tcPr>
            <w:tcW w:w="807" w:type="pct"/>
            <w:tcBorders>
              <w:left w:val="nil"/>
              <w:bottom w:val="nil"/>
              <w:right w:val="nil"/>
            </w:tcBorders>
            <w:shd w:val="clear" w:color="auto" w:fill="auto"/>
            <w:vAlign w:val="bottom"/>
          </w:tcPr>
          <w:p w:rsidR="003F1BF2" w:rsidRPr="008E4F4C" w:rsidRDefault="003F1BF2" w:rsidP="009268D6">
            <w:pPr>
              <w:pStyle w:val="TableBodyText"/>
            </w:pPr>
            <w:r w:rsidRPr="008E4F4C">
              <w:t>1.9</w:t>
            </w:r>
          </w:p>
        </w:tc>
        <w:tc>
          <w:tcPr>
            <w:tcW w:w="807" w:type="pct"/>
            <w:tcBorders>
              <w:left w:val="nil"/>
              <w:bottom w:val="nil"/>
              <w:right w:val="nil"/>
            </w:tcBorders>
            <w:vAlign w:val="bottom"/>
          </w:tcPr>
          <w:p w:rsidR="003F1BF2" w:rsidRPr="008E4F4C" w:rsidRDefault="003F1BF2" w:rsidP="009268D6">
            <w:pPr>
              <w:pStyle w:val="TableBodyText"/>
            </w:pPr>
            <w:r w:rsidRPr="008E4F4C">
              <w:t>0.1</w:t>
            </w:r>
          </w:p>
        </w:tc>
        <w:tc>
          <w:tcPr>
            <w:tcW w:w="108" w:type="pct"/>
            <w:tcBorders>
              <w:left w:val="nil"/>
              <w:bottom w:val="nil"/>
              <w:right w:val="nil"/>
            </w:tcBorders>
          </w:tcPr>
          <w:p w:rsidR="003F1BF2" w:rsidRPr="008E4F4C" w:rsidRDefault="003F1BF2" w:rsidP="009268D6">
            <w:pPr>
              <w:pStyle w:val="TableBodyText"/>
            </w:pPr>
          </w:p>
        </w:tc>
        <w:tc>
          <w:tcPr>
            <w:tcW w:w="528" w:type="pct"/>
            <w:tcBorders>
              <w:left w:val="nil"/>
              <w:bottom w:val="nil"/>
              <w:right w:val="nil"/>
            </w:tcBorders>
            <w:shd w:val="clear" w:color="auto" w:fill="auto"/>
            <w:vAlign w:val="bottom"/>
          </w:tcPr>
          <w:p w:rsidR="003F1BF2" w:rsidRPr="008E4F4C" w:rsidRDefault="003F1BF2" w:rsidP="009268D6">
            <w:pPr>
              <w:pStyle w:val="TableBodyText"/>
            </w:pPr>
            <w:r w:rsidRPr="008E4F4C">
              <w:t>20.1</w:t>
            </w:r>
          </w:p>
        </w:tc>
        <w:tc>
          <w:tcPr>
            <w:tcW w:w="528" w:type="pct"/>
            <w:tcBorders>
              <w:left w:val="nil"/>
              <w:bottom w:val="nil"/>
              <w:right w:val="nil"/>
            </w:tcBorders>
            <w:shd w:val="clear" w:color="auto" w:fill="auto"/>
            <w:vAlign w:val="bottom"/>
          </w:tcPr>
          <w:p w:rsidR="003F1BF2" w:rsidRPr="008E4F4C" w:rsidRDefault="003F1BF2" w:rsidP="009268D6">
            <w:pPr>
              <w:pStyle w:val="TableBodyText"/>
            </w:pPr>
            <w:r w:rsidRPr="008E4F4C">
              <w:t>21.3</w:t>
            </w:r>
          </w:p>
        </w:tc>
        <w:tc>
          <w:tcPr>
            <w:tcW w:w="528" w:type="pct"/>
            <w:tcBorders>
              <w:left w:val="nil"/>
              <w:bottom w:val="nil"/>
              <w:right w:val="nil"/>
            </w:tcBorders>
            <w:shd w:val="clear" w:color="auto" w:fill="auto"/>
            <w:vAlign w:val="bottom"/>
          </w:tcPr>
          <w:p w:rsidR="003F1BF2" w:rsidRPr="008E4F4C" w:rsidRDefault="003F1BF2" w:rsidP="009268D6">
            <w:pPr>
              <w:pStyle w:val="TableBodyText"/>
              <w:ind w:right="28"/>
            </w:pPr>
            <w:r w:rsidRPr="008E4F4C">
              <w:t>21.5</w:t>
            </w:r>
          </w:p>
        </w:tc>
      </w:tr>
      <w:tr w:rsidR="003F1BF2" w:rsidTr="009268D6">
        <w:tc>
          <w:tcPr>
            <w:tcW w:w="1694" w:type="pct"/>
            <w:shd w:val="clear" w:color="auto" w:fill="auto"/>
            <w:vAlign w:val="bottom"/>
          </w:tcPr>
          <w:p w:rsidR="003F1BF2" w:rsidRPr="008750F8" w:rsidRDefault="003F1BF2" w:rsidP="009268D6">
            <w:pPr>
              <w:pStyle w:val="TableBodyText"/>
              <w:jc w:val="left"/>
            </w:pPr>
            <w:r>
              <w:t>Textiles, clothing and other</w:t>
            </w:r>
          </w:p>
        </w:tc>
        <w:tc>
          <w:tcPr>
            <w:tcW w:w="807" w:type="pct"/>
            <w:shd w:val="clear" w:color="auto" w:fill="auto"/>
            <w:vAlign w:val="bottom"/>
          </w:tcPr>
          <w:p w:rsidR="003F1BF2" w:rsidRPr="008E4F4C" w:rsidRDefault="003F1BF2" w:rsidP="009268D6">
            <w:pPr>
              <w:pStyle w:val="TableBodyText"/>
            </w:pPr>
            <w:r w:rsidRPr="008E4F4C">
              <w:t>0.2</w:t>
            </w:r>
          </w:p>
        </w:tc>
        <w:tc>
          <w:tcPr>
            <w:tcW w:w="807" w:type="pct"/>
            <w:vAlign w:val="bottom"/>
          </w:tcPr>
          <w:p w:rsidR="003F1BF2" w:rsidRPr="008E4F4C" w:rsidRDefault="003F1BF2" w:rsidP="009268D6">
            <w:pPr>
              <w:pStyle w:val="TableBodyText"/>
            </w:pPr>
            <w:r>
              <w:noBreakHyphen/>
            </w:r>
            <w:r w:rsidRPr="008E4F4C">
              <w:t>6.4</w:t>
            </w:r>
          </w:p>
        </w:tc>
        <w:tc>
          <w:tcPr>
            <w:tcW w:w="108" w:type="pct"/>
          </w:tcPr>
          <w:p w:rsidR="003F1BF2" w:rsidRPr="008E4F4C" w:rsidRDefault="003F1BF2" w:rsidP="009268D6">
            <w:pPr>
              <w:pStyle w:val="TableBodyText"/>
            </w:pPr>
          </w:p>
        </w:tc>
        <w:tc>
          <w:tcPr>
            <w:tcW w:w="528" w:type="pct"/>
            <w:shd w:val="clear" w:color="auto" w:fill="auto"/>
            <w:vAlign w:val="bottom"/>
          </w:tcPr>
          <w:p w:rsidR="003F1BF2" w:rsidRPr="008E4F4C" w:rsidRDefault="003F1BF2" w:rsidP="009268D6">
            <w:pPr>
              <w:pStyle w:val="TableBodyText"/>
            </w:pPr>
            <w:r w:rsidRPr="008E4F4C">
              <w:t>16.9</w:t>
            </w:r>
          </w:p>
        </w:tc>
        <w:tc>
          <w:tcPr>
            <w:tcW w:w="528" w:type="pct"/>
            <w:shd w:val="clear" w:color="auto" w:fill="auto"/>
            <w:vAlign w:val="bottom"/>
          </w:tcPr>
          <w:p w:rsidR="003F1BF2" w:rsidRPr="008E4F4C" w:rsidRDefault="003F1BF2" w:rsidP="009268D6">
            <w:pPr>
              <w:pStyle w:val="TableBodyText"/>
            </w:pPr>
            <w:r w:rsidRPr="008E4F4C">
              <w:t>12.1</w:t>
            </w:r>
          </w:p>
        </w:tc>
        <w:tc>
          <w:tcPr>
            <w:tcW w:w="528" w:type="pct"/>
            <w:shd w:val="clear" w:color="auto" w:fill="auto"/>
            <w:vAlign w:val="bottom"/>
          </w:tcPr>
          <w:p w:rsidR="003F1BF2" w:rsidRPr="008E4F4C" w:rsidRDefault="003F1BF2" w:rsidP="009268D6">
            <w:pPr>
              <w:pStyle w:val="TableBodyText"/>
              <w:ind w:right="28"/>
            </w:pPr>
            <w:r w:rsidRPr="008E4F4C">
              <w:t>6.3</w:t>
            </w:r>
          </w:p>
        </w:tc>
      </w:tr>
      <w:tr w:rsidR="003F1BF2" w:rsidTr="009268D6">
        <w:tc>
          <w:tcPr>
            <w:tcW w:w="1694" w:type="pct"/>
            <w:shd w:val="clear" w:color="auto" w:fill="auto"/>
            <w:vAlign w:val="bottom"/>
          </w:tcPr>
          <w:p w:rsidR="003F1BF2" w:rsidRPr="008750F8" w:rsidRDefault="003F1BF2" w:rsidP="009268D6">
            <w:pPr>
              <w:pStyle w:val="TableBodyText"/>
              <w:jc w:val="left"/>
            </w:pPr>
            <w:r w:rsidRPr="008750F8">
              <w:t>Wood</w:t>
            </w:r>
            <w:r>
              <w:t xml:space="preserve"> and </w:t>
            </w:r>
            <w:r w:rsidRPr="008750F8">
              <w:t>paper</w:t>
            </w:r>
          </w:p>
        </w:tc>
        <w:tc>
          <w:tcPr>
            <w:tcW w:w="807" w:type="pct"/>
            <w:shd w:val="clear" w:color="auto" w:fill="auto"/>
            <w:vAlign w:val="bottom"/>
          </w:tcPr>
          <w:p w:rsidR="003F1BF2" w:rsidRPr="008E4F4C" w:rsidRDefault="003F1BF2" w:rsidP="009268D6">
            <w:pPr>
              <w:pStyle w:val="TableBodyText"/>
            </w:pPr>
            <w:r w:rsidRPr="008E4F4C">
              <w:t>0.9</w:t>
            </w:r>
          </w:p>
        </w:tc>
        <w:tc>
          <w:tcPr>
            <w:tcW w:w="807" w:type="pct"/>
            <w:vAlign w:val="bottom"/>
          </w:tcPr>
          <w:p w:rsidR="003F1BF2" w:rsidRPr="008E4F4C" w:rsidRDefault="003F1BF2" w:rsidP="009268D6">
            <w:pPr>
              <w:pStyle w:val="TableBodyText"/>
            </w:pPr>
            <w:r>
              <w:noBreakHyphen/>
            </w:r>
            <w:r w:rsidRPr="008E4F4C">
              <w:t>1.4</w:t>
            </w:r>
          </w:p>
        </w:tc>
        <w:tc>
          <w:tcPr>
            <w:tcW w:w="108" w:type="pct"/>
          </w:tcPr>
          <w:p w:rsidR="003F1BF2" w:rsidRPr="008E4F4C" w:rsidRDefault="003F1BF2" w:rsidP="009268D6">
            <w:pPr>
              <w:pStyle w:val="TableBodyText"/>
            </w:pPr>
          </w:p>
        </w:tc>
        <w:tc>
          <w:tcPr>
            <w:tcW w:w="528" w:type="pct"/>
            <w:shd w:val="clear" w:color="auto" w:fill="auto"/>
            <w:vAlign w:val="bottom"/>
          </w:tcPr>
          <w:p w:rsidR="003F1BF2" w:rsidRPr="008E4F4C" w:rsidRDefault="003F1BF2" w:rsidP="009268D6">
            <w:pPr>
              <w:pStyle w:val="TableBodyText"/>
            </w:pPr>
            <w:r w:rsidRPr="008E4F4C">
              <w:t>8.9</w:t>
            </w:r>
          </w:p>
        </w:tc>
        <w:tc>
          <w:tcPr>
            <w:tcW w:w="528" w:type="pct"/>
            <w:shd w:val="clear" w:color="auto" w:fill="auto"/>
            <w:vAlign w:val="bottom"/>
          </w:tcPr>
          <w:p w:rsidR="003F1BF2" w:rsidRPr="008E4F4C" w:rsidRDefault="003F1BF2" w:rsidP="009268D6">
            <w:pPr>
              <w:pStyle w:val="TableBodyText"/>
            </w:pPr>
            <w:r w:rsidRPr="008E4F4C">
              <w:t>7.6</w:t>
            </w:r>
          </w:p>
        </w:tc>
        <w:tc>
          <w:tcPr>
            <w:tcW w:w="528" w:type="pct"/>
            <w:shd w:val="clear" w:color="auto" w:fill="auto"/>
            <w:vAlign w:val="bottom"/>
          </w:tcPr>
          <w:p w:rsidR="003F1BF2" w:rsidRPr="008E4F4C" w:rsidRDefault="003F1BF2" w:rsidP="009268D6">
            <w:pPr>
              <w:pStyle w:val="TableBodyText"/>
              <w:ind w:right="28"/>
            </w:pPr>
            <w:r w:rsidRPr="008E4F4C">
              <w:t>6.6</w:t>
            </w:r>
          </w:p>
        </w:tc>
      </w:tr>
      <w:tr w:rsidR="003F1BF2" w:rsidTr="009268D6">
        <w:tc>
          <w:tcPr>
            <w:tcW w:w="1694" w:type="pct"/>
            <w:shd w:val="clear" w:color="auto" w:fill="auto"/>
            <w:vAlign w:val="bottom"/>
          </w:tcPr>
          <w:p w:rsidR="003F1BF2" w:rsidRPr="008750F8" w:rsidRDefault="003F1BF2" w:rsidP="009268D6">
            <w:pPr>
              <w:pStyle w:val="TableBodyText"/>
              <w:jc w:val="left"/>
            </w:pPr>
            <w:r w:rsidRPr="00144297">
              <w:t>Printing</w:t>
            </w:r>
            <w:r>
              <w:t xml:space="preserve"> and recorded media</w:t>
            </w:r>
          </w:p>
        </w:tc>
        <w:tc>
          <w:tcPr>
            <w:tcW w:w="807" w:type="pct"/>
            <w:shd w:val="clear" w:color="auto" w:fill="auto"/>
            <w:vAlign w:val="bottom"/>
          </w:tcPr>
          <w:p w:rsidR="003F1BF2" w:rsidRPr="008E4F4C" w:rsidRDefault="003F1BF2" w:rsidP="009268D6">
            <w:pPr>
              <w:pStyle w:val="TableBodyText"/>
            </w:pPr>
            <w:r w:rsidRPr="008E4F4C">
              <w:t>3.4</w:t>
            </w:r>
          </w:p>
        </w:tc>
        <w:tc>
          <w:tcPr>
            <w:tcW w:w="807" w:type="pct"/>
            <w:vAlign w:val="bottom"/>
          </w:tcPr>
          <w:p w:rsidR="003F1BF2" w:rsidRPr="008E4F4C" w:rsidRDefault="003F1BF2" w:rsidP="009268D6">
            <w:pPr>
              <w:pStyle w:val="TableBodyText"/>
            </w:pPr>
            <w:r>
              <w:noBreakHyphen/>
            </w:r>
            <w:r w:rsidRPr="008E4F4C">
              <w:t>2.5</w:t>
            </w:r>
          </w:p>
        </w:tc>
        <w:tc>
          <w:tcPr>
            <w:tcW w:w="108" w:type="pct"/>
          </w:tcPr>
          <w:p w:rsidR="003F1BF2" w:rsidRPr="008E4F4C" w:rsidRDefault="003F1BF2" w:rsidP="009268D6">
            <w:pPr>
              <w:pStyle w:val="TableBodyText"/>
            </w:pPr>
          </w:p>
        </w:tc>
        <w:tc>
          <w:tcPr>
            <w:tcW w:w="528" w:type="pct"/>
            <w:shd w:val="clear" w:color="auto" w:fill="auto"/>
            <w:vAlign w:val="bottom"/>
          </w:tcPr>
          <w:p w:rsidR="003F1BF2" w:rsidRPr="008E4F4C" w:rsidRDefault="003F1BF2" w:rsidP="009268D6">
            <w:pPr>
              <w:pStyle w:val="TableBodyText"/>
            </w:pPr>
            <w:r w:rsidRPr="008E4F4C">
              <w:t>3.0</w:t>
            </w:r>
          </w:p>
        </w:tc>
        <w:tc>
          <w:tcPr>
            <w:tcW w:w="528" w:type="pct"/>
            <w:shd w:val="clear" w:color="auto" w:fill="auto"/>
            <w:vAlign w:val="bottom"/>
          </w:tcPr>
          <w:p w:rsidR="003F1BF2" w:rsidRPr="008E4F4C" w:rsidRDefault="003F1BF2" w:rsidP="009268D6">
            <w:pPr>
              <w:pStyle w:val="TableBodyText"/>
            </w:pPr>
            <w:r w:rsidRPr="008E4F4C">
              <w:t>4.6</w:t>
            </w:r>
          </w:p>
        </w:tc>
        <w:tc>
          <w:tcPr>
            <w:tcW w:w="528" w:type="pct"/>
            <w:shd w:val="clear" w:color="auto" w:fill="auto"/>
            <w:vAlign w:val="bottom"/>
          </w:tcPr>
          <w:p w:rsidR="003F1BF2" w:rsidRPr="008E4F4C" w:rsidRDefault="003F1BF2" w:rsidP="009268D6">
            <w:pPr>
              <w:pStyle w:val="TableBodyText"/>
              <w:ind w:right="28"/>
            </w:pPr>
            <w:r w:rsidRPr="008E4F4C">
              <w:t>3.6</w:t>
            </w:r>
          </w:p>
        </w:tc>
      </w:tr>
      <w:tr w:rsidR="003F1BF2" w:rsidTr="009268D6">
        <w:tc>
          <w:tcPr>
            <w:tcW w:w="1694" w:type="pct"/>
            <w:shd w:val="clear" w:color="auto" w:fill="auto"/>
            <w:vAlign w:val="bottom"/>
          </w:tcPr>
          <w:p w:rsidR="003F1BF2" w:rsidRPr="008750F8" w:rsidRDefault="003F1BF2" w:rsidP="009268D6">
            <w:pPr>
              <w:pStyle w:val="TableBodyText"/>
              <w:jc w:val="left"/>
            </w:pPr>
            <w:r w:rsidRPr="00144297">
              <w:t>Petrol</w:t>
            </w:r>
            <w:r>
              <w:t xml:space="preserve">eum, coal, </w:t>
            </w:r>
            <w:r w:rsidRPr="00144297">
              <w:t>chemical</w:t>
            </w:r>
            <w:r>
              <w:t xml:space="preserve"> and rubber</w:t>
            </w:r>
          </w:p>
        </w:tc>
        <w:tc>
          <w:tcPr>
            <w:tcW w:w="807" w:type="pct"/>
            <w:shd w:val="clear" w:color="auto" w:fill="auto"/>
            <w:vAlign w:val="bottom"/>
          </w:tcPr>
          <w:p w:rsidR="003F1BF2" w:rsidRPr="008E4F4C" w:rsidRDefault="003F1BF2" w:rsidP="009268D6">
            <w:pPr>
              <w:pStyle w:val="TableBodyText"/>
            </w:pPr>
            <w:r w:rsidRPr="008E4F4C">
              <w:t>2.2</w:t>
            </w:r>
          </w:p>
        </w:tc>
        <w:tc>
          <w:tcPr>
            <w:tcW w:w="807" w:type="pct"/>
            <w:vAlign w:val="bottom"/>
          </w:tcPr>
          <w:p w:rsidR="003F1BF2" w:rsidRPr="008E4F4C" w:rsidRDefault="003F1BF2" w:rsidP="009268D6">
            <w:pPr>
              <w:pStyle w:val="TableBodyText"/>
            </w:pPr>
            <w:r>
              <w:noBreakHyphen/>
            </w:r>
            <w:r w:rsidRPr="008E4F4C">
              <w:t>0.7</w:t>
            </w:r>
          </w:p>
        </w:tc>
        <w:tc>
          <w:tcPr>
            <w:tcW w:w="108" w:type="pct"/>
          </w:tcPr>
          <w:p w:rsidR="003F1BF2" w:rsidRPr="008E4F4C" w:rsidRDefault="003F1BF2" w:rsidP="009268D6">
            <w:pPr>
              <w:pStyle w:val="TableBodyText"/>
            </w:pPr>
          </w:p>
        </w:tc>
        <w:tc>
          <w:tcPr>
            <w:tcW w:w="528" w:type="pct"/>
            <w:shd w:val="clear" w:color="auto" w:fill="auto"/>
            <w:vAlign w:val="bottom"/>
          </w:tcPr>
          <w:p w:rsidR="003F1BF2" w:rsidRPr="008E4F4C" w:rsidRDefault="003F1BF2" w:rsidP="009268D6">
            <w:pPr>
              <w:pStyle w:val="TableBodyText"/>
            </w:pPr>
            <w:r w:rsidRPr="008E4F4C">
              <w:t>15.8</w:t>
            </w:r>
          </w:p>
        </w:tc>
        <w:tc>
          <w:tcPr>
            <w:tcW w:w="528" w:type="pct"/>
            <w:shd w:val="clear" w:color="auto" w:fill="auto"/>
            <w:vAlign w:val="bottom"/>
          </w:tcPr>
          <w:p w:rsidR="003F1BF2" w:rsidRPr="008E4F4C" w:rsidRDefault="003F1BF2" w:rsidP="009268D6">
            <w:pPr>
              <w:pStyle w:val="TableBodyText"/>
            </w:pPr>
            <w:r w:rsidRPr="008E4F4C">
              <w:t>18.0</w:t>
            </w:r>
          </w:p>
        </w:tc>
        <w:tc>
          <w:tcPr>
            <w:tcW w:w="528" w:type="pct"/>
            <w:shd w:val="clear" w:color="auto" w:fill="auto"/>
            <w:vAlign w:val="bottom"/>
          </w:tcPr>
          <w:p w:rsidR="003F1BF2" w:rsidRPr="008E4F4C" w:rsidRDefault="003F1BF2" w:rsidP="009268D6">
            <w:pPr>
              <w:pStyle w:val="TableBodyText"/>
              <w:ind w:right="28"/>
            </w:pPr>
            <w:r w:rsidRPr="008E4F4C">
              <w:t>16.9</w:t>
            </w:r>
          </w:p>
        </w:tc>
      </w:tr>
      <w:tr w:rsidR="003F1BF2" w:rsidTr="009268D6">
        <w:tc>
          <w:tcPr>
            <w:tcW w:w="1694" w:type="pct"/>
            <w:shd w:val="clear" w:color="auto" w:fill="auto"/>
            <w:vAlign w:val="bottom"/>
          </w:tcPr>
          <w:p w:rsidR="003F1BF2" w:rsidRPr="008750F8" w:rsidRDefault="003F1BF2" w:rsidP="009268D6">
            <w:pPr>
              <w:pStyle w:val="TableBodyText"/>
              <w:jc w:val="left"/>
            </w:pPr>
            <w:r w:rsidRPr="00144297">
              <w:t>Non</w:t>
            </w:r>
            <w:r>
              <w:noBreakHyphen/>
            </w:r>
            <w:r w:rsidRPr="00144297">
              <w:t>metallic mineral</w:t>
            </w:r>
            <w:r>
              <w:t xml:space="preserve"> products</w:t>
            </w:r>
          </w:p>
        </w:tc>
        <w:tc>
          <w:tcPr>
            <w:tcW w:w="807" w:type="pct"/>
            <w:shd w:val="clear" w:color="auto" w:fill="auto"/>
            <w:vAlign w:val="bottom"/>
          </w:tcPr>
          <w:p w:rsidR="003F1BF2" w:rsidRPr="008E4F4C" w:rsidRDefault="003F1BF2" w:rsidP="009268D6">
            <w:pPr>
              <w:pStyle w:val="TableBodyText"/>
            </w:pPr>
            <w:r w:rsidRPr="008E4F4C">
              <w:t>1.7</w:t>
            </w:r>
          </w:p>
        </w:tc>
        <w:tc>
          <w:tcPr>
            <w:tcW w:w="807" w:type="pct"/>
            <w:vAlign w:val="bottom"/>
          </w:tcPr>
          <w:p w:rsidR="003F1BF2" w:rsidRPr="008E4F4C" w:rsidRDefault="003F1BF2" w:rsidP="009268D6">
            <w:pPr>
              <w:pStyle w:val="TableBodyText"/>
            </w:pPr>
            <w:r w:rsidRPr="008E4F4C">
              <w:t>2.1</w:t>
            </w:r>
          </w:p>
        </w:tc>
        <w:tc>
          <w:tcPr>
            <w:tcW w:w="108" w:type="pct"/>
          </w:tcPr>
          <w:p w:rsidR="003F1BF2" w:rsidRPr="008E4F4C" w:rsidRDefault="003F1BF2" w:rsidP="009268D6">
            <w:pPr>
              <w:pStyle w:val="TableBodyText"/>
            </w:pPr>
          </w:p>
        </w:tc>
        <w:tc>
          <w:tcPr>
            <w:tcW w:w="528" w:type="pct"/>
            <w:shd w:val="clear" w:color="auto" w:fill="auto"/>
            <w:vAlign w:val="bottom"/>
          </w:tcPr>
          <w:p w:rsidR="003F1BF2" w:rsidRPr="008E4F4C" w:rsidRDefault="003F1BF2" w:rsidP="009268D6">
            <w:pPr>
              <w:pStyle w:val="TableBodyText"/>
            </w:pPr>
            <w:r w:rsidRPr="008E4F4C">
              <w:t>3.5</w:t>
            </w:r>
          </w:p>
        </w:tc>
        <w:tc>
          <w:tcPr>
            <w:tcW w:w="528" w:type="pct"/>
            <w:shd w:val="clear" w:color="auto" w:fill="auto"/>
            <w:vAlign w:val="bottom"/>
          </w:tcPr>
          <w:p w:rsidR="003F1BF2" w:rsidRPr="008E4F4C" w:rsidRDefault="003F1BF2" w:rsidP="009268D6">
            <w:pPr>
              <w:pStyle w:val="TableBodyText"/>
            </w:pPr>
            <w:r w:rsidRPr="008E4F4C">
              <w:t>3.5</w:t>
            </w:r>
          </w:p>
        </w:tc>
        <w:tc>
          <w:tcPr>
            <w:tcW w:w="528" w:type="pct"/>
            <w:shd w:val="clear" w:color="auto" w:fill="auto"/>
            <w:vAlign w:val="bottom"/>
          </w:tcPr>
          <w:p w:rsidR="003F1BF2" w:rsidRPr="008E4F4C" w:rsidRDefault="003F1BF2" w:rsidP="009268D6">
            <w:pPr>
              <w:pStyle w:val="TableBodyText"/>
              <w:ind w:right="28"/>
            </w:pPr>
            <w:r w:rsidRPr="008E4F4C">
              <w:t>4.3</w:t>
            </w:r>
          </w:p>
        </w:tc>
      </w:tr>
      <w:tr w:rsidR="003F1BF2" w:rsidTr="009268D6">
        <w:tc>
          <w:tcPr>
            <w:tcW w:w="1694" w:type="pct"/>
            <w:shd w:val="clear" w:color="auto" w:fill="auto"/>
            <w:vAlign w:val="bottom"/>
          </w:tcPr>
          <w:p w:rsidR="003F1BF2" w:rsidRPr="008750F8" w:rsidRDefault="003F1BF2" w:rsidP="009268D6">
            <w:pPr>
              <w:pStyle w:val="TableBodyText"/>
              <w:jc w:val="left"/>
            </w:pPr>
            <w:r w:rsidRPr="00144297">
              <w:t>Metal products</w:t>
            </w:r>
          </w:p>
        </w:tc>
        <w:tc>
          <w:tcPr>
            <w:tcW w:w="807" w:type="pct"/>
            <w:shd w:val="clear" w:color="auto" w:fill="auto"/>
            <w:vAlign w:val="bottom"/>
          </w:tcPr>
          <w:p w:rsidR="003F1BF2" w:rsidRPr="008E4F4C" w:rsidRDefault="003F1BF2" w:rsidP="009268D6">
            <w:pPr>
              <w:pStyle w:val="TableBodyText"/>
            </w:pPr>
            <w:r w:rsidRPr="008E4F4C">
              <w:t>1.8</w:t>
            </w:r>
          </w:p>
        </w:tc>
        <w:tc>
          <w:tcPr>
            <w:tcW w:w="807" w:type="pct"/>
            <w:vAlign w:val="bottom"/>
          </w:tcPr>
          <w:p w:rsidR="003F1BF2" w:rsidRPr="008E4F4C" w:rsidRDefault="003F1BF2" w:rsidP="009268D6">
            <w:pPr>
              <w:pStyle w:val="TableBodyText"/>
            </w:pPr>
            <w:r w:rsidRPr="008E4F4C">
              <w:t>1.9</w:t>
            </w:r>
          </w:p>
        </w:tc>
        <w:tc>
          <w:tcPr>
            <w:tcW w:w="108" w:type="pct"/>
          </w:tcPr>
          <w:p w:rsidR="003F1BF2" w:rsidRPr="008E4F4C" w:rsidRDefault="003F1BF2" w:rsidP="009268D6">
            <w:pPr>
              <w:pStyle w:val="TableBodyText"/>
            </w:pPr>
          </w:p>
        </w:tc>
        <w:tc>
          <w:tcPr>
            <w:tcW w:w="528" w:type="pct"/>
            <w:shd w:val="clear" w:color="auto" w:fill="auto"/>
            <w:vAlign w:val="bottom"/>
          </w:tcPr>
          <w:p w:rsidR="003F1BF2" w:rsidRPr="008E4F4C" w:rsidRDefault="003F1BF2" w:rsidP="009268D6">
            <w:pPr>
              <w:pStyle w:val="TableBodyText"/>
            </w:pPr>
            <w:r w:rsidRPr="008E4F4C">
              <w:t>16.5</w:t>
            </w:r>
          </w:p>
        </w:tc>
        <w:tc>
          <w:tcPr>
            <w:tcW w:w="528" w:type="pct"/>
            <w:shd w:val="clear" w:color="auto" w:fill="auto"/>
            <w:vAlign w:val="bottom"/>
          </w:tcPr>
          <w:p w:rsidR="003F1BF2" w:rsidRPr="008E4F4C" w:rsidRDefault="003F1BF2" w:rsidP="009268D6">
            <w:pPr>
              <w:pStyle w:val="TableBodyText"/>
            </w:pPr>
            <w:r w:rsidRPr="008E4F4C">
              <w:t>17.3</w:t>
            </w:r>
          </w:p>
        </w:tc>
        <w:tc>
          <w:tcPr>
            <w:tcW w:w="528" w:type="pct"/>
            <w:shd w:val="clear" w:color="auto" w:fill="auto"/>
            <w:vAlign w:val="bottom"/>
          </w:tcPr>
          <w:p w:rsidR="003F1BF2" w:rsidRPr="008E4F4C" w:rsidRDefault="003F1BF2" w:rsidP="009268D6">
            <w:pPr>
              <w:pStyle w:val="TableBodyText"/>
              <w:ind w:right="28"/>
            </w:pPr>
            <w:r w:rsidRPr="008E4F4C">
              <w:t>20.9</w:t>
            </w:r>
          </w:p>
        </w:tc>
      </w:tr>
      <w:tr w:rsidR="003F1BF2" w:rsidTr="009268D6">
        <w:tc>
          <w:tcPr>
            <w:tcW w:w="1694" w:type="pct"/>
            <w:shd w:val="clear" w:color="auto" w:fill="auto"/>
            <w:vAlign w:val="bottom"/>
          </w:tcPr>
          <w:p w:rsidR="003F1BF2" w:rsidRPr="008750F8" w:rsidRDefault="003F1BF2" w:rsidP="009268D6">
            <w:pPr>
              <w:pStyle w:val="TableBodyText"/>
              <w:jc w:val="left"/>
            </w:pPr>
            <w:r w:rsidRPr="00144297">
              <w:t>Machinery</w:t>
            </w:r>
            <w:r>
              <w:t xml:space="preserve"> and </w:t>
            </w:r>
            <w:r w:rsidRPr="00144297">
              <w:t>equipment</w:t>
            </w:r>
          </w:p>
        </w:tc>
        <w:tc>
          <w:tcPr>
            <w:tcW w:w="807" w:type="pct"/>
            <w:shd w:val="clear" w:color="auto" w:fill="auto"/>
            <w:vAlign w:val="bottom"/>
          </w:tcPr>
          <w:p w:rsidR="003F1BF2" w:rsidRPr="008E4F4C" w:rsidRDefault="003F1BF2" w:rsidP="009268D6">
            <w:pPr>
              <w:pStyle w:val="TableBodyText"/>
            </w:pPr>
            <w:r w:rsidRPr="008E4F4C">
              <w:t>1.7</w:t>
            </w:r>
          </w:p>
        </w:tc>
        <w:tc>
          <w:tcPr>
            <w:tcW w:w="807" w:type="pct"/>
            <w:vAlign w:val="bottom"/>
          </w:tcPr>
          <w:p w:rsidR="003F1BF2" w:rsidRPr="008E4F4C" w:rsidRDefault="003F1BF2" w:rsidP="009268D6">
            <w:pPr>
              <w:pStyle w:val="TableBodyText"/>
            </w:pPr>
            <w:r w:rsidRPr="008E4F4C">
              <w:t>2.4</w:t>
            </w:r>
          </w:p>
        </w:tc>
        <w:tc>
          <w:tcPr>
            <w:tcW w:w="108" w:type="pct"/>
          </w:tcPr>
          <w:p w:rsidR="003F1BF2" w:rsidRPr="008E4F4C" w:rsidRDefault="003F1BF2" w:rsidP="009268D6">
            <w:pPr>
              <w:pStyle w:val="TableBodyText"/>
            </w:pPr>
          </w:p>
        </w:tc>
        <w:tc>
          <w:tcPr>
            <w:tcW w:w="528" w:type="pct"/>
            <w:shd w:val="clear" w:color="auto" w:fill="auto"/>
            <w:vAlign w:val="bottom"/>
          </w:tcPr>
          <w:p w:rsidR="003F1BF2" w:rsidRPr="008E4F4C" w:rsidRDefault="003F1BF2" w:rsidP="009268D6">
            <w:pPr>
              <w:pStyle w:val="TableBodyText"/>
            </w:pPr>
            <w:r w:rsidRPr="008E4F4C">
              <w:t>15.4</w:t>
            </w:r>
          </w:p>
        </w:tc>
        <w:tc>
          <w:tcPr>
            <w:tcW w:w="528" w:type="pct"/>
            <w:shd w:val="clear" w:color="auto" w:fill="auto"/>
            <w:vAlign w:val="bottom"/>
          </w:tcPr>
          <w:p w:rsidR="003F1BF2" w:rsidRPr="008E4F4C" w:rsidRDefault="003F1BF2" w:rsidP="009268D6">
            <w:pPr>
              <w:pStyle w:val="TableBodyText"/>
            </w:pPr>
            <w:r w:rsidRPr="008E4F4C">
              <w:t>15.6</w:t>
            </w:r>
          </w:p>
        </w:tc>
        <w:tc>
          <w:tcPr>
            <w:tcW w:w="528" w:type="pct"/>
            <w:shd w:val="clear" w:color="auto" w:fill="auto"/>
            <w:vAlign w:val="bottom"/>
          </w:tcPr>
          <w:p w:rsidR="003F1BF2" w:rsidRPr="008E4F4C" w:rsidRDefault="003F1BF2" w:rsidP="009268D6">
            <w:pPr>
              <w:pStyle w:val="TableBodyText"/>
              <w:ind w:right="28"/>
            </w:pPr>
            <w:r w:rsidRPr="008E4F4C">
              <w:t>19.9</w:t>
            </w:r>
          </w:p>
        </w:tc>
      </w:tr>
      <w:tr w:rsidR="003F1BF2" w:rsidTr="009268D6">
        <w:tc>
          <w:tcPr>
            <w:tcW w:w="1694" w:type="pct"/>
            <w:tcBorders>
              <w:bottom w:val="single" w:sz="6" w:space="0" w:color="auto"/>
            </w:tcBorders>
            <w:shd w:val="clear" w:color="auto" w:fill="auto"/>
            <w:vAlign w:val="bottom"/>
          </w:tcPr>
          <w:p w:rsidR="003F1BF2" w:rsidRPr="008750F8" w:rsidRDefault="003F1BF2" w:rsidP="009268D6">
            <w:pPr>
              <w:pStyle w:val="TableBodyText"/>
              <w:spacing w:before="80"/>
              <w:jc w:val="left"/>
            </w:pPr>
            <w:r w:rsidRPr="00144297">
              <w:t>All manufacturing</w:t>
            </w:r>
          </w:p>
        </w:tc>
        <w:tc>
          <w:tcPr>
            <w:tcW w:w="807" w:type="pct"/>
            <w:tcBorders>
              <w:bottom w:val="single" w:sz="6" w:space="0" w:color="auto"/>
            </w:tcBorders>
            <w:shd w:val="clear" w:color="auto" w:fill="auto"/>
            <w:vAlign w:val="bottom"/>
          </w:tcPr>
          <w:p w:rsidR="003F1BF2" w:rsidRPr="008E4F4C" w:rsidRDefault="003F1BF2" w:rsidP="009268D6">
            <w:pPr>
              <w:pStyle w:val="TableBodyText"/>
            </w:pPr>
            <w:r>
              <w:t>na</w:t>
            </w:r>
          </w:p>
        </w:tc>
        <w:tc>
          <w:tcPr>
            <w:tcW w:w="807" w:type="pct"/>
            <w:tcBorders>
              <w:bottom w:val="single" w:sz="6" w:space="0" w:color="auto"/>
            </w:tcBorders>
            <w:vAlign w:val="bottom"/>
          </w:tcPr>
          <w:p w:rsidR="003F1BF2" w:rsidRPr="008E4F4C" w:rsidRDefault="003F1BF2" w:rsidP="009268D6">
            <w:pPr>
              <w:pStyle w:val="TableBodyText"/>
            </w:pPr>
            <w:r>
              <w:t>na</w:t>
            </w:r>
          </w:p>
        </w:tc>
        <w:tc>
          <w:tcPr>
            <w:tcW w:w="108" w:type="pct"/>
            <w:tcBorders>
              <w:bottom w:val="single" w:sz="6" w:space="0" w:color="auto"/>
            </w:tcBorders>
          </w:tcPr>
          <w:p w:rsidR="003F1BF2" w:rsidRPr="008E4F4C" w:rsidRDefault="003F1BF2" w:rsidP="009268D6">
            <w:pPr>
              <w:pStyle w:val="TableBodyText"/>
            </w:pPr>
          </w:p>
        </w:tc>
        <w:tc>
          <w:tcPr>
            <w:tcW w:w="528" w:type="pct"/>
            <w:tcBorders>
              <w:bottom w:val="single" w:sz="6" w:space="0" w:color="auto"/>
            </w:tcBorders>
            <w:shd w:val="clear" w:color="auto" w:fill="auto"/>
            <w:vAlign w:val="bottom"/>
          </w:tcPr>
          <w:p w:rsidR="003F1BF2" w:rsidRPr="008E4F4C" w:rsidRDefault="003F1BF2" w:rsidP="009268D6">
            <w:pPr>
              <w:pStyle w:val="TableBodyText"/>
            </w:pPr>
            <w:r w:rsidRPr="008E4F4C">
              <w:t>100.0</w:t>
            </w:r>
          </w:p>
        </w:tc>
        <w:tc>
          <w:tcPr>
            <w:tcW w:w="528" w:type="pct"/>
            <w:tcBorders>
              <w:bottom w:val="single" w:sz="6" w:space="0" w:color="auto"/>
            </w:tcBorders>
            <w:shd w:val="clear" w:color="auto" w:fill="auto"/>
            <w:vAlign w:val="bottom"/>
          </w:tcPr>
          <w:p w:rsidR="003F1BF2" w:rsidRPr="008E4F4C" w:rsidRDefault="003F1BF2" w:rsidP="009268D6">
            <w:pPr>
              <w:pStyle w:val="TableBodyText"/>
            </w:pPr>
            <w:r w:rsidRPr="008E4F4C">
              <w:t>100.0</w:t>
            </w:r>
          </w:p>
        </w:tc>
        <w:tc>
          <w:tcPr>
            <w:tcW w:w="528" w:type="pct"/>
            <w:tcBorders>
              <w:bottom w:val="single" w:sz="6" w:space="0" w:color="auto"/>
            </w:tcBorders>
            <w:shd w:val="clear" w:color="auto" w:fill="auto"/>
            <w:vAlign w:val="bottom"/>
          </w:tcPr>
          <w:p w:rsidR="003F1BF2" w:rsidRPr="008E4F4C" w:rsidRDefault="003F1BF2" w:rsidP="009268D6">
            <w:pPr>
              <w:pStyle w:val="TableBodyText"/>
              <w:ind w:right="28"/>
            </w:pPr>
            <w:r w:rsidRPr="008E4F4C">
              <w:t>100.0</w:t>
            </w:r>
          </w:p>
        </w:tc>
      </w:tr>
    </w:tbl>
    <w:p w:rsidR="003F1BF2" w:rsidRDefault="003F1BF2" w:rsidP="003F1BF2">
      <w:pPr>
        <w:pStyle w:val="Note"/>
      </w:pPr>
      <w:r>
        <w:rPr>
          <w:rStyle w:val="NoteLabel"/>
        </w:rPr>
        <w:t>a</w:t>
      </w:r>
      <w:r>
        <w:t xml:space="preserve"> Chain volume measures (reference year 2010</w:t>
      </w:r>
      <w:r>
        <w:noBreakHyphen/>
        <w:t xml:space="preserve">11) for year ended June. Output shares are calculated by dividing real gross value added for each manufacturing industry by the sum of gross value added across all the manufacturing industries. This total is not the same as the reported gross value added for the manufacturing sector, due to the way chain volume measures are calculated.  </w:t>
      </w:r>
      <w:r>
        <w:rPr>
          <w:rStyle w:val="NoteLabel"/>
        </w:rPr>
        <w:t>b</w:t>
      </w:r>
      <w:r>
        <w:t xml:space="preserve"> Manufacturing sector classification is as per ABS Type of Activity Units, the disaggregation used in some national accounts data (discussed in appendix A). These units are not exactly the same as ANZSIC subdivisions, and so may differ from manufacturing sector classifications used in other parts of this supplement.  </w:t>
      </w:r>
      <w:r>
        <w:rPr>
          <w:b/>
        </w:rPr>
        <w:t>na</w:t>
      </w:r>
      <w:r>
        <w:t xml:space="preserve"> Not applicable, due to the fact that total output for the manufacturing sector is not equal to the sum of its components, because of the way in which chain volume measures are calculated.</w:t>
      </w:r>
    </w:p>
    <w:p w:rsidR="003F1BF2" w:rsidRDefault="003F1BF2" w:rsidP="003F1BF2">
      <w:pPr>
        <w:pStyle w:val="Source"/>
      </w:pPr>
      <w:r>
        <w:rPr>
          <w:i/>
        </w:rPr>
        <w:t>Source</w:t>
      </w:r>
      <w:r>
        <w:t>: ABS (</w:t>
      </w:r>
      <w:r>
        <w:rPr>
          <w:i/>
        </w:rPr>
        <w:t>Australian System of National Accounts, 2011</w:t>
      </w:r>
      <w:r>
        <w:rPr>
          <w:i/>
        </w:rPr>
        <w:noBreakHyphen/>
        <w:t>12</w:t>
      </w:r>
      <w:r>
        <w:t>, Cat. no. 5204.0).</w:t>
      </w:r>
    </w:p>
    <w:p w:rsidR="003F1BF2" w:rsidRDefault="003F1BF2" w:rsidP="003F1BF2">
      <w:pPr>
        <w:pStyle w:val="BodyText"/>
      </w:pPr>
      <w:r>
        <w:t>The competitive pressures facing goods</w:t>
      </w:r>
      <w:r>
        <w:noBreakHyphen/>
        <w:t>producing industries were manifest in the much slower relative growth in consumer prices of tradeables in the 2000s (figure 3.3). (Different trend inflation rates for tradeables and for non</w:t>
      </w:r>
      <w:r>
        <w:noBreakHyphen/>
        <w:t>tradeables are expected, given that the latter are less exposed to international competition.) Some tradeable goods have been much more affected than others by declining relative prices since the 1990s — most notably clothing and footwear and motor vehicles (figure 3.4). For these two categories of goods, increased access to low</w:t>
      </w:r>
      <w:r>
        <w:noBreakHyphen/>
        <w:t>cost imports has contributed to the stability of consumer prices since the 1990s, and to the decline in shares of real manufacturing output (table 3.2). In contrast, prices of food and non</w:t>
      </w:r>
      <w:r>
        <w:noBreakHyphen/>
        <w:t>alcoholic beverages, also illustrated in figure 3.4, have climbed steadily in the past two decades. This assisted the food and beverage manufacturing industry with maintaining its share of manufacturing output (at about one</w:t>
      </w:r>
      <w:r>
        <w:noBreakHyphen/>
        <w:t xml:space="preserve">fifth) over this period (table 3.2). </w:t>
      </w:r>
    </w:p>
    <w:p w:rsidR="003F1BF2" w:rsidRDefault="003F1BF2" w:rsidP="003F1BF2">
      <w:pPr>
        <w:pStyle w:val="FigureTitle"/>
      </w:pPr>
      <w:r>
        <w:rPr>
          <w:b w:val="0"/>
        </w:rPr>
        <w:lastRenderedPageBreak/>
        <w:t xml:space="preserve">Figure </w:t>
      </w:r>
      <w:r w:rsidRPr="00EC5596">
        <w:rPr>
          <w:b w:val="0"/>
        </w:rPr>
        <w:t>3.</w:t>
      </w:r>
      <w:r>
        <w:rPr>
          <w:b w:val="0"/>
          <w:noProof/>
        </w:rPr>
        <w:t>3</w:t>
      </w:r>
      <w:r>
        <w:tab/>
        <w:t>Consumer prices, tradeables and non</w:t>
      </w:r>
      <w:r>
        <w:noBreakHyphen/>
        <w:t>tradeables, 1998 to 2012</w:t>
      </w:r>
      <w:r>
        <w:rPr>
          <w:rStyle w:val="NoteLabel"/>
          <w:b/>
        </w:rPr>
        <w:t>a</w:t>
      </w:r>
    </w:p>
    <w:p w:rsidR="003F1BF2" w:rsidRDefault="003F1BF2" w:rsidP="003F1BF2">
      <w:pPr>
        <w:pStyle w:val="Subtitle"/>
      </w:pPr>
      <w:r>
        <w:t>Consumer price index (1997-98=100)</w:t>
      </w:r>
    </w:p>
    <w:tbl>
      <w:tblPr>
        <w:tblW w:w="0" w:type="auto"/>
        <w:tblInd w:w="119" w:type="dxa"/>
        <w:tblBorders>
          <w:top w:val="single" w:sz="6" w:space="0" w:color="auto"/>
          <w:bottom w:val="single" w:sz="6" w:space="0" w:color="auto"/>
        </w:tblBorders>
        <w:tblLayout w:type="fixed"/>
        <w:tblLook w:val="00A0" w:firstRow="1" w:lastRow="0" w:firstColumn="1" w:lastColumn="0" w:noHBand="0" w:noVBand="0"/>
      </w:tblPr>
      <w:tblGrid>
        <w:gridCol w:w="8777"/>
      </w:tblGrid>
      <w:tr w:rsidR="003F1BF2" w:rsidTr="009268D6">
        <w:tc>
          <w:tcPr>
            <w:tcW w:w="8777" w:type="dxa"/>
            <w:tcBorders>
              <w:top w:val="single" w:sz="6" w:space="0" w:color="auto"/>
              <w:left w:val="nil"/>
              <w:bottom w:val="single" w:sz="6" w:space="0" w:color="auto"/>
              <w:right w:val="nil"/>
            </w:tcBorders>
          </w:tcPr>
          <w:p w:rsidR="003F1BF2" w:rsidRDefault="003F1BF2" w:rsidP="009268D6">
            <w:pPr>
              <w:pStyle w:val="Figure"/>
            </w:pPr>
            <w:r>
              <w:rPr>
                <w:noProof/>
              </w:rPr>
              <w:drawing>
                <wp:inline distT="0" distB="0" distL="0" distR="0" wp14:anchorId="1C43D924" wp14:editId="71EE00A8">
                  <wp:extent cx="5580000" cy="2880000"/>
                  <wp:effectExtent l="0" t="0" r="1905" b="0"/>
                  <wp:docPr id="23" name="Chart 23" descr="Figure 3.3 Consumer price index shown for tradeables and for non-tradeables, index values from 1998 to 2012. Values are annual (financial year) averages of quarterly data. Base year is 1997-9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rsidR="003F1BF2" w:rsidRPr="004977DE" w:rsidRDefault="003F1BF2" w:rsidP="003F1BF2">
      <w:pPr>
        <w:pStyle w:val="Note"/>
      </w:pPr>
      <w:r>
        <w:rPr>
          <w:rStyle w:val="NoteLabel"/>
        </w:rPr>
        <w:t>a</w:t>
      </w:r>
      <w:r>
        <w:t xml:space="preserve"> Year ended June, annual averages of quarterly data.</w:t>
      </w:r>
    </w:p>
    <w:p w:rsidR="003F1BF2" w:rsidRDefault="003F1BF2" w:rsidP="003F1BF2">
      <w:pPr>
        <w:pStyle w:val="Source"/>
      </w:pPr>
      <w:r>
        <w:rPr>
          <w:i/>
        </w:rPr>
        <w:t>Source</w:t>
      </w:r>
      <w:r>
        <w:t>: ABS (</w:t>
      </w:r>
      <w:r>
        <w:rPr>
          <w:i/>
          <w:iCs/>
        </w:rPr>
        <w:t>Consumer Price Index, Australia</w:t>
      </w:r>
      <w:r>
        <w:t xml:space="preserve">, </w:t>
      </w:r>
      <w:r>
        <w:rPr>
          <w:i/>
          <w:iCs/>
        </w:rPr>
        <w:t>June 2012</w:t>
      </w:r>
      <w:r>
        <w:t>, Cat. no. 6401.0).</w:t>
      </w:r>
    </w:p>
    <w:p w:rsidR="003F1BF2" w:rsidRDefault="003F1BF2" w:rsidP="003F1BF2">
      <w:pPr>
        <w:pStyle w:val="FigureTitle"/>
      </w:pPr>
      <w:r>
        <w:rPr>
          <w:b w:val="0"/>
        </w:rPr>
        <w:t xml:space="preserve">Figure </w:t>
      </w:r>
      <w:bookmarkStart w:id="9" w:name="OLE_LINK5"/>
      <w:r>
        <w:rPr>
          <w:b w:val="0"/>
        </w:rPr>
        <w:t>3.</w:t>
      </w:r>
      <w:r>
        <w:rPr>
          <w:b w:val="0"/>
          <w:noProof/>
        </w:rPr>
        <w:t>4</w:t>
      </w:r>
      <w:bookmarkEnd w:id="9"/>
      <w:r>
        <w:tab/>
        <w:t>Consumer prices: all groups, clothing and footwear, motor vehicles, food and beverages, 1973 to 2012</w:t>
      </w:r>
      <w:r w:rsidRPr="00530ACA">
        <w:rPr>
          <w:rStyle w:val="NoteLabel"/>
          <w:b/>
        </w:rPr>
        <w:t>a</w:t>
      </w:r>
      <w:r>
        <w:rPr>
          <w:rStyle w:val="NoteLabel"/>
          <w:b/>
        </w:rPr>
        <w:t>, b</w:t>
      </w:r>
    </w:p>
    <w:p w:rsidR="003F1BF2" w:rsidRDefault="003F1BF2" w:rsidP="003F1BF2">
      <w:pPr>
        <w:pStyle w:val="Subtitle"/>
      </w:pPr>
      <w:r>
        <w:t>Consumer price index (1989-90=100)</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3F1BF2" w:rsidTr="009268D6">
        <w:tc>
          <w:tcPr>
            <w:tcW w:w="8777" w:type="dxa"/>
            <w:tcBorders>
              <w:top w:val="single" w:sz="6" w:space="0" w:color="auto"/>
              <w:bottom w:val="single" w:sz="6" w:space="0" w:color="auto"/>
            </w:tcBorders>
          </w:tcPr>
          <w:p w:rsidR="003F1BF2" w:rsidRDefault="003F1BF2" w:rsidP="009268D6">
            <w:pPr>
              <w:pStyle w:val="Figure"/>
            </w:pPr>
            <w:r>
              <w:rPr>
                <w:noProof/>
              </w:rPr>
              <w:drawing>
                <wp:inline distT="0" distB="0" distL="0" distR="0" wp14:anchorId="529C3147" wp14:editId="4D1B618F">
                  <wp:extent cx="5400000" cy="2880000"/>
                  <wp:effectExtent l="0" t="0" r="0" b="0"/>
                  <wp:docPr id="12" name="Chart 12" descr="Figure 3.4 Consumer price indexes for all goods and services, as well as for three selected groups: clothing and footwear, motor vehicles and food and beverages. Index values from 1973 to 2012, with base year set to 1989-9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bl>
    <w:p w:rsidR="003F1BF2" w:rsidRDefault="003F1BF2" w:rsidP="003F1BF2">
      <w:pPr>
        <w:pStyle w:val="Note"/>
      </w:pPr>
      <w:r>
        <w:rPr>
          <w:rStyle w:val="NoteLabel"/>
        </w:rPr>
        <w:t>a</w:t>
      </w:r>
      <w:r>
        <w:t> Denotes food and non</w:t>
      </w:r>
      <w:r>
        <w:noBreakHyphen/>
        <w:t xml:space="preserve">alcoholic beverages.  </w:t>
      </w:r>
      <w:r>
        <w:rPr>
          <w:rStyle w:val="NoteLabel"/>
        </w:rPr>
        <w:t>b</w:t>
      </w:r>
      <w:r>
        <w:t xml:space="preserve"> Year ended June, annual averages of quarterly data. </w:t>
      </w:r>
    </w:p>
    <w:p w:rsidR="003F1BF2" w:rsidRDefault="003F1BF2" w:rsidP="003F1BF2">
      <w:pPr>
        <w:pStyle w:val="Source"/>
      </w:pPr>
      <w:r>
        <w:rPr>
          <w:i/>
        </w:rPr>
        <w:t>Source</w:t>
      </w:r>
      <w:r>
        <w:t>: ABS (</w:t>
      </w:r>
      <w:r>
        <w:rPr>
          <w:i/>
          <w:iCs/>
        </w:rPr>
        <w:t>Consumer Price Index, Australia</w:t>
      </w:r>
      <w:r>
        <w:t xml:space="preserve">, </w:t>
      </w:r>
      <w:r>
        <w:rPr>
          <w:i/>
          <w:iCs/>
        </w:rPr>
        <w:t>June 2012</w:t>
      </w:r>
      <w:r>
        <w:t>, Cat. no. 6401.0).</w:t>
      </w:r>
    </w:p>
    <w:p w:rsidR="003F1BF2" w:rsidRDefault="003F1BF2" w:rsidP="003F1BF2">
      <w:pPr>
        <w:pStyle w:val="BodyText"/>
      </w:pPr>
      <w:r>
        <w:lastRenderedPageBreak/>
        <w:t>Other manufacturing industries, most notably Machinery and equipment, bucked the manufacturing trend, to grow rapidly during the 2000s, perhaps reflecting the dynamism of mining</w:t>
      </w:r>
      <w:r>
        <w:noBreakHyphen/>
        <w:t>induced manufacturing activities (Shann 2012; Bishop et al. 2013).</w:t>
      </w:r>
    </w:p>
    <w:p w:rsidR="003F1BF2" w:rsidRDefault="003F1BF2" w:rsidP="003F1BF2">
      <w:pPr>
        <w:pStyle w:val="Heading3"/>
      </w:pPr>
      <w:r>
        <w:t>Service</w:t>
      </w:r>
      <w:r>
        <w:noBreakHyphen/>
        <w:t>producing industries</w:t>
      </w:r>
    </w:p>
    <w:p w:rsidR="003F1BF2" w:rsidRDefault="003F1BF2" w:rsidP="003F1BF2">
      <w:pPr>
        <w:pStyle w:val="BodyText"/>
      </w:pPr>
      <w:r>
        <w:t>Among service</w:t>
      </w:r>
      <w:r>
        <w:noBreakHyphen/>
        <w:t>producing industries, the past decade has seen strongest growth in the business services and construction sectors (table 3.1). The business services sector recorded average annual growth in real output of 3.8 per cent from 2002 to 2012, following rapid growth of about 5.6 per cent per year on average between 1978 and 2002. By 2012, the sector accounted for almost one</w:t>
      </w:r>
      <w:r>
        <w:noBreakHyphen/>
        <w:t>quarter of the total value of output, compared to 14 per cent in 1978.</w:t>
      </w:r>
      <w:r>
        <w:rPr>
          <w:rStyle w:val="FootnoteReference"/>
        </w:rPr>
        <w:footnoteReference w:id="5"/>
      </w:r>
      <w:r>
        <w:t xml:space="preserve"> Its expansion has been driven by growth in some ‘knowledge’ services industries, namely Finance and insurance services and Professional, scientific and technical services (data not shown). These two industries may have benefited in part from links with the mining industry, which has had increased requirements for specialised technical, engineering and financial expertise (Shann 2012; Bishop et al. 2013). The growth of the superannuation industry — prompted by the introduction of compulsory employer superannuation contributions for most employees from 1992 (PC 2012b) — has also played a role in the financial services industry’s rising output share. Major financial deregulation in the 1980s also contributed to strong growth in financial markets and in the finance industry’s share of economic activity in the ensuing years, according to the Reserve Bank of Australia (Battelino 2000).</w:t>
      </w:r>
    </w:p>
    <w:p w:rsidR="003F1BF2" w:rsidRDefault="003F1BF2" w:rsidP="003F1BF2">
      <w:pPr>
        <w:pStyle w:val="BodyText"/>
      </w:pPr>
      <w:r>
        <w:t xml:space="preserve">The construction sector recorded average annual real growth of 5.9 per cent in the decade to 2012, more than double the average annual growth rate of 2.6 per cent over the period 1978 to 2002. In 2012, it was responsible for almost 9 per cent of total output, about the same as the output share of the manufacturing sector. The recent natural resources boom has driven strong growth in the engineering construction side of the industry, far outpacing growth in (mainly residential) building construction (figure 3.5). </w:t>
      </w:r>
    </w:p>
    <w:p w:rsidR="003F1BF2" w:rsidRDefault="003F1BF2" w:rsidP="003F1BF2">
      <w:pPr>
        <w:pStyle w:val="FigureTitle"/>
      </w:pPr>
      <w:r>
        <w:rPr>
          <w:b w:val="0"/>
        </w:rPr>
        <w:lastRenderedPageBreak/>
        <w:t xml:space="preserve">Figure </w:t>
      </w:r>
      <w:bookmarkStart w:id="10" w:name="OLE_LINK32"/>
      <w:r>
        <w:rPr>
          <w:b w:val="0"/>
        </w:rPr>
        <w:t>3.</w:t>
      </w:r>
      <w:r>
        <w:rPr>
          <w:b w:val="0"/>
          <w:noProof/>
        </w:rPr>
        <w:t>5</w:t>
      </w:r>
      <w:bookmarkEnd w:id="10"/>
      <w:r>
        <w:tab/>
        <w:t>Building and engineering construction, 1986 to 2012</w:t>
      </w:r>
      <w:r w:rsidRPr="007D3ED8">
        <w:rPr>
          <w:rStyle w:val="NoteLabel"/>
          <w:b/>
        </w:rPr>
        <w:t>a</w:t>
      </w:r>
    </w:p>
    <w:p w:rsidR="003F1BF2" w:rsidRDefault="003F1BF2" w:rsidP="003F1BF2">
      <w:pPr>
        <w:pStyle w:val="Subtitle"/>
      </w:pPr>
      <w:r>
        <w:t>Real value of work done</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3F1BF2" w:rsidTr="009268D6">
        <w:tc>
          <w:tcPr>
            <w:tcW w:w="8777" w:type="dxa"/>
            <w:tcBorders>
              <w:top w:val="single" w:sz="6" w:space="0" w:color="auto"/>
              <w:bottom w:val="single" w:sz="6" w:space="0" w:color="auto"/>
            </w:tcBorders>
          </w:tcPr>
          <w:p w:rsidR="003F1BF2" w:rsidRDefault="003F1BF2" w:rsidP="009268D6">
            <w:pPr>
              <w:pStyle w:val="Figure"/>
            </w:pPr>
            <w:r>
              <w:rPr>
                <w:noProof/>
              </w:rPr>
              <w:drawing>
                <wp:inline distT="0" distB="0" distL="0" distR="0" wp14:anchorId="2E7A92F3" wp14:editId="2F64529D">
                  <wp:extent cx="5400000" cy="2880000"/>
                  <wp:effectExtent l="0" t="0" r="0" b="0"/>
                  <wp:docPr id="5" name="Chart 5" descr="Figure 3.5 Real value, in billions of dollars, of building construction work done and engineering construction work done, from 1986 to 2012. Data are seasonally adjusted, quarterly chain volume measures, with reference year set as 2010-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bl>
    <w:p w:rsidR="003F1BF2" w:rsidRDefault="003F1BF2" w:rsidP="003F1BF2">
      <w:pPr>
        <w:pStyle w:val="Note"/>
      </w:pPr>
      <w:r>
        <w:rPr>
          <w:rStyle w:val="NoteLabel"/>
        </w:rPr>
        <w:t>a</w:t>
      </w:r>
      <w:r>
        <w:t xml:space="preserve"> Seasonally adjusted quarterly data, chain volume measures (reference year 2010</w:t>
      </w:r>
      <w:r>
        <w:noBreakHyphen/>
        <w:t>11). Year indicated refers to September quarter.</w:t>
      </w:r>
    </w:p>
    <w:p w:rsidR="003F1BF2" w:rsidRDefault="003F1BF2" w:rsidP="003F1BF2">
      <w:pPr>
        <w:pStyle w:val="Source"/>
      </w:pPr>
      <w:r>
        <w:rPr>
          <w:i/>
        </w:rPr>
        <w:t>S</w:t>
      </w:r>
      <w:r w:rsidRPr="00F44205">
        <w:rPr>
          <w:i/>
        </w:rPr>
        <w:t>ource</w:t>
      </w:r>
      <w:r>
        <w:t>: ABS (</w:t>
      </w:r>
      <w:r>
        <w:rPr>
          <w:i/>
        </w:rPr>
        <w:t>Construction Work Done, Australia, Preliminary, September 2012</w:t>
      </w:r>
      <w:r>
        <w:t>, Cat. no. 8755.0).</w:t>
      </w:r>
    </w:p>
    <w:p w:rsidR="003F1BF2" w:rsidRDefault="003F1BF2" w:rsidP="003F1BF2">
      <w:pPr>
        <w:pStyle w:val="BodyText"/>
      </w:pPr>
      <w:r>
        <w:t xml:space="preserve">Engineering construction work includes the construction of large projects as diverse as roads, bridges, railways and pipelines, as well as infrastructure for natural resources industries including iron ore, coal and gas. However, the past two decades have seen substantial changes in the relative shares of these project types in total engineering construction, reflecting the dramatic increase in investment in the natural resources sector. Since 1986, the real value of engineering construction carried out for that sector has increased from 18 per cent of total engineering construction, to reach almost 55 per cent in 2012. As discussed in section 3.2 on investment trends, the construction phase of the resources boom appears to have peaked in 2013 (Barber et al. 2013). </w:t>
      </w:r>
    </w:p>
    <w:p w:rsidR="003F1BF2" w:rsidRDefault="003F1BF2" w:rsidP="003F1BF2">
      <w:pPr>
        <w:pStyle w:val="BodyText"/>
      </w:pPr>
      <w:r>
        <w:t>The distribution services sector — which includes the Information media and telecommunications industry — has also grown strongly, at an average of 3.4 per cent per year in the decade to 2012. Rapid change in computer and telecommunications</w:t>
      </w:r>
      <w:r w:rsidRPr="007A200C">
        <w:t xml:space="preserve"> </w:t>
      </w:r>
      <w:r>
        <w:t xml:space="preserve">technology has driven the expansion of this sector. New technologies, and the availability of cheaper imported capital and intermediate inputs have significantly reduced the price of providing telecommunications services. In turn, lower prices have triggered the widespread adoption of these services by firms and consumers. Beginning in the 1990s, competition reforms to government enterprises — including privatisation and corporatisation — brought efficiency gains in rail transport services and utilities in the decade to 2006 </w:t>
      </w:r>
      <w:r>
        <w:lastRenderedPageBreak/>
        <w:t xml:space="preserve">(PC 2005c; 2006b). This is likely to have contributed to the sustained growth in distribution services as well as in utilities (although the latter has grown more slowly in recent years than previously, at an average annual rate of 1.2 per cent over the period 2002 to 2012 (table 3.1)). </w:t>
      </w:r>
    </w:p>
    <w:p w:rsidR="003F1BF2" w:rsidRDefault="003F1BF2" w:rsidP="003F1BF2">
      <w:pPr>
        <w:pStyle w:val="BodyText"/>
      </w:pPr>
      <w:r>
        <w:t>Decreases in freight costs and the widespread use of Internet</w:t>
      </w:r>
      <w:r>
        <w:noBreakHyphen/>
        <w:t>based technologies have also increased the substitutability of overseas online retail services for their traditional domestic retail counterparts. As noted in chapter 2, recent years have seen online retailers present a growing challenge to the dominance of traditional ‘bricks and mortar’ retail services. According to a survey by the National Australia Bank (NAB 2012), online retail sales to Australians — by both domestic and overseas retailers — amounted to $12.8 billion, or about 5.8 per cent of the value of traditional retail sales in the year ended November 2012. In December 2012, online retail sales increased by 23 per cent from the same month in 2011. By contrast, traditional retail sales increased by just 3.3 per cent year</w:t>
      </w:r>
      <w:r>
        <w:noBreakHyphen/>
        <w:t>on</w:t>
      </w:r>
      <w:r>
        <w:noBreakHyphen/>
        <w:t>year in November 2012 (2.5 per cent on a seasonally</w:t>
      </w:r>
      <w:r>
        <w:noBreakHyphen/>
        <w:t>adjusted basis) (NAB 2013). Estimates of the penetration of foreign online retailers vary between 20 per cent and 50 per cent of total online purchases by value over the 2010</w:t>
      </w:r>
      <w:r>
        <w:noBreakHyphen/>
        <w:t>11 period (National Retail Association 2012). For some goods, the percentage may be much higher, such as up to 80 per cent for books and media.</w:t>
      </w:r>
    </w:p>
    <w:p w:rsidR="003F1BF2" w:rsidRDefault="003F1BF2" w:rsidP="003F1BF2">
      <w:pPr>
        <w:pStyle w:val="BodyText"/>
      </w:pPr>
      <w:r>
        <w:t>Moderate growth in the social services sector — 3.0 per cent per year in the past 10 years or so — reflects a combination of relatively slow growth in expenditure on public administration and education and faster growth in expenditure on health services. The health industry’s real output expanded by 4.6 per cent per year, on average, from 2002 to 2012 (data not shown), exceeding the average annual real growth rate of the mining industry over the same period (3.0 per cent). Increasing expenditure on health services has been driven in part by population growth and ageing. However, the main contributor to growth in health services has been new, improved and more services per person at any age (Daley 2013; PC 2005b). As their incomes increase, people demand more and better services, which results in higher expenditure. As discussed in chapter 2, newer technology often increases the average cost of treatment, treats entirely new conditions or enables a greater proportion of people to be treated. In this sector, supply and demand indirectly reinforce each other, as medical advances have increased average life expectancy, and so have had (and will continue to have) an impact on population age structure.</w:t>
      </w:r>
    </w:p>
    <w:p w:rsidR="004E0F07" w:rsidRPr="004E0F07" w:rsidRDefault="004E0F07" w:rsidP="004E0F07">
      <w:pPr>
        <w:pStyle w:val="BodyText"/>
      </w:pPr>
    </w:p>
    <w:p w:rsidR="003F1BF2" w:rsidRDefault="003F1BF2" w:rsidP="003F1BF2">
      <w:pPr>
        <w:pStyle w:val="Heading2"/>
      </w:pPr>
      <w:r>
        <w:lastRenderedPageBreak/>
        <w:t>3.</w:t>
      </w:r>
      <w:r>
        <w:rPr>
          <w:noProof/>
        </w:rPr>
        <w:t>2</w:t>
      </w:r>
      <w:r>
        <w:tab/>
        <w:t xml:space="preserve">Structural change in investment </w:t>
      </w:r>
    </w:p>
    <w:p w:rsidR="003F1BF2" w:rsidRPr="00A92042" w:rsidRDefault="003F1BF2" w:rsidP="003F1BF2">
      <w:pPr>
        <w:pStyle w:val="BodyText"/>
      </w:pPr>
      <w:r w:rsidRPr="00A92042">
        <w:t>Capital goods are durable assets used to produce goods and services for intermediate and final consumption. Growth in an economy’s capital stock represents an increase in its productive capacity, so that investment (expenditure on capital goods) is a key determinant of current and future output. In the short run, output can usually be increased by augmenting the amount of labour (such as through increased participation rates, immigration programs and so on) used in combination with the existing capital base. In the long run, however, industries must replace and repair the capital base and invest in new capital to expand their productive capacity.</w:t>
      </w:r>
    </w:p>
    <w:p w:rsidR="003F1BF2" w:rsidRDefault="003F1BF2" w:rsidP="003F1BF2">
      <w:pPr>
        <w:pStyle w:val="BodyText"/>
        <w:rPr>
          <w:rStyle w:val="DraftingNote"/>
          <w:b w:val="0"/>
        </w:rPr>
      </w:pPr>
      <w:r w:rsidRPr="00A92042">
        <w:t>As noted in chapter 1 (box 1.2), net investment is a means by which firms can reallocate their capital goods, and alter the size and composition of their capital stock and the uses and activities to which their capital goods are devoted. In other words, investment is one avenue for structural adjustment. However, changes in sectoral patterns of investment can also be viewed as a leading indicator of changes in sectoral shares of output. For example, industries with good growth prospects will likely increase both their investment and employment, although rarely to the same degree. On the other hand, net investment</w:t>
      </w:r>
      <w:r>
        <w:t xml:space="preserve"> could be a response by firms facing increased overseas competition and/or high wage costs. Such firms may elect to substitute capital for labour to reflect changing relative factor prices, and as a means of keeping unit costs down. (Outsourcing and offshoring — covered in chapter 2 — can be alternative strategies taken up by firms seeking to boost their international competitiveness.)</w:t>
      </w:r>
      <w:r w:rsidDel="006E7A63">
        <w:t xml:space="preserve"> </w:t>
      </w:r>
    </w:p>
    <w:p w:rsidR="003F1BF2" w:rsidRDefault="003F1BF2" w:rsidP="003F1BF2">
      <w:pPr>
        <w:pStyle w:val="BodyText"/>
      </w:pPr>
      <w:r>
        <w:t>The mining industry’s share of nominal investment more than trebled during the past decade, from 9 per cent in 2002 to 32 per cent in 2012 (figure 3.6). This expansion was a response to the high export prices obtained for resources over the 2000s (figure 2.3). Investment of this magnitude substantially exceeds levels observed in previous mining investment booms. For example, mining accounted for almost 14 per cent of total nominal investment in 1971, and 16 per cent in 1983.</w:t>
      </w:r>
    </w:p>
    <w:p w:rsidR="008A62FF" w:rsidRDefault="008A62FF" w:rsidP="008A62FF">
      <w:pPr>
        <w:pStyle w:val="BodyText"/>
      </w:pPr>
      <w:r>
        <w:t>Also notable is the continued decline in manufacturing’s share of total investment: after decreasing from 19 per cent in 1960 to 11 per cent in 2002, it dropped to 6.6 per cent in 2012. This is a more modest decline than that observed in the output share of manufacturing, which is likely explained by capital deepening (discussed later in this chapter).</w:t>
      </w:r>
    </w:p>
    <w:p w:rsidR="008A62FF" w:rsidRDefault="008A62FF" w:rsidP="003F1BF2">
      <w:pPr>
        <w:pStyle w:val="BodyText"/>
      </w:pPr>
    </w:p>
    <w:p w:rsidR="003F1BF2" w:rsidRDefault="003F1BF2" w:rsidP="003F1BF2">
      <w:pPr>
        <w:pStyle w:val="FigureTitle"/>
      </w:pPr>
      <w:r>
        <w:rPr>
          <w:b w:val="0"/>
        </w:rPr>
        <w:lastRenderedPageBreak/>
        <w:t xml:space="preserve">Figure </w:t>
      </w:r>
      <w:bookmarkStart w:id="11" w:name="OLE_LINK31"/>
      <w:r>
        <w:rPr>
          <w:b w:val="0"/>
        </w:rPr>
        <w:t>3.</w:t>
      </w:r>
      <w:r>
        <w:rPr>
          <w:b w:val="0"/>
          <w:noProof/>
        </w:rPr>
        <w:t>6</w:t>
      </w:r>
      <w:bookmarkEnd w:id="11"/>
      <w:r>
        <w:tab/>
        <w:t>Sectoral shares of nominal investment, 1949 to 2012</w:t>
      </w:r>
      <w:r>
        <w:rPr>
          <w:rStyle w:val="NoteLabel"/>
          <w:b/>
        </w:rPr>
        <w:t>a, b</w:t>
      </w:r>
    </w:p>
    <w:p w:rsidR="003F1BF2" w:rsidRDefault="003F1BF2" w:rsidP="003F1BF2">
      <w:pPr>
        <w:pStyle w:val="Subtitle"/>
      </w:pPr>
      <w:r>
        <w:t>Nominal gross fixed capital formation</w:t>
      </w:r>
    </w:p>
    <w:tbl>
      <w:tblPr>
        <w:tblW w:w="0" w:type="auto"/>
        <w:tblInd w:w="119" w:type="dxa"/>
        <w:tblBorders>
          <w:top w:val="single" w:sz="6" w:space="0" w:color="auto"/>
          <w:bottom w:val="single" w:sz="6" w:space="0" w:color="auto"/>
        </w:tblBorders>
        <w:tblLayout w:type="fixed"/>
        <w:tblLook w:val="00A0" w:firstRow="1" w:lastRow="0" w:firstColumn="1" w:lastColumn="0" w:noHBand="0" w:noVBand="0"/>
      </w:tblPr>
      <w:tblGrid>
        <w:gridCol w:w="8777"/>
      </w:tblGrid>
      <w:tr w:rsidR="003F1BF2" w:rsidTr="009268D6">
        <w:tc>
          <w:tcPr>
            <w:tcW w:w="8777" w:type="dxa"/>
            <w:tcBorders>
              <w:top w:val="single" w:sz="6" w:space="0" w:color="auto"/>
              <w:left w:val="nil"/>
              <w:bottom w:val="single" w:sz="6" w:space="0" w:color="auto"/>
              <w:right w:val="nil"/>
            </w:tcBorders>
          </w:tcPr>
          <w:p w:rsidR="003F1BF2" w:rsidRDefault="003F1BF2" w:rsidP="009268D6">
            <w:pPr>
              <w:pStyle w:val="Figure"/>
            </w:pPr>
            <w:r>
              <w:rPr>
                <w:noProof/>
              </w:rPr>
              <w:drawing>
                <wp:inline distT="0" distB="0" distL="0" distR="0" wp14:anchorId="36C21ED0" wp14:editId="5024D9DE">
                  <wp:extent cx="5399690" cy="3239813"/>
                  <wp:effectExtent l="0" t="0" r="0" b="0"/>
                  <wp:docPr id="22" name="Chart 22" descr="Figure 3.6 sectoral shares of nominal investment (gross fixed capital formation in current prices) from 1949 to 2012. Four sectors shown: agriculture, mining, manufacturing and services. Shares measured in percentages."/>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3F1BF2" w:rsidRDefault="003F1BF2" w:rsidP="003F1BF2">
      <w:pPr>
        <w:pStyle w:val="Source"/>
      </w:pPr>
      <w:r>
        <w:rPr>
          <w:rStyle w:val="NoteLabel"/>
        </w:rPr>
        <w:t>a</w:t>
      </w:r>
      <w:r>
        <w:t xml:space="preserve"> Data in nominal (current price) terms, for year ended June.  </w:t>
      </w:r>
      <w:r>
        <w:rPr>
          <w:rStyle w:val="NoteLabel"/>
        </w:rPr>
        <w:t>b</w:t>
      </w:r>
      <w:r>
        <w:t xml:space="preserve"> Sectors and industries are defined in appendix A.</w:t>
      </w:r>
    </w:p>
    <w:p w:rsidR="003F1BF2" w:rsidRDefault="003F1BF2" w:rsidP="003F1BF2">
      <w:pPr>
        <w:pStyle w:val="Source"/>
      </w:pPr>
      <w:r>
        <w:rPr>
          <w:i/>
        </w:rPr>
        <w:t>Sources</w:t>
      </w:r>
      <w:r>
        <w:t>: Productivity Commission estimates using ABS (</w:t>
      </w:r>
      <w:r>
        <w:rPr>
          <w:i/>
        </w:rPr>
        <w:t>Australian System of National Accounts, 2011</w:t>
      </w:r>
      <w:r>
        <w:rPr>
          <w:i/>
        </w:rPr>
        <w:noBreakHyphen/>
        <w:t>12</w:t>
      </w:r>
      <w:r>
        <w:t>, Cat. no. 5204.0) and Connolly, E. (RBA, Sydney, pers. comm., 13 August 2012, unpublished data).</w:t>
      </w:r>
    </w:p>
    <w:p w:rsidR="003F1BF2" w:rsidRPr="002024D5" w:rsidRDefault="003F1BF2" w:rsidP="003F1BF2">
      <w:pPr>
        <w:pStyle w:val="Heading3"/>
      </w:pPr>
      <w:r>
        <w:t>Long</w:t>
      </w:r>
      <w:r>
        <w:noBreakHyphen/>
        <w:t>term shifts towards services and knowledge</w:t>
      </w:r>
      <w:r>
        <w:noBreakHyphen/>
        <w:t>based capital</w:t>
      </w:r>
    </w:p>
    <w:p w:rsidR="003F1BF2" w:rsidRDefault="003F1BF2" w:rsidP="003F1BF2">
      <w:pPr>
        <w:pStyle w:val="BodyText"/>
      </w:pPr>
      <w:r>
        <w:t>Changes in disaggregated sectoral shares of investment since 1978 also reflect the Australian economy’s long</w:t>
      </w:r>
      <w:r>
        <w:noBreakHyphen/>
        <w:t>term re</w:t>
      </w:r>
      <w:r>
        <w:noBreakHyphen/>
        <w:t>orientation away from agriculture and manufacturing towards the production of services (table 3.3). The large expansion in mining investment has meant that each of the other sectors’ shares of total investment declined slightly during the decade to 2012. For most services sectors, the past decade’s relative decline has been a consequence of the ‘crowding</w:t>
      </w:r>
      <w:r>
        <w:noBreakHyphen/>
        <w:t>out’ effect of the resources boom, but for agriculture, the pattern has represented a continuation of the sector’s longer</w:t>
      </w:r>
      <w:r>
        <w:noBreakHyphen/>
        <w:t>term relative decline in investment. Between 1978 and 2002, agriculture’s share of real investment halved from about 14 per cent to about 7 per cent. These changes are at least partly attributable to adjustment within this industry, with a trend towards greater concentration of production on fewer and larger farms (PC 2005d).</w:t>
      </w:r>
    </w:p>
    <w:p w:rsidR="003F1BF2" w:rsidRDefault="003F1BF2" w:rsidP="003F1BF2">
      <w:pPr>
        <w:pStyle w:val="TableTitle"/>
        <w:tabs>
          <w:tab w:val="left" w:pos="720"/>
          <w:tab w:val="left" w:pos="1440"/>
          <w:tab w:val="left" w:pos="2160"/>
          <w:tab w:val="left" w:pos="2880"/>
          <w:tab w:val="left" w:pos="3600"/>
          <w:tab w:val="left" w:pos="4320"/>
          <w:tab w:val="left" w:pos="5220"/>
        </w:tabs>
      </w:pPr>
      <w:r>
        <w:rPr>
          <w:b w:val="0"/>
        </w:rPr>
        <w:lastRenderedPageBreak/>
        <w:t xml:space="preserve">Table </w:t>
      </w:r>
      <w:bookmarkStart w:id="12" w:name="OLE_LINK1"/>
      <w:r>
        <w:rPr>
          <w:b w:val="0"/>
        </w:rPr>
        <w:t>3.</w:t>
      </w:r>
      <w:r>
        <w:rPr>
          <w:b w:val="0"/>
          <w:noProof/>
        </w:rPr>
        <w:t>3</w:t>
      </w:r>
      <w:bookmarkEnd w:id="12"/>
      <w:r>
        <w:tab/>
        <w:t>Sectoral real investment, growth rates and shares, 1978 to 2012</w:t>
      </w:r>
    </w:p>
    <w:p w:rsidR="003F1BF2" w:rsidRDefault="003F1BF2" w:rsidP="003F1BF2">
      <w:pPr>
        <w:pStyle w:val="Subtitle"/>
      </w:pPr>
      <w:r>
        <w:t>Real gross fixed capital formation by sector</w:t>
      </w:r>
      <w:r>
        <w:rPr>
          <w:rStyle w:val="NoteLabel"/>
        </w:rPr>
        <w:t>a, b</w:t>
      </w:r>
    </w:p>
    <w:tbl>
      <w:tblPr>
        <w:tblW w:w="5000" w:type="pct"/>
        <w:tblLayout w:type="fixed"/>
        <w:tblCellMar>
          <w:left w:w="0" w:type="dxa"/>
          <w:right w:w="0" w:type="dxa"/>
        </w:tblCellMar>
        <w:tblLook w:val="00A0" w:firstRow="1" w:lastRow="0" w:firstColumn="1" w:lastColumn="0" w:noHBand="0" w:noVBand="0"/>
      </w:tblPr>
      <w:tblGrid>
        <w:gridCol w:w="1985"/>
        <w:gridCol w:w="851"/>
        <w:gridCol w:w="851"/>
        <w:gridCol w:w="142"/>
        <w:gridCol w:w="802"/>
        <w:gridCol w:w="803"/>
        <w:gridCol w:w="803"/>
        <w:gridCol w:w="142"/>
        <w:gridCol w:w="1206"/>
        <w:gridCol w:w="1204"/>
      </w:tblGrid>
      <w:tr w:rsidR="003F1BF2" w:rsidTr="009268D6">
        <w:tc>
          <w:tcPr>
            <w:tcW w:w="1129" w:type="pct"/>
            <w:tcBorders>
              <w:top w:val="single" w:sz="4" w:space="0" w:color="auto"/>
              <w:left w:val="nil"/>
              <w:right w:val="nil"/>
            </w:tcBorders>
          </w:tcPr>
          <w:p w:rsidR="003F1BF2" w:rsidRDefault="003F1BF2" w:rsidP="009268D6">
            <w:pPr>
              <w:pStyle w:val="TableColumnHeading"/>
              <w:jc w:val="left"/>
            </w:pPr>
          </w:p>
        </w:tc>
        <w:tc>
          <w:tcPr>
            <w:tcW w:w="968" w:type="pct"/>
            <w:gridSpan w:val="2"/>
            <w:tcBorders>
              <w:top w:val="single" w:sz="6" w:space="0" w:color="auto"/>
              <w:left w:val="nil"/>
              <w:bottom w:val="single" w:sz="6" w:space="0" w:color="auto"/>
              <w:right w:val="nil"/>
            </w:tcBorders>
          </w:tcPr>
          <w:p w:rsidR="003F1BF2" w:rsidRDefault="003F1BF2" w:rsidP="009268D6">
            <w:pPr>
              <w:pStyle w:val="TableColumnHeading"/>
            </w:pPr>
            <w:r>
              <w:t xml:space="preserve">Average annual growth rate </w:t>
            </w:r>
          </w:p>
        </w:tc>
        <w:tc>
          <w:tcPr>
            <w:tcW w:w="81" w:type="pct"/>
            <w:tcBorders>
              <w:top w:val="single" w:sz="4" w:space="0" w:color="auto"/>
              <w:left w:val="nil"/>
              <w:right w:val="nil"/>
            </w:tcBorders>
          </w:tcPr>
          <w:p w:rsidR="003F1BF2" w:rsidRDefault="003F1BF2" w:rsidP="009268D6">
            <w:pPr>
              <w:pStyle w:val="TableColumnHeading"/>
            </w:pPr>
          </w:p>
        </w:tc>
        <w:tc>
          <w:tcPr>
            <w:tcW w:w="1370" w:type="pct"/>
            <w:gridSpan w:val="3"/>
            <w:tcBorders>
              <w:top w:val="single" w:sz="6" w:space="0" w:color="auto"/>
              <w:left w:val="nil"/>
              <w:bottom w:val="single" w:sz="6" w:space="0" w:color="auto"/>
              <w:right w:val="nil"/>
            </w:tcBorders>
          </w:tcPr>
          <w:p w:rsidR="003F1BF2" w:rsidRDefault="003F1BF2" w:rsidP="009268D6">
            <w:pPr>
              <w:pStyle w:val="TableColumnHeading"/>
            </w:pPr>
            <w:r>
              <w:t>Share of total investment</w:t>
            </w:r>
          </w:p>
        </w:tc>
        <w:tc>
          <w:tcPr>
            <w:tcW w:w="81" w:type="pct"/>
            <w:tcBorders>
              <w:top w:val="single" w:sz="4" w:space="0" w:color="auto"/>
              <w:left w:val="nil"/>
              <w:right w:val="nil"/>
            </w:tcBorders>
          </w:tcPr>
          <w:p w:rsidR="003F1BF2" w:rsidRDefault="003F1BF2" w:rsidP="009268D6">
            <w:pPr>
              <w:pStyle w:val="TableColumnHeading"/>
            </w:pPr>
          </w:p>
        </w:tc>
        <w:tc>
          <w:tcPr>
            <w:tcW w:w="1371" w:type="pct"/>
            <w:gridSpan w:val="2"/>
            <w:tcBorders>
              <w:top w:val="single" w:sz="6" w:space="0" w:color="auto"/>
              <w:left w:val="nil"/>
              <w:bottom w:val="single" w:sz="6" w:space="0" w:color="auto"/>
              <w:right w:val="nil"/>
            </w:tcBorders>
          </w:tcPr>
          <w:p w:rsidR="003F1BF2" w:rsidRDefault="003F1BF2" w:rsidP="009268D6">
            <w:pPr>
              <w:pStyle w:val="TableColumnHeading"/>
            </w:pPr>
            <w:r>
              <w:t xml:space="preserve">Change in share </w:t>
            </w:r>
          </w:p>
        </w:tc>
      </w:tr>
      <w:tr w:rsidR="003F1BF2" w:rsidTr="009268D6">
        <w:tc>
          <w:tcPr>
            <w:tcW w:w="1129" w:type="pct"/>
            <w:tcBorders>
              <w:left w:val="nil"/>
              <w:bottom w:val="nil"/>
              <w:right w:val="nil"/>
            </w:tcBorders>
          </w:tcPr>
          <w:p w:rsidR="003F1BF2" w:rsidRDefault="003F1BF2" w:rsidP="009268D6">
            <w:pPr>
              <w:pStyle w:val="TableUnitsRow"/>
              <w:jc w:val="left"/>
            </w:pPr>
          </w:p>
        </w:tc>
        <w:tc>
          <w:tcPr>
            <w:tcW w:w="484" w:type="pct"/>
            <w:tcBorders>
              <w:top w:val="single" w:sz="6" w:space="0" w:color="auto"/>
              <w:left w:val="nil"/>
              <w:bottom w:val="nil"/>
              <w:right w:val="nil"/>
            </w:tcBorders>
          </w:tcPr>
          <w:p w:rsidR="003F1BF2" w:rsidRDefault="003F1BF2" w:rsidP="00A122B3">
            <w:pPr>
              <w:pStyle w:val="TableUnitsRow"/>
            </w:pPr>
            <w:r>
              <w:t>1978</w:t>
            </w:r>
            <w:r w:rsidR="00A122B3">
              <w:br/>
            </w:r>
            <w:r>
              <w:t>to 2002</w:t>
            </w:r>
          </w:p>
        </w:tc>
        <w:tc>
          <w:tcPr>
            <w:tcW w:w="484" w:type="pct"/>
            <w:tcBorders>
              <w:top w:val="single" w:sz="6" w:space="0" w:color="auto"/>
              <w:left w:val="nil"/>
              <w:bottom w:val="nil"/>
              <w:right w:val="nil"/>
            </w:tcBorders>
          </w:tcPr>
          <w:p w:rsidR="003F1BF2" w:rsidRDefault="003F1BF2" w:rsidP="00A122B3">
            <w:pPr>
              <w:pStyle w:val="TableUnitsRow"/>
            </w:pPr>
            <w:r>
              <w:t>2002</w:t>
            </w:r>
            <w:r w:rsidR="00A122B3">
              <w:br/>
            </w:r>
            <w:r>
              <w:t>to 2012</w:t>
            </w:r>
          </w:p>
        </w:tc>
        <w:tc>
          <w:tcPr>
            <w:tcW w:w="81" w:type="pct"/>
            <w:tcBorders>
              <w:left w:val="nil"/>
              <w:bottom w:val="single" w:sz="4" w:space="0" w:color="auto"/>
              <w:right w:val="nil"/>
            </w:tcBorders>
          </w:tcPr>
          <w:p w:rsidR="003F1BF2" w:rsidRDefault="003F1BF2" w:rsidP="009268D6">
            <w:pPr>
              <w:pStyle w:val="TableUnitsRow"/>
            </w:pPr>
          </w:p>
        </w:tc>
        <w:tc>
          <w:tcPr>
            <w:tcW w:w="456" w:type="pct"/>
            <w:tcBorders>
              <w:top w:val="single" w:sz="6" w:space="0" w:color="auto"/>
              <w:left w:val="nil"/>
              <w:bottom w:val="nil"/>
              <w:right w:val="nil"/>
            </w:tcBorders>
          </w:tcPr>
          <w:p w:rsidR="003F1BF2" w:rsidRDefault="003F1BF2" w:rsidP="009268D6">
            <w:pPr>
              <w:pStyle w:val="TableUnitsRow"/>
            </w:pPr>
            <w:r>
              <w:t>1978</w:t>
            </w:r>
          </w:p>
        </w:tc>
        <w:tc>
          <w:tcPr>
            <w:tcW w:w="457" w:type="pct"/>
            <w:tcBorders>
              <w:top w:val="single" w:sz="6" w:space="0" w:color="auto"/>
              <w:left w:val="nil"/>
              <w:bottom w:val="nil"/>
              <w:right w:val="nil"/>
            </w:tcBorders>
          </w:tcPr>
          <w:p w:rsidR="003F1BF2" w:rsidRDefault="003F1BF2" w:rsidP="009268D6">
            <w:pPr>
              <w:pStyle w:val="TableUnitsRow"/>
            </w:pPr>
            <w:r>
              <w:t>2002</w:t>
            </w:r>
          </w:p>
        </w:tc>
        <w:tc>
          <w:tcPr>
            <w:tcW w:w="457" w:type="pct"/>
            <w:tcBorders>
              <w:top w:val="single" w:sz="6" w:space="0" w:color="auto"/>
              <w:left w:val="nil"/>
              <w:bottom w:val="nil"/>
              <w:right w:val="nil"/>
            </w:tcBorders>
          </w:tcPr>
          <w:p w:rsidR="003F1BF2" w:rsidRDefault="003F1BF2" w:rsidP="009268D6">
            <w:pPr>
              <w:pStyle w:val="TableUnitsRow"/>
            </w:pPr>
            <w:r>
              <w:t>2012</w:t>
            </w:r>
          </w:p>
        </w:tc>
        <w:tc>
          <w:tcPr>
            <w:tcW w:w="81" w:type="pct"/>
            <w:tcBorders>
              <w:left w:val="nil"/>
              <w:bottom w:val="single" w:sz="4" w:space="0" w:color="auto"/>
              <w:right w:val="nil"/>
            </w:tcBorders>
          </w:tcPr>
          <w:p w:rsidR="003F1BF2" w:rsidRDefault="003F1BF2" w:rsidP="009268D6">
            <w:pPr>
              <w:pStyle w:val="TableColumnHeading"/>
            </w:pPr>
          </w:p>
        </w:tc>
        <w:tc>
          <w:tcPr>
            <w:tcW w:w="686" w:type="pct"/>
            <w:tcBorders>
              <w:top w:val="single" w:sz="6" w:space="0" w:color="auto"/>
              <w:left w:val="nil"/>
              <w:bottom w:val="nil"/>
              <w:right w:val="nil"/>
            </w:tcBorders>
          </w:tcPr>
          <w:p w:rsidR="003F1BF2" w:rsidRDefault="003F1BF2" w:rsidP="00A122B3">
            <w:pPr>
              <w:pStyle w:val="TableUnitsRow"/>
            </w:pPr>
            <w:r>
              <w:t>1978</w:t>
            </w:r>
            <w:r w:rsidR="00A122B3">
              <w:br/>
            </w:r>
            <w:r>
              <w:t>to 2002</w:t>
            </w:r>
          </w:p>
        </w:tc>
        <w:tc>
          <w:tcPr>
            <w:tcW w:w="685" w:type="pct"/>
            <w:tcBorders>
              <w:top w:val="single" w:sz="6" w:space="0" w:color="auto"/>
              <w:left w:val="nil"/>
              <w:bottom w:val="nil"/>
              <w:right w:val="nil"/>
            </w:tcBorders>
          </w:tcPr>
          <w:p w:rsidR="003F1BF2" w:rsidRDefault="003F1BF2" w:rsidP="00A122B3">
            <w:pPr>
              <w:pStyle w:val="TableUnitsRow"/>
            </w:pPr>
            <w:r>
              <w:t>2002</w:t>
            </w:r>
            <w:r w:rsidR="00A122B3">
              <w:br/>
            </w:r>
            <w:r>
              <w:t>to 2012</w:t>
            </w:r>
          </w:p>
        </w:tc>
      </w:tr>
      <w:tr w:rsidR="003F1BF2" w:rsidTr="009268D6">
        <w:tc>
          <w:tcPr>
            <w:tcW w:w="1129" w:type="pct"/>
            <w:tcBorders>
              <w:top w:val="single" w:sz="6" w:space="0" w:color="auto"/>
              <w:left w:val="nil"/>
              <w:bottom w:val="nil"/>
              <w:right w:val="nil"/>
            </w:tcBorders>
          </w:tcPr>
          <w:p w:rsidR="003F1BF2" w:rsidRDefault="003F1BF2" w:rsidP="009268D6">
            <w:pPr>
              <w:pStyle w:val="TableUnitsRow"/>
              <w:jc w:val="left"/>
            </w:pPr>
          </w:p>
        </w:tc>
        <w:tc>
          <w:tcPr>
            <w:tcW w:w="484" w:type="pct"/>
            <w:tcBorders>
              <w:top w:val="single" w:sz="6" w:space="0" w:color="auto"/>
              <w:left w:val="nil"/>
              <w:bottom w:val="nil"/>
              <w:right w:val="nil"/>
            </w:tcBorders>
          </w:tcPr>
          <w:p w:rsidR="003F1BF2" w:rsidRDefault="003F1BF2" w:rsidP="009268D6">
            <w:pPr>
              <w:pStyle w:val="TableUnitsRow"/>
            </w:pPr>
            <w:r>
              <w:t>%</w:t>
            </w:r>
          </w:p>
        </w:tc>
        <w:tc>
          <w:tcPr>
            <w:tcW w:w="484" w:type="pct"/>
            <w:tcBorders>
              <w:top w:val="single" w:sz="6" w:space="0" w:color="auto"/>
              <w:left w:val="nil"/>
              <w:bottom w:val="nil"/>
              <w:right w:val="nil"/>
            </w:tcBorders>
          </w:tcPr>
          <w:p w:rsidR="003F1BF2" w:rsidRDefault="003F1BF2" w:rsidP="009268D6">
            <w:pPr>
              <w:pStyle w:val="TableUnitsRow"/>
            </w:pPr>
            <w:r>
              <w:t>%</w:t>
            </w:r>
          </w:p>
        </w:tc>
        <w:tc>
          <w:tcPr>
            <w:tcW w:w="81" w:type="pct"/>
            <w:tcBorders>
              <w:top w:val="single" w:sz="4" w:space="0" w:color="auto"/>
              <w:left w:val="nil"/>
              <w:bottom w:val="nil"/>
              <w:right w:val="nil"/>
            </w:tcBorders>
          </w:tcPr>
          <w:p w:rsidR="003F1BF2" w:rsidRDefault="003F1BF2" w:rsidP="009268D6">
            <w:pPr>
              <w:pStyle w:val="TableUnitsRow"/>
            </w:pPr>
          </w:p>
        </w:tc>
        <w:tc>
          <w:tcPr>
            <w:tcW w:w="456" w:type="pct"/>
            <w:tcBorders>
              <w:top w:val="single" w:sz="6" w:space="0" w:color="auto"/>
              <w:left w:val="nil"/>
              <w:bottom w:val="nil"/>
              <w:right w:val="nil"/>
            </w:tcBorders>
          </w:tcPr>
          <w:p w:rsidR="003F1BF2" w:rsidRDefault="003F1BF2" w:rsidP="009268D6">
            <w:pPr>
              <w:pStyle w:val="TableUnitsRow"/>
            </w:pPr>
            <w:r>
              <w:t>%</w:t>
            </w:r>
          </w:p>
        </w:tc>
        <w:tc>
          <w:tcPr>
            <w:tcW w:w="457" w:type="pct"/>
            <w:tcBorders>
              <w:top w:val="single" w:sz="6" w:space="0" w:color="auto"/>
              <w:left w:val="nil"/>
              <w:bottom w:val="nil"/>
              <w:right w:val="nil"/>
            </w:tcBorders>
          </w:tcPr>
          <w:p w:rsidR="003F1BF2" w:rsidRDefault="003F1BF2" w:rsidP="009268D6">
            <w:pPr>
              <w:pStyle w:val="TableUnitsRow"/>
            </w:pPr>
            <w:r>
              <w:t>%</w:t>
            </w:r>
          </w:p>
        </w:tc>
        <w:tc>
          <w:tcPr>
            <w:tcW w:w="457" w:type="pct"/>
            <w:tcBorders>
              <w:top w:val="single" w:sz="6" w:space="0" w:color="auto"/>
              <w:left w:val="nil"/>
              <w:bottom w:val="nil"/>
              <w:right w:val="nil"/>
            </w:tcBorders>
          </w:tcPr>
          <w:p w:rsidR="003F1BF2" w:rsidRDefault="003F1BF2" w:rsidP="009268D6">
            <w:pPr>
              <w:pStyle w:val="TableUnitsRow"/>
            </w:pPr>
            <w:r>
              <w:t>%</w:t>
            </w:r>
          </w:p>
        </w:tc>
        <w:tc>
          <w:tcPr>
            <w:tcW w:w="81" w:type="pct"/>
            <w:tcBorders>
              <w:top w:val="single" w:sz="4" w:space="0" w:color="auto"/>
              <w:left w:val="nil"/>
              <w:bottom w:val="nil"/>
              <w:right w:val="nil"/>
            </w:tcBorders>
          </w:tcPr>
          <w:p w:rsidR="003F1BF2" w:rsidRDefault="003F1BF2" w:rsidP="009268D6">
            <w:pPr>
              <w:pStyle w:val="TableUnitsRow"/>
            </w:pPr>
          </w:p>
        </w:tc>
        <w:tc>
          <w:tcPr>
            <w:tcW w:w="686" w:type="pct"/>
            <w:tcBorders>
              <w:top w:val="single" w:sz="6" w:space="0" w:color="auto"/>
              <w:left w:val="nil"/>
              <w:bottom w:val="nil"/>
              <w:right w:val="nil"/>
            </w:tcBorders>
          </w:tcPr>
          <w:p w:rsidR="003F1BF2" w:rsidRDefault="003F1BF2" w:rsidP="009268D6">
            <w:pPr>
              <w:pStyle w:val="TableUnitsRow"/>
            </w:pPr>
            <w:r>
              <w:t>Percentage point</w:t>
            </w:r>
          </w:p>
        </w:tc>
        <w:tc>
          <w:tcPr>
            <w:tcW w:w="685" w:type="pct"/>
            <w:tcBorders>
              <w:top w:val="single" w:sz="6" w:space="0" w:color="auto"/>
              <w:left w:val="nil"/>
              <w:bottom w:val="nil"/>
              <w:right w:val="nil"/>
            </w:tcBorders>
          </w:tcPr>
          <w:p w:rsidR="003F1BF2" w:rsidRDefault="003F1BF2" w:rsidP="009268D6">
            <w:pPr>
              <w:pStyle w:val="TableUnitsRow"/>
              <w:ind w:right="28"/>
            </w:pPr>
            <w:r>
              <w:t>Percentage point</w:t>
            </w:r>
          </w:p>
        </w:tc>
      </w:tr>
      <w:tr w:rsidR="003F1BF2" w:rsidTr="009268D6">
        <w:tc>
          <w:tcPr>
            <w:tcW w:w="1129" w:type="pct"/>
            <w:vAlign w:val="bottom"/>
          </w:tcPr>
          <w:p w:rsidR="003F1BF2" w:rsidRPr="001A701A" w:rsidRDefault="003F1BF2" w:rsidP="009268D6">
            <w:pPr>
              <w:pStyle w:val="TableBodyText"/>
              <w:jc w:val="left"/>
            </w:pPr>
            <w:r w:rsidRPr="001A701A">
              <w:t xml:space="preserve">Agriculture </w:t>
            </w:r>
          </w:p>
        </w:tc>
        <w:tc>
          <w:tcPr>
            <w:tcW w:w="484" w:type="pct"/>
            <w:vAlign w:val="bottom"/>
          </w:tcPr>
          <w:p w:rsidR="003F1BF2" w:rsidRDefault="003F1BF2" w:rsidP="009268D6">
            <w:pPr>
              <w:pStyle w:val="TableBodyText"/>
            </w:pPr>
            <w:r>
              <w:t>1.4</w:t>
            </w:r>
          </w:p>
        </w:tc>
        <w:tc>
          <w:tcPr>
            <w:tcW w:w="484" w:type="pct"/>
            <w:vAlign w:val="bottom"/>
          </w:tcPr>
          <w:p w:rsidR="003F1BF2" w:rsidRDefault="003F1BF2" w:rsidP="009268D6">
            <w:pPr>
              <w:pStyle w:val="TableBodyText"/>
            </w:pPr>
            <w:r>
              <w:t>6.1</w:t>
            </w:r>
          </w:p>
        </w:tc>
        <w:tc>
          <w:tcPr>
            <w:tcW w:w="81" w:type="pct"/>
          </w:tcPr>
          <w:p w:rsidR="003F1BF2" w:rsidRDefault="003F1BF2" w:rsidP="009268D6">
            <w:pPr>
              <w:pStyle w:val="TableBodyText"/>
            </w:pPr>
          </w:p>
        </w:tc>
        <w:tc>
          <w:tcPr>
            <w:tcW w:w="456" w:type="pct"/>
            <w:vAlign w:val="bottom"/>
          </w:tcPr>
          <w:p w:rsidR="003F1BF2" w:rsidRDefault="003F1BF2" w:rsidP="009268D6">
            <w:pPr>
              <w:pStyle w:val="TableBodyText"/>
            </w:pPr>
            <w:r>
              <w:t>13.6</w:t>
            </w:r>
          </w:p>
        </w:tc>
        <w:tc>
          <w:tcPr>
            <w:tcW w:w="457" w:type="pct"/>
            <w:vAlign w:val="bottom"/>
          </w:tcPr>
          <w:p w:rsidR="003F1BF2" w:rsidRDefault="003F1BF2" w:rsidP="009268D6">
            <w:pPr>
              <w:pStyle w:val="TableBodyText"/>
            </w:pPr>
            <w:r>
              <w:t>6.8</w:t>
            </w:r>
          </w:p>
        </w:tc>
        <w:tc>
          <w:tcPr>
            <w:tcW w:w="457" w:type="pct"/>
            <w:vAlign w:val="bottom"/>
          </w:tcPr>
          <w:p w:rsidR="003F1BF2" w:rsidRDefault="003F1BF2" w:rsidP="009268D6">
            <w:pPr>
              <w:pStyle w:val="TableBodyText"/>
            </w:pPr>
            <w:r>
              <w:t>5.1</w:t>
            </w:r>
          </w:p>
        </w:tc>
        <w:tc>
          <w:tcPr>
            <w:tcW w:w="81" w:type="pct"/>
          </w:tcPr>
          <w:p w:rsidR="003F1BF2" w:rsidRDefault="003F1BF2" w:rsidP="009268D6">
            <w:pPr>
              <w:pStyle w:val="TableBodyText"/>
            </w:pPr>
          </w:p>
        </w:tc>
        <w:tc>
          <w:tcPr>
            <w:tcW w:w="686" w:type="pct"/>
            <w:vAlign w:val="bottom"/>
          </w:tcPr>
          <w:p w:rsidR="003F1BF2" w:rsidRPr="001A701A" w:rsidRDefault="003F1BF2" w:rsidP="009268D6">
            <w:pPr>
              <w:pStyle w:val="TableBodyText"/>
            </w:pPr>
            <w:r>
              <w:noBreakHyphen/>
              <w:t>6.7</w:t>
            </w:r>
          </w:p>
        </w:tc>
        <w:tc>
          <w:tcPr>
            <w:tcW w:w="685" w:type="pct"/>
            <w:vAlign w:val="bottom"/>
          </w:tcPr>
          <w:p w:rsidR="003F1BF2" w:rsidRPr="001A701A" w:rsidRDefault="003F1BF2" w:rsidP="009268D6">
            <w:pPr>
              <w:pStyle w:val="TableBodyText"/>
              <w:ind w:right="28"/>
            </w:pPr>
            <w:r>
              <w:noBreakHyphen/>
              <w:t>1.8</w:t>
            </w:r>
          </w:p>
        </w:tc>
      </w:tr>
      <w:tr w:rsidR="003F1BF2" w:rsidTr="009268D6">
        <w:tc>
          <w:tcPr>
            <w:tcW w:w="1129" w:type="pct"/>
            <w:vAlign w:val="bottom"/>
          </w:tcPr>
          <w:p w:rsidR="003F1BF2" w:rsidRPr="001A701A" w:rsidRDefault="003F1BF2" w:rsidP="009268D6">
            <w:pPr>
              <w:pStyle w:val="TableBodyText"/>
              <w:jc w:val="left"/>
            </w:pPr>
            <w:r w:rsidRPr="001A701A">
              <w:t>Mining</w:t>
            </w:r>
          </w:p>
        </w:tc>
        <w:tc>
          <w:tcPr>
            <w:tcW w:w="484" w:type="pct"/>
            <w:vAlign w:val="bottom"/>
          </w:tcPr>
          <w:p w:rsidR="003F1BF2" w:rsidRDefault="003F1BF2" w:rsidP="009268D6">
            <w:pPr>
              <w:pStyle w:val="TableBodyText"/>
            </w:pPr>
            <w:r>
              <w:t>3.9</w:t>
            </w:r>
          </w:p>
        </w:tc>
        <w:tc>
          <w:tcPr>
            <w:tcW w:w="484" w:type="pct"/>
            <w:vAlign w:val="bottom"/>
          </w:tcPr>
          <w:p w:rsidR="003F1BF2" w:rsidRDefault="003F1BF2" w:rsidP="009268D6">
            <w:pPr>
              <w:pStyle w:val="TableBodyText"/>
            </w:pPr>
            <w:r>
              <w:t>19.9</w:t>
            </w:r>
          </w:p>
        </w:tc>
        <w:tc>
          <w:tcPr>
            <w:tcW w:w="81" w:type="pct"/>
          </w:tcPr>
          <w:p w:rsidR="003F1BF2" w:rsidRDefault="003F1BF2" w:rsidP="009268D6">
            <w:pPr>
              <w:pStyle w:val="TableBodyText"/>
            </w:pPr>
          </w:p>
        </w:tc>
        <w:tc>
          <w:tcPr>
            <w:tcW w:w="456" w:type="pct"/>
            <w:vAlign w:val="bottom"/>
          </w:tcPr>
          <w:p w:rsidR="003F1BF2" w:rsidRDefault="003F1BF2" w:rsidP="009268D6">
            <w:pPr>
              <w:pStyle w:val="TableBodyText"/>
            </w:pPr>
            <w:r>
              <w:t>4.6</w:t>
            </w:r>
          </w:p>
        </w:tc>
        <w:tc>
          <w:tcPr>
            <w:tcW w:w="457" w:type="pct"/>
            <w:vAlign w:val="bottom"/>
          </w:tcPr>
          <w:p w:rsidR="003F1BF2" w:rsidRDefault="003F1BF2" w:rsidP="009268D6">
            <w:pPr>
              <w:pStyle w:val="TableBodyText"/>
            </w:pPr>
            <w:r>
              <w:t>10.7</w:t>
            </w:r>
          </w:p>
        </w:tc>
        <w:tc>
          <w:tcPr>
            <w:tcW w:w="457" w:type="pct"/>
            <w:vAlign w:val="bottom"/>
          </w:tcPr>
          <w:p w:rsidR="003F1BF2" w:rsidRDefault="003F1BF2" w:rsidP="009268D6">
            <w:pPr>
              <w:pStyle w:val="TableBodyText"/>
            </w:pPr>
            <w:r>
              <w:t>31.5</w:t>
            </w:r>
          </w:p>
        </w:tc>
        <w:tc>
          <w:tcPr>
            <w:tcW w:w="81" w:type="pct"/>
          </w:tcPr>
          <w:p w:rsidR="003F1BF2" w:rsidRDefault="003F1BF2" w:rsidP="009268D6">
            <w:pPr>
              <w:pStyle w:val="TableBodyText"/>
            </w:pPr>
          </w:p>
        </w:tc>
        <w:tc>
          <w:tcPr>
            <w:tcW w:w="686" w:type="pct"/>
            <w:vAlign w:val="bottom"/>
          </w:tcPr>
          <w:p w:rsidR="003F1BF2" w:rsidRPr="001A701A" w:rsidRDefault="003F1BF2" w:rsidP="009268D6">
            <w:pPr>
              <w:pStyle w:val="TableBodyText"/>
            </w:pPr>
            <w:r>
              <w:t>6.1</w:t>
            </w:r>
          </w:p>
        </w:tc>
        <w:tc>
          <w:tcPr>
            <w:tcW w:w="685" w:type="pct"/>
            <w:vAlign w:val="bottom"/>
          </w:tcPr>
          <w:p w:rsidR="003F1BF2" w:rsidRPr="001A701A" w:rsidRDefault="003F1BF2" w:rsidP="009268D6">
            <w:pPr>
              <w:pStyle w:val="TableBodyText"/>
              <w:ind w:right="28"/>
            </w:pPr>
            <w:r>
              <w:t>20.8</w:t>
            </w:r>
          </w:p>
        </w:tc>
      </w:tr>
      <w:tr w:rsidR="003F1BF2" w:rsidTr="009268D6">
        <w:tc>
          <w:tcPr>
            <w:tcW w:w="1129" w:type="pct"/>
            <w:vAlign w:val="bottom"/>
          </w:tcPr>
          <w:p w:rsidR="003F1BF2" w:rsidRPr="001A701A" w:rsidRDefault="003F1BF2" w:rsidP="009268D6">
            <w:pPr>
              <w:pStyle w:val="TableBodyText"/>
              <w:jc w:val="left"/>
            </w:pPr>
            <w:r w:rsidRPr="001A701A">
              <w:t>Manufacturing</w:t>
            </w:r>
          </w:p>
        </w:tc>
        <w:tc>
          <w:tcPr>
            <w:tcW w:w="484" w:type="pct"/>
            <w:vAlign w:val="bottom"/>
          </w:tcPr>
          <w:p w:rsidR="003F1BF2" w:rsidRDefault="003F1BF2" w:rsidP="009268D6">
            <w:pPr>
              <w:pStyle w:val="TableBodyText"/>
            </w:pPr>
            <w:r>
              <w:t>3.8</w:t>
            </w:r>
          </w:p>
        </w:tc>
        <w:tc>
          <w:tcPr>
            <w:tcW w:w="484" w:type="pct"/>
            <w:vAlign w:val="bottom"/>
          </w:tcPr>
          <w:p w:rsidR="003F1BF2" w:rsidRDefault="003F1BF2" w:rsidP="009268D6">
            <w:pPr>
              <w:pStyle w:val="TableBodyText"/>
            </w:pPr>
            <w:r>
              <w:t>3.7</w:t>
            </w:r>
          </w:p>
        </w:tc>
        <w:tc>
          <w:tcPr>
            <w:tcW w:w="81" w:type="pct"/>
          </w:tcPr>
          <w:p w:rsidR="003F1BF2" w:rsidRDefault="003F1BF2" w:rsidP="009268D6">
            <w:pPr>
              <w:pStyle w:val="TableBodyText"/>
            </w:pPr>
          </w:p>
        </w:tc>
        <w:tc>
          <w:tcPr>
            <w:tcW w:w="456" w:type="pct"/>
            <w:vAlign w:val="bottom"/>
          </w:tcPr>
          <w:p w:rsidR="003F1BF2" w:rsidRDefault="003F1BF2" w:rsidP="009268D6">
            <w:pPr>
              <w:pStyle w:val="TableBodyText"/>
            </w:pPr>
            <w:r>
              <w:t>13.6</w:t>
            </w:r>
          </w:p>
        </w:tc>
        <w:tc>
          <w:tcPr>
            <w:tcW w:w="457" w:type="pct"/>
            <w:vAlign w:val="bottom"/>
          </w:tcPr>
          <w:p w:rsidR="003F1BF2" w:rsidRDefault="003F1BF2" w:rsidP="009268D6">
            <w:pPr>
              <w:pStyle w:val="TableBodyText"/>
            </w:pPr>
            <w:r>
              <w:t>11.2</w:t>
            </w:r>
          </w:p>
        </w:tc>
        <w:tc>
          <w:tcPr>
            <w:tcW w:w="457" w:type="pct"/>
            <w:vAlign w:val="bottom"/>
          </w:tcPr>
          <w:p w:rsidR="003F1BF2" w:rsidRDefault="003F1BF2" w:rsidP="009268D6">
            <w:pPr>
              <w:pStyle w:val="TableBodyText"/>
            </w:pPr>
            <w:r>
              <w:t>6.6</w:t>
            </w:r>
          </w:p>
        </w:tc>
        <w:tc>
          <w:tcPr>
            <w:tcW w:w="81" w:type="pct"/>
          </w:tcPr>
          <w:p w:rsidR="003F1BF2" w:rsidRDefault="003F1BF2" w:rsidP="009268D6">
            <w:pPr>
              <w:pStyle w:val="TableBodyText"/>
            </w:pPr>
          </w:p>
        </w:tc>
        <w:tc>
          <w:tcPr>
            <w:tcW w:w="686" w:type="pct"/>
            <w:vAlign w:val="bottom"/>
          </w:tcPr>
          <w:p w:rsidR="003F1BF2" w:rsidRPr="001A701A" w:rsidRDefault="003F1BF2" w:rsidP="009268D6">
            <w:pPr>
              <w:pStyle w:val="TableBodyText"/>
            </w:pPr>
            <w:r>
              <w:noBreakHyphen/>
              <w:t>2.4</w:t>
            </w:r>
          </w:p>
        </w:tc>
        <w:tc>
          <w:tcPr>
            <w:tcW w:w="685" w:type="pct"/>
            <w:vAlign w:val="bottom"/>
          </w:tcPr>
          <w:p w:rsidR="003F1BF2" w:rsidRPr="001A701A" w:rsidRDefault="003F1BF2" w:rsidP="009268D6">
            <w:pPr>
              <w:pStyle w:val="TableBodyText"/>
              <w:ind w:right="28"/>
            </w:pPr>
            <w:r>
              <w:noBreakHyphen/>
              <w:t>4.7</w:t>
            </w:r>
          </w:p>
        </w:tc>
      </w:tr>
      <w:tr w:rsidR="003F1BF2" w:rsidTr="009268D6">
        <w:tc>
          <w:tcPr>
            <w:tcW w:w="1129" w:type="pct"/>
            <w:vAlign w:val="bottom"/>
          </w:tcPr>
          <w:p w:rsidR="003F1BF2" w:rsidRPr="001A701A" w:rsidRDefault="003F1BF2" w:rsidP="009268D6">
            <w:pPr>
              <w:pStyle w:val="TableBodyText"/>
              <w:jc w:val="left"/>
            </w:pPr>
            <w:r w:rsidRPr="001A701A">
              <w:t>Utilities</w:t>
            </w:r>
          </w:p>
        </w:tc>
        <w:tc>
          <w:tcPr>
            <w:tcW w:w="484" w:type="pct"/>
            <w:vAlign w:val="bottom"/>
          </w:tcPr>
          <w:p w:rsidR="003F1BF2" w:rsidRDefault="003F1BF2" w:rsidP="009268D6">
            <w:pPr>
              <w:pStyle w:val="TableBodyText"/>
            </w:pPr>
            <w:r>
              <w:t>2.9</w:t>
            </w:r>
          </w:p>
        </w:tc>
        <w:tc>
          <w:tcPr>
            <w:tcW w:w="484" w:type="pct"/>
            <w:vAlign w:val="bottom"/>
          </w:tcPr>
          <w:p w:rsidR="003F1BF2" w:rsidRDefault="003F1BF2" w:rsidP="009268D6">
            <w:pPr>
              <w:pStyle w:val="TableBodyText"/>
            </w:pPr>
            <w:r>
              <w:t>7.8</w:t>
            </w:r>
          </w:p>
        </w:tc>
        <w:tc>
          <w:tcPr>
            <w:tcW w:w="81" w:type="pct"/>
          </w:tcPr>
          <w:p w:rsidR="003F1BF2" w:rsidRDefault="003F1BF2" w:rsidP="009268D6">
            <w:pPr>
              <w:pStyle w:val="TableBodyText"/>
            </w:pPr>
          </w:p>
        </w:tc>
        <w:tc>
          <w:tcPr>
            <w:tcW w:w="456" w:type="pct"/>
            <w:vAlign w:val="bottom"/>
          </w:tcPr>
          <w:p w:rsidR="003F1BF2" w:rsidRDefault="003F1BF2" w:rsidP="009268D6">
            <w:pPr>
              <w:pStyle w:val="TableBodyText"/>
            </w:pPr>
            <w:r>
              <w:t>16.8</w:t>
            </w:r>
          </w:p>
        </w:tc>
        <w:tc>
          <w:tcPr>
            <w:tcW w:w="457" w:type="pct"/>
            <w:vAlign w:val="bottom"/>
          </w:tcPr>
          <w:p w:rsidR="003F1BF2" w:rsidRDefault="003F1BF2" w:rsidP="009268D6">
            <w:pPr>
              <w:pStyle w:val="TableBodyText"/>
            </w:pPr>
            <w:r>
              <w:t>8.9</w:t>
            </w:r>
          </w:p>
        </w:tc>
        <w:tc>
          <w:tcPr>
            <w:tcW w:w="457" w:type="pct"/>
            <w:vAlign w:val="bottom"/>
          </w:tcPr>
          <w:p w:rsidR="003F1BF2" w:rsidRDefault="003F1BF2" w:rsidP="009268D6">
            <w:pPr>
              <w:pStyle w:val="TableBodyText"/>
            </w:pPr>
            <w:r>
              <w:t>7.8</w:t>
            </w:r>
          </w:p>
        </w:tc>
        <w:tc>
          <w:tcPr>
            <w:tcW w:w="81" w:type="pct"/>
          </w:tcPr>
          <w:p w:rsidR="003F1BF2" w:rsidRDefault="003F1BF2" w:rsidP="009268D6">
            <w:pPr>
              <w:pStyle w:val="TableBodyText"/>
            </w:pPr>
          </w:p>
        </w:tc>
        <w:tc>
          <w:tcPr>
            <w:tcW w:w="686" w:type="pct"/>
            <w:vAlign w:val="bottom"/>
          </w:tcPr>
          <w:p w:rsidR="003F1BF2" w:rsidRPr="001A701A" w:rsidRDefault="003F1BF2" w:rsidP="009268D6">
            <w:pPr>
              <w:pStyle w:val="TableBodyText"/>
            </w:pPr>
            <w:r>
              <w:noBreakHyphen/>
              <w:t>7.9</w:t>
            </w:r>
          </w:p>
        </w:tc>
        <w:tc>
          <w:tcPr>
            <w:tcW w:w="685" w:type="pct"/>
            <w:vAlign w:val="bottom"/>
          </w:tcPr>
          <w:p w:rsidR="003F1BF2" w:rsidRPr="001A701A" w:rsidRDefault="003F1BF2" w:rsidP="009268D6">
            <w:pPr>
              <w:pStyle w:val="TableBodyText"/>
              <w:ind w:right="28"/>
            </w:pPr>
            <w:r>
              <w:noBreakHyphen/>
              <w:t>1.1</w:t>
            </w:r>
          </w:p>
        </w:tc>
      </w:tr>
      <w:tr w:rsidR="003F1BF2" w:rsidTr="009268D6">
        <w:tc>
          <w:tcPr>
            <w:tcW w:w="1129" w:type="pct"/>
            <w:vAlign w:val="bottom"/>
          </w:tcPr>
          <w:p w:rsidR="003F1BF2" w:rsidRPr="001A701A" w:rsidRDefault="003F1BF2" w:rsidP="009268D6">
            <w:pPr>
              <w:pStyle w:val="TableBodyText"/>
              <w:jc w:val="left"/>
            </w:pPr>
            <w:r w:rsidRPr="001A701A">
              <w:t>Construction</w:t>
            </w:r>
          </w:p>
        </w:tc>
        <w:tc>
          <w:tcPr>
            <w:tcW w:w="484" w:type="pct"/>
            <w:vAlign w:val="bottom"/>
          </w:tcPr>
          <w:p w:rsidR="003F1BF2" w:rsidRDefault="003F1BF2" w:rsidP="009268D6">
            <w:pPr>
              <w:pStyle w:val="TableBodyText"/>
            </w:pPr>
            <w:r>
              <w:t>4.3</w:t>
            </w:r>
          </w:p>
        </w:tc>
        <w:tc>
          <w:tcPr>
            <w:tcW w:w="484" w:type="pct"/>
            <w:vAlign w:val="bottom"/>
          </w:tcPr>
          <w:p w:rsidR="003F1BF2" w:rsidRDefault="003F1BF2" w:rsidP="009268D6">
            <w:pPr>
              <w:pStyle w:val="TableBodyText"/>
            </w:pPr>
            <w:r>
              <w:t>7.7</w:t>
            </w:r>
          </w:p>
        </w:tc>
        <w:tc>
          <w:tcPr>
            <w:tcW w:w="81" w:type="pct"/>
          </w:tcPr>
          <w:p w:rsidR="003F1BF2" w:rsidRDefault="003F1BF2" w:rsidP="009268D6">
            <w:pPr>
              <w:pStyle w:val="TableBodyText"/>
            </w:pPr>
          </w:p>
        </w:tc>
        <w:tc>
          <w:tcPr>
            <w:tcW w:w="456" w:type="pct"/>
            <w:vAlign w:val="bottom"/>
          </w:tcPr>
          <w:p w:rsidR="003F1BF2" w:rsidRDefault="003F1BF2" w:rsidP="009268D6">
            <w:pPr>
              <w:pStyle w:val="TableBodyText"/>
            </w:pPr>
            <w:r>
              <w:t>0.9</w:t>
            </w:r>
          </w:p>
        </w:tc>
        <w:tc>
          <w:tcPr>
            <w:tcW w:w="457" w:type="pct"/>
            <w:vAlign w:val="bottom"/>
          </w:tcPr>
          <w:p w:rsidR="003F1BF2" w:rsidRDefault="003F1BF2" w:rsidP="009268D6">
            <w:pPr>
              <w:pStyle w:val="TableBodyText"/>
            </w:pPr>
            <w:r>
              <w:t>2.1</w:t>
            </w:r>
          </w:p>
        </w:tc>
        <w:tc>
          <w:tcPr>
            <w:tcW w:w="457" w:type="pct"/>
            <w:vAlign w:val="bottom"/>
          </w:tcPr>
          <w:p w:rsidR="003F1BF2" w:rsidRDefault="003F1BF2" w:rsidP="009268D6">
            <w:pPr>
              <w:pStyle w:val="TableBodyText"/>
            </w:pPr>
            <w:r>
              <w:t>1.8</w:t>
            </w:r>
          </w:p>
        </w:tc>
        <w:tc>
          <w:tcPr>
            <w:tcW w:w="81" w:type="pct"/>
          </w:tcPr>
          <w:p w:rsidR="003F1BF2" w:rsidRDefault="003F1BF2" w:rsidP="009268D6">
            <w:pPr>
              <w:pStyle w:val="TableBodyText"/>
            </w:pPr>
          </w:p>
        </w:tc>
        <w:tc>
          <w:tcPr>
            <w:tcW w:w="686" w:type="pct"/>
            <w:vAlign w:val="bottom"/>
          </w:tcPr>
          <w:p w:rsidR="003F1BF2" w:rsidRPr="001A701A" w:rsidRDefault="003F1BF2" w:rsidP="009268D6">
            <w:pPr>
              <w:pStyle w:val="TableBodyText"/>
            </w:pPr>
            <w:r>
              <w:t>1.2</w:t>
            </w:r>
          </w:p>
        </w:tc>
        <w:tc>
          <w:tcPr>
            <w:tcW w:w="685" w:type="pct"/>
            <w:vAlign w:val="bottom"/>
          </w:tcPr>
          <w:p w:rsidR="003F1BF2" w:rsidRPr="001A701A" w:rsidRDefault="003F1BF2" w:rsidP="009268D6">
            <w:pPr>
              <w:pStyle w:val="TableBodyText"/>
              <w:ind w:right="28"/>
            </w:pPr>
            <w:r>
              <w:noBreakHyphen/>
              <w:t>0.3</w:t>
            </w:r>
          </w:p>
        </w:tc>
      </w:tr>
      <w:tr w:rsidR="003F1BF2" w:rsidTr="009268D6">
        <w:tc>
          <w:tcPr>
            <w:tcW w:w="1129" w:type="pct"/>
            <w:vAlign w:val="bottom"/>
          </w:tcPr>
          <w:p w:rsidR="003F1BF2" w:rsidRPr="00BF5C73" w:rsidRDefault="003F1BF2" w:rsidP="009268D6">
            <w:pPr>
              <w:pStyle w:val="TableBodyText"/>
              <w:jc w:val="left"/>
            </w:pPr>
            <w:r w:rsidRPr="00D66619">
              <w:t>Distribution services</w:t>
            </w:r>
          </w:p>
        </w:tc>
        <w:tc>
          <w:tcPr>
            <w:tcW w:w="484" w:type="pct"/>
            <w:vAlign w:val="bottom"/>
          </w:tcPr>
          <w:p w:rsidR="003F1BF2" w:rsidRDefault="003F1BF2" w:rsidP="009268D6">
            <w:pPr>
              <w:pStyle w:val="TableBodyText"/>
            </w:pPr>
            <w:r>
              <w:t>4.2</w:t>
            </w:r>
          </w:p>
        </w:tc>
        <w:tc>
          <w:tcPr>
            <w:tcW w:w="484" w:type="pct"/>
            <w:vAlign w:val="bottom"/>
          </w:tcPr>
          <w:p w:rsidR="003F1BF2" w:rsidRDefault="003F1BF2" w:rsidP="009268D6">
            <w:pPr>
              <w:pStyle w:val="TableBodyText"/>
            </w:pPr>
            <w:r>
              <w:t>6.0</w:t>
            </w:r>
          </w:p>
        </w:tc>
        <w:tc>
          <w:tcPr>
            <w:tcW w:w="81" w:type="pct"/>
          </w:tcPr>
          <w:p w:rsidR="003F1BF2" w:rsidRDefault="003F1BF2" w:rsidP="009268D6">
            <w:pPr>
              <w:pStyle w:val="TableBodyText"/>
            </w:pPr>
          </w:p>
        </w:tc>
        <w:tc>
          <w:tcPr>
            <w:tcW w:w="456" w:type="pct"/>
            <w:vAlign w:val="bottom"/>
          </w:tcPr>
          <w:p w:rsidR="003F1BF2" w:rsidRDefault="003F1BF2" w:rsidP="009268D6">
            <w:pPr>
              <w:pStyle w:val="TableBodyText"/>
            </w:pPr>
            <w:r>
              <w:t>20.5</w:t>
            </w:r>
          </w:p>
        </w:tc>
        <w:tc>
          <w:tcPr>
            <w:tcW w:w="457" w:type="pct"/>
            <w:vAlign w:val="bottom"/>
          </w:tcPr>
          <w:p w:rsidR="003F1BF2" w:rsidRDefault="003F1BF2" w:rsidP="009268D6">
            <w:pPr>
              <w:pStyle w:val="TableBodyText"/>
            </w:pPr>
            <w:r>
              <w:t>24.9</w:t>
            </w:r>
          </w:p>
        </w:tc>
        <w:tc>
          <w:tcPr>
            <w:tcW w:w="457" w:type="pct"/>
            <w:vAlign w:val="bottom"/>
          </w:tcPr>
          <w:p w:rsidR="003F1BF2" w:rsidRDefault="003F1BF2" w:rsidP="009268D6">
            <w:pPr>
              <w:pStyle w:val="TableBodyText"/>
            </w:pPr>
            <w:r>
              <w:t>18.2</w:t>
            </w:r>
          </w:p>
        </w:tc>
        <w:tc>
          <w:tcPr>
            <w:tcW w:w="81" w:type="pct"/>
          </w:tcPr>
          <w:p w:rsidR="003F1BF2" w:rsidRDefault="003F1BF2" w:rsidP="009268D6">
            <w:pPr>
              <w:pStyle w:val="TableBodyText"/>
            </w:pPr>
          </w:p>
        </w:tc>
        <w:tc>
          <w:tcPr>
            <w:tcW w:w="686" w:type="pct"/>
            <w:vAlign w:val="bottom"/>
          </w:tcPr>
          <w:p w:rsidR="003F1BF2" w:rsidRPr="00D66619" w:rsidRDefault="003F1BF2" w:rsidP="009268D6">
            <w:pPr>
              <w:pStyle w:val="TableBodyText"/>
            </w:pPr>
            <w:r>
              <w:t>4.4</w:t>
            </w:r>
          </w:p>
        </w:tc>
        <w:tc>
          <w:tcPr>
            <w:tcW w:w="685" w:type="pct"/>
            <w:vAlign w:val="bottom"/>
          </w:tcPr>
          <w:p w:rsidR="003F1BF2" w:rsidRPr="00D66619" w:rsidRDefault="003F1BF2" w:rsidP="009268D6">
            <w:pPr>
              <w:pStyle w:val="TableBodyText"/>
              <w:ind w:right="28"/>
            </w:pPr>
            <w:r>
              <w:noBreakHyphen/>
              <w:t>6.7</w:t>
            </w:r>
          </w:p>
        </w:tc>
      </w:tr>
      <w:tr w:rsidR="003F1BF2" w:rsidTr="009268D6">
        <w:tc>
          <w:tcPr>
            <w:tcW w:w="1129" w:type="pct"/>
            <w:vAlign w:val="bottom"/>
          </w:tcPr>
          <w:p w:rsidR="003F1BF2" w:rsidRPr="00BF5C73" w:rsidRDefault="003F1BF2" w:rsidP="009268D6">
            <w:pPr>
              <w:pStyle w:val="TableBodyText"/>
              <w:jc w:val="left"/>
            </w:pPr>
            <w:r w:rsidRPr="00D66619">
              <w:t>Business services</w:t>
            </w:r>
          </w:p>
        </w:tc>
        <w:tc>
          <w:tcPr>
            <w:tcW w:w="484" w:type="pct"/>
            <w:vAlign w:val="bottom"/>
          </w:tcPr>
          <w:p w:rsidR="003F1BF2" w:rsidRDefault="003F1BF2" w:rsidP="009268D6">
            <w:pPr>
              <w:pStyle w:val="TableBodyText"/>
            </w:pPr>
            <w:r>
              <w:t>9.3</w:t>
            </w:r>
          </w:p>
        </w:tc>
        <w:tc>
          <w:tcPr>
            <w:tcW w:w="484" w:type="pct"/>
            <w:vAlign w:val="bottom"/>
          </w:tcPr>
          <w:p w:rsidR="003F1BF2" w:rsidRDefault="003F1BF2" w:rsidP="009268D6">
            <w:pPr>
              <w:pStyle w:val="TableBodyText"/>
            </w:pPr>
            <w:r>
              <w:t>7.1</w:t>
            </w:r>
          </w:p>
        </w:tc>
        <w:tc>
          <w:tcPr>
            <w:tcW w:w="81" w:type="pct"/>
          </w:tcPr>
          <w:p w:rsidR="003F1BF2" w:rsidRDefault="003F1BF2" w:rsidP="009268D6">
            <w:pPr>
              <w:pStyle w:val="TableBodyText"/>
            </w:pPr>
          </w:p>
        </w:tc>
        <w:tc>
          <w:tcPr>
            <w:tcW w:w="456" w:type="pct"/>
            <w:vAlign w:val="bottom"/>
          </w:tcPr>
          <w:p w:rsidR="003F1BF2" w:rsidRDefault="003F1BF2" w:rsidP="009268D6">
            <w:pPr>
              <w:pStyle w:val="TableBodyText"/>
            </w:pPr>
            <w:r>
              <w:t>1.4</w:t>
            </w:r>
          </w:p>
        </w:tc>
        <w:tc>
          <w:tcPr>
            <w:tcW w:w="457" w:type="pct"/>
            <w:vAlign w:val="bottom"/>
          </w:tcPr>
          <w:p w:rsidR="003F1BF2" w:rsidRDefault="003F1BF2" w:rsidP="009268D6">
            <w:pPr>
              <w:pStyle w:val="TableBodyText"/>
            </w:pPr>
            <w:r>
              <w:t>15.1</w:t>
            </w:r>
          </w:p>
        </w:tc>
        <w:tc>
          <w:tcPr>
            <w:tcW w:w="457" w:type="pct"/>
            <w:vAlign w:val="bottom"/>
          </w:tcPr>
          <w:p w:rsidR="003F1BF2" w:rsidRDefault="003F1BF2" w:rsidP="009268D6">
            <w:pPr>
              <w:pStyle w:val="TableBodyText"/>
            </w:pPr>
            <w:r>
              <w:t>12.4</w:t>
            </w:r>
          </w:p>
        </w:tc>
        <w:tc>
          <w:tcPr>
            <w:tcW w:w="81" w:type="pct"/>
          </w:tcPr>
          <w:p w:rsidR="003F1BF2" w:rsidRDefault="003F1BF2" w:rsidP="009268D6">
            <w:pPr>
              <w:pStyle w:val="TableBodyText"/>
            </w:pPr>
          </w:p>
        </w:tc>
        <w:tc>
          <w:tcPr>
            <w:tcW w:w="686" w:type="pct"/>
            <w:vAlign w:val="bottom"/>
          </w:tcPr>
          <w:p w:rsidR="003F1BF2" w:rsidRPr="00D66619" w:rsidRDefault="003F1BF2" w:rsidP="009268D6">
            <w:pPr>
              <w:pStyle w:val="TableBodyText"/>
            </w:pPr>
            <w:r>
              <w:t>13.7</w:t>
            </w:r>
          </w:p>
        </w:tc>
        <w:tc>
          <w:tcPr>
            <w:tcW w:w="685" w:type="pct"/>
            <w:vAlign w:val="bottom"/>
          </w:tcPr>
          <w:p w:rsidR="003F1BF2" w:rsidRPr="00D66619" w:rsidRDefault="003F1BF2" w:rsidP="009268D6">
            <w:pPr>
              <w:pStyle w:val="TableBodyText"/>
              <w:ind w:right="28"/>
            </w:pPr>
            <w:r>
              <w:noBreakHyphen/>
              <w:t>2.8</w:t>
            </w:r>
          </w:p>
        </w:tc>
      </w:tr>
      <w:tr w:rsidR="003F1BF2" w:rsidTr="009268D6">
        <w:tc>
          <w:tcPr>
            <w:tcW w:w="1129" w:type="pct"/>
            <w:vAlign w:val="bottom"/>
          </w:tcPr>
          <w:p w:rsidR="003F1BF2" w:rsidRPr="00BF5C73" w:rsidRDefault="003F1BF2" w:rsidP="009268D6">
            <w:pPr>
              <w:pStyle w:val="TableBodyText"/>
              <w:jc w:val="left"/>
            </w:pPr>
            <w:r w:rsidRPr="00D66619">
              <w:t>Social services</w:t>
            </w:r>
          </w:p>
        </w:tc>
        <w:tc>
          <w:tcPr>
            <w:tcW w:w="484" w:type="pct"/>
            <w:vAlign w:val="bottom"/>
          </w:tcPr>
          <w:p w:rsidR="003F1BF2" w:rsidRDefault="003F1BF2" w:rsidP="009268D6">
            <w:pPr>
              <w:pStyle w:val="TableBodyText"/>
            </w:pPr>
            <w:r>
              <w:t>4.5</w:t>
            </w:r>
          </w:p>
        </w:tc>
        <w:tc>
          <w:tcPr>
            <w:tcW w:w="484" w:type="pct"/>
            <w:vAlign w:val="bottom"/>
          </w:tcPr>
          <w:p w:rsidR="003F1BF2" w:rsidRDefault="003F1BF2" w:rsidP="009268D6">
            <w:pPr>
              <w:pStyle w:val="TableBodyText"/>
            </w:pPr>
            <w:r>
              <w:t>7.8</w:t>
            </w:r>
          </w:p>
        </w:tc>
        <w:tc>
          <w:tcPr>
            <w:tcW w:w="81" w:type="pct"/>
          </w:tcPr>
          <w:p w:rsidR="003F1BF2" w:rsidRDefault="003F1BF2" w:rsidP="009268D6">
            <w:pPr>
              <w:pStyle w:val="TableBodyText"/>
            </w:pPr>
          </w:p>
        </w:tc>
        <w:tc>
          <w:tcPr>
            <w:tcW w:w="456" w:type="pct"/>
            <w:vAlign w:val="bottom"/>
          </w:tcPr>
          <w:p w:rsidR="003F1BF2" w:rsidRDefault="003F1BF2" w:rsidP="009268D6">
            <w:pPr>
              <w:pStyle w:val="TableBodyText"/>
            </w:pPr>
            <w:r>
              <w:t>13.0</w:t>
            </w:r>
          </w:p>
        </w:tc>
        <w:tc>
          <w:tcPr>
            <w:tcW w:w="457" w:type="pct"/>
            <w:vAlign w:val="bottom"/>
          </w:tcPr>
          <w:p w:rsidR="003F1BF2" w:rsidRDefault="003F1BF2" w:rsidP="009268D6">
            <w:pPr>
              <w:pStyle w:val="TableBodyText"/>
            </w:pPr>
            <w:r>
              <w:t>15.7</w:t>
            </w:r>
          </w:p>
        </w:tc>
        <w:tc>
          <w:tcPr>
            <w:tcW w:w="457" w:type="pct"/>
            <w:vAlign w:val="bottom"/>
          </w:tcPr>
          <w:p w:rsidR="003F1BF2" w:rsidRDefault="003F1BF2" w:rsidP="009268D6">
            <w:pPr>
              <w:pStyle w:val="TableBodyText"/>
            </w:pPr>
            <w:r>
              <w:t>13.8</w:t>
            </w:r>
          </w:p>
        </w:tc>
        <w:tc>
          <w:tcPr>
            <w:tcW w:w="81" w:type="pct"/>
          </w:tcPr>
          <w:p w:rsidR="003F1BF2" w:rsidRDefault="003F1BF2" w:rsidP="009268D6">
            <w:pPr>
              <w:pStyle w:val="TableBodyText"/>
            </w:pPr>
          </w:p>
        </w:tc>
        <w:tc>
          <w:tcPr>
            <w:tcW w:w="686" w:type="pct"/>
            <w:vAlign w:val="bottom"/>
          </w:tcPr>
          <w:p w:rsidR="003F1BF2" w:rsidRPr="00D66619" w:rsidRDefault="003F1BF2" w:rsidP="009268D6">
            <w:pPr>
              <w:pStyle w:val="TableBodyText"/>
            </w:pPr>
            <w:r>
              <w:t>2.7</w:t>
            </w:r>
          </w:p>
        </w:tc>
        <w:tc>
          <w:tcPr>
            <w:tcW w:w="685" w:type="pct"/>
            <w:vAlign w:val="bottom"/>
          </w:tcPr>
          <w:p w:rsidR="003F1BF2" w:rsidRPr="00D66619" w:rsidRDefault="003F1BF2" w:rsidP="009268D6">
            <w:pPr>
              <w:pStyle w:val="TableBodyText"/>
              <w:ind w:right="28"/>
            </w:pPr>
            <w:r>
              <w:noBreakHyphen/>
              <w:t>1.9</w:t>
            </w:r>
          </w:p>
        </w:tc>
      </w:tr>
      <w:tr w:rsidR="003F1BF2" w:rsidTr="009268D6">
        <w:tc>
          <w:tcPr>
            <w:tcW w:w="1129" w:type="pct"/>
            <w:tcBorders>
              <w:top w:val="nil"/>
              <w:left w:val="nil"/>
              <w:right w:val="nil"/>
            </w:tcBorders>
            <w:vAlign w:val="bottom"/>
          </w:tcPr>
          <w:p w:rsidR="003F1BF2" w:rsidRPr="00BF5C73" w:rsidRDefault="003F1BF2" w:rsidP="009268D6">
            <w:pPr>
              <w:pStyle w:val="TableBodyText"/>
              <w:jc w:val="left"/>
            </w:pPr>
            <w:r w:rsidRPr="00D66619">
              <w:t>Personal services</w:t>
            </w:r>
          </w:p>
        </w:tc>
        <w:tc>
          <w:tcPr>
            <w:tcW w:w="484" w:type="pct"/>
            <w:tcBorders>
              <w:top w:val="nil"/>
              <w:left w:val="nil"/>
              <w:right w:val="nil"/>
            </w:tcBorders>
            <w:vAlign w:val="bottom"/>
          </w:tcPr>
          <w:p w:rsidR="003F1BF2" w:rsidRDefault="003F1BF2" w:rsidP="009268D6">
            <w:pPr>
              <w:pStyle w:val="TableBodyText"/>
            </w:pPr>
            <w:r>
              <w:t>6.0</w:t>
            </w:r>
          </w:p>
        </w:tc>
        <w:tc>
          <w:tcPr>
            <w:tcW w:w="484" w:type="pct"/>
            <w:tcBorders>
              <w:top w:val="nil"/>
              <w:left w:val="nil"/>
              <w:right w:val="nil"/>
            </w:tcBorders>
            <w:vAlign w:val="bottom"/>
          </w:tcPr>
          <w:p w:rsidR="003F1BF2" w:rsidRDefault="003F1BF2" w:rsidP="009268D6">
            <w:pPr>
              <w:pStyle w:val="TableBodyText"/>
            </w:pPr>
            <w:r>
              <w:t>4.3</w:t>
            </w:r>
          </w:p>
        </w:tc>
        <w:tc>
          <w:tcPr>
            <w:tcW w:w="81" w:type="pct"/>
            <w:tcBorders>
              <w:top w:val="nil"/>
              <w:left w:val="nil"/>
              <w:right w:val="nil"/>
            </w:tcBorders>
          </w:tcPr>
          <w:p w:rsidR="003F1BF2" w:rsidRDefault="003F1BF2" w:rsidP="009268D6">
            <w:pPr>
              <w:pStyle w:val="TableBodyText"/>
            </w:pPr>
          </w:p>
        </w:tc>
        <w:tc>
          <w:tcPr>
            <w:tcW w:w="456" w:type="pct"/>
            <w:tcBorders>
              <w:top w:val="nil"/>
              <w:left w:val="nil"/>
              <w:right w:val="nil"/>
            </w:tcBorders>
            <w:vAlign w:val="bottom"/>
          </w:tcPr>
          <w:p w:rsidR="003F1BF2" w:rsidRDefault="003F1BF2" w:rsidP="009268D6">
            <w:pPr>
              <w:pStyle w:val="TableBodyText"/>
            </w:pPr>
            <w:r>
              <w:t>2.2</w:t>
            </w:r>
          </w:p>
        </w:tc>
        <w:tc>
          <w:tcPr>
            <w:tcW w:w="457" w:type="pct"/>
            <w:tcBorders>
              <w:top w:val="nil"/>
              <w:left w:val="nil"/>
              <w:right w:val="nil"/>
            </w:tcBorders>
            <w:vAlign w:val="bottom"/>
          </w:tcPr>
          <w:p w:rsidR="003F1BF2" w:rsidRDefault="003F1BF2" w:rsidP="009268D6">
            <w:pPr>
              <w:pStyle w:val="TableBodyText"/>
            </w:pPr>
            <w:r>
              <w:t>4.6</w:t>
            </w:r>
          </w:p>
        </w:tc>
        <w:tc>
          <w:tcPr>
            <w:tcW w:w="457" w:type="pct"/>
            <w:tcBorders>
              <w:top w:val="nil"/>
              <w:left w:val="nil"/>
              <w:right w:val="nil"/>
            </w:tcBorders>
            <w:vAlign w:val="bottom"/>
          </w:tcPr>
          <w:p w:rsidR="003F1BF2" w:rsidRDefault="003F1BF2" w:rsidP="009268D6">
            <w:pPr>
              <w:pStyle w:val="TableBodyText"/>
            </w:pPr>
            <w:r>
              <w:t>2.8</w:t>
            </w:r>
          </w:p>
        </w:tc>
        <w:tc>
          <w:tcPr>
            <w:tcW w:w="81" w:type="pct"/>
            <w:tcBorders>
              <w:top w:val="nil"/>
              <w:left w:val="nil"/>
              <w:right w:val="nil"/>
            </w:tcBorders>
          </w:tcPr>
          <w:p w:rsidR="003F1BF2" w:rsidRDefault="003F1BF2" w:rsidP="009268D6">
            <w:pPr>
              <w:pStyle w:val="TableBodyText"/>
            </w:pPr>
          </w:p>
        </w:tc>
        <w:tc>
          <w:tcPr>
            <w:tcW w:w="686" w:type="pct"/>
            <w:tcBorders>
              <w:top w:val="nil"/>
              <w:left w:val="nil"/>
              <w:right w:val="nil"/>
            </w:tcBorders>
            <w:vAlign w:val="bottom"/>
          </w:tcPr>
          <w:p w:rsidR="003F1BF2" w:rsidRPr="00D66619" w:rsidRDefault="003F1BF2" w:rsidP="009268D6">
            <w:pPr>
              <w:pStyle w:val="TableBodyText"/>
            </w:pPr>
            <w:r>
              <w:t>2.4</w:t>
            </w:r>
          </w:p>
        </w:tc>
        <w:tc>
          <w:tcPr>
            <w:tcW w:w="685" w:type="pct"/>
            <w:tcBorders>
              <w:top w:val="nil"/>
              <w:left w:val="nil"/>
              <w:right w:val="nil"/>
            </w:tcBorders>
            <w:vAlign w:val="bottom"/>
          </w:tcPr>
          <w:p w:rsidR="003F1BF2" w:rsidRPr="00D66619" w:rsidRDefault="003F1BF2" w:rsidP="009268D6">
            <w:pPr>
              <w:pStyle w:val="TableBodyText"/>
              <w:ind w:right="28"/>
            </w:pPr>
            <w:r>
              <w:noBreakHyphen/>
              <w:t>1.7</w:t>
            </w:r>
          </w:p>
        </w:tc>
      </w:tr>
      <w:tr w:rsidR="003F1BF2" w:rsidTr="009268D6">
        <w:tc>
          <w:tcPr>
            <w:tcW w:w="1129" w:type="pct"/>
            <w:tcBorders>
              <w:left w:val="nil"/>
              <w:bottom w:val="single" w:sz="6" w:space="0" w:color="auto"/>
              <w:right w:val="nil"/>
            </w:tcBorders>
            <w:vAlign w:val="bottom"/>
          </w:tcPr>
          <w:p w:rsidR="003F1BF2" w:rsidRPr="00BF5C73" w:rsidRDefault="003F1BF2" w:rsidP="009268D6">
            <w:pPr>
              <w:pStyle w:val="TableBodyText"/>
              <w:spacing w:before="80"/>
              <w:jc w:val="left"/>
            </w:pPr>
            <w:r w:rsidRPr="00D66619">
              <w:t>Total (</w:t>
            </w:r>
            <w:r>
              <w:t>9</w:t>
            </w:r>
            <w:r>
              <w:noBreakHyphen/>
            </w:r>
            <w:r w:rsidRPr="00D66619">
              <w:t>sector)</w:t>
            </w:r>
          </w:p>
        </w:tc>
        <w:tc>
          <w:tcPr>
            <w:tcW w:w="484" w:type="pct"/>
            <w:tcBorders>
              <w:left w:val="nil"/>
              <w:bottom w:val="single" w:sz="6" w:space="0" w:color="auto"/>
              <w:right w:val="nil"/>
            </w:tcBorders>
            <w:vAlign w:val="bottom"/>
          </w:tcPr>
          <w:p w:rsidR="003F1BF2" w:rsidRDefault="003F1BF2" w:rsidP="009268D6">
            <w:pPr>
              <w:pStyle w:val="TableBodyText"/>
            </w:pPr>
            <w:r>
              <w:t>4.3</w:t>
            </w:r>
          </w:p>
        </w:tc>
        <w:tc>
          <w:tcPr>
            <w:tcW w:w="484" w:type="pct"/>
            <w:tcBorders>
              <w:left w:val="nil"/>
              <w:bottom w:val="single" w:sz="6" w:space="0" w:color="auto"/>
              <w:right w:val="nil"/>
            </w:tcBorders>
            <w:vAlign w:val="bottom"/>
          </w:tcPr>
          <w:p w:rsidR="003F1BF2" w:rsidRDefault="003F1BF2" w:rsidP="009268D6">
            <w:pPr>
              <w:pStyle w:val="TableBodyText"/>
            </w:pPr>
            <w:r>
              <w:t>9.1</w:t>
            </w:r>
          </w:p>
        </w:tc>
        <w:tc>
          <w:tcPr>
            <w:tcW w:w="81" w:type="pct"/>
            <w:tcBorders>
              <w:left w:val="nil"/>
              <w:bottom w:val="single" w:sz="6" w:space="0" w:color="auto"/>
              <w:right w:val="nil"/>
            </w:tcBorders>
          </w:tcPr>
          <w:p w:rsidR="003F1BF2" w:rsidRDefault="003F1BF2" w:rsidP="009268D6">
            <w:pPr>
              <w:pStyle w:val="TableBodyText"/>
            </w:pPr>
          </w:p>
        </w:tc>
        <w:tc>
          <w:tcPr>
            <w:tcW w:w="456" w:type="pct"/>
            <w:tcBorders>
              <w:left w:val="nil"/>
              <w:bottom w:val="single" w:sz="6" w:space="0" w:color="auto"/>
              <w:right w:val="nil"/>
            </w:tcBorders>
            <w:vAlign w:val="bottom"/>
          </w:tcPr>
          <w:p w:rsidR="003F1BF2" w:rsidRDefault="003F1BF2" w:rsidP="009268D6">
            <w:pPr>
              <w:pStyle w:val="TableBodyText"/>
            </w:pPr>
            <w:r>
              <w:t>100.0</w:t>
            </w:r>
          </w:p>
        </w:tc>
        <w:tc>
          <w:tcPr>
            <w:tcW w:w="457" w:type="pct"/>
            <w:tcBorders>
              <w:left w:val="nil"/>
              <w:bottom w:val="single" w:sz="6" w:space="0" w:color="auto"/>
              <w:right w:val="nil"/>
            </w:tcBorders>
            <w:vAlign w:val="bottom"/>
          </w:tcPr>
          <w:p w:rsidR="003F1BF2" w:rsidRDefault="003F1BF2" w:rsidP="009268D6">
            <w:pPr>
              <w:pStyle w:val="TableBodyText"/>
            </w:pPr>
            <w:r>
              <w:t>100.0</w:t>
            </w:r>
          </w:p>
        </w:tc>
        <w:tc>
          <w:tcPr>
            <w:tcW w:w="457" w:type="pct"/>
            <w:tcBorders>
              <w:left w:val="nil"/>
              <w:bottom w:val="single" w:sz="6" w:space="0" w:color="auto"/>
              <w:right w:val="nil"/>
            </w:tcBorders>
            <w:vAlign w:val="bottom"/>
          </w:tcPr>
          <w:p w:rsidR="003F1BF2" w:rsidRDefault="003F1BF2" w:rsidP="009268D6">
            <w:pPr>
              <w:pStyle w:val="TableBodyText"/>
            </w:pPr>
            <w:r>
              <w:t>100.0</w:t>
            </w:r>
          </w:p>
        </w:tc>
        <w:tc>
          <w:tcPr>
            <w:tcW w:w="81" w:type="pct"/>
            <w:tcBorders>
              <w:left w:val="nil"/>
              <w:bottom w:val="single" w:sz="6" w:space="0" w:color="auto"/>
              <w:right w:val="nil"/>
            </w:tcBorders>
          </w:tcPr>
          <w:p w:rsidR="003F1BF2" w:rsidRDefault="003F1BF2" w:rsidP="009268D6">
            <w:pPr>
              <w:pStyle w:val="TableBodyText"/>
            </w:pPr>
          </w:p>
        </w:tc>
        <w:tc>
          <w:tcPr>
            <w:tcW w:w="686" w:type="pct"/>
            <w:tcBorders>
              <w:left w:val="nil"/>
              <w:bottom w:val="single" w:sz="6" w:space="0" w:color="auto"/>
              <w:right w:val="nil"/>
            </w:tcBorders>
            <w:vAlign w:val="bottom"/>
          </w:tcPr>
          <w:p w:rsidR="003F1BF2" w:rsidRPr="00D66619" w:rsidRDefault="003F1BF2" w:rsidP="009268D6">
            <w:pPr>
              <w:pStyle w:val="TableBodyText"/>
            </w:pPr>
            <w:r>
              <w:t>na</w:t>
            </w:r>
          </w:p>
        </w:tc>
        <w:tc>
          <w:tcPr>
            <w:tcW w:w="685" w:type="pct"/>
            <w:tcBorders>
              <w:left w:val="nil"/>
              <w:bottom w:val="single" w:sz="6" w:space="0" w:color="auto"/>
              <w:right w:val="nil"/>
            </w:tcBorders>
            <w:vAlign w:val="bottom"/>
          </w:tcPr>
          <w:p w:rsidR="003F1BF2" w:rsidRPr="00D66619" w:rsidRDefault="003F1BF2" w:rsidP="009268D6">
            <w:pPr>
              <w:pStyle w:val="TableBodyText"/>
              <w:ind w:right="28"/>
            </w:pPr>
            <w:r>
              <w:t>na</w:t>
            </w:r>
          </w:p>
        </w:tc>
      </w:tr>
    </w:tbl>
    <w:p w:rsidR="003F1BF2" w:rsidRDefault="003F1BF2" w:rsidP="003F1BF2">
      <w:pPr>
        <w:pStyle w:val="Note"/>
      </w:pPr>
      <w:r>
        <w:rPr>
          <w:rStyle w:val="NoteLabel"/>
        </w:rPr>
        <w:t>a</w:t>
      </w:r>
      <w:r>
        <w:t xml:space="preserve"> Chain volume measures (reference year 2010</w:t>
      </w:r>
      <w:r>
        <w:noBreakHyphen/>
        <w:t xml:space="preserve">11) for year ended June. Excludes ownership of dwellings. Sectors are broad industry groupings, as defined in appendix A. Investment shares are calculated by dividing real investment for the sector by the sum across the nine sectors. This sum is not the same as reported real gross fixed capital formation economy-wide, due to the way chain volume measures are calculated.  </w:t>
      </w:r>
      <w:r>
        <w:rPr>
          <w:rStyle w:val="NoteLabel"/>
        </w:rPr>
        <w:t>b</w:t>
      </w:r>
      <w:r>
        <w:t xml:space="preserve"> Shares may not add up, due to rounding.  </w:t>
      </w:r>
      <w:r w:rsidRPr="009E620D">
        <w:rPr>
          <w:b/>
        </w:rPr>
        <w:t>na</w:t>
      </w:r>
      <w:r>
        <w:t xml:space="preserve"> Not applicable.</w:t>
      </w:r>
    </w:p>
    <w:p w:rsidR="003F1BF2" w:rsidRDefault="003F1BF2" w:rsidP="003F1BF2">
      <w:pPr>
        <w:pStyle w:val="Source"/>
      </w:pPr>
      <w:r>
        <w:rPr>
          <w:i/>
        </w:rPr>
        <w:t>Source</w:t>
      </w:r>
      <w:r>
        <w:t>: ABS (</w:t>
      </w:r>
      <w:r>
        <w:rPr>
          <w:i/>
        </w:rPr>
        <w:t>Australian System of National Accounts, 2011</w:t>
      </w:r>
      <w:r>
        <w:rPr>
          <w:i/>
        </w:rPr>
        <w:noBreakHyphen/>
        <w:t>12</w:t>
      </w:r>
      <w:r>
        <w:t>, Cat. no. 5204.0).</w:t>
      </w:r>
    </w:p>
    <w:p w:rsidR="003F1BF2" w:rsidRDefault="003F1BF2" w:rsidP="003F1BF2">
      <w:pPr>
        <w:pStyle w:val="BodyText"/>
      </w:pPr>
      <w:r>
        <w:t xml:space="preserve">Meanwhile, the ‘construction boom’ in the natural resources sector has driven a large increase in that sector’s share of total real investment over the past decade — from less than 11 per cent in 2002 to almost 32 per cent in 2012, with average annual growth of about 20 per cent per year over that decade. As noted earlier, this in turn has resulted in strong growth in engineering construction, contributing to the almost 6 per cent annual increase in construction sector output (table 3.1). However, the expansion in mining investment appears to have reached a peak in the first half of 2013, according to the Bureau of Resources and Energy Economics. At April 2013, a total of 73 major investment projects in the resources and energy sector were considered to be at the ‘committed’ stage, with a total value of $268 billion (Barber et al. 2013). This total value was the same as that recorded at October 2012, but represented 14 fewer projects. </w:t>
      </w:r>
    </w:p>
    <w:p w:rsidR="003F1BF2" w:rsidRDefault="003F1BF2" w:rsidP="003F1BF2">
      <w:pPr>
        <w:pStyle w:val="BodyText"/>
      </w:pPr>
      <w:r>
        <w:t>As was the case for output shares in table 3.1, it is difficult to discern an overall pattern of structural change in sectoral investment shares across time from table 3.3, which describes only end</w:t>
      </w:r>
      <w:r>
        <w:noBreakHyphen/>
        <w:t>to</w:t>
      </w:r>
      <w:r>
        <w:noBreakHyphen/>
        <w:t xml:space="preserve">end changes. Here too, SCIs prove to be useful summary measures. As illustrated in figure 3.7, the rate of structural change in sectoral shares of investment is greater (on average) than that in output shares (provided in the graph for comparison purposes). Investment shares have recorded </w:t>
      </w:r>
      <w:r>
        <w:lastRenderedPageBreak/>
        <w:t>an elevated rate of change at times in the 2000s, although not dissimilar from that observed in the late 1980s to early 1990s (which reflected, in part, the commercial property and finance boom of that period). The pace of structural change in real investment has generally been close to that in nominal investment although, in the early to mid</w:t>
      </w:r>
      <w:r>
        <w:noBreakHyphen/>
        <w:t>2000s, real investment shares changed more quickly than nominal shares.</w:t>
      </w:r>
    </w:p>
    <w:p w:rsidR="003F1BF2" w:rsidRDefault="003F1BF2" w:rsidP="003F1BF2">
      <w:pPr>
        <w:pStyle w:val="FigureTitle"/>
      </w:pPr>
      <w:r>
        <w:rPr>
          <w:b w:val="0"/>
        </w:rPr>
        <w:t xml:space="preserve">Figure </w:t>
      </w:r>
      <w:bookmarkStart w:id="13" w:name="OLE_LINK12"/>
      <w:r>
        <w:rPr>
          <w:b w:val="0"/>
        </w:rPr>
        <w:t>3.</w:t>
      </w:r>
      <w:r>
        <w:rPr>
          <w:b w:val="0"/>
          <w:noProof/>
        </w:rPr>
        <w:t>7</w:t>
      </w:r>
      <w:bookmarkEnd w:id="13"/>
      <w:r>
        <w:tab/>
        <w:t>Structural change in sectoral shares of investment and output</w:t>
      </w:r>
    </w:p>
    <w:p w:rsidR="003F1BF2" w:rsidRDefault="003F1BF2" w:rsidP="003F1BF2">
      <w:pPr>
        <w:pStyle w:val="Subtitle"/>
      </w:pPr>
      <w:r>
        <w:t>Structural change indexes, 1958 to 2012</w:t>
      </w:r>
      <w:r>
        <w:rPr>
          <w:rStyle w:val="NoteLabel"/>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3F1BF2" w:rsidTr="009268D6">
        <w:tc>
          <w:tcPr>
            <w:tcW w:w="8777" w:type="dxa"/>
          </w:tcPr>
          <w:p w:rsidR="003F1BF2" w:rsidRDefault="003F1BF2" w:rsidP="009268D6">
            <w:pPr>
              <w:pStyle w:val="Figure"/>
            </w:pPr>
            <w:r w:rsidRPr="00684773">
              <w:rPr>
                <w:noProof/>
              </w:rPr>
              <w:drawing>
                <wp:inline distT="0" distB="0" distL="0" distR="0" wp14:anchorId="30C6FE5A" wp14:editId="5D18A154">
                  <wp:extent cx="5580000" cy="2880000"/>
                  <wp:effectExtent l="0" t="0" r="1905" b="0"/>
                  <wp:docPr id="3" name="Chart 3" descr="Figure 3.7 Structural change indexes in sectoral shares of nominal investment, real investment, nominal output and real output. Annual financial year data from 1958 to 2012. Nominal investment is gross fixed capital formation at current prices, and real investment is gross fixed capital formation in chain volume measures (reference year 2010-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bl>
    <w:p w:rsidR="003F1BF2" w:rsidRDefault="003F1BF2" w:rsidP="003F1BF2">
      <w:pPr>
        <w:pStyle w:val="Note"/>
      </w:pPr>
      <w:r>
        <w:rPr>
          <w:rStyle w:val="NoteLabel"/>
        </w:rPr>
        <w:t>a</w:t>
      </w:r>
      <w:r>
        <w:t xml:space="preserve"> Calculated as half the sum of the (absolute) five</w:t>
      </w:r>
      <w:r>
        <w:noBreakHyphen/>
        <w:t>year change in the five</w:t>
      </w:r>
      <w:r>
        <w:noBreakHyphen/>
        <w:t>year moving average of sectoral shares, with the final year indicated. Sectoral classifications are as described in Connolly and Lewis (2010), footnote 8. ‘</w:t>
      </w:r>
      <w:r w:rsidRPr="00B37E92">
        <w:t>Nominal investment</w:t>
      </w:r>
      <w:r>
        <w:t>’ is gross fixed capital formation at current prices, year ended June. ‘</w:t>
      </w:r>
      <w:r w:rsidRPr="00B37E92">
        <w:t>Real investment</w:t>
      </w:r>
      <w:r>
        <w:t>’ is gross fixed capital formation in chain volume measures (reference year 2010</w:t>
      </w:r>
      <w:r>
        <w:noBreakHyphen/>
        <w:t>11) for year ended June. Output SCIs as defined in figure 3.2.</w:t>
      </w:r>
    </w:p>
    <w:p w:rsidR="003F1BF2" w:rsidRDefault="003F1BF2" w:rsidP="003F1BF2">
      <w:pPr>
        <w:pStyle w:val="Source"/>
      </w:pPr>
      <w:r>
        <w:rPr>
          <w:i/>
        </w:rPr>
        <w:t>Sources</w:t>
      </w:r>
      <w:r w:rsidRPr="00167F06">
        <w:t>:</w:t>
      </w:r>
      <w:r>
        <w:t xml:space="preserve"> Productivity Commission estimates using ABS (</w:t>
      </w:r>
      <w:r>
        <w:rPr>
          <w:i/>
        </w:rPr>
        <w:t>Australian System of National Accounts, 2011</w:t>
      </w:r>
      <w:r>
        <w:rPr>
          <w:i/>
        </w:rPr>
        <w:noBreakHyphen/>
        <w:t>12</w:t>
      </w:r>
      <w:r>
        <w:t>, Cat. no. 5204.0) and Connolly, E. (RBA, Sydney, pers. comm., 13 August 2012, unpublished data).</w:t>
      </w:r>
    </w:p>
    <w:p w:rsidR="003F1BF2" w:rsidRDefault="003F1BF2" w:rsidP="003F1BF2">
      <w:pPr>
        <w:pStyle w:val="Heading4"/>
      </w:pPr>
      <w:r>
        <w:t>The nature of investment has changed over time</w:t>
      </w:r>
    </w:p>
    <w:p w:rsidR="003F1BF2" w:rsidRDefault="003F1BF2" w:rsidP="003F1BF2">
      <w:pPr>
        <w:pStyle w:val="BodyText"/>
      </w:pPr>
      <w:r>
        <w:t>The profile</w:t>
      </w:r>
      <w:r w:rsidRPr="005E68F6">
        <w:t xml:space="preserve"> of capital good</w:t>
      </w:r>
      <w:r>
        <w:t>s</w:t>
      </w:r>
      <w:r w:rsidRPr="005E68F6">
        <w:t xml:space="preserve"> purchased</w:t>
      </w:r>
      <w:r>
        <w:t xml:space="preserve"> by firms has changed over time</w:t>
      </w:r>
      <w:r w:rsidRPr="005E68F6">
        <w:t xml:space="preserve"> (figure </w:t>
      </w:r>
      <w:r>
        <w:t>3.8</w:t>
      </w:r>
      <w:r w:rsidRPr="005E68F6">
        <w:t xml:space="preserve">). From 1960 to 2002, </w:t>
      </w:r>
      <w:r>
        <w:t>investment</w:t>
      </w:r>
      <w:r w:rsidRPr="005E68F6">
        <w:t xml:space="preserve"> was strong in traditional physical </w:t>
      </w:r>
      <w:r>
        <w:t>assets</w:t>
      </w:r>
      <w:r w:rsidRPr="005E68F6">
        <w:t xml:space="preserve">, such as </w:t>
      </w:r>
      <w:r>
        <w:t xml:space="preserve">buildings, </w:t>
      </w:r>
      <w:r w:rsidRPr="005E68F6">
        <w:t>machinery and equipment</w:t>
      </w:r>
      <w:r>
        <w:t>. Investment that adds to a firm’s intangible stock of income-generating information</w:t>
      </w:r>
      <w:r w:rsidRPr="005E68F6">
        <w:t xml:space="preserve"> —</w:t>
      </w:r>
      <w:r>
        <w:t xml:space="preserve"> </w:t>
      </w:r>
      <w:r w:rsidRPr="005E68F6">
        <w:t>mineral and petroleum exploration</w:t>
      </w:r>
      <w:r>
        <w:t xml:space="preserve"> and research and development — also grew strongly</w:t>
      </w:r>
      <w:r w:rsidRPr="005E68F6">
        <w:t>.</w:t>
      </w:r>
      <w:r w:rsidRPr="005F41B4">
        <w:rPr>
          <w:rStyle w:val="FootnoteReference"/>
        </w:rPr>
        <w:footnoteReference w:id="6"/>
      </w:r>
      <w:r w:rsidRPr="005E68F6">
        <w:t xml:space="preserve"> </w:t>
      </w:r>
      <w:r>
        <w:t>S</w:t>
      </w:r>
      <w:r w:rsidRPr="005E68F6">
        <w:t xml:space="preserve">ince 2002, </w:t>
      </w:r>
      <w:r>
        <w:t xml:space="preserve">expenditure on </w:t>
      </w:r>
      <w:r>
        <w:lastRenderedPageBreak/>
        <w:t xml:space="preserve">research and development and machinery and equipment has accelerated, while that on mineral exploration has about halved. Over the same period, stocks of computer software, artistic original and weapons systems that have expanded the fastest. </w:t>
      </w:r>
      <w:r w:rsidRPr="005E68F6">
        <w:t>Th</w:t>
      </w:r>
      <w:r>
        <w:t xml:space="preserve">e strong rise, since 2002, in stocks of software, machinery and equipment and research and development </w:t>
      </w:r>
      <w:r w:rsidRPr="005E68F6">
        <w:t xml:space="preserve">may be viewed as </w:t>
      </w:r>
      <w:r>
        <w:t>stemming from the same</w:t>
      </w:r>
      <w:r w:rsidRPr="005E68F6">
        <w:t xml:space="preserve"> structural adjustment</w:t>
      </w:r>
      <w:r>
        <w:t xml:space="preserve"> process, that is</w:t>
      </w:r>
      <w:r w:rsidRPr="005E68F6">
        <w:t>, firms seek</w:t>
      </w:r>
      <w:r>
        <w:t>ing</w:t>
      </w:r>
      <w:r w:rsidRPr="005E68F6">
        <w:t xml:space="preserve"> to </w:t>
      </w:r>
      <w:r>
        <w:t>capitalise on</w:t>
      </w:r>
      <w:r w:rsidRPr="005E68F6">
        <w:t xml:space="preserve"> improvements in technology and </w:t>
      </w:r>
      <w:r>
        <w:t>low-</w:t>
      </w:r>
      <w:r w:rsidRPr="005E68F6">
        <w:t xml:space="preserve">cost </w:t>
      </w:r>
      <w:r>
        <w:t>high</w:t>
      </w:r>
      <w:r>
        <w:noBreakHyphen/>
      </w:r>
      <w:r w:rsidRPr="005E68F6">
        <w:t xml:space="preserve">technology </w:t>
      </w:r>
      <w:r>
        <w:t xml:space="preserve">imported </w:t>
      </w:r>
      <w:r w:rsidRPr="005E68F6">
        <w:t>inputs.</w:t>
      </w:r>
    </w:p>
    <w:p w:rsidR="003F1BF2" w:rsidRDefault="003F1BF2" w:rsidP="003F1BF2">
      <w:pPr>
        <w:pStyle w:val="FigureTitle"/>
      </w:pPr>
      <w:r w:rsidRPr="005E68F6">
        <w:rPr>
          <w:b w:val="0"/>
        </w:rPr>
        <w:t xml:space="preserve">Figure </w:t>
      </w:r>
      <w:bookmarkStart w:id="14" w:name="OLE_LINK2"/>
      <w:r>
        <w:rPr>
          <w:b w:val="0"/>
        </w:rPr>
        <w:t>3.</w:t>
      </w:r>
      <w:r>
        <w:rPr>
          <w:b w:val="0"/>
          <w:noProof/>
        </w:rPr>
        <w:t>8</w:t>
      </w:r>
      <w:bookmarkEnd w:id="14"/>
      <w:r>
        <w:tab/>
        <w:t>Average annual growth in net capital stock, by asset</w:t>
      </w:r>
      <w:r w:rsidRPr="00F73472">
        <w:rPr>
          <w:rStyle w:val="NoteLabel"/>
          <w:b/>
        </w:rPr>
        <w:t>a</w:t>
      </w:r>
    </w:p>
    <w:p w:rsidR="003F1BF2" w:rsidRDefault="003F1BF2" w:rsidP="003F1BF2">
      <w:pPr>
        <w:pStyle w:val="Subtitle"/>
      </w:pPr>
      <w:r>
        <w:t>Chain volume measures, 1960 to 2012</w:t>
      </w:r>
    </w:p>
    <w:tbl>
      <w:tblPr>
        <w:tblW w:w="0" w:type="auto"/>
        <w:tblInd w:w="119" w:type="dxa"/>
        <w:tblBorders>
          <w:top w:val="single" w:sz="6" w:space="0" w:color="auto"/>
          <w:bottom w:val="single" w:sz="6" w:space="0" w:color="auto"/>
        </w:tblBorders>
        <w:tblLayout w:type="fixed"/>
        <w:tblLook w:val="00A0" w:firstRow="1" w:lastRow="0" w:firstColumn="1" w:lastColumn="0" w:noHBand="0" w:noVBand="0"/>
      </w:tblPr>
      <w:tblGrid>
        <w:gridCol w:w="8777"/>
      </w:tblGrid>
      <w:tr w:rsidR="003F1BF2" w:rsidTr="009268D6">
        <w:tc>
          <w:tcPr>
            <w:tcW w:w="8777" w:type="dxa"/>
            <w:tcBorders>
              <w:top w:val="single" w:sz="6" w:space="0" w:color="auto"/>
              <w:left w:val="nil"/>
              <w:bottom w:val="single" w:sz="6" w:space="0" w:color="auto"/>
              <w:right w:val="nil"/>
            </w:tcBorders>
          </w:tcPr>
          <w:p w:rsidR="003F1BF2" w:rsidRDefault="003F1BF2" w:rsidP="009268D6">
            <w:pPr>
              <w:pStyle w:val="Figure"/>
            </w:pPr>
            <w:r>
              <w:rPr>
                <w:noProof/>
              </w:rPr>
              <w:drawing>
                <wp:inline distT="0" distB="0" distL="0" distR="0" wp14:anchorId="14F1FD2B" wp14:editId="228A1272">
                  <wp:extent cx="5400000" cy="2880000"/>
                  <wp:effectExtent l="0" t="0" r="0" b="0"/>
                  <wp:docPr id="15" name="Chart 15" descr="Figure 3.8 Average annual growth in the real value of net capital stock by asset type, from 1960 to 2012. Growth rates in percentages based on chain volume measures of net capital stock (reference year is 2010-11). Seven asset types shown: non-dwelling construction; machinery and equipment; weapons systems; research and development; mineral exploration; computer software; and artistic originals. Figures for computer software and artistic originals are from 2002 onwards, due to data availability."/>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bl>
    <w:p w:rsidR="003F1BF2" w:rsidRDefault="003F1BF2" w:rsidP="003F1BF2">
      <w:pPr>
        <w:pStyle w:val="Note"/>
      </w:pPr>
      <w:r>
        <w:rPr>
          <w:rStyle w:val="NoteLabel"/>
        </w:rPr>
        <w:t>a</w:t>
      </w:r>
      <w:r>
        <w:t xml:space="preserve"> Reference year for chain volume measures is 2010</w:t>
      </w:r>
      <w:r>
        <w:noBreakHyphen/>
        <w:t>11. Growth rate for computer software and artistic originals calculated for the 2002 to 2012 period only, due to data availability. ‘</w:t>
      </w:r>
      <w:r w:rsidRPr="00B37E92">
        <w:t>Construction</w:t>
      </w:r>
      <w:r>
        <w:t>’ refers to non</w:t>
      </w:r>
      <w:r>
        <w:noBreakHyphen/>
        <w:t>dwelling construction.</w:t>
      </w:r>
    </w:p>
    <w:p w:rsidR="003F1BF2" w:rsidRDefault="003F1BF2" w:rsidP="003F1BF2">
      <w:pPr>
        <w:pStyle w:val="Source"/>
      </w:pPr>
      <w:r>
        <w:rPr>
          <w:i/>
        </w:rPr>
        <w:t>Source</w:t>
      </w:r>
      <w:r>
        <w:t>: ABS (</w:t>
      </w:r>
      <w:r>
        <w:rPr>
          <w:i/>
        </w:rPr>
        <w:t>Australian System of National Accounts, 2011</w:t>
      </w:r>
      <w:r>
        <w:rPr>
          <w:i/>
        </w:rPr>
        <w:noBreakHyphen/>
        <w:t>12</w:t>
      </w:r>
      <w:r>
        <w:t>, Cat. no. 5204.0).</w:t>
      </w:r>
    </w:p>
    <w:p w:rsidR="003F1BF2" w:rsidRPr="00FE0AB0" w:rsidRDefault="003F1BF2" w:rsidP="003F1BF2">
      <w:pPr>
        <w:pStyle w:val="BodyText"/>
      </w:pPr>
      <w:r>
        <w:t>In the past decade, growth in the stock of computer software and research and development has been relatively strong in sectors not traditionally thought of as ‘knowledge</w:t>
      </w:r>
      <w:r>
        <w:noBreakHyphen/>
        <w:t xml:space="preserve">based’ (figure 3.9). For example, the mining and utilities sectors have expanded their stocks of computer software by about 12 per cent and 9 per cent per year since 2002, respectively — at least as fast as in the business services and social services sectors. The agriculture, mining and construction sectors have also </w:t>
      </w:r>
      <w:r>
        <w:lastRenderedPageBreak/>
        <w:t>recorded strong growth in their net stocks of research and development. (Recent patterns in capital accumulation in the mining sector are presented in chapter 6.)</w:t>
      </w:r>
      <w:r w:rsidRPr="00FE0AB0">
        <w:t xml:space="preserve"> </w:t>
      </w:r>
    </w:p>
    <w:p w:rsidR="003F1BF2" w:rsidRDefault="003F1BF2" w:rsidP="003F1BF2">
      <w:pPr>
        <w:pStyle w:val="FigureTitle"/>
      </w:pPr>
      <w:r w:rsidRPr="00FE0AB0">
        <w:rPr>
          <w:b w:val="0"/>
        </w:rPr>
        <w:t>F</w:t>
      </w:r>
      <w:r>
        <w:rPr>
          <w:b w:val="0"/>
        </w:rPr>
        <w:t xml:space="preserve">igure </w:t>
      </w:r>
      <w:bookmarkStart w:id="15" w:name="OLE_LINK3"/>
      <w:r w:rsidRPr="00EC5596">
        <w:rPr>
          <w:b w:val="0"/>
        </w:rPr>
        <w:t>3.</w:t>
      </w:r>
      <w:r>
        <w:rPr>
          <w:b w:val="0"/>
          <w:noProof/>
        </w:rPr>
        <w:t>9</w:t>
      </w:r>
      <w:bookmarkEnd w:id="15"/>
      <w:r>
        <w:tab/>
        <w:t>Average annual growth in net capital stock, by asset type and sector, 2002 to 2012</w:t>
      </w:r>
      <w:r w:rsidRPr="00E34610">
        <w:rPr>
          <w:rStyle w:val="NoteLabel"/>
          <w:b/>
        </w:rPr>
        <w:t>a</w:t>
      </w:r>
    </w:p>
    <w:p w:rsidR="003F1BF2" w:rsidRDefault="003F1BF2" w:rsidP="003F1BF2">
      <w:pPr>
        <w:pStyle w:val="Subtitle"/>
      </w:pPr>
      <w:r>
        <w:t>Chain volume measures</w:t>
      </w:r>
    </w:p>
    <w:tbl>
      <w:tblPr>
        <w:tblW w:w="0" w:type="auto"/>
        <w:tblInd w:w="119" w:type="dxa"/>
        <w:tblBorders>
          <w:top w:val="single" w:sz="6" w:space="0" w:color="auto"/>
          <w:bottom w:val="single" w:sz="6" w:space="0" w:color="auto"/>
        </w:tblBorders>
        <w:tblLayout w:type="fixed"/>
        <w:tblLook w:val="00A0" w:firstRow="1" w:lastRow="0" w:firstColumn="1" w:lastColumn="0" w:noHBand="0" w:noVBand="0"/>
      </w:tblPr>
      <w:tblGrid>
        <w:gridCol w:w="8777"/>
      </w:tblGrid>
      <w:tr w:rsidR="003F1BF2" w:rsidTr="009268D6">
        <w:tc>
          <w:tcPr>
            <w:tcW w:w="8777" w:type="dxa"/>
            <w:tcBorders>
              <w:top w:val="single" w:sz="6" w:space="0" w:color="auto"/>
              <w:left w:val="nil"/>
              <w:bottom w:val="single" w:sz="6" w:space="0" w:color="auto"/>
              <w:right w:val="nil"/>
            </w:tcBorders>
          </w:tcPr>
          <w:p w:rsidR="003F1BF2" w:rsidRDefault="003F1BF2" w:rsidP="009268D6">
            <w:pPr>
              <w:pStyle w:val="Figure"/>
            </w:pPr>
            <w:r>
              <w:rPr>
                <w:noProof/>
              </w:rPr>
              <w:drawing>
                <wp:inline distT="0" distB="0" distL="0" distR="0" wp14:anchorId="25F25F41" wp14:editId="5E3D1129">
                  <wp:extent cx="5400000" cy="2880000"/>
                  <wp:effectExtent l="0" t="0" r="0" b="0"/>
                  <wp:docPr id="16" name="Chart 16" descr="Figure 3.9 Average annual growth in the real value of net capital stock by asset type and sector, from 2002 to 2012. Growth rates in percentages based on chain volume measures of net capital stock. Nine sectors shown: agriculture; mining; manufacturing; utilities; construction; distribution services; business services; social services; and personal services. Within each sector, the charts shows the growth rates for net capital stock of four asset types: construction; machinery and equipment; research and development; and computer software. "/>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bl>
    <w:p w:rsidR="003F1BF2" w:rsidRDefault="003F1BF2" w:rsidP="003F1BF2">
      <w:pPr>
        <w:pStyle w:val="Note"/>
      </w:pPr>
      <w:r>
        <w:rPr>
          <w:rStyle w:val="NoteLabel"/>
        </w:rPr>
        <w:t>a</w:t>
      </w:r>
      <w:r>
        <w:t xml:space="preserve"> Reference year for chain volume measures is 2010</w:t>
      </w:r>
      <w:r>
        <w:noBreakHyphen/>
        <w:t>11. Sectors are broad industry groupings, as defined in appendix A. ‘</w:t>
      </w:r>
      <w:r w:rsidRPr="00B37E92">
        <w:t>Construction</w:t>
      </w:r>
      <w:r>
        <w:t>’ refers to non</w:t>
      </w:r>
      <w:r>
        <w:noBreakHyphen/>
        <w:t>dwelling construction.</w:t>
      </w:r>
    </w:p>
    <w:p w:rsidR="003F1BF2" w:rsidRDefault="003F1BF2" w:rsidP="003F1BF2">
      <w:pPr>
        <w:pStyle w:val="Source"/>
      </w:pPr>
      <w:r>
        <w:rPr>
          <w:i/>
        </w:rPr>
        <w:t>Source</w:t>
      </w:r>
      <w:r>
        <w:t>: ABS (</w:t>
      </w:r>
      <w:r>
        <w:rPr>
          <w:i/>
        </w:rPr>
        <w:t>Australian System of National Accounts, 2011</w:t>
      </w:r>
      <w:r>
        <w:rPr>
          <w:i/>
        </w:rPr>
        <w:noBreakHyphen/>
        <w:t>12</w:t>
      </w:r>
      <w:r>
        <w:t>, Cat. no. 5204.0).</w:t>
      </w:r>
    </w:p>
    <w:p w:rsidR="003F1BF2" w:rsidRPr="007A2566" w:rsidRDefault="003F1BF2" w:rsidP="003F1BF2">
      <w:pPr>
        <w:pStyle w:val="BodyText"/>
      </w:pPr>
      <w:r>
        <w:t>Among the services sectors, business services has also increased its stock of computer software relatively quickly, consistent with the suggestion that technological change has played a central role in the strong investment growth in this sector. Interestingly, the social services sector — which includes education, health and public administration — has recorded slightly higher annual growth in its stock of machinery and equipment than has the mining sector. Technological change has been a major contributor to increased expenditure on advanced equipment such as computer hardware in education and specialised medical devices in health</w:t>
      </w:r>
      <w:r w:rsidRPr="00BF58BB">
        <w:t>.</w:t>
      </w:r>
    </w:p>
    <w:p w:rsidR="003F1BF2" w:rsidRDefault="003F1BF2" w:rsidP="003F1BF2">
      <w:pPr>
        <w:pStyle w:val="Heading4"/>
      </w:pPr>
      <w:r>
        <w:t>Capital intensity has risen</w:t>
      </w:r>
    </w:p>
    <w:p w:rsidR="003F1BF2" w:rsidRDefault="003F1BF2" w:rsidP="003F1BF2">
      <w:pPr>
        <w:pStyle w:val="BodyText"/>
      </w:pPr>
      <w:r>
        <w:t xml:space="preserve">As a result of net investment, rising capital intensity in production has been a pervasive trend in the past two decades or so, as measured by changes in real net capital stock per worker. This trend is likely to reflect some of the drivers of structural change that were identified in chapter 2. In particular, it is likely that improved technology, combined with the greater purchasing power over imports of </w:t>
      </w:r>
      <w:r>
        <w:lastRenderedPageBreak/>
        <w:t xml:space="preserve">the Australian dollar in the last ten years, have made it profitable for firms to substitute plant and equipment for relatively scarce labour. </w:t>
      </w:r>
    </w:p>
    <w:p w:rsidR="003F1BF2" w:rsidRDefault="003F1BF2" w:rsidP="003F1BF2">
      <w:pPr>
        <w:pStyle w:val="BodyText"/>
      </w:pPr>
      <w:r>
        <w:t>The mining and utilities sectors, traditionally the most capital</w:t>
      </w:r>
      <w:r>
        <w:noBreakHyphen/>
        <w:t>intensive, have become considerably more so since 1985 (figure 3.10). That said, their capital intensity declined slightly between 1998 and 2011, relative to the preceding period.</w:t>
      </w:r>
    </w:p>
    <w:p w:rsidR="003F1BF2" w:rsidRDefault="003F1BF2" w:rsidP="003F1BF2">
      <w:pPr>
        <w:pStyle w:val="BodyText"/>
      </w:pPr>
      <w:r>
        <w:t>Manufacturing, traditionally more labour</w:t>
      </w:r>
      <w:r>
        <w:noBreakHyphen/>
        <w:t>intensive, has followed a similar trend towards capital deepening, nearly doubling its capital–labour ratio since 1985. Moreover, virtually all manufacturing subdivisions consistently increased their capital intensity in the period from 1988-89 to 2007-08 (Barnes, Soames and Li, forthcoming).</w:t>
      </w:r>
      <w:r>
        <w:rPr>
          <w:rStyle w:val="FootnoteReference"/>
        </w:rPr>
        <w:footnoteReference w:id="7"/>
      </w:r>
      <w:r>
        <w:t xml:space="preserve"> It is likely that, in the decade to 2012, the purchasing power of the Australian dollar</w:t>
      </w:r>
      <w:r w:rsidR="00615E04">
        <w:t xml:space="preserve"> over imported capital goods</w:t>
      </w:r>
      <w:r>
        <w:t xml:space="preserve"> </w:t>
      </w:r>
      <w:r w:rsidR="00615E04">
        <w:t xml:space="preserve">has provided businesses with incentives to invest. In </w:t>
      </w:r>
      <w:r w:rsidR="00CB3D2C">
        <w:t>some</w:t>
      </w:r>
      <w:r w:rsidR="00615E04">
        <w:t xml:space="preserve"> manufacturing</w:t>
      </w:r>
      <w:r w:rsidR="00CB3D2C">
        <w:t xml:space="preserve"> industries</w:t>
      </w:r>
      <w:r w:rsidR="009268D6">
        <w:t xml:space="preserve">, </w:t>
      </w:r>
      <w:r w:rsidR="00A677C4">
        <w:t>additional</w:t>
      </w:r>
      <w:r w:rsidR="009268D6">
        <w:t xml:space="preserve"> incentives were at work. In</w:t>
      </w:r>
      <w:r w:rsidR="00615E04">
        <w:t xml:space="preserve"> Petroleum, coal, chemical</w:t>
      </w:r>
      <w:r w:rsidR="00A677C4">
        <w:t xml:space="preserve"> and rubber products</w:t>
      </w:r>
      <w:r w:rsidR="00615E04">
        <w:t xml:space="preserve">, </w:t>
      </w:r>
      <w:r w:rsidR="00CB3D2C">
        <w:t xml:space="preserve">evidence suggests </w:t>
      </w:r>
      <w:r w:rsidR="00615E04">
        <w:t xml:space="preserve">that investment </w:t>
      </w:r>
      <w:r w:rsidR="009268D6">
        <w:t xml:space="preserve">surged from 2002 in order to meet tighter environmental standards </w:t>
      </w:r>
      <w:r w:rsidR="00D7566E">
        <w:t>imposed</w:t>
      </w:r>
      <w:r w:rsidR="009268D6">
        <w:t xml:space="preserve"> under the Commonwealth Government’s </w:t>
      </w:r>
      <w:r w:rsidR="009268D6" w:rsidRPr="00A677C4">
        <w:rPr>
          <w:i/>
        </w:rPr>
        <w:t>Cleaner Fuels</w:t>
      </w:r>
      <w:r w:rsidR="009268D6">
        <w:t xml:space="preserve"> program.</w:t>
      </w:r>
      <w:r w:rsidR="00615E04">
        <w:t xml:space="preserve"> </w:t>
      </w:r>
      <w:r w:rsidR="009268D6">
        <w:t xml:space="preserve">In that industry and in Metal Products, investment was also </w:t>
      </w:r>
      <w:r w:rsidR="00615E04">
        <w:t>undertaken to expand capacity</w:t>
      </w:r>
      <w:r w:rsidR="009268D6">
        <w:t xml:space="preserve"> in response to higher demand and prices</w:t>
      </w:r>
      <w:r w:rsidR="00615E04">
        <w:t xml:space="preserve"> (Barnes, Soames and Li, forthcoming).</w:t>
      </w:r>
    </w:p>
    <w:p w:rsidR="003F1BF2" w:rsidRDefault="003F1BF2" w:rsidP="003F1BF2">
      <w:pPr>
        <w:pStyle w:val="BodyText"/>
      </w:pPr>
      <w:r>
        <w:t>It is noteworthy that parts of the services sector — traditionally regarded as labour</w:t>
      </w:r>
      <w:r>
        <w:noBreakHyphen/>
        <w:t>intensive — are now at least as capital</w:t>
      </w:r>
      <w:r>
        <w:noBreakHyphen/>
        <w:t>intensive as manufacturing. The rise in capital intensity has been particularly pronounced in business services and distribution services.</w:t>
      </w:r>
    </w:p>
    <w:p w:rsidR="008A62FF" w:rsidRDefault="008A62FF" w:rsidP="008A62FF">
      <w:pPr>
        <w:pStyle w:val="Heading2"/>
      </w:pPr>
      <w:r>
        <w:t>3.</w:t>
      </w:r>
      <w:r>
        <w:rPr>
          <w:noProof/>
        </w:rPr>
        <w:t>3</w:t>
      </w:r>
      <w:r>
        <w:tab/>
        <w:t>Structural change across states and territories</w:t>
      </w:r>
    </w:p>
    <w:p w:rsidR="008A62FF" w:rsidRDefault="008A62FF" w:rsidP="008A62FF">
      <w:pPr>
        <w:pStyle w:val="BodyText"/>
      </w:pPr>
      <w:r>
        <w:t>The geographic concentration of the natural resources boom is evident in the strong real output per capita growth observed during the 2000s in the resource</w:t>
      </w:r>
      <w:r>
        <w:noBreakHyphen/>
        <w:t>rich jurisdictions of Western Australia, the Northern Territory and (to a lesser extent) Queensland (figure </w:t>
      </w:r>
      <w:r w:rsidRPr="00475334">
        <w:rPr>
          <w:bCs/>
          <w:lang w:val="en-US"/>
        </w:rPr>
        <w:t>3.11</w:t>
      </w:r>
      <w:r>
        <w:t>). The latter jurisdiction recorded average per</w:t>
      </w:r>
      <w:r>
        <w:noBreakHyphen/>
        <w:t xml:space="preserve">capita output growth that was slightly lower in the period 2002 to 2012 than in the preceding decade. Nonetheless, the strong expansion of its mining sector is likely to have prevented that growth from dropping off to the extent experienced by New South Wales, Victoria and South Australia. (Although the mining sector also increased its activity in those jurisdictions during the 2002–2012 period, its growth was more subdued than in the resource-rich states.) </w:t>
      </w:r>
    </w:p>
    <w:p w:rsidR="008A62FF" w:rsidRDefault="008A62FF" w:rsidP="003F1BF2">
      <w:pPr>
        <w:pStyle w:val="BodyText"/>
      </w:pPr>
    </w:p>
    <w:p w:rsidR="003F1BF2" w:rsidRDefault="003F1BF2" w:rsidP="003F1BF2">
      <w:pPr>
        <w:pStyle w:val="FigureTitle"/>
      </w:pPr>
      <w:r>
        <w:rPr>
          <w:b w:val="0"/>
        </w:rPr>
        <w:lastRenderedPageBreak/>
        <w:t xml:space="preserve">Figure </w:t>
      </w:r>
      <w:bookmarkStart w:id="16" w:name="OLE_LINK4"/>
      <w:r>
        <w:rPr>
          <w:b w:val="0"/>
        </w:rPr>
        <w:t>3.</w:t>
      </w:r>
      <w:r>
        <w:rPr>
          <w:b w:val="0"/>
          <w:noProof/>
        </w:rPr>
        <w:t>10</w:t>
      </w:r>
      <w:bookmarkEnd w:id="16"/>
      <w:r>
        <w:tab/>
        <w:t>Real net capital stock</w:t>
      </w:r>
      <w:r w:rsidRPr="00E11F5E">
        <w:rPr>
          <w:rStyle w:val="NoteLabel"/>
          <w:b/>
        </w:rPr>
        <w:t>a</w:t>
      </w:r>
      <w:r>
        <w:t xml:space="preserve"> per worker,</w:t>
      </w:r>
      <w:r>
        <w:rPr>
          <w:rStyle w:val="NoteLabel"/>
          <w:b/>
        </w:rPr>
        <w:t>b</w:t>
      </w:r>
      <w:r>
        <w:t xml:space="preserve"> by sector</w:t>
      </w:r>
      <w:r w:rsidRPr="00842B9E">
        <w:rPr>
          <w:rStyle w:val="NoteLabel"/>
          <w:b/>
        </w:rPr>
        <w:t>c</w:t>
      </w:r>
    </w:p>
    <w:p w:rsidR="003F1BF2" w:rsidRDefault="003F1BF2" w:rsidP="003F1BF2">
      <w:pPr>
        <w:pStyle w:val="Subtitle"/>
      </w:pPr>
      <w:r>
        <w:t>Selected years</w:t>
      </w:r>
      <w:r>
        <w:rPr>
          <w:rStyle w:val="NoteLabel"/>
        </w:rPr>
        <w:t>d</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3F1BF2" w:rsidTr="009268D6">
        <w:tc>
          <w:tcPr>
            <w:tcW w:w="8777" w:type="dxa"/>
            <w:tcBorders>
              <w:top w:val="single" w:sz="6" w:space="0" w:color="auto"/>
              <w:bottom w:val="single" w:sz="6" w:space="0" w:color="auto"/>
            </w:tcBorders>
          </w:tcPr>
          <w:p w:rsidR="003F1BF2" w:rsidRDefault="003F1BF2" w:rsidP="009268D6">
            <w:pPr>
              <w:pStyle w:val="Figure"/>
            </w:pPr>
            <w:r>
              <w:rPr>
                <w:noProof/>
              </w:rPr>
              <w:drawing>
                <wp:inline distT="0" distB="0" distL="0" distR="0" wp14:anchorId="67C835D9" wp14:editId="06C6AB83">
                  <wp:extent cx="5476875" cy="2876550"/>
                  <wp:effectExtent l="0" t="0" r="0" b="0"/>
                  <wp:docPr id="43" name="Chart 43" descr="Figure 3.10 Real value of net capital stock (thousands of dollars) per worker, by sector, for three selected years: 1985, 1998 and 2011. Net capital stock in chain volume measures, with reference year 2009-10, annual financial year data. Number of workers measured as seasonally adjusted annual averages of quarterly data. Nine sectors shown: agriculture; mining; manufacturing; utilities; construction; distribution services; business services; social services; and personal services."/>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r>
    </w:tbl>
    <w:p w:rsidR="003F1BF2" w:rsidRDefault="003F1BF2" w:rsidP="003F1BF2">
      <w:pPr>
        <w:pStyle w:val="Note"/>
      </w:pPr>
      <w:r>
        <w:rPr>
          <w:rStyle w:val="NoteLabel"/>
        </w:rPr>
        <w:t>a</w:t>
      </w:r>
      <w:r>
        <w:t> Net capital stock in chain volume measures (reference year 2009</w:t>
      </w:r>
      <w:r>
        <w:noBreakHyphen/>
        <w:t xml:space="preserve">10), year ended June.  </w:t>
      </w:r>
      <w:r>
        <w:rPr>
          <w:rStyle w:val="NoteLabel"/>
        </w:rPr>
        <w:t>b</w:t>
      </w:r>
      <w:r>
        <w:t xml:space="preserve"> Total number of workers, seasonally adjusted, annual averages of quarterly figures. Figures for 1985 are averages of three quarters of data only (November 1984, February 1985 and May 1985) due to data availability.  </w:t>
      </w:r>
      <w:r>
        <w:rPr>
          <w:rStyle w:val="NoteLabel"/>
        </w:rPr>
        <w:t>c</w:t>
      </w:r>
      <w:r>
        <w:t xml:space="preserve"> Sectors and industries are defined in appendix A.  </w:t>
      </w:r>
      <w:r>
        <w:rPr>
          <w:rStyle w:val="NoteLabel"/>
        </w:rPr>
        <w:t>d</w:t>
      </w:r>
      <w:r>
        <w:t> 1984</w:t>
      </w:r>
      <w:r>
        <w:noBreakHyphen/>
        <w:t>85 data are the earliest available (for employment).</w:t>
      </w:r>
    </w:p>
    <w:p w:rsidR="003F1BF2" w:rsidRDefault="003F1BF2" w:rsidP="003F1BF2">
      <w:pPr>
        <w:pStyle w:val="Source"/>
      </w:pPr>
      <w:r>
        <w:rPr>
          <w:i/>
        </w:rPr>
        <w:t>Sources</w:t>
      </w:r>
      <w:r w:rsidRPr="00167F06">
        <w:t xml:space="preserve">: </w:t>
      </w:r>
      <w:r>
        <w:t>Productivity Commission estimates using ABS (</w:t>
      </w:r>
      <w:r>
        <w:rPr>
          <w:i/>
        </w:rPr>
        <w:t>Australian System of National Accounts, 2010</w:t>
      </w:r>
      <w:r>
        <w:rPr>
          <w:i/>
        </w:rPr>
        <w:noBreakHyphen/>
        <w:t>11</w:t>
      </w:r>
      <w:r>
        <w:t xml:space="preserve">, Cat. no. 5204.0; </w:t>
      </w:r>
      <w:r>
        <w:rPr>
          <w:i/>
        </w:rPr>
        <w:t>Labour Force, Australia, Detailed, Quarterly</w:t>
      </w:r>
      <w:r>
        <w:t xml:space="preserve">, </w:t>
      </w:r>
      <w:r>
        <w:rPr>
          <w:i/>
        </w:rPr>
        <w:t>May 2012</w:t>
      </w:r>
      <w:r>
        <w:t>, Cat. no. 6291.0.55.003).</w:t>
      </w:r>
    </w:p>
    <w:p w:rsidR="003F1BF2" w:rsidRDefault="003F1BF2" w:rsidP="003F1BF2">
      <w:pPr>
        <w:pStyle w:val="BodyText"/>
      </w:pPr>
      <w:bookmarkStart w:id="17" w:name="_Toc330888399"/>
      <w:r>
        <w:t>Figure 3.11 underscores the long</w:t>
      </w:r>
      <w:r>
        <w:noBreakHyphen/>
        <w:t>term nature of structural change, with Western Australia enjoying the highest average output per capita growth of all jurisdictions in the last twenty years, and Tasmania the lowest.</w:t>
      </w:r>
    </w:p>
    <w:p w:rsidR="008A62FF" w:rsidRPr="00472363" w:rsidRDefault="008A62FF" w:rsidP="008A62FF">
      <w:pPr>
        <w:pStyle w:val="BodyText"/>
      </w:pPr>
      <w:r>
        <w:t>Similarly, the resource</w:t>
      </w:r>
      <w:r>
        <w:noBreakHyphen/>
        <w:t>rich jurisdictions have seen faster growth in real investment in recent years (figure 3.12). Investment in Western Australia expanded by about 12 per cent per year, on average, between 2002 and 2012. Consistent with that state’s mining expansion, the fastest rates of investment growth in the Western Australian private sector, in the past decade, have been with respect to expenditure on construction (almost 21 per cent per year, on average) and machinery and equipment (14 per cent) (data not shown).</w:t>
      </w:r>
    </w:p>
    <w:p w:rsidR="008A62FF" w:rsidRPr="00322F37" w:rsidRDefault="008A62FF" w:rsidP="003F1BF2">
      <w:pPr>
        <w:pStyle w:val="BodyText"/>
      </w:pPr>
    </w:p>
    <w:bookmarkEnd w:id="17"/>
    <w:p w:rsidR="003F1BF2" w:rsidRDefault="003F1BF2" w:rsidP="003F1BF2">
      <w:pPr>
        <w:pStyle w:val="FigureTitle"/>
      </w:pPr>
      <w:r>
        <w:rPr>
          <w:b w:val="0"/>
        </w:rPr>
        <w:lastRenderedPageBreak/>
        <w:t xml:space="preserve">Figure </w:t>
      </w:r>
      <w:bookmarkStart w:id="18" w:name="OLE_LINK23"/>
      <w:r w:rsidRPr="00EC5596">
        <w:rPr>
          <w:b w:val="0"/>
        </w:rPr>
        <w:t>3.</w:t>
      </w:r>
      <w:r>
        <w:rPr>
          <w:b w:val="0"/>
          <w:noProof/>
        </w:rPr>
        <w:t>11</w:t>
      </w:r>
      <w:bookmarkEnd w:id="18"/>
      <w:r>
        <w:tab/>
        <w:t>State and territory real output per capita, 1992 to 2012</w:t>
      </w:r>
      <w:r w:rsidRPr="003F5021">
        <w:rPr>
          <w:rStyle w:val="NoteLabel"/>
          <w:b/>
        </w:rPr>
        <w:t>a</w:t>
      </w:r>
    </w:p>
    <w:p w:rsidR="003F1BF2" w:rsidRDefault="003F1BF2" w:rsidP="003F1BF2">
      <w:pPr>
        <w:pStyle w:val="Subtitle"/>
      </w:pPr>
      <w:r>
        <w:t>Average annual growth rates</w:t>
      </w:r>
    </w:p>
    <w:tbl>
      <w:tblPr>
        <w:tblW w:w="0" w:type="auto"/>
        <w:tblInd w:w="119" w:type="dxa"/>
        <w:tblBorders>
          <w:top w:val="single" w:sz="6" w:space="0" w:color="auto"/>
          <w:bottom w:val="single" w:sz="6" w:space="0" w:color="auto"/>
        </w:tblBorders>
        <w:tblLayout w:type="fixed"/>
        <w:tblLook w:val="00A0" w:firstRow="1" w:lastRow="0" w:firstColumn="1" w:lastColumn="0" w:noHBand="0" w:noVBand="0"/>
      </w:tblPr>
      <w:tblGrid>
        <w:gridCol w:w="8777"/>
      </w:tblGrid>
      <w:tr w:rsidR="003F1BF2" w:rsidTr="009268D6">
        <w:tc>
          <w:tcPr>
            <w:tcW w:w="8777" w:type="dxa"/>
            <w:tcBorders>
              <w:top w:val="single" w:sz="6" w:space="0" w:color="auto"/>
              <w:left w:val="nil"/>
              <w:bottom w:val="single" w:sz="6" w:space="0" w:color="auto"/>
              <w:right w:val="nil"/>
            </w:tcBorders>
          </w:tcPr>
          <w:p w:rsidR="003F1BF2" w:rsidRDefault="003F1BF2" w:rsidP="009268D6">
            <w:pPr>
              <w:pStyle w:val="Figure"/>
            </w:pPr>
            <w:r>
              <w:rPr>
                <w:noProof/>
              </w:rPr>
              <w:drawing>
                <wp:inline distT="0" distB="0" distL="0" distR="0" wp14:anchorId="0EAE86BA" wp14:editId="587341A5">
                  <wp:extent cx="5400000" cy="2880000"/>
                  <wp:effectExtent l="0" t="0" r="0" b="0"/>
                  <wp:docPr id="18" name="Chart 18" descr="Figure 3.11 State and territory real output per capita, 1992 to 2012. Average annual growth rates. The blue bars denote the period 1992 to 2002, the green bars the period 2002 to 2012. Jurisdictions are, from left to right: New South Wales, Victoria, Queensland, South Australia, Western Australia, Tasmania, the Northern Territory, the Australian Capital Territory and the whole of Australia."/>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r>
    </w:tbl>
    <w:p w:rsidR="003F1BF2" w:rsidRDefault="003F1BF2" w:rsidP="003F1BF2">
      <w:pPr>
        <w:pStyle w:val="Note"/>
      </w:pPr>
      <w:r w:rsidRPr="003F5021">
        <w:rPr>
          <w:rStyle w:val="NoteLabel"/>
        </w:rPr>
        <w:t>a</w:t>
      </w:r>
      <w:r>
        <w:rPr>
          <w:b/>
        </w:rPr>
        <w:t xml:space="preserve"> ‘</w:t>
      </w:r>
      <w:r w:rsidRPr="00B37E92">
        <w:t>Output per capita</w:t>
      </w:r>
      <w:r>
        <w:t>’</w:t>
      </w:r>
      <w:r w:rsidRPr="003F5021">
        <w:t xml:space="preserve"> </w:t>
      </w:r>
      <w:r>
        <w:t>refers to real gross state product per capita (real gross domestic product in the case of Australia), average annual growth rates from 1992 to 2002 and 2002 to 2012, years ended June. Chain volume measures (reference year 2010</w:t>
      </w:r>
      <w:r>
        <w:noBreakHyphen/>
        <w:t>11).</w:t>
      </w:r>
    </w:p>
    <w:p w:rsidR="003F1BF2" w:rsidRDefault="003F1BF2" w:rsidP="003F1BF2">
      <w:pPr>
        <w:pStyle w:val="Source"/>
      </w:pPr>
      <w:r>
        <w:rPr>
          <w:i/>
        </w:rPr>
        <w:t>Sources</w:t>
      </w:r>
      <w:r>
        <w:t>: ABS (</w:t>
      </w:r>
      <w:r>
        <w:rPr>
          <w:i/>
        </w:rPr>
        <w:t>Australian National Accounts: State Accounts, 2011</w:t>
      </w:r>
      <w:r>
        <w:rPr>
          <w:i/>
        </w:rPr>
        <w:noBreakHyphen/>
        <w:t>12</w:t>
      </w:r>
      <w:r>
        <w:t xml:space="preserve">, Cat. no. 5220.0; </w:t>
      </w:r>
      <w:r>
        <w:rPr>
          <w:i/>
        </w:rPr>
        <w:t>Australian Demographic Statistics, June 2012,</w:t>
      </w:r>
      <w:r>
        <w:t xml:space="preserve"> Cat. no. 3101.0).</w:t>
      </w:r>
    </w:p>
    <w:p w:rsidR="003F1BF2" w:rsidRDefault="003F1BF2" w:rsidP="003F1BF2">
      <w:pPr>
        <w:pStyle w:val="FigureTitle"/>
      </w:pPr>
      <w:r>
        <w:rPr>
          <w:b w:val="0"/>
        </w:rPr>
        <w:t xml:space="preserve">Figure </w:t>
      </w:r>
      <w:bookmarkStart w:id="19" w:name="OLE_LINK24"/>
      <w:r>
        <w:rPr>
          <w:b w:val="0"/>
        </w:rPr>
        <w:t>3.</w:t>
      </w:r>
      <w:r>
        <w:rPr>
          <w:b w:val="0"/>
          <w:noProof/>
        </w:rPr>
        <w:t>12</w:t>
      </w:r>
      <w:bookmarkEnd w:id="19"/>
      <w:r>
        <w:tab/>
        <w:t>State and territory investment, 1992 to 2012</w:t>
      </w:r>
      <w:r w:rsidRPr="0061232D">
        <w:rPr>
          <w:rStyle w:val="NoteLabel"/>
          <w:b/>
        </w:rPr>
        <w:t>a</w:t>
      </w:r>
    </w:p>
    <w:p w:rsidR="003F1BF2" w:rsidRDefault="003F1BF2" w:rsidP="003F1BF2">
      <w:pPr>
        <w:pStyle w:val="Subtitle"/>
      </w:pPr>
      <w:r>
        <w:t>Real gross fixed capital formation, average annual growth rates</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3F1BF2" w:rsidTr="009268D6">
        <w:tc>
          <w:tcPr>
            <w:tcW w:w="8777" w:type="dxa"/>
            <w:tcBorders>
              <w:top w:val="single" w:sz="6" w:space="0" w:color="auto"/>
              <w:bottom w:val="single" w:sz="6" w:space="0" w:color="auto"/>
            </w:tcBorders>
          </w:tcPr>
          <w:p w:rsidR="003F1BF2" w:rsidRDefault="003F1BF2" w:rsidP="009268D6">
            <w:pPr>
              <w:pStyle w:val="Figure"/>
            </w:pPr>
            <w:r>
              <w:rPr>
                <w:noProof/>
              </w:rPr>
              <w:drawing>
                <wp:inline distT="0" distB="0" distL="0" distR="0" wp14:anchorId="58AA39FF" wp14:editId="157FCA6D">
                  <wp:extent cx="5400000" cy="2880000"/>
                  <wp:effectExtent l="0" t="0" r="0" b="0"/>
                  <wp:docPr id="20" name="Chart 20" descr="Figure 3.12 Average annual growth in real value of State and Territory investment, percentage growth rates for the periods 1990 to 2002 and 2002 to 2012. Investment measured as real gross fixed capital formation in chain volume measures (reference year 2010-11). Six States and two Territories show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r>
    </w:tbl>
    <w:p w:rsidR="003F1BF2" w:rsidRDefault="003F1BF2" w:rsidP="003F1BF2">
      <w:pPr>
        <w:pStyle w:val="Note"/>
      </w:pPr>
      <w:r>
        <w:rPr>
          <w:rStyle w:val="NoteLabel"/>
        </w:rPr>
        <w:t>a</w:t>
      </w:r>
      <w:r>
        <w:t xml:space="preserve"> Chain volume measures (reference year 2010</w:t>
      </w:r>
      <w:r>
        <w:noBreakHyphen/>
        <w:t>11).</w:t>
      </w:r>
    </w:p>
    <w:p w:rsidR="003F1BF2" w:rsidRDefault="003F1BF2" w:rsidP="003F1BF2">
      <w:pPr>
        <w:pStyle w:val="Source"/>
      </w:pPr>
      <w:r>
        <w:rPr>
          <w:i/>
        </w:rPr>
        <w:t>Source</w:t>
      </w:r>
      <w:r w:rsidRPr="00167F06">
        <w:t xml:space="preserve">: </w:t>
      </w:r>
      <w:r>
        <w:t>ABS (</w:t>
      </w:r>
      <w:r>
        <w:rPr>
          <w:i/>
        </w:rPr>
        <w:t>Australian National Accounts: State Accounts, 2011</w:t>
      </w:r>
      <w:r>
        <w:rPr>
          <w:i/>
        </w:rPr>
        <w:noBreakHyphen/>
        <w:t>12</w:t>
      </w:r>
      <w:r>
        <w:t>, Cat. no. 5220.0).</w:t>
      </w:r>
    </w:p>
    <w:p w:rsidR="003F1BF2" w:rsidRDefault="003F1BF2" w:rsidP="00275991">
      <w:pPr>
        <w:pStyle w:val="Heading3"/>
      </w:pPr>
      <w:r>
        <w:lastRenderedPageBreak/>
        <w:t>Geographic structural change reflects the concentration of the resources boom</w:t>
      </w:r>
    </w:p>
    <w:p w:rsidR="003F1BF2" w:rsidRDefault="003F1BF2" w:rsidP="003F1BF2">
      <w:pPr>
        <w:pStyle w:val="BodyText"/>
      </w:pPr>
      <w:r>
        <w:t>The recent rates of structural change observed among states and territories, at least in terms of nominal investment and nominal output, have been unprecedented in the last 50 years (figure 3.13). This stands in contrast with the extent of structural change in sectoral shares of output and investment (economy wide), as observed earlier in this chapter. The historically high rates of measured structural change among states and territories confirm that the location of the additional output and investment linked to the resources boom has been concentrated geographically. As would be expected, regions with the richest endowments of minerals and energy increased their share of output and investment.</w:t>
      </w:r>
    </w:p>
    <w:p w:rsidR="003F1BF2" w:rsidRDefault="003F1BF2" w:rsidP="003F1BF2">
      <w:pPr>
        <w:pStyle w:val="FigureTitle"/>
      </w:pPr>
      <w:r>
        <w:rPr>
          <w:b w:val="0"/>
        </w:rPr>
        <w:t xml:space="preserve">Figure </w:t>
      </w:r>
      <w:bookmarkStart w:id="20" w:name="OLE_LINK25"/>
      <w:r>
        <w:rPr>
          <w:b w:val="0"/>
        </w:rPr>
        <w:t>3.</w:t>
      </w:r>
      <w:r>
        <w:rPr>
          <w:b w:val="0"/>
          <w:noProof/>
        </w:rPr>
        <w:t>13</w:t>
      </w:r>
      <w:bookmarkEnd w:id="20"/>
      <w:r>
        <w:tab/>
        <w:t>Structural change in state and territory shares of investment and output</w:t>
      </w:r>
    </w:p>
    <w:p w:rsidR="003F1BF2" w:rsidRDefault="003F1BF2" w:rsidP="003F1BF2">
      <w:pPr>
        <w:pStyle w:val="Subtitle"/>
      </w:pPr>
      <w:r>
        <w:t>Structural change indexes, 1963 to 2012</w:t>
      </w:r>
      <w:r>
        <w:rPr>
          <w:rStyle w:val="NoteLabel"/>
        </w:rPr>
        <w:t>a</w:t>
      </w:r>
    </w:p>
    <w:tbl>
      <w:tblPr>
        <w:tblW w:w="0" w:type="auto"/>
        <w:tblInd w:w="119" w:type="dxa"/>
        <w:tblBorders>
          <w:top w:val="single" w:sz="6" w:space="0" w:color="auto"/>
          <w:bottom w:val="single" w:sz="6" w:space="0" w:color="auto"/>
        </w:tblBorders>
        <w:tblLayout w:type="fixed"/>
        <w:tblLook w:val="00A0" w:firstRow="1" w:lastRow="0" w:firstColumn="1" w:lastColumn="0" w:noHBand="0" w:noVBand="0"/>
      </w:tblPr>
      <w:tblGrid>
        <w:gridCol w:w="8777"/>
      </w:tblGrid>
      <w:tr w:rsidR="003F1BF2" w:rsidTr="009268D6">
        <w:tc>
          <w:tcPr>
            <w:tcW w:w="8777" w:type="dxa"/>
            <w:tcBorders>
              <w:top w:val="single" w:sz="6" w:space="0" w:color="auto"/>
              <w:left w:val="nil"/>
              <w:bottom w:val="single" w:sz="6" w:space="0" w:color="auto"/>
              <w:right w:val="nil"/>
            </w:tcBorders>
          </w:tcPr>
          <w:p w:rsidR="003F1BF2" w:rsidRDefault="003F1BF2" w:rsidP="009268D6">
            <w:pPr>
              <w:pStyle w:val="Figure"/>
            </w:pPr>
            <w:r>
              <w:rPr>
                <w:noProof/>
              </w:rPr>
              <w:drawing>
                <wp:inline distT="0" distB="0" distL="0" distR="0" wp14:anchorId="47E6B4CE" wp14:editId="78B31361">
                  <wp:extent cx="5400000" cy="2880000"/>
                  <wp:effectExtent l="0" t="0" r="0" b="0"/>
                  <wp:docPr id="11" name="Chart 11" descr="Figure 3.13 Structural change indexes for State and Territory shares of real and nominal investment and real and nominal output, based on annual financial year data from 1963 to 20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bl>
    <w:p w:rsidR="003F1BF2" w:rsidRDefault="003F1BF2" w:rsidP="003F1BF2">
      <w:pPr>
        <w:pStyle w:val="Note"/>
      </w:pPr>
      <w:r>
        <w:rPr>
          <w:rStyle w:val="NoteLabel"/>
        </w:rPr>
        <w:t>a</w:t>
      </w:r>
      <w:r>
        <w:t xml:space="preserve"> Calculated as half the sum of the (absolute) five</w:t>
      </w:r>
      <w:r>
        <w:noBreakHyphen/>
        <w:t>year change in the five</w:t>
      </w:r>
      <w:r>
        <w:noBreakHyphen/>
        <w:t>year moving average of state and territory shares, with the final year indicated. State and territory classifications are as described in Connolly and Lewis (201</w:t>
      </w:r>
      <w:r w:rsidRPr="00F01026">
        <w:t xml:space="preserve">0), footnote 8. ‘Nominal output’ refers to gross state product, </w:t>
      </w:r>
      <w:r>
        <w:t>at</w:t>
      </w:r>
      <w:r w:rsidRPr="00F01026">
        <w:t xml:space="preserve"> current prices. ‘Real output’ refers to gross state product in chain volume terms (reference year 2010</w:t>
      </w:r>
      <w:r w:rsidRPr="00F01026">
        <w:noBreakHyphen/>
        <w:t xml:space="preserve">11). </w:t>
      </w:r>
      <w:r>
        <w:t>‘</w:t>
      </w:r>
      <w:r w:rsidRPr="00B37E92">
        <w:t>Nominal investment</w:t>
      </w:r>
      <w:r>
        <w:t>’</w:t>
      </w:r>
      <w:r w:rsidRPr="00F01026">
        <w:t xml:space="preserve"> refers to gross fixed capital formation </w:t>
      </w:r>
      <w:r>
        <w:t>at</w:t>
      </w:r>
      <w:r w:rsidRPr="00F01026">
        <w:t xml:space="preserve"> current prices</w:t>
      </w:r>
      <w:r>
        <w:t>, year ended June</w:t>
      </w:r>
      <w:r w:rsidRPr="00F01026">
        <w:t xml:space="preserve">. </w:t>
      </w:r>
      <w:r>
        <w:t>‘</w:t>
      </w:r>
      <w:r w:rsidRPr="00B37E92">
        <w:t>Real investment</w:t>
      </w:r>
      <w:r>
        <w:t>’</w:t>
      </w:r>
      <w:r w:rsidRPr="00F01026">
        <w:t xml:space="preserve"> refers to gross fixed capital formation in chain volume terms (reference year 2010</w:t>
      </w:r>
      <w:r w:rsidRPr="00F01026">
        <w:noBreakHyphen/>
        <w:t>11)</w:t>
      </w:r>
      <w:r>
        <w:t>, year ended June</w:t>
      </w:r>
      <w:r w:rsidRPr="00F01026">
        <w:t>.</w:t>
      </w:r>
    </w:p>
    <w:p w:rsidR="003F1BF2" w:rsidRDefault="003F1BF2" w:rsidP="003F1BF2">
      <w:pPr>
        <w:pStyle w:val="Source"/>
      </w:pPr>
      <w:r>
        <w:rPr>
          <w:i/>
        </w:rPr>
        <w:t>Sources</w:t>
      </w:r>
      <w:r w:rsidRPr="00167F06">
        <w:t xml:space="preserve">: </w:t>
      </w:r>
      <w:r>
        <w:t>Productivity Commission estimates using ABS (</w:t>
      </w:r>
      <w:r>
        <w:rPr>
          <w:i/>
        </w:rPr>
        <w:t>Australian National Accounts: State Accounts, 2011</w:t>
      </w:r>
      <w:r>
        <w:rPr>
          <w:i/>
        </w:rPr>
        <w:noBreakHyphen/>
        <w:t>12</w:t>
      </w:r>
      <w:r>
        <w:t>, Cat. no. 5220.0) and Connolly, E. (RBA, Sydney, pers. comm., 13 August 2012, unpublished data).</w:t>
      </w:r>
    </w:p>
    <w:p w:rsidR="00F056FC" w:rsidRDefault="003F1BF2" w:rsidP="00120072">
      <w:pPr>
        <w:pStyle w:val="BodyText"/>
      </w:pPr>
      <w:r>
        <w:t>The patterns observed in figure 3.13 are consistent with the three</w:t>
      </w:r>
      <w:r>
        <w:noBreakHyphen/>
        <w:t xml:space="preserve">phase characterisation of the natural resources boom. The effect of the initial ‘price phase’ is apparent in the fact that measured structural change has been higher in nominal than in real terms, whereas the impact of the completed ‘construction phase’ is </w:t>
      </w:r>
      <w:r>
        <w:lastRenderedPageBreak/>
        <w:t>reflected in the observation that there has been greater structural change in investment than in output. This latter pattern might, in turn, be superseded during the emerging ‘production phase’, when the rate of measured structural change in real output would be expected to increase as a rising number of mining projects reach full production.</w:t>
      </w:r>
    </w:p>
    <w:sectPr w:rsidR="00F056FC" w:rsidSect="00343007">
      <w:headerReference w:type="even" r:id="rId22"/>
      <w:headerReference w:type="default" r:id="rId23"/>
      <w:footerReference w:type="even" r:id="rId24"/>
      <w:footerReference w:type="default" r:id="rId25"/>
      <w:footnotePr>
        <w:numStart w:val="11"/>
      </w:footnotePr>
      <w:pgSz w:w="11907" w:h="16840" w:code="9"/>
      <w:pgMar w:top="1985" w:right="1304" w:bottom="1418" w:left="1814" w:header="1701" w:footer="567" w:gutter="0"/>
      <w:pgNumType w:start="45"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0A96" w:rsidRDefault="00120A96">
      <w:r>
        <w:separator/>
      </w:r>
    </w:p>
  </w:endnote>
  <w:endnote w:type="continuationSeparator" w:id="0">
    <w:p w:rsidR="00120A96" w:rsidRDefault="00120A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120A96">
      <w:trPr>
        <w:trHeight w:hRule="exact" w:val="740"/>
      </w:trPr>
      <w:tc>
        <w:tcPr>
          <w:tcW w:w="510" w:type="dxa"/>
          <w:tcBorders>
            <w:top w:val="single" w:sz="6" w:space="0" w:color="auto"/>
          </w:tcBorders>
        </w:tcPr>
        <w:p w:rsidR="00120A96" w:rsidRDefault="00120A96"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0A5074">
            <w:rPr>
              <w:rStyle w:val="PageNumber"/>
              <w:noProof/>
            </w:rPr>
            <w:t>66</w:t>
          </w:r>
          <w:r>
            <w:rPr>
              <w:rStyle w:val="PageNumber"/>
            </w:rPr>
            <w:fldChar w:fldCharType="end"/>
          </w:r>
        </w:p>
      </w:tc>
      <w:tc>
        <w:tcPr>
          <w:tcW w:w="1644" w:type="dxa"/>
          <w:tcBorders>
            <w:top w:val="single" w:sz="6" w:space="0" w:color="auto"/>
          </w:tcBorders>
        </w:tcPr>
        <w:p w:rsidR="00120A96" w:rsidRDefault="000A5074" w:rsidP="0019293B">
          <w:pPr>
            <w:pStyle w:val="Footer"/>
          </w:pPr>
          <w:r>
            <w:fldChar w:fldCharType="begin"/>
          </w:r>
          <w:r>
            <w:instrText xml:space="preserve"> SUBJECT  \* MERGEFORMAT </w:instrText>
          </w:r>
          <w:r>
            <w:fldChar w:fldCharType="separate"/>
          </w:r>
          <w:r w:rsidR="00120A96">
            <w:t>Looking back on structural change</w:t>
          </w:r>
          <w:r>
            <w:fldChar w:fldCharType="end"/>
          </w:r>
        </w:p>
      </w:tc>
      <w:tc>
        <w:tcPr>
          <w:tcW w:w="6634" w:type="dxa"/>
        </w:tcPr>
        <w:p w:rsidR="00120A96" w:rsidRDefault="00120A96" w:rsidP="0019293B">
          <w:pPr>
            <w:pStyle w:val="Footer"/>
          </w:pPr>
        </w:p>
      </w:tc>
    </w:tr>
  </w:tbl>
  <w:p w:rsidR="00120A96" w:rsidRDefault="00120A96"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120A96">
      <w:trPr>
        <w:trHeight w:hRule="exact" w:val="740"/>
      </w:trPr>
      <w:tc>
        <w:tcPr>
          <w:tcW w:w="6634" w:type="dxa"/>
        </w:tcPr>
        <w:p w:rsidR="00120A96" w:rsidRDefault="00120A96">
          <w:pPr>
            <w:pStyle w:val="Footer"/>
            <w:ind w:right="360" w:firstLine="360"/>
          </w:pPr>
        </w:p>
      </w:tc>
      <w:tc>
        <w:tcPr>
          <w:tcW w:w="1644" w:type="dxa"/>
          <w:tcBorders>
            <w:top w:val="single" w:sz="6" w:space="0" w:color="auto"/>
          </w:tcBorders>
        </w:tcPr>
        <w:p w:rsidR="00120A96" w:rsidRDefault="000A5074">
          <w:pPr>
            <w:pStyle w:val="Footer"/>
          </w:pPr>
          <w:r>
            <w:fldChar w:fldCharType="begin"/>
          </w:r>
          <w:r>
            <w:instrText xml:space="preserve"> TITLE  \* MERGEFORMAT </w:instrText>
          </w:r>
          <w:r>
            <w:fldChar w:fldCharType="separate"/>
          </w:r>
          <w:r w:rsidR="00120A96">
            <w:t>Output and investment</w:t>
          </w:r>
          <w:r>
            <w:fldChar w:fldCharType="end"/>
          </w:r>
        </w:p>
      </w:tc>
      <w:tc>
        <w:tcPr>
          <w:tcW w:w="510" w:type="dxa"/>
          <w:tcBorders>
            <w:top w:val="single" w:sz="6" w:space="0" w:color="auto"/>
          </w:tcBorders>
        </w:tcPr>
        <w:p w:rsidR="00120A96" w:rsidRDefault="00120A96">
          <w:pPr>
            <w:pStyle w:val="Footer"/>
            <w:jc w:val="right"/>
          </w:pPr>
          <w:r>
            <w:rPr>
              <w:rStyle w:val="PageNumber"/>
            </w:rPr>
            <w:fldChar w:fldCharType="begin"/>
          </w:r>
          <w:r>
            <w:rPr>
              <w:rStyle w:val="PageNumber"/>
            </w:rPr>
            <w:instrText xml:space="preserve">PAGE  </w:instrText>
          </w:r>
          <w:r>
            <w:rPr>
              <w:rStyle w:val="PageNumber"/>
            </w:rPr>
            <w:fldChar w:fldCharType="separate"/>
          </w:r>
          <w:r w:rsidR="000A5074">
            <w:rPr>
              <w:rStyle w:val="PageNumber"/>
              <w:noProof/>
            </w:rPr>
            <w:t>45</w:t>
          </w:r>
          <w:r>
            <w:rPr>
              <w:rStyle w:val="PageNumber"/>
            </w:rPr>
            <w:fldChar w:fldCharType="end"/>
          </w:r>
        </w:p>
      </w:tc>
    </w:tr>
  </w:tbl>
  <w:p w:rsidR="00120A96" w:rsidRDefault="00120A96">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0A96" w:rsidRDefault="00120A96">
      <w:r>
        <w:separator/>
      </w:r>
    </w:p>
  </w:footnote>
  <w:footnote w:type="continuationSeparator" w:id="0">
    <w:p w:rsidR="00120A96" w:rsidRDefault="00120A96">
      <w:r>
        <w:continuationSeparator/>
      </w:r>
    </w:p>
  </w:footnote>
  <w:footnote w:id="1">
    <w:p w:rsidR="00120A96" w:rsidRDefault="00120A96" w:rsidP="003F1BF2">
      <w:pPr>
        <w:pStyle w:val="FootnoteText"/>
      </w:pPr>
      <w:r>
        <w:rPr>
          <w:rStyle w:val="FootnoteReference"/>
        </w:rPr>
        <w:footnoteRef/>
      </w:r>
      <w:r>
        <w:t xml:space="preserve"> </w:t>
      </w:r>
      <w:r>
        <w:tab/>
        <w:t>This share remains much lower than the 35 per cent recorded during the 1850s gold rush (Battelino 2010).</w:t>
      </w:r>
    </w:p>
  </w:footnote>
  <w:footnote w:id="2">
    <w:p w:rsidR="00120A96" w:rsidRDefault="00120A96" w:rsidP="003F1BF2">
      <w:pPr>
        <w:pStyle w:val="FootnoteText"/>
      </w:pPr>
      <w:r>
        <w:rPr>
          <w:rStyle w:val="FootnoteReference"/>
        </w:rPr>
        <w:footnoteRef/>
      </w:r>
      <w:r>
        <w:t xml:space="preserve"> </w:t>
      </w:r>
      <w:r>
        <w:tab/>
        <w:t>In the ABS classification, non-market services include, in addition to health and education, Public administration and safety services.</w:t>
      </w:r>
    </w:p>
  </w:footnote>
  <w:footnote w:id="3">
    <w:p w:rsidR="00120A96" w:rsidRDefault="00120A96" w:rsidP="003F1BF2">
      <w:pPr>
        <w:pStyle w:val="FootnoteText"/>
      </w:pPr>
      <w:r>
        <w:rPr>
          <w:rStyle w:val="FootnoteReference"/>
        </w:rPr>
        <w:footnoteRef/>
      </w:r>
      <w:r>
        <w:t xml:space="preserve"> </w:t>
      </w:r>
      <w:r>
        <w:tab/>
        <w:t>Between 2002 and 2012, nominal hourly wages grew at an average annual rate of less than 5 per cent in both the social and personal services sectors, lower than the 7 per cent growth recorded for nominal GDP over that period (data not shown).</w:t>
      </w:r>
    </w:p>
  </w:footnote>
  <w:footnote w:id="4">
    <w:p w:rsidR="00120A96" w:rsidRDefault="00120A96" w:rsidP="00B313FD">
      <w:pPr>
        <w:pStyle w:val="FootnoteText"/>
      </w:pPr>
      <w:r>
        <w:rPr>
          <w:rStyle w:val="FootnoteReference"/>
        </w:rPr>
        <w:footnoteRef/>
      </w:r>
      <w:r>
        <w:t xml:space="preserve"> </w:t>
      </w:r>
      <w:r>
        <w:tab/>
        <w:t xml:space="preserve">A graph showing the structural change index in real output at the 19-industry level is provided in appendix B. While the index cannot be constructed prior to 1984, the index values for the late 1970s–early 1980s period would necessarily be higher than those observed subsequently. </w:t>
      </w:r>
    </w:p>
  </w:footnote>
  <w:footnote w:id="5">
    <w:p w:rsidR="00120A96" w:rsidRDefault="00120A96" w:rsidP="003F1BF2">
      <w:pPr>
        <w:pStyle w:val="FootnoteText"/>
      </w:pPr>
      <w:r>
        <w:rPr>
          <w:rStyle w:val="FootnoteReference"/>
        </w:rPr>
        <w:footnoteRef/>
      </w:r>
      <w:r>
        <w:t xml:space="preserve"> </w:t>
      </w:r>
      <w:r>
        <w:tab/>
        <w:t>Sectoral shares of ‘real output’ are measured as the ratio of each sector’s gross value added to the sum of gross value added across the nine sectors. That sum does not equate to reported real GDP, due to the way in which chain volume measures are calculated.</w:t>
      </w:r>
    </w:p>
  </w:footnote>
  <w:footnote w:id="6">
    <w:p w:rsidR="00120A96" w:rsidRDefault="00120A96" w:rsidP="003F1BF2">
      <w:pPr>
        <w:pStyle w:val="FootnoteText"/>
      </w:pPr>
      <w:r>
        <w:rPr>
          <w:rStyle w:val="FootnoteReference"/>
        </w:rPr>
        <w:footnoteRef/>
      </w:r>
      <w:r>
        <w:t xml:space="preserve"> </w:t>
      </w:r>
      <w:r>
        <w:tab/>
        <w:t>The ABS recognises expenditure on research and development as capital formation (investment) rather than consumption expenditure, in the sense that it increases the stock of knowledge. Similarly, it counts mineral and petroleum exploration in this category as it is expenditure needed to acquire knowledge about new reserves of these resources (ABS 2012b). In both cases, that is, the expenditure is incurred to increase the quantity and value of an intangible asset that is expected to yield future income. As a result, accumulated expenditure in these areas is counted as part of net capital stock in the national accounts. For a detailed exposition of investment in intangibles, see Barnes and McClure (2009).</w:t>
      </w:r>
    </w:p>
  </w:footnote>
  <w:footnote w:id="7">
    <w:p w:rsidR="00120A96" w:rsidRDefault="00120A96" w:rsidP="003F1BF2">
      <w:pPr>
        <w:pStyle w:val="FootnoteText"/>
      </w:pPr>
      <w:r>
        <w:rPr>
          <w:rStyle w:val="FootnoteReference"/>
        </w:rPr>
        <w:footnoteRef/>
      </w:r>
      <w:r>
        <w:t xml:space="preserve"> </w:t>
      </w:r>
      <w:r>
        <w:tab/>
        <w:t>The only exception was the Wood and paper products manufacturing subdivision, during the 1998-99 to 2003</w:t>
      </w:r>
      <w:r>
        <w:noBreakHyphen/>
        <w:t>04 productivity cycle (Barnes, Soames and Li, forthcoming).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120A96">
      <w:tc>
        <w:tcPr>
          <w:tcW w:w="2155" w:type="dxa"/>
          <w:tcBorders>
            <w:top w:val="single" w:sz="24" w:space="0" w:color="auto"/>
          </w:tcBorders>
        </w:tcPr>
        <w:p w:rsidR="00120A96" w:rsidRDefault="00120A96" w:rsidP="0019293B">
          <w:pPr>
            <w:pStyle w:val="HeaderEven"/>
          </w:pPr>
        </w:p>
      </w:tc>
      <w:tc>
        <w:tcPr>
          <w:tcW w:w="6634" w:type="dxa"/>
          <w:tcBorders>
            <w:top w:val="single" w:sz="6" w:space="0" w:color="auto"/>
          </w:tcBorders>
        </w:tcPr>
        <w:p w:rsidR="00120A96" w:rsidRDefault="00120A96" w:rsidP="0019293B">
          <w:pPr>
            <w:pStyle w:val="HeaderEven"/>
          </w:pPr>
        </w:p>
      </w:tc>
    </w:tr>
  </w:tbl>
  <w:p w:rsidR="00120A96" w:rsidRDefault="00120A96"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20A96">
      <w:tc>
        <w:tcPr>
          <w:tcW w:w="6634" w:type="dxa"/>
          <w:tcBorders>
            <w:top w:val="single" w:sz="6" w:space="0" w:color="auto"/>
          </w:tcBorders>
        </w:tcPr>
        <w:p w:rsidR="00120A96" w:rsidRDefault="00120A96" w:rsidP="00E669E2">
          <w:pPr>
            <w:pStyle w:val="HeaderOdd"/>
          </w:pPr>
        </w:p>
      </w:tc>
      <w:tc>
        <w:tcPr>
          <w:tcW w:w="2155" w:type="dxa"/>
          <w:tcBorders>
            <w:top w:val="single" w:sz="24" w:space="0" w:color="auto"/>
          </w:tcBorders>
        </w:tcPr>
        <w:p w:rsidR="00120A96" w:rsidRDefault="00120A96" w:rsidP="00E669E2">
          <w:pPr>
            <w:pStyle w:val="HeaderOdd"/>
          </w:pPr>
        </w:p>
      </w:tc>
    </w:tr>
  </w:tbl>
  <w:p w:rsidR="00120A96" w:rsidRDefault="00120A96"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hideSpellingError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34817"/>
  </w:hdrShapeDefaults>
  <w:footnotePr>
    <w:numStart w:val="11"/>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Output and investment"/>
    <w:docVar w:name="ShortReportTitle" w:val="Looking back on structural change"/>
  </w:docVars>
  <w:rsids>
    <w:rsidRoot w:val="003F1BF2"/>
    <w:rsid w:val="000227D5"/>
    <w:rsid w:val="000245AA"/>
    <w:rsid w:val="0003664B"/>
    <w:rsid w:val="0004111F"/>
    <w:rsid w:val="000565B3"/>
    <w:rsid w:val="0007150B"/>
    <w:rsid w:val="000938F5"/>
    <w:rsid w:val="00096E55"/>
    <w:rsid w:val="000A02F8"/>
    <w:rsid w:val="000A5074"/>
    <w:rsid w:val="000B601B"/>
    <w:rsid w:val="000C207E"/>
    <w:rsid w:val="000F0035"/>
    <w:rsid w:val="000F420B"/>
    <w:rsid w:val="00110116"/>
    <w:rsid w:val="00120072"/>
    <w:rsid w:val="00120A96"/>
    <w:rsid w:val="00126EB8"/>
    <w:rsid w:val="001274D4"/>
    <w:rsid w:val="001363AA"/>
    <w:rsid w:val="00183E82"/>
    <w:rsid w:val="001878BB"/>
    <w:rsid w:val="00191AE0"/>
    <w:rsid w:val="0019293B"/>
    <w:rsid w:val="0019426B"/>
    <w:rsid w:val="001C0865"/>
    <w:rsid w:val="001C3ABA"/>
    <w:rsid w:val="001E7BE8"/>
    <w:rsid w:val="001F0248"/>
    <w:rsid w:val="001F3EB3"/>
    <w:rsid w:val="001F4F86"/>
    <w:rsid w:val="00202C2C"/>
    <w:rsid w:val="002135AB"/>
    <w:rsid w:val="002144BE"/>
    <w:rsid w:val="00234043"/>
    <w:rsid w:val="00242279"/>
    <w:rsid w:val="00245C82"/>
    <w:rsid w:val="00257032"/>
    <w:rsid w:val="00275991"/>
    <w:rsid w:val="00291B40"/>
    <w:rsid w:val="002B4008"/>
    <w:rsid w:val="002D0E8E"/>
    <w:rsid w:val="00301189"/>
    <w:rsid w:val="00323E09"/>
    <w:rsid w:val="00333932"/>
    <w:rsid w:val="00343007"/>
    <w:rsid w:val="003518AA"/>
    <w:rsid w:val="00352165"/>
    <w:rsid w:val="00353182"/>
    <w:rsid w:val="003565D9"/>
    <w:rsid w:val="003602E1"/>
    <w:rsid w:val="0037026F"/>
    <w:rsid w:val="00371012"/>
    <w:rsid w:val="00371240"/>
    <w:rsid w:val="00374731"/>
    <w:rsid w:val="00376E59"/>
    <w:rsid w:val="003919F9"/>
    <w:rsid w:val="003C38B5"/>
    <w:rsid w:val="003C5D99"/>
    <w:rsid w:val="003D7AC2"/>
    <w:rsid w:val="003E2F59"/>
    <w:rsid w:val="003F01B8"/>
    <w:rsid w:val="003F0789"/>
    <w:rsid w:val="003F1BF2"/>
    <w:rsid w:val="00401882"/>
    <w:rsid w:val="004100C8"/>
    <w:rsid w:val="00411DBD"/>
    <w:rsid w:val="00412ACE"/>
    <w:rsid w:val="00431249"/>
    <w:rsid w:val="00434C19"/>
    <w:rsid w:val="00450810"/>
    <w:rsid w:val="004629BC"/>
    <w:rsid w:val="00477144"/>
    <w:rsid w:val="00491380"/>
    <w:rsid w:val="0049459F"/>
    <w:rsid w:val="004A38DD"/>
    <w:rsid w:val="004B43AE"/>
    <w:rsid w:val="004C30ED"/>
    <w:rsid w:val="004D5675"/>
    <w:rsid w:val="004E0F07"/>
    <w:rsid w:val="004F4435"/>
    <w:rsid w:val="00523639"/>
    <w:rsid w:val="00531FE5"/>
    <w:rsid w:val="005402FA"/>
    <w:rsid w:val="0055783F"/>
    <w:rsid w:val="005636D3"/>
    <w:rsid w:val="00583C39"/>
    <w:rsid w:val="00587F28"/>
    <w:rsid w:val="005909CF"/>
    <w:rsid w:val="00591E71"/>
    <w:rsid w:val="005A0D41"/>
    <w:rsid w:val="005C76C9"/>
    <w:rsid w:val="005F76D1"/>
    <w:rsid w:val="00607BF1"/>
    <w:rsid w:val="00615E04"/>
    <w:rsid w:val="00630D4D"/>
    <w:rsid w:val="00632A74"/>
    <w:rsid w:val="006A4655"/>
    <w:rsid w:val="006B2B3C"/>
    <w:rsid w:val="006B5180"/>
    <w:rsid w:val="006C1D81"/>
    <w:rsid w:val="006C7038"/>
    <w:rsid w:val="006D3987"/>
    <w:rsid w:val="006E73EF"/>
    <w:rsid w:val="00714D4D"/>
    <w:rsid w:val="00714DC0"/>
    <w:rsid w:val="007604BB"/>
    <w:rsid w:val="00785232"/>
    <w:rsid w:val="007A21EB"/>
    <w:rsid w:val="007B1A93"/>
    <w:rsid w:val="007C36C9"/>
    <w:rsid w:val="007D6401"/>
    <w:rsid w:val="007E01E4"/>
    <w:rsid w:val="007E4436"/>
    <w:rsid w:val="007F7107"/>
    <w:rsid w:val="007F7C7D"/>
    <w:rsid w:val="00800D4C"/>
    <w:rsid w:val="0081030F"/>
    <w:rsid w:val="0082087D"/>
    <w:rsid w:val="00826BA8"/>
    <w:rsid w:val="00835771"/>
    <w:rsid w:val="00842933"/>
    <w:rsid w:val="0086082C"/>
    <w:rsid w:val="00864ADC"/>
    <w:rsid w:val="00880153"/>
    <w:rsid w:val="00880F97"/>
    <w:rsid w:val="0088133A"/>
    <w:rsid w:val="0089285E"/>
    <w:rsid w:val="0089436C"/>
    <w:rsid w:val="008A62FF"/>
    <w:rsid w:val="008D365C"/>
    <w:rsid w:val="009030BF"/>
    <w:rsid w:val="0091032F"/>
    <w:rsid w:val="00914368"/>
    <w:rsid w:val="009268D6"/>
    <w:rsid w:val="00931076"/>
    <w:rsid w:val="009345D9"/>
    <w:rsid w:val="00934B15"/>
    <w:rsid w:val="00940C87"/>
    <w:rsid w:val="00942B62"/>
    <w:rsid w:val="0095323B"/>
    <w:rsid w:val="00956A0C"/>
    <w:rsid w:val="00956BD9"/>
    <w:rsid w:val="00962489"/>
    <w:rsid w:val="00990C2C"/>
    <w:rsid w:val="009E1844"/>
    <w:rsid w:val="009F0D1B"/>
    <w:rsid w:val="009F696D"/>
    <w:rsid w:val="009F6BC6"/>
    <w:rsid w:val="00A122B3"/>
    <w:rsid w:val="00A17328"/>
    <w:rsid w:val="00A23A20"/>
    <w:rsid w:val="00A268B9"/>
    <w:rsid w:val="00A2703A"/>
    <w:rsid w:val="00A33DFF"/>
    <w:rsid w:val="00A35115"/>
    <w:rsid w:val="00A36D9A"/>
    <w:rsid w:val="00A554AB"/>
    <w:rsid w:val="00A57062"/>
    <w:rsid w:val="00A677C4"/>
    <w:rsid w:val="00A92042"/>
    <w:rsid w:val="00A92B53"/>
    <w:rsid w:val="00A94FA6"/>
    <w:rsid w:val="00AA49A0"/>
    <w:rsid w:val="00AA6710"/>
    <w:rsid w:val="00AB0681"/>
    <w:rsid w:val="00AD520B"/>
    <w:rsid w:val="00B313FD"/>
    <w:rsid w:val="00B425C3"/>
    <w:rsid w:val="00B440AD"/>
    <w:rsid w:val="00B479BB"/>
    <w:rsid w:val="00B53E7E"/>
    <w:rsid w:val="00B6342E"/>
    <w:rsid w:val="00B7113F"/>
    <w:rsid w:val="00BA73B6"/>
    <w:rsid w:val="00BA7E27"/>
    <w:rsid w:val="00BB2603"/>
    <w:rsid w:val="00BB4FCD"/>
    <w:rsid w:val="00BC04E9"/>
    <w:rsid w:val="00BC08A8"/>
    <w:rsid w:val="00BD13EA"/>
    <w:rsid w:val="00BE3808"/>
    <w:rsid w:val="00C062E9"/>
    <w:rsid w:val="00C07B64"/>
    <w:rsid w:val="00C13721"/>
    <w:rsid w:val="00C14FE4"/>
    <w:rsid w:val="00C3066D"/>
    <w:rsid w:val="00C52416"/>
    <w:rsid w:val="00C543F4"/>
    <w:rsid w:val="00C6291C"/>
    <w:rsid w:val="00C633CB"/>
    <w:rsid w:val="00C736B7"/>
    <w:rsid w:val="00C81D4A"/>
    <w:rsid w:val="00C8762C"/>
    <w:rsid w:val="00CA00F9"/>
    <w:rsid w:val="00CA2961"/>
    <w:rsid w:val="00CB3D2C"/>
    <w:rsid w:val="00CB50D7"/>
    <w:rsid w:val="00CB7177"/>
    <w:rsid w:val="00CC1998"/>
    <w:rsid w:val="00CC4946"/>
    <w:rsid w:val="00CD2FA0"/>
    <w:rsid w:val="00D270A4"/>
    <w:rsid w:val="00D31FE9"/>
    <w:rsid w:val="00D34E1B"/>
    <w:rsid w:val="00D376BA"/>
    <w:rsid w:val="00D45634"/>
    <w:rsid w:val="00D5568A"/>
    <w:rsid w:val="00D63D73"/>
    <w:rsid w:val="00D64452"/>
    <w:rsid w:val="00D66E1E"/>
    <w:rsid w:val="00D7566E"/>
    <w:rsid w:val="00D75722"/>
    <w:rsid w:val="00D80CF5"/>
    <w:rsid w:val="00DA5BBA"/>
    <w:rsid w:val="00DB26D2"/>
    <w:rsid w:val="00DB67C9"/>
    <w:rsid w:val="00DB725E"/>
    <w:rsid w:val="00DC0C95"/>
    <w:rsid w:val="00DD6580"/>
    <w:rsid w:val="00E17C72"/>
    <w:rsid w:val="00E21FC6"/>
    <w:rsid w:val="00E431A9"/>
    <w:rsid w:val="00E50380"/>
    <w:rsid w:val="00E57C49"/>
    <w:rsid w:val="00E669E2"/>
    <w:rsid w:val="00E76135"/>
    <w:rsid w:val="00E82F4F"/>
    <w:rsid w:val="00E8795E"/>
    <w:rsid w:val="00EC2844"/>
    <w:rsid w:val="00EC5500"/>
    <w:rsid w:val="00ED18F8"/>
    <w:rsid w:val="00ED5793"/>
    <w:rsid w:val="00EE104E"/>
    <w:rsid w:val="00EE282E"/>
    <w:rsid w:val="00EF6C6C"/>
    <w:rsid w:val="00F019B1"/>
    <w:rsid w:val="00F056FC"/>
    <w:rsid w:val="00F10476"/>
    <w:rsid w:val="00F135D8"/>
    <w:rsid w:val="00F31299"/>
    <w:rsid w:val="00F3534A"/>
    <w:rsid w:val="00F51609"/>
    <w:rsid w:val="00F81006"/>
    <w:rsid w:val="00F85325"/>
    <w:rsid w:val="00FD22B1"/>
    <w:rsid w:val="00FD7C7B"/>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5" w:uiPriority="99"/>
    <w:lsdException w:name="toc 6" w:uiPriority="99"/>
    <w:lsdException w:name="toc 7" w:uiPriority="99"/>
    <w:lsdException w:name="toc 8" w:uiPriority="99"/>
    <w:lsdException w:name="toc 9" w:uiPriority="99"/>
    <w:lsdException w:name="Body Text" w:qFormat="1"/>
    <w:lsdException w:name="Hyperlink" w:uiPriority="99"/>
    <w:lsdException w:name="annotation subject" w:uiPriority="99"/>
    <w:lsdException w:name="No List" w:uiPriority="99"/>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3F1BF2"/>
    <w:rPr>
      <w:sz w:val="26"/>
      <w:szCs w:val="24"/>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rsid w:val="00A17328"/>
    <w:pPr>
      <w:spacing w:after="60"/>
      <w:jc w:val="left"/>
      <w:outlineLvl w:val="5"/>
    </w:pPr>
    <w:rPr>
      <w:i/>
      <w:sz w:val="22"/>
    </w:rPr>
  </w:style>
  <w:style w:type="paragraph" w:styleId="Heading7">
    <w:name w:val="heading 7"/>
    <w:basedOn w:val="BodyText"/>
    <w:next w:val="BodyText"/>
    <w:link w:val="Heading7Char"/>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40"/>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Heading1Char">
    <w:name w:val="Heading 1 Char"/>
    <w:basedOn w:val="DefaultParagraphFont"/>
    <w:link w:val="Heading1"/>
    <w:locked/>
    <w:rsid w:val="003F1BF2"/>
    <w:rPr>
      <w:sz w:val="52"/>
    </w:rPr>
  </w:style>
  <w:style w:type="character" w:customStyle="1" w:styleId="Heading2Char">
    <w:name w:val="Heading 2 Char"/>
    <w:basedOn w:val="DefaultParagraphFont"/>
    <w:link w:val="Heading2"/>
    <w:locked/>
    <w:rsid w:val="003F1BF2"/>
    <w:rPr>
      <w:rFonts w:ascii="Arial" w:hAnsi="Arial"/>
      <w:b/>
      <w:sz w:val="32"/>
    </w:rPr>
  </w:style>
  <w:style w:type="character" w:customStyle="1" w:styleId="Heading3Char">
    <w:name w:val="Heading 3 Char"/>
    <w:basedOn w:val="DefaultParagraphFont"/>
    <w:link w:val="Heading3"/>
    <w:locked/>
    <w:rsid w:val="003F1BF2"/>
    <w:rPr>
      <w:rFonts w:ascii="Arial" w:hAnsi="Arial"/>
      <w:b/>
      <w:sz w:val="26"/>
    </w:rPr>
  </w:style>
  <w:style w:type="character" w:customStyle="1" w:styleId="Heading4Char">
    <w:name w:val="Heading 4 Char"/>
    <w:basedOn w:val="DefaultParagraphFont"/>
    <w:link w:val="Heading4"/>
    <w:locked/>
    <w:rsid w:val="003F1BF2"/>
    <w:rPr>
      <w:rFonts w:ascii="Arial" w:hAnsi="Arial"/>
      <w:i/>
      <w:sz w:val="24"/>
    </w:rPr>
  </w:style>
  <w:style w:type="character" w:customStyle="1" w:styleId="Heading5Char">
    <w:name w:val="Heading 5 Char"/>
    <w:basedOn w:val="DefaultParagraphFont"/>
    <w:link w:val="Heading5"/>
    <w:locked/>
    <w:rsid w:val="003F1BF2"/>
    <w:rPr>
      <w:i/>
      <w:sz w:val="26"/>
    </w:rPr>
  </w:style>
  <w:style w:type="character" w:customStyle="1" w:styleId="Heading6Char">
    <w:name w:val="Heading 6 Char"/>
    <w:basedOn w:val="DefaultParagraphFont"/>
    <w:link w:val="Heading6"/>
    <w:locked/>
    <w:rsid w:val="003F1BF2"/>
    <w:rPr>
      <w:i/>
      <w:sz w:val="22"/>
    </w:rPr>
  </w:style>
  <w:style w:type="character" w:customStyle="1" w:styleId="Heading7Char">
    <w:name w:val="Heading 7 Char"/>
    <w:basedOn w:val="DefaultParagraphFont"/>
    <w:link w:val="Heading7"/>
    <w:locked/>
    <w:rsid w:val="003F1BF2"/>
    <w:rPr>
      <w:rFonts w:ascii="Arial" w:hAnsi="Arial"/>
    </w:rPr>
  </w:style>
  <w:style w:type="character" w:customStyle="1" w:styleId="Heading8Char">
    <w:name w:val="Heading 8 Char"/>
    <w:basedOn w:val="DefaultParagraphFont"/>
    <w:link w:val="Heading8"/>
    <w:locked/>
    <w:rsid w:val="003F1BF2"/>
    <w:rPr>
      <w:rFonts w:ascii="Arial" w:hAnsi="Arial"/>
      <w:i/>
    </w:rPr>
  </w:style>
  <w:style w:type="character" w:customStyle="1" w:styleId="Heading9Char">
    <w:name w:val="Heading 9 Char"/>
    <w:basedOn w:val="DefaultParagraphFont"/>
    <w:link w:val="Heading9"/>
    <w:locked/>
    <w:rsid w:val="003F1BF2"/>
    <w:rPr>
      <w:rFonts w:ascii="Arial" w:hAnsi="Arial"/>
      <w:b/>
      <w:i/>
      <w:sz w:val="18"/>
    </w:rPr>
  </w:style>
  <w:style w:type="character" w:customStyle="1" w:styleId="BodyTextChar">
    <w:name w:val="Body Text Char"/>
    <w:basedOn w:val="DefaultParagraphFont"/>
    <w:link w:val="BodyText"/>
    <w:locked/>
    <w:rsid w:val="003F1BF2"/>
    <w:rPr>
      <w:sz w:val="26"/>
    </w:rPr>
  </w:style>
  <w:style w:type="character" w:customStyle="1" w:styleId="FooterChar">
    <w:name w:val="Footer Char"/>
    <w:basedOn w:val="DefaultParagraphFont"/>
    <w:link w:val="Footer"/>
    <w:semiHidden/>
    <w:locked/>
    <w:rsid w:val="003F1BF2"/>
    <w:rPr>
      <w:caps/>
      <w:spacing w:val="-4"/>
      <w:sz w:val="16"/>
    </w:rPr>
  </w:style>
  <w:style w:type="character" w:customStyle="1" w:styleId="HeaderChar">
    <w:name w:val="Header Char"/>
    <w:basedOn w:val="DefaultParagraphFont"/>
    <w:link w:val="Header"/>
    <w:locked/>
    <w:rsid w:val="003F1BF2"/>
    <w:rPr>
      <w:rFonts w:ascii="Arial" w:hAnsi="Arial"/>
      <w:caps/>
      <w:sz w:val="26"/>
    </w:rPr>
  </w:style>
  <w:style w:type="paragraph" w:customStyle="1" w:styleId="BoxSpace">
    <w:name w:val="Box Space"/>
    <w:basedOn w:val="BodyText"/>
    <w:uiPriority w:val="99"/>
    <w:rsid w:val="003F1BF2"/>
    <w:pPr>
      <w:keepNext/>
      <w:spacing w:before="360" w:line="80" w:lineRule="exact"/>
      <w:jc w:val="left"/>
    </w:pPr>
  </w:style>
  <w:style w:type="character" w:customStyle="1" w:styleId="CommentTextChar">
    <w:name w:val="Comment Text Char"/>
    <w:basedOn w:val="DefaultParagraphFont"/>
    <w:semiHidden/>
    <w:locked/>
    <w:rsid w:val="003F1BF2"/>
    <w:rPr>
      <w:sz w:val="20"/>
      <w:szCs w:val="24"/>
      <w:lang w:val="en-AU" w:eastAsia="en-AU"/>
    </w:rPr>
  </w:style>
  <w:style w:type="character" w:customStyle="1" w:styleId="FootnoteTextChar">
    <w:name w:val="Footnote Text Char"/>
    <w:basedOn w:val="DefaultParagraphFont"/>
    <w:link w:val="FootnoteText"/>
    <w:locked/>
    <w:rsid w:val="003F1BF2"/>
    <w:rPr>
      <w:sz w:val="22"/>
    </w:rPr>
  </w:style>
  <w:style w:type="character" w:customStyle="1" w:styleId="QuoteChar">
    <w:name w:val="Quote Char"/>
    <w:basedOn w:val="DefaultParagraphFont"/>
    <w:link w:val="Quote"/>
    <w:locked/>
    <w:rsid w:val="003F1BF2"/>
    <w:rPr>
      <w:sz w:val="24"/>
    </w:rPr>
  </w:style>
  <w:style w:type="paragraph" w:styleId="CommentSubject">
    <w:name w:val="annotation subject"/>
    <w:basedOn w:val="CommentText"/>
    <w:next w:val="CommentText"/>
    <w:link w:val="CommentSubjectChar"/>
    <w:uiPriority w:val="99"/>
    <w:rsid w:val="003F1BF2"/>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3F1BF2"/>
    <w:rPr>
      <w:szCs w:val="24"/>
    </w:rPr>
  </w:style>
  <w:style w:type="character" w:customStyle="1" w:styleId="CommentSubjectChar">
    <w:name w:val="Comment Subject Char"/>
    <w:basedOn w:val="CommentTextChar1"/>
    <w:link w:val="CommentSubject"/>
    <w:uiPriority w:val="99"/>
    <w:rsid w:val="003F1BF2"/>
    <w:rPr>
      <w:b/>
      <w:bCs/>
      <w:szCs w:val="24"/>
    </w:rPr>
  </w:style>
  <w:style w:type="paragraph" w:styleId="TOC5">
    <w:name w:val="toc 5"/>
    <w:basedOn w:val="Normal"/>
    <w:next w:val="Normal"/>
    <w:autoRedefine/>
    <w:uiPriority w:val="99"/>
    <w:rsid w:val="003F1BF2"/>
    <w:pPr>
      <w:ind w:left="780"/>
    </w:pPr>
    <w:rPr>
      <w:rFonts w:cs="Calibri"/>
      <w:sz w:val="20"/>
      <w:szCs w:val="20"/>
    </w:rPr>
  </w:style>
  <w:style w:type="paragraph" w:styleId="TOC6">
    <w:name w:val="toc 6"/>
    <w:basedOn w:val="Normal"/>
    <w:next w:val="Normal"/>
    <w:autoRedefine/>
    <w:uiPriority w:val="99"/>
    <w:rsid w:val="003F1BF2"/>
    <w:pPr>
      <w:ind w:left="1040"/>
    </w:pPr>
    <w:rPr>
      <w:rFonts w:cs="Calibri"/>
      <w:sz w:val="20"/>
      <w:szCs w:val="20"/>
    </w:rPr>
  </w:style>
  <w:style w:type="paragraph" w:styleId="TOC7">
    <w:name w:val="toc 7"/>
    <w:basedOn w:val="Normal"/>
    <w:next w:val="Normal"/>
    <w:autoRedefine/>
    <w:uiPriority w:val="99"/>
    <w:rsid w:val="003F1BF2"/>
    <w:pPr>
      <w:ind w:left="1300"/>
    </w:pPr>
    <w:rPr>
      <w:rFonts w:cs="Calibri"/>
      <w:sz w:val="20"/>
      <w:szCs w:val="20"/>
    </w:rPr>
  </w:style>
  <w:style w:type="paragraph" w:styleId="TOC8">
    <w:name w:val="toc 8"/>
    <w:basedOn w:val="Normal"/>
    <w:next w:val="Normal"/>
    <w:autoRedefine/>
    <w:uiPriority w:val="99"/>
    <w:rsid w:val="003F1BF2"/>
    <w:pPr>
      <w:ind w:left="1560"/>
    </w:pPr>
    <w:rPr>
      <w:rFonts w:cs="Calibri"/>
      <w:sz w:val="20"/>
      <w:szCs w:val="20"/>
    </w:rPr>
  </w:style>
  <w:style w:type="paragraph" w:styleId="TOC9">
    <w:name w:val="toc 9"/>
    <w:basedOn w:val="Normal"/>
    <w:next w:val="Normal"/>
    <w:autoRedefine/>
    <w:uiPriority w:val="99"/>
    <w:rsid w:val="003F1BF2"/>
    <w:pPr>
      <w:ind w:left="1820"/>
    </w:pPr>
    <w:rPr>
      <w:rFonts w:cs="Calibri"/>
      <w:sz w:val="20"/>
      <w:szCs w:val="20"/>
    </w:rPr>
  </w:style>
  <w:style w:type="character" w:styleId="Hyperlink">
    <w:name w:val="Hyperlink"/>
    <w:basedOn w:val="DefaultParagraphFont"/>
    <w:uiPriority w:val="99"/>
    <w:rsid w:val="003F1BF2"/>
    <w:rPr>
      <w:rFonts w:cs="Times New Roman"/>
      <w:color w:val="0000FF"/>
      <w:u w:val="single"/>
    </w:rPr>
  </w:style>
  <w:style w:type="paragraph" w:styleId="Revision">
    <w:name w:val="Revision"/>
    <w:hidden/>
    <w:uiPriority w:val="99"/>
    <w:semiHidden/>
    <w:rsid w:val="003F1BF2"/>
    <w:rPr>
      <w:rFonts w:ascii="Calibri" w:hAnsi="Calibri"/>
      <w:sz w:val="22"/>
      <w:szCs w:val="22"/>
      <w:lang w:eastAsia="en-US"/>
    </w:rPr>
  </w:style>
  <w:style w:type="paragraph" w:customStyle="1" w:styleId="Style3">
    <w:name w:val="Style3"/>
    <w:basedOn w:val="Normal"/>
    <w:uiPriority w:val="99"/>
    <w:rsid w:val="003F1BF2"/>
    <w:pPr>
      <w:keepNext/>
      <w:keepLines/>
      <w:spacing w:after="80" w:line="200" w:lineRule="exact"/>
      <w:ind w:left="1474"/>
    </w:pPr>
    <w:rPr>
      <w:rFonts w:ascii="Arial" w:hAnsi="Arial"/>
      <w:sz w:val="20"/>
    </w:rPr>
  </w:style>
  <w:style w:type="table" w:styleId="TableGrid">
    <w:name w:val="Table Grid"/>
    <w:basedOn w:val="TableNormal"/>
    <w:uiPriority w:val="59"/>
    <w:rsid w:val="003F1BF2"/>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5" w:uiPriority="99"/>
    <w:lsdException w:name="toc 6" w:uiPriority="99"/>
    <w:lsdException w:name="toc 7" w:uiPriority="99"/>
    <w:lsdException w:name="toc 8" w:uiPriority="99"/>
    <w:lsdException w:name="toc 9" w:uiPriority="99"/>
    <w:lsdException w:name="Body Text" w:qFormat="1"/>
    <w:lsdException w:name="Hyperlink" w:uiPriority="99"/>
    <w:lsdException w:name="annotation subject" w:uiPriority="99"/>
    <w:lsdException w:name="No List" w:uiPriority="99"/>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3F1BF2"/>
    <w:rPr>
      <w:sz w:val="26"/>
      <w:szCs w:val="24"/>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rsid w:val="00A17328"/>
    <w:pPr>
      <w:spacing w:after="60"/>
      <w:jc w:val="left"/>
      <w:outlineLvl w:val="5"/>
    </w:pPr>
    <w:rPr>
      <w:i/>
      <w:sz w:val="22"/>
    </w:rPr>
  </w:style>
  <w:style w:type="paragraph" w:styleId="Heading7">
    <w:name w:val="heading 7"/>
    <w:basedOn w:val="BodyText"/>
    <w:next w:val="BodyText"/>
    <w:link w:val="Heading7Char"/>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40"/>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Heading1Char">
    <w:name w:val="Heading 1 Char"/>
    <w:basedOn w:val="DefaultParagraphFont"/>
    <w:link w:val="Heading1"/>
    <w:locked/>
    <w:rsid w:val="003F1BF2"/>
    <w:rPr>
      <w:sz w:val="52"/>
    </w:rPr>
  </w:style>
  <w:style w:type="character" w:customStyle="1" w:styleId="Heading2Char">
    <w:name w:val="Heading 2 Char"/>
    <w:basedOn w:val="DefaultParagraphFont"/>
    <w:link w:val="Heading2"/>
    <w:locked/>
    <w:rsid w:val="003F1BF2"/>
    <w:rPr>
      <w:rFonts w:ascii="Arial" w:hAnsi="Arial"/>
      <w:b/>
      <w:sz w:val="32"/>
    </w:rPr>
  </w:style>
  <w:style w:type="character" w:customStyle="1" w:styleId="Heading3Char">
    <w:name w:val="Heading 3 Char"/>
    <w:basedOn w:val="DefaultParagraphFont"/>
    <w:link w:val="Heading3"/>
    <w:locked/>
    <w:rsid w:val="003F1BF2"/>
    <w:rPr>
      <w:rFonts w:ascii="Arial" w:hAnsi="Arial"/>
      <w:b/>
      <w:sz w:val="26"/>
    </w:rPr>
  </w:style>
  <w:style w:type="character" w:customStyle="1" w:styleId="Heading4Char">
    <w:name w:val="Heading 4 Char"/>
    <w:basedOn w:val="DefaultParagraphFont"/>
    <w:link w:val="Heading4"/>
    <w:locked/>
    <w:rsid w:val="003F1BF2"/>
    <w:rPr>
      <w:rFonts w:ascii="Arial" w:hAnsi="Arial"/>
      <w:i/>
      <w:sz w:val="24"/>
    </w:rPr>
  </w:style>
  <w:style w:type="character" w:customStyle="1" w:styleId="Heading5Char">
    <w:name w:val="Heading 5 Char"/>
    <w:basedOn w:val="DefaultParagraphFont"/>
    <w:link w:val="Heading5"/>
    <w:locked/>
    <w:rsid w:val="003F1BF2"/>
    <w:rPr>
      <w:i/>
      <w:sz w:val="26"/>
    </w:rPr>
  </w:style>
  <w:style w:type="character" w:customStyle="1" w:styleId="Heading6Char">
    <w:name w:val="Heading 6 Char"/>
    <w:basedOn w:val="DefaultParagraphFont"/>
    <w:link w:val="Heading6"/>
    <w:locked/>
    <w:rsid w:val="003F1BF2"/>
    <w:rPr>
      <w:i/>
      <w:sz w:val="22"/>
    </w:rPr>
  </w:style>
  <w:style w:type="character" w:customStyle="1" w:styleId="Heading7Char">
    <w:name w:val="Heading 7 Char"/>
    <w:basedOn w:val="DefaultParagraphFont"/>
    <w:link w:val="Heading7"/>
    <w:locked/>
    <w:rsid w:val="003F1BF2"/>
    <w:rPr>
      <w:rFonts w:ascii="Arial" w:hAnsi="Arial"/>
    </w:rPr>
  </w:style>
  <w:style w:type="character" w:customStyle="1" w:styleId="Heading8Char">
    <w:name w:val="Heading 8 Char"/>
    <w:basedOn w:val="DefaultParagraphFont"/>
    <w:link w:val="Heading8"/>
    <w:locked/>
    <w:rsid w:val="003F1BF2"/>
    <w:rPr>
      <w:rFonts w:ascii="Arial" w:hAnsi="Arial"/>
      <w:i/>
    </w:rPr>
  </w:style>
  <w:style w:type="character" w:customStyle="1" w:styleId="Heading9Char">
    <w:name w:val="Heading 9 Char"/>
    <w:basedOn w:val="DefaultParagraphFont"/>
    <w:link w:val="Heading9"/>
    <w:locked/>
    <w:rsid w:val="003F1BF2"/>
    <w:rPr>
      <w:rFonts w:ascii="Arial" w:hAnsi="Arial"/>
      <w:b/>
      <w:i/>
      <w:sz w:val="18"/>
    </w:rPr>
  </w:style>
  <w:style w:type="character" w:customStyle="1" w:styleId="BodyTextChar">
    <w:name w:val="Body Text Char"/>
    <w:basedOn w:val="DefaultParagraphFont"/>
    <w:link w:val="BodyText"/>
    <w:locked/>
    <w:rsid w:val="003F1BF2"/>
    <w:rPr>
      <w:sz w:val="26"/>
    </w:rPr>
  </w:style>
  <w:style w:type="character" w:customStyle="1" w:styleId="FooterChar">
    <w:name w:val="Footer Char"/>
    <w:basedOn w:val="DefaultParagraphFont"/>
    <w:link w:val="Footer"/>
    <w:semiHidden/>
    <w:locked/>
    <w:rsid w:val="003F1BF2"/>
    <w:rPr>
      <w:caps/>
      <w:spacing w:val="-4"/>
      <w:sz w:val="16"/>
    </w:rPr>
  </w:style>
  <w:style w:type="character" w:customStyle="1" w:styleId="HeaderChar">
    <w:name w:val="Header Char"/>
    <w:basedOn w:val="DefaultParagraphFont"/>
    <w:link w:val="Header"/>
    <w:locked/>
    <w:rsid w:val="003F1BF2"/>
    <w:rPr>
      <w:rFonts w:ascii="Arial" w:hAnsi="Arial"/>
      <w:caps/>
      <w:sz w:val="26"/>
    </w:rPr>
  </w:style>
  <w:style w:type="paragraph" w:customStyle="1" w:styleId="BoxSpace">
    <w:name w:val="Box Space"/>
    <w:basedOn w:val="BodyText"/>
    <w:uiPriority w:val="99"/>
    <w:rsid w:val="003F1BF2"/>
    <w:pPr>
      <w:keepNext/>
      <w:spacing w:before="360" w:line="80" w:lineRule="exact"/>
      <w:jc w:val="left"/>
    </w:pPr>
  </w:style>
  <w:style w:type="character" w:customStyle="1" w:styleId="CommentTextChar">
    <w:name w:val="Comment Text Char"/>
    <w:basedOn w:val="DefaultParagraphFont"/>
    <w:semiHidden/>
    <w:locked/>
    <w:rsid w:val="003F1BF2"/>
    <w:rPr>
      <w:sz w:val="20"/>
      <w:szCs w:val="24"/>
      <w:lang w:val="en-AU" w:eastAsia="en-AU"/>
    </w:rPr>
  </w:style>
  <w:style w:type="character" w:customStyle="1" w:styleId="FootnoteTextChar">
    <w:name w:val="Footnote Text Char"/>
    <w:basedOn w:val="DefaultParagraphFont"/>
    <w:link w:val="FootnoteText"/>
    <w:locked/>
    <w:rsid w:val="003F1BF2"/>
    <w:rPr>
      <w:sz w:val="22"/>
    </w:rPr>
  </w:style>
  <w:style w:type="character" w:customStyle="1" w:styleId="QuoteChar">
    <w:name w:val="Quote Char"/>
    <w:basedOn w:val="DefaultParagraphFont"/>
    <w:link w:val="Quote"/>
    <w:locked/>
    <w:rsid w:val="003F1BF2"/>
    <w:rPr>
      <w:sz w:val="24"/>
    </w:rPr>
  </w:style>
  <w:style w:type="paragraph" w:styleId="CommentSubject">
    <w:name w:val="annotation subject"/>
    <w:basedOn w:val="CommentText"/>
    <w:next w:val="CommentText"/>
    <w:link w:val="CommentSubjectChar"/>
    <w:uiPriority w:val="99"/>
    <w:rsid w:val="003F1BF2"/>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3F1BF2"/>
    <w:rPr>
      <w:szCs w:val="24"/>
    </w:rPr>
  </w:style>
  <w:style w:type="character" w:customStyle="1" w:styleId="CommentSubjectChar">
    <w:name w:val="Comment Subject Char"/>
    <w:basedOn w:val="CommentTextChar1"/>
    <w:link w:val="CommentSubject"/>
    <w:uiPriority w:val="99"/>
    <w:rsid w:val="003F1BF2"/>
    <w:rPr>
      <w:b/>
      <w:bCs/>
      <w:szCs w:val="24"/>
    </w:rPr>
  </w:style>
  <w:style w:type="paragraph" w:styleId="TOC5">
    <w:name w:val="toc 5"/>
    <w:basedOn w:val="Normal"/>
    <w:next w:val="Normal"/>
    <w:autoRedefine/>
    <w:uiPriority w:val="99"/>
    <w:rsid w:val="003F1BF2"/>
    <w:pPr>
      <w:ind w:left="780"/>
    </w:pPr>
    <w:rPr>
      <w:rFonts w:cs="Calibri"/>
      <w:sz w:val="20"/>
      <w:szCs w:val="20"/>
    </w:rPr>
  </w:style>
  <w:style w:type="paragraph" w:styleId="TOC6">
    <w:name w:val="toc 6"/>
    <w:basedOn w:val="Normal"/>
    <w:next w:val="Normal"/>
    <w:autoRedefine/>
    <w:uiPriority w:val="99"/>
    <w:rsid w:val="003F1BF2"/>
    <w:pPr>
      <w:ind w:left="1040"/>
    </w:pPr>
    <w:rPr>
      <w:rFonts w:cs="Calibri"/>
      <w:sz w:val="20"/>
      <w:szCs w:val="20"/>
    </w:rPr>
  </w:style>
  <w:style w:type="paragraph" w:styleId="TOC7">
    <w:name w:val="toc 7"/>
    <w:basedOn w:val="Normal"/>
    <w:next w:val="Normal"/>
    <w:autoRedefine/>
    <w:uiPriority w:val="99"/>
    <w:rsid w:val="003F1BF2"/>
    <w:pPr>
      <w:ind w:left="1300"/>
    </w:pPr>
    <w:rPr>
      <w:rFonts w:cs="Calibri"/>
      <w:sz w:val="20"/>
      <w:szCs w:val="20"/>
    </w:rPr>
  </w:style>
  <w:style w:type="paragraph" w:styleId="TOC8">
    <w:name w:val="toc 8"/>
    <w:basedOn w:val="Normal"/>
    <w:next w:val="Normal"/>
    <w:autoRedefine/>
    <w:uiPriority w:val="99"/>
    <w:rsid w:val="003F1BF2"/>
    <w:pPr>
      <w:ind w:left="1560"/>
    </w:pPr>
    <w:rPr>
      <w:rFonts w:cs="Calibri"/>
      <w:sz w:val="20"/>
      <w:szCs w:val="20"/>
    </w:rPr>
  </w:style>
  <w:style w:type="paragraph" w:styleId="TOC9">
    <w:name w:val="toc 9"/>
    <w:basedOn w:val="Normal"/>
    <w:next w:val="Normal"/>
    <w:autoRedefine/>
    <w:uiPriority w:val="99"/>
    <w:rsid w:val="003F1BF2"/>
    <w:pPr>
      <w:ind w:left="1820"/>
    </w:pPr>
    <w:rPr>
      <w:rFonts w:cs="Calibri"/>
      <w:sz w:val="20"/>
      <w:szCs w:val="20"/>
    </w:rPr>
  </w:style>
  <w:style w:type="character" w:styleId="Hyperlink">
    <w:name w:val="Hyperlink"/>
    <w:basedOn w:val="DefaultParagraphFont"/>
    <w:uiPriority w:val="99"/>
    <w:rsid w:val="003F1BF2"/>
    <w:rPr>
      <w:rFonts w:cs="Times New Roman"/>
      <w:color w:val="0000FF"/>
      <w:u w:val="single"/>
    </w:rPr>
  </w:style>
  <w:style w:type="paragraph" w:styleId="Revision">
    <w:name w:val="Revision"/>
    <w:hidden/>
    <w:uiPriority w:val="99"/>
    <w:semiHidden/>
    <w:rsid w:val="003F1BF2"/>
    <w:rPr>
      <w:rFonts w:ascii="Calibri" w:hAnsi="Calibri"/>
      <w:sz w:val="22"/>
      <w:szCs w:val="22"/>
      <w:lang w:eastAsia="en-US"/>
    </w:rPr>
  </w:style>
  <w:style w:type="paragraph" w:customStyle="1" w:styleId="Style3">
    <w:name w:val="Style3"/>
    <w:basedOn w:val="Normal"/>
    <w:uiPriority w:val="99"/>
    <w:rsid w:val="003F1BF2"/>
    <w:pPr>
      <w:keepNext/>
      <w:keepLines/>
      <w:spacing w:after="80" w:line="200" w:lineRule="exact"/>
      <w:ind w:left="1474"/>
    </w:pPr>
    <w:rPr>
      <w:rFonts w:ascii="Arial" w:hAnsi="Arial"/>
      <w:sz w:val="20"/>
    </w:rPr>
  </w:style>
  <w:style w:type="table" w:styleId="TableGrid">
    <w:name w:val="Table Grid"/>
    <w:basedOn w:val="TableNormal"/>
    <w:uiPriority w:val="59"/>
    <w:rsid w:val="003F1BF2"/>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chart" Target="charts/chart10.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hart" Target="charts/chart13.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chart" Target="charts/chart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header" Target="header2.xml"/><Relationship Id="rId10" Type="http://schemas.openxmlformats.org/officeDocument/2006/relationships/chart" Target="charts/chart2.xml"/><Relationship Id="rId19" Type="http://schemas.openxmlformats.org/officeDocument/2006/relationships/chart" Target="charts/chart1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header" Target="head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mel_1\groups\Structural%20Adjustment\Work\Lisa\Data%20and%20charts\Sectoral%20shares%20of%20output%20(updated).xlsx"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oleObject" Target="file:///\\mel_1\groups\Structural%20Adjustment\Work\Lisa\Data%20and%20charts\New%204.1%20indicator%208%20K%20L%20ratios.xlsx" TargetMode="External"/><Relationship Id="rId1" Type="http://schemas.openxmlformats.org/officeDocument/2006/relationships/themeOverride" Target="../theme/themeOverride5.xml"/></Relationships>
</file>

<file path=word/charts/_rels/chart11.xml.rels><?xml version="1.0" encoding="UTF-8" standalone="yes"?>
<Relationships xmlns="http://schemas.openxmlformats.org/package/2006/relationships"><Relationship Id="rId1" Type="http://schemas.openxmlformats.org/officeDocument/2006/relationships/oleObject" Target="file:///\\mel_1\groups\Structural%20Adjustment\Work\Lisa\Data%20and%20charts\State%20Indicators%20New%20updated%20data.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mel_1\groups\Structural%20Adjustment\Work\Lisa\Data%20and%20charts\State%20Indicators%20New%20updated%20data.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mel_1\groups\Structural%20Adjustment\Work\Lisa\Data%20and%20charts\Updated%20data%20and%20charts\State%20SCIs%20Updated%20March%202013.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mel_1\groups\Structural%20Adjustment\Work\Lisa\Data%20and%20charts\Updated%20data%20and%20charts\All%20SCI%20data%20Updated%20March%202013.xlsx" TargetMode="External"/></Relationships>
</file>

<file path=word/charts/_rels/chart3.xml.rels><?xml version="1.0" encoding="UTF-8" standalone="yes"?>
<Relationships xmlns="http://schemas.openxmlformats.org/package/2006/relationships"><Relationship Id="rId2" Type="http://schemas.openxmlformats.org/officeDocument/2006/relationships/oleObject" Target="file:///\\mel_1\groups\Structural%20Adjustment\Work\Lisa\Data%20and%20charts\Chapter%203%20indicator%2011%20CPI%20(2).xlsx" TargetMode="External"/><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2" Type="http://schemas.openxmlformats.org/officeDocument/2006/relationships/oleObject" Target="file:///\\mel_1\groups\Structural%20Adjustment\Work\Lisa\Data%20and%20charts\Updated%20data%20and%20charts\Auto%20CPI%20and%20other%20categories.xlsx" TargetMode="External"/><Relationship Id="rId1" Type="http://schemas.openxmlformats.org/officeDocument/2006/relationships/themeOverride" Target="../theme/themeOverride3.xml"/></Relationships>
</file>

<file path=word/charts/_rels/chart5.xml.rels><?xml version="1.0" encoding="UTF-8" standalone="yes"?>
<Relationships xmlns="http://schemas.openxmlformats.org/package/2006/relationships"><Relationship Id="rId1" Type="http://schemas.openxmlformats.org/officeDocument/2006/relationships/oleObject" Target="file:///\\mel_1\groups\Structural%20Adjustment\Work\Lisa\Data%20and%20charts\Updated%20data%20and%20charts\Building%20and%20Construction%20Work%20indicators.xlsx" TargetMode="External"/></Relationships>
</file>

<file path=word/charts/_rels/chart6.xml.rels><?xml version="1.0" encoding="UTF-8" standalone="yes"?>
<Relationships xmlns="http://schemas.openxmlformats.org/package/2006/relationships"><Relationship Id="rId2" Type="http://schemas.openxmlformats.org/officeDocument/2006/relationships/oleObject" Target="file:///\\mel_1\groups\Structural%20Adjustment\Work\Lisa\Data%20and%20charts\Sectoral%20shares%20of%20investment%20(updated).xlsx" TargetMode="External"/><Relationship Id="rId1" Type="http://schemas.openxmlformats.org/officeDocument/2006/relationships/themeOverride" Target="../theme/themeOverride4.xml"/></Relationships>
</file>

<file path=word/charts/_rels/chart7.xml.rels><?xml version="1.0" encoding="UTF-8" standalone="yes"?>
<Relationships xmlns="http://schemas.openxmlformats.org/package/2006/relationships"><Relationship Id="rId1" Type="http://schemas.openxmlformats.org/officeDocument/2006/relationships/oleObject" Target="file:///\\mel_1\groups\Structural%20Adjustment\Work\Lisa\Data%20and%20charts\Updated%20data%20and%20charts\Sectoral%20shares%20of%20investment%20(updated).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mel_1\groups\Structural%20Adjustment\Work\Lisa\Data%20and%20charts\Capital%20stock%20indicators%20(3).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mel_1\groups\Structural%20Adjustment\Work\Lisa\Data%20and%20charts\Capital%20stock%20indicators%20(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9.3275707527350954E-2"/>
          <c:y val="0.1273576388888889"/>
          <c:w val="0.86665724377978892"/>
          <c:h val="0.76180104166666662"/>
        </c:manualLayout>
      </c:layout>
      <c:areaChart>
        <c:grouping val="stacked"/>
        <c:varyColors val="0"/>
        <c:ser>
          <c:idx val="3"/>
          <c:order val="0"/>
          <c:tx>
            <c:strRef>
              <c:f>'Table 4.1 Sectoral shares'!$AQ$53</c:f>
              <c:strCache>
                <c:ptCount val="1"/>
                <c:pt idx="0">
                  <c:v>Services</c:v>
                </c:pt>
              </c:strCache>
            </c:strRef>
          </c:tx>
          <c:spPr>
            <a:pattFill prst="pct60">
              <a:fgClr>
                <a:srgbClr val="B4C98B"/>
              </a:fgClr>
              <a:bgClr>
                <a:sysClr val="window" lastClr="FFFFFF"/>
              </a:bgClr>
            </a:pattFill>
            <a:ln cmpd="sng">
              <a:solidFill>
                <a:srgbClr val="B4C98B"/>
              </a:solidFill>
            </a:ln>
          </c:spPr>
          <c:cat>
            <c:numRef>
              <c:f>'Table 4.1 Sectoral shares'!$AM$54:$AM$117</c:f>
              <c:numCache>
                <c:formatCode>yyyy</c:formatCode>
                <c:ptCount val="64"/>
                <c:pt idx="0">
                  <c:v>18050</c:v>
                </c:pt>
                <c:pt idx="1">
                  <c:v>18415</c:v>
                </c:pt>
                <c:pt idx="2">
                  <c:v>18780</c:v>
                </c:pt>
                <c:pt idx="3">
                  <c:v>19146</c:v>
                </c:pt>
                <c:pt idx="4">
                  <c:v>19511</c:v>
                </c:pt>
                <c:pt idx="5">
                  <c:v>19876</c:v>
                </c:pt>
                <c:pt idx="6">
                  <c:v>20241</c:v>
                </c:pt>
                <c:pt idx="7">
                  <c:v>20607</c:v>
                </c:pt>
                <c:pt idx="8">
                  <c:v>20972</c:v>
                </c:pt>
                <c:pt idx="9">
                  <c:v>21337</c:v>
                </c:pt>
                <c:pt idx="10">
                  <c:v>21702</c:v>
                </c:pt>
                <c:pt idx="11">
                  <c:v>22068</c:v>
                </c:pt>
                <c:pt idx="12">
                  <c:v>22433</c:v>
                </c:pt>
                <c:pt idx="13">
                  <c:v>22798</c:v>
                </c:pt>
                <c:pt idx="14">
                  <c:v>23163</c:v>
                </c:pt>
                <c:pt idx="15">
                  <c:v>23529</c:v>
                </c:pt>
                <c:pt idx="16">
                  <c:v>23894</c:v>
                </c:pt>
                <c:pt idx="17">
                  <c:v>24259</c:v>
                </c:pt>
                <c:pt idx="18">
                  <c:v>24624</c:v>
                </c:pt>
                <c:pt idx="19">
                  <c:v>24990</c:v>
                </c:pt>
                <c:pt idx="20">
                  <c:v>25355</c:v>
                </c:pt>
                <c:pt idx="21">
                  <c:v>25720</c:v>
                </c:pt>
                <c:pt idx="22">
                  <c:v>26085</c:v>
                </c:pt>
                <c:pt idx="23">
                  <c:v>26451</c:v>
                </c:pt>
                <c:pt idx="24">
                  <c:v>26816</c:v>
                </c:pt>
                <c:pt idx="25">
                  <c:v>27181</c:v>
                </c:pt>
                <c:pt idx="26">
                  <c:v>27546</c:v>
                </c:pt>
                <c:pt idx="27">
                  <c:v>27912</c:v>
                </c:pt>
                <c:pt idx="28">
                  <c:v>28277</c:v>
                </c:pt>
                <c:pt idx="29">
                  <c:v>28642</c:v>
                </c:pt>
                <c:pt idx="30">
                  <c:v>29007</c:v>
                </c:pt>
                <c:pt idx="31">
                  <c:v>29373</c:v>
                </c:pt>
                <c:pt idx="32">
                  <c:v>29738</c:v>
                </c:pt>
                <c:pt idx="33">
                  <c:v>30103</c:v>
                </c:pt>
                <c:pt idx="34">
                  <c:v>30468</c:v>
                </c:pt>
                <c:pt idx="35">
                  <c:v>30834</c:v>
                </c:pt>
                <c:pt idx="36">
                  <c:v>31199</c:v>
                </c:pt>
                <c:pt idx="37">
                  <c:v>31564</c:v>
                </c:pt>
                <c:pt idx="38">
                  <c:v>31929</c:v>
                </c:pt>
                <c:pt idx="39">
                  <c:v>32295</c:v>
                </c:pt>
                <c:pt idx="40">
                  <c:v>32660</c:v>
                </c:pt>
                <c:pt idx="41" formatCode="0;\-0;0;@">
                  <c:v>1990</c:v>
                </c:pt>
                <c:pt idx="42" formatCode="0;\-0;0;@">
                  <c:v>1991</c:v>
                </c:pt>
                <c:pt idx="43" formatCode="0;\-0;0;@">
                  <c:v>1992</c:v>
                </c:pt>
                <c:pt idx="44" formatCode="0;\-0;0;@">
                  <c:v>1993</c:v>
                </c:pt>
                <c:pt idx="45" formatCode="0;\-0;0;@">
                  <c:v>1994</c:v>
                </c:pt>
                <c:pt idx="46" formatCode="0;\-0;0;@">
                  <c:v>1995</c:v>
                </c:pt>
                <c:pt idx="47" formatCode="0;\-0;0;@">
                  <c:v>1996</c:v>
                </c:pt>
                <c:pt idx="48" formatCode="0;\-0;0;@">
                  <c:v>1997</c:v>
                </c:pt>
                <c:pt idx="49" formatCode="0;\-0;0;@">
                  <c:v>1998</c:v>
                </c:pt>
                <c:pt idx="50" formatCode="0;\-0;0;@">
                  <c:v>1999</c:v>
                </c:pt>
                <c:pt idx="51" formatCode="0;\-0;0;@">
                  <c:v>2000</c:v>
                </c:pt>
                <c:pt idx="52" formatCode="0;\-0;0;@">
                  <c:v>2001</c:v>
                </c:pt>
                <c:pt idx="53" formatCode="0;\-0;0;@">
                  <c:v>2002</c:v>
                </c:pt>
                <c:pt idx="54" formatCode="0;\-0;0;@">
                  <c:v>2003</c:v>
                </c:pt>
                <c:pt idx="55" formatCode="0;\-0;0;@">
                  <c:v>2004</c:v>
                </c:pt>
                <c:pt idx="56" formatCode="0;\-0;0;@">
                  <c:v>2005</c:v>
                </c:pt>
                <c:pt idx="57" formatCode="0;\-0;0;@">
                  <c:v>2006</c:v>
                </c:pt>
                <c:pt idx="58" formatCode="0;\-0;0;@">
                  <c:v>2007</c:v>
                </c:pt>
                <c:pt idx="59" formatCode="0;\-0;0;@">
                  <c:v>2008</c:v>
                </c:pt>
                <c:pt idx="60" formatCode="0;\-0;0;@">
                  <c:v>2009</c:v>
                </c:pt>
                <c:pt idx="61" formatCode="0;\-0;0;@">
                  <c:v>2010</c:v>
                </c:pt>
                <c:pt idx="62" formatCode="0;\-0;0;@">
                  <c:v>2011</c:v>
                </c:pt>
                <c:pt idx="63" formatCode="0;\-0;0;@">
                  <c:v>2012</c:v>
                </c:pt>
              </c:numCache>
            </c:numRef>
          </c:cat>
          <c:val>
            <c:numRef>
              <c:f>'Table 4.1 Sectoral shares'!$AQ$54:$AQ$117</c:f>
              <c:numCache>
                <c:formatCode>0</c:formatCode>
                <c:ptCount val="64"/>
                <c:pt idx="0">
                  <c:v>49.959636054366506</c:v>
                </c:pt>
                <c:pt idx="1">
                  <c:v>48.3539692078744</c:v>
                </c:pt>
                <c:pt idx="2">
                  <c:v>45.139314180498488</c:v>
                </c:pt>
                <c:pt idx="3">
                  <c:v>52.258927007548664</c:v>
                </c:pt>
                <c:pt idx="4">
                  <c:v>52.025297556488432</c:v>
                </c:pt>
                <c:pt idx="5">
                  <c:v>52.917940733575378</c:v>
                </c:pt>
                <c:pt idx="6">
                  <c:v>54.038443107931556</c:v>
                </c:pt>
                <c:pt idx="7">
                  <c:v>54.591844919017305</c:v>
                </c:pt>
                <c:pt idx="8">
                  <c:v>54.471548739657301</c:v>
                </c:pt>
                <c:pt idx="9">
                  <c:v>56.938742684034722</c:v>
                </c:pt>
                <c:pt idx="10">
                  <c:v>56.127044907368472</c:v>
                </c:pt>
                <c:pt idx="11">
                  <c:v>56.546838975866763</c:v>
                </c:pt>
                <c:pt idx="12">
                  <c:v>57.479431619311505</c:v>
                </c:pt>
                <c:pt idx="13">
                  <c:v>58.730196431830265</c:v>
                </c:pt>
                <c:pt idx="14">
                  <c:v>57.878963971106394</c:v>
                </c:pt>
                <c:pt idx="15">
                  <c:v>57.376746416572907</c:v>
                </c:pt>
                <c:pt idx="16">
                  <c:v>58.282668791918972</c:v>
                </c:pt>
                <c:pt idx="17">
                  <c:v>60.407907488842646</c:v>
                </c:pt>
                <c:pt idx="18">
                  <c:v>59.865105424009151</c:v>
                </c:pt>
                <c:pt idx="19">
                  <c:v>62.390099284892415</c:v>
                </c:pt>
                <c:pt idx="20">
                  <c:v>61.573866163390505</c:v>
                </c:pt>
                <c:pt idx="21">
                  <c:v>62.404987964176023</c:v>
                </c:pt>
                <c:pt idx="22">
                  <c:v>64.068723208700206</c:v>
                </c:pt>
                <c:pt idx="23">
                  <c:v>64.606088831663868</c:v>
                </c:pt>
                <c:pt idx="24">
                  <c:v>64.524166114904006</c:v>
                </c:pt>
                <c:pt idx="25">
                  <c:v>64.075008316170397</c:v>
                </c:pt>
                <c:pt idx="26">
                  <c:v>66.916106451980156</c:v>
                </c:pt>
                <c:pt idx="27">
                  <c:v>68.163186428911189</c:v>
                </c:pt>
                <c:pt idx="28">
                  <c:v>68.270851361349074</c:v>
                </c:pt>
                <c:pt idx="29">
                  <c:v>68.794108530988595</c:v>
                </c:pt>
                <c:pt idx="30">
                  <c:v>67.457326527032748</c:v>
                </c:pt>
                <c:pt idx="31">
                  <c:v>67.004239100988059</c:v>
                </c:pt>
                <c:pt idx="32">
                  <c:v>68.007847198699764</c:v>
                </c:pt>
                <c:pt idx="33">
                  <c:v>68.433570349914831</c:v>
                </c:pt>
                <c:pt idx="34">
                  <c:v>70.753446439493302</c:v>
                </c:pt>
                <c:pt idx="35">
                  <c:v>68.737360417554228</c:v>
                </c:pt>
                <c:pt idx="36">
                  <c:v>69.478520804148587</c:v>
                </c:pt>
                <c:pt idx="37">
                  <c:v>69.931345968444845</c:v>
                </c:pt>
                <c:pt idx="38">
                  <c:v>71.367476854779326</c:v>
                </c:pt>
                <c:pt idx="39">
                  <c:v>71.968361516744835</c:v>
                </c:pt>
                <c:pt idx="40">
                  <c:v>73.051437714682237</c:v>
                </c:pt>
                <c:pt idx="41">
                  <c:v>72.874214110438345</c:v>
                </c:pt>
                <c:pt idx="42">
                  <c:v>75.107550808485385</c:v>
                </c:pt>
                <c:pt idx="43">
                  <c:v>75.175953616456354</c:v>
                </c:pt>
                <c:pt idx="44">
                  <c:v>74.870563159610938</c:v>
                </c:pt>
                <c:pt idx="45">
                  <c:v>74.77259556025902</c:v>
                </c:pt>
                <c:pt idx="46">
                  <c:v>75.100702464009188</c:v>
                </c:pt>
                <c:pt idx="47">
                  <c:v>74.870841360299465</c:v>
                </c:pt>
                <c:pt idx="48">
                  <c:v>75.734246464145869</c:v>
                </c:pt>
                <c:pt idx="49">
                  <c:v>75.868257918278275</c:v>
                </c:pt>
                <c:pt idx="50">
                  <c:v>76.884682438942335</c:v>
                </c:pt>
                <c:pt idx="51">
                  <c:v>77.182145495492264</c:v>
                </c:pt>
                <c:pt idx="52">
                  <c:v>76.341750935711985</c:v>
                </c:pt>
                <c:pt idx="53">
                  <c:v>76.587580707736265</c:v>
                </c:pt>
                <c:pt idx="54">
                  <c:v>77.662898268124408</c:v>
                </c:pt>
                <c:pt idx="55">
                  <c:v>78.129883852479651</c:v>
                </c:pt>
                <c:pt idx="56">
                  <c:v>77.943698830054061</c:v>
                </c:pt>
                <c:pt idx="57">
                  <c:v>76.882315303500036</c:v>
                </c:pt>
                <c:pt idx="58">
                  <c:v>77.646611103122666</c:v>
                </c:pt>
                <c:pt idx="59">
                  <c:v>77.635643845391954</c:v>
                </c:pt>
                <c:pt idx="60">
                  <c:v>76.432421993236915</c:v>
                </c:pt>
                <c:pt idx="61">
                  <c:v>78.967227733302309</c:v>
                </c:pt>
                <c:pt idx="62">
                  <c:v>77.466429033378944</c:v>
                </c:pt>
                <c:pt idx="63">
                  <c:v>77.866094326924824</c:v>
                </c:pt>
              </c:numCache>
            </c:numRef>
          </c:val>
        </c:ser>
        <c:ser>
          <c:idx val="1"/>
          <c:order val="1"/>
          <c:tx>
            <c:strRef>
              <c:f>'Table 4.1 Sectoral shares'!$AO$53</c:f>
              <c:strCache>
                <c:ptCount val="1"/>
                <c:pt idx="0">
                  <c:v>Mining</c:v>
                </c:pt>
              </c:strCache>
            </c:strRef>
          </c:tx>
          <c:spPr>
            <a:solidFill>
              <a:srgbClr val="344893"/>
            </a:solidFill>
            <a:ln>
              <a:solidFill>
                <a:srgbClr val="344893"/>
              </a:solidFill>
            </a:ln>
          </c:spPr>
          <c:cat>
            <c:numRef>
              <c:f>'Table 4.1 Sectoral shares'!$AM$54:$AM$117</c:f>
              <c:numCache>
                <c:formatCode>yyyy</c:formatCode>
                <c:ptCount val="64"/>
                <c:pt idx="0">
                  <c:v>18050</c:v>
                </c:pt>
                <c:pt idx="1">
                  <c:v>18415</c:v>
                </c:pt>
                <c:pt idx="2">
                  <c:v>18780</c:v>
                </c:pt>
                <c:pt idx="3">
                  <c:v>19146</c:v>
                </c:pt>
                <c:pt idx="4">
                  <c:v>19511</c:v>
                </c:pt>
                <c:pt idx="5">
                  <c:v>19876</c:v>
                </c:pt>
                <c:pt idx="6">
                  <c:v>20241</c:v>
                </c:pt>
                <c:pt idx="7">
                  <c:v>20607</c:v>
                </c:pt>
                <c:pt idx="8">
                  <c:v>20972</c:v>
                </c:pt>
                <c:pt idx="9">
                  <c:v>21337</c:v>
                </c:pt>
                <c:pt idx="10">
                  <c:v>21702</c:v>
                </c:pt>
                <c:pt idx="11">
                  <c:v>22068</c:v>
                </c:pt>
                <c:pt idx="12">
                  <c:v>22433</c:v>
                </c:pt>
                <c:pt idx="13">
                  <c:v>22798</c:v>
                </c:pt>
                <c:pt idx="14">
                  <c:v>23163</c:v>
                </c:pt>
                <c:pt idx="15">
                  <c:v>23529</c:v>
                </c:pt>
                <c:pt idx="16">
                  <c:v>23894</c:v>
                </c:pt>
                <c:pt idx="17">
                  <c:v>24259</c:v>
                </c:pt>
                <c:pt idx="18">
                  <c:v>24624</c:v>
                </c:pt>
                <c:pt idx="19">
                  <c:v>24990</c:v>
                </c:pt>
                <c:pt idx="20">
                  <c:v>25355</c:v>
                </c:pt>
                <c:pt idx="21">
                  <c:v>25720</c:v>
                </c:pt>
                <c:pt idx="22">
                  <c:v>26085</c:v>
                </c:pt>
                <c:pt idx="23">
                  <c:v>26451</c:v>
                </c:pt>
                <c:pt idx="24">
                  <c:v>26816</c:v>
                </c:pt>
                <c:pt idx="25">
                  <c:v>27181</c:v>
                </c:pt>
                <c:pt idx="26">
                  <c:v>27546</c:v>
                </c:pt>
                <c:pt idx="27">
                  <c:v>27912</c:v>
                </c:pt>
                <c:pt idx="28">
                  <c:v>28277</c:v>
                </c:pt>
                <c:pt idx="29">
                  <c:v>28642</c:v>
                </c:pt>
                <c:pt idx="30">
                  <c:v>29007</c:v>
                </c:pt>
                <c:pt idx="31">
                  <c:v>29373</c:v>
                </c:pt>
                <c:pt idx="32">
                  <c:v>29738</c:v>
                </c:pt>
                <c:pt idx="33">
                  <c:v>30103</c:v>
                </c:pt>
                <c:pt idx="34">
                  <c:v>30468</c:v>
                </c:pt>
                <c:pt idx="35">
                  <c:v>30834</c:v>
                </c:pt>
                <c:pt idx="36">
                  <c:v>31199</c:v>
                </c:pt>
                <c:pt idx="37">
                  <c:v>31564</c:v>
                </c:pt>
                <c:pt idx="38">
                  <c:v>31929</c:v>
                </c:pt>
                <c:pt idx="39">
                  <c:v>32295</c:v>
                </c:pt>
                <c:pt idx="40">
                  <c:v>32660</c:v>
                </c:pt>
                <c:pt idx="41" formatCode="0;\-0;0;@">
                  <c:v>1990</c:v>
                </c:pt>
                <c:pt idx="42" formatCode="0;\-0;0;@">
                  <c:v>1991</c:v>
                </c:pt>
                <c:pt idx="43" formatCode="0;\-0;0;@">
                  <c:v>1992</c:v>
                </c:pt>
                <c:pt idx="44" formatCode="0;\-0;0;@">
                  <c:v>1993</c:v>
                </c:pt>
                <c:pt idx="45" formatCode="0;\-0;0;@">
                  <c:v>1994</c:v>
                </c:pt>
                <c:pt idx="46" formatCode="0;\-0;0;@">
                  <c:v>1995</c:v>
                </c:pt>
                <c:pt idx="47" formatCode="0;\-0;0;@">
                  <c:v>1996</c:v>
                </c:pt>
                <c:pt idx="48" formatCode="0;\-0;0;@">
                  <c:v>1997</c:v>
                </c:pt>
                <c:pt idx="49" formatCode="0;\-0;0;@">
                  <c:v>1998</c:v>
                </c:pt>
                <c:pt idx="50" formatCode="0;\-0;0;@">
                  <c:v>1999</c:v>
                </c:pt>
                <c:pt idx="51" formatCode="0;\-0;0;@">
                  <c:v>2000</c:v>
                </c:pt>
                <c:pt idx="52" formatCode="0;\-0;0;@">
                  <c:v>2001</c:v>
                </c:pt>
                <c:pt idx="53" formatCode="0;\-0;0;@">
                  <c:v>2002</c:v>
                </c:pt>
                <c:pt idx="54" formatCode="0;\-0;0;@">
                  <c:v>2003</c:v>
                </c:pt>
                <c:pt idx="55" formatCode="0;\-0;0;@">
                  <c:v>2004</c:v>
                </c:pt>
                <c:pt idx="56" formatCode="0;\-0;0;@">
                  <c:v>2005</c:v>
                </c:pt>
                <c:pt idx="57" formatCode="0;\-0;0;@">
                  <c:v>2006</c:v>
                </c:pt>
                <c:pt idx="58" formatCode="0;\-0;0;@">
                  <c:v>2007</c:v>
                </c:pt>
                <c:pt idx="59" formatCode="0;\-0;0;@">
                  <c:v>2008</c:v>
                </c:pt>
                <c:pt idx="60" formatCode="0;\-0;0;@">
                  <c:v>2009</c:v>
                </c:pt>
                <c:pt idx="61" formatCode="0;\-0;0;@">
                  <c:v>2010</c:v>
                </c:pt>
                <c:pt idx="62" formatCode="0;\-0;0;@">
                  <c:v>2011</c:v>
                </c:pt>
                <c:pt idx="63" formatCode="0;\-0;0;@">
                  <c:v>2012</c:v>
                </c:pt>
              </c:numCache>
            </c:numRef>
          </c:cat>
          <c:val>
            <c:numRef>
              <c:f>'Table 4.1 Sectoral shares'!$AO$54:$AO$117</c:f>
              <c:numCache>
                <c:formatCode>0</c:formatCode>
                <c:ptCount val="64"/>
                <c:pt idx="0">
                  <c:v>3.0317072168401293</c:v>
                </c:pt>
                <c:pt idx="1">
                  <c:v>2.5635058062029743</c:v>
                </c:pt>
                <c:pt idx="2">
                  <c:v>2.5843888605920897</c:v>
                </c:pt>
                <c:pt idx="3">
                  <c:v>2.9923170425636028</c:v>
                </c:pt>
                <c:pt idx="4">
                  <c:v>2.6117258631965616</c:v>
                </c:pt>
                <c:pt idx="5">
                  <c:v>2.5667300837867586</c:v>
                </c:pt>
                <c:pt idx="6">
                  <c:v>2.701903943961339</c:v>
                </c:pt>
                <c:pt idx="7">
                  <c:v>2.7574864686934477</c:v>
                </c:pt>
                <c:pt idx="8">
                  <c:v>2.5748583491055768</c:v>
                </c:pt>
                <c:pt idx="9">
                  <c:v>2.2924186442024799</c:v>
                </c:pt>
                <c:pt idx="10">
                  <c:v>2.1857111768309143</c:v>
                </c:pt>
                <c:pt idx="11">
                  <c:v>2.2633289278708792</c:v>
                </c:pt>
                <c:pt idx="12">
                  <c:v>2.2833705943234843</c:v>
                </c:pt>
                <c:pt idx="13">
                  <c:v>2.1184243885351375</c:v>
                </c:pt>
                <c:pt idx="14">
                  <c:v>2.0310031657395289</c:v>
                </c:pt>
                <c:pt idx="15">
                  <c:v>2.0977247497476705</c:v>
                </c:pt>
                <c:pt idx="16">
                  <c:v>2.0589861603335575</c:v>
                </c:pt>
                <c:pt idx="17">
                  <c:v>2.2056933634681202</c:v>
                </c:pt>
                <c:pt idx="18">
                  <c:v>2.4218155984689944</c:v>
                </c:pt>
                <c:pt idx="19">
                  <c:v>2.546920154754829</c:v>
                </c:pt>
                <c:pt idx="20">
                  <c:v>2.6757277620907329</c:v>
                </c:pt>
                <c:pt idx="21">
                  <c:v>3.8097091866141262</c:v>
                </c:pt>
                <c:pt idx="22">
                  <c:v>3.846334454297943</c:v>
                </c:pt>
                <c:pt idx="23">
                  <c:v>4.1150332304060528</c:v>
                </c:pt>
                <c:pt idx="24">
                  <c:v>4.0366014798631076</c:v>
                </c:pt>
                <c:pt idx="25">
                  <c:v>4.2102644827719464</c:v>
                </c:pt>
                <c:pt idx="26">
                  <c:v>4.6466955474638096</c:v>
                </c:pt>
                <c:pt idx="27">
                  <c:v>4.9605571398651227</c:v>
                </c:pt>
                <c:pt idx="28">
                  <c:v>5.1812329254911011</c:v>
                </c:pt>
                <c:pt idx="29">
                  <c:v>5.2569993311148551</c:v>
                </c:pt>
                <c:pt idx="30">
                  <c:v>5.1857147317882379</c:v>
                </c:pt>
                <c:pt idx="31">
                  <c:v>5.2654285512082772</c:v>
                </c:pt>
                <c:pt idx="32">
                  <c:v>5.2345011946418847</c:v>
                </c:pt>
                <c:pt idx="33">
                  <c:v>5.3810643788682713</c:v>
                </c:pt>
                <c:pt idx="34">
                  <c:v>5.7062195163378195</c:v>
                </c:pt>
                <c:pt idx="35">
                  <c:v>6.2608628806774629</c:v>
                </c:pt>
                <c:pt idx="36">
                  <c:v>6.2024335040484448</c:v>
                </c:pt>
                <c:pt idx="37">
                  <c:v>6.3961913956212646</c:v>
                </c:pt>
                <c:pt idx="38">
                  <c:v>5.8212810930595174</c:v>
                </c:pt>
                <c:pt idx="39">
                  <c:v>5.502565694366556</c:v>
                </c:pt>
                <c:pt idx="40">
                  <c:v>4.7359427059624286</c:v>
                </c:pt>
                <c:pt idx="41">
                  <c:v>5.4048873981792047</c:v>
                </c:pt>
                <c:pt idx="42">
                  <c:v>5.7752216630721307</c:v>
                </c:pt>
                <c:pt idx="43">
                  <c:v>5.6868885312347617</c:v>
                </c:pt>
                <c:pt idx="44">
                  <c:v>5.6053508513802619</c:v>
                </c:pt>
                <c:pt idx="45">
                  <c:v>5.2039710736513216</c:v>
                </c:pt>
                <c:pt idx="46">
                  <c:v>5.2133121118198247</c:v>
                </c:pt>
                <c:pt idx="47">
                  <c:v>5.5180777345943781</c:v>
                </c:pt>
                <c:pt idx="48">
                  <c:v>5.2297103600899746</c:v>
                </c:pt>
                <c:pt idx="49">
                  <c:v>5.2254788476197769</c:v>
                </c:pt>
                <c:pt idx="50">
                  <c:v>4.8943629662481456</c:v>
                </c:pt>
                <c:pt idx="51">
                  <c:v>5.0515682041498415</c:v>
                </c:pt>
                <c:pt idx="52">
                  <c:v>6.0135879078782466</c:v>
                </c:pt>
                <c:pt idx="53">
                  <c:v>5.7808345345525316</c:v>
                </c:pt>
                <c:pt idx="54">
                  <c:v>5.5043427133958014</c:v>
                </c:pt>
                <c:pt idx="55">
                  <c:v>4.8364834325893513</c:v>
                </c:pt>
                <c:pt idx="56">
                  <c:v>6.0124246800139671</c:v>
                </c:pt>
                <c:pt idx="57">
                  <c:v>7.8357483482570531</c:v>
                </c:pt>
                <c:pt idx="58">
                  <c:v>8.3670740053213866</c:v>
                </c:pt>
                <c:pt idx="59">
                  <c:v>8.3901441517256128</c:v>
                </c:pt>
                <c:pt idx="60">
                  <c:v>10.655864039917477</c:v>
                </c:pt>
                <c:pt idx="61">
                  <c:v>8.6523401814550756</c:v>
                </c:pt>
                <c:pt idx="62">
                  <c:v>10.898739291123499</c:v>
                </c:pt>
                <c:pt idx="63">
                  <c:v>11.247851946632588</c:v>
                </c:pt>
              </c:numCache>
            </c:numRef>
          </c:val>
        </c:ser>
        <c:ser>
          <c:idx val="0"/>
          <c:order val="2"/>
          <c:tx>
            <c:strRef>
              <c:f>'Table 4.1 Sectoral shares'!$AN$53</c:f>
              <c:strCache>
                <c:ptCount val="1"/>
                <c:pt idx="0">
                  <c:v>Agriculture</c:v>
                </c:pt>
              </c:strCache>
            </c:strRef>
          </c:tx>
          <c:spPr>
            <a:pattFill prst="zigZag">
              <a:fgClr>
                <a:srgbClr val="7B905A"/>
              </a:fgClr>
              <a:bgClr>
                <a:sysClr val="window" lastClr="FFFFFF"/>
              </a:bgClr>
            </a:pattFill>
            <a:ln>
              <a:solidFill>
                <a:srgbClr val="7B905A"/>
              </a:solidFill>
            </a:ln>
          </c:spPr>
          <c:cat>
            <c:numRef>
              <c:f>'Table 4.1 Sectoral shares'!$AM$54:$AM$117</c:f>
              <c:numCache>
                <c:formatCode>yyyy</c:formatCode>
                <c:ptCount val="64"/>
                <c:pt idx="0">
                  <c:v>18050</c:v>
                </c:pt>
                <c:pt idx="1">
                  <c:v>18415</c:v>
                </c:pt>
                <c:pt idx="2">
                  <c:v>18780</c:v>
                </c:pt>
                <c:pt idx="3">
                  <c:v>19146</c:v>
                </c:pt>
                <c:pt idx="4">
                  <c:v>19511</c:v>
                </c:pt>
                <c:pt idx="5">
                  <c:v>19876</c:v>
                </c:pt>
                <c:pt idx="6">
                  <c:v>20241</c:v>
                </c:pt>
                <c:pt idx="7">
                  <c:v>20607</c:v>
                </c:pt>
                <c:pt idx="8">
                  <c:v>20972</c:v>
                </c:pt>
                <c:pt idx="9">
                  <c:v>21337</c:v>
                </c:pt>
                <c:pt idx="10">
                  <c:v>21702</c:v>
                </c:pt>
                <c:pt idx="11">
                  <c:v>22068</c:v>
                </c:pt>
                <c:pt idx="12">
                  <c:v>22433</c:v>
                </c:pt>
                <c:pt idx="13">
                  <c:v>22798</c:v>
                </c:pt>
                <c:pt idx="14">
                  <c:v>23163</c:v>
                </c:pt>
                <c:pt idx="15">
                  <c:v>23529</c:v>
                </c:pt>
                <c:pt idx="16">
                  <c:v>23894</c:v>
                </c:pt>
                <c:pt idx="17">
                  <c:v>24259</c:v>
                </c:pt>
                <c:pt idx="18">
                  <c:v>24624</c:v>
                </c:pt>
                <c:pt idx="19">
                  <c:v>24990</c:v>
                </c:pt>
                <c:pt idx="20">
                  <c:v>25355</c:v>
                </c:pt>
                <c:pt idx="21">
                  <c:v>25720</c:v>
                </c:pt>
                <c:pt idx="22">
                  <c:v>26085</c:v>
                </c:pt>
                <c:pt idx="23">
                  <c:v>26451</c:v>
                </c:pt>
                <c:pt idx="24">
                  <c:v>26816</c:v>
                </c:pt>
                <c:pt idx="25">
                  <c:v>27181</c:v>
                </c:pt>
                <c:pt idx="26">
                  <c:v>27546</c:v>
                </c:pt>
                <c:pt idx="27">
                  <c:v>27912</c:v>
                </c:pt>
                <c:pt idx="28">
                  <c:v>28277</c:v>
                </c:pt>
                <c:pt idx="29">
                  <c:v>28642</c:v>
                </c:pt>
                <c:pt idx="30">
                  <c:v>29007</c:v>
                </c:pt>
                <c:pt idx="31">
                  <c:v>29373</c:v>
                </c:pt>
                <c:pt idx="32">
                  <c:v>29738</c:v>
                </c:pt>
                <c:pt idx="33">
                  <c:v>30103</c:v>
                </c:pt>
                <c:pt idx="34">
                  <c:v>30468</c:v>
                </c:pt>
                <c:pt idx="35">
                  <c:v>30834</c:v>
                </c:pt>
                <c:pt idx="36">
                  <c:v>31199</c:v>
                </c:pt>
                <c:pt idx="37">
                  <c:v>31564</c:v>
                </c:pt>
                <c:pt idx="38">
                  <c:v>31929</c:v>
                </c:pt>
                <c:pt idx="39">
                  <c:v>32295</c:v>
                </c:pt>
                <c:pt idx="40">
                  <c:v>32660</c:v>
                </c:pt>
                <c:pt idx="41" formatCode="0;\-0;0;@">
                  <c:v>1990</c:v>
                </c:pt>
                <c:pt idx="42" formatCode="0;\-0;0;@">
                  <c:v>1991</c:v>
                </c:pt>
                <c:pt idx="43" formatCode="0;\-0;0;@">
                  <c:v>1992</c:v>
                </c:pt>
                <c:pt idx="44" formatCode="0;\-0;0;@">
                  <c:v>1993</c:v>
                </c:pt>
                <c:pt idx="45" formatCode="0;\-0;0;@">
                  <c:v>1994</c:v>
                </c:pt>
                <c:pt idx="46" formatCode="0;\-0;0;@">
                  <c:v>1995</c:v>
                </c:pt>
                <c:pt idx="47" formatCode="0;\-0;0;@">
                  <c:v>1996</c:v>
                </c:pt>
                <c:pt idx="48" formatCode="0;\-0;0;@">
                  <c:v>1997</c:v>
                </c:pt>
                <c:pt idx="49" formatCode="0;\-0;0;@">
                  <c:v>1998</c:v>
                </c:pt>
                <c:pt idx="50" formatCode="0;\-0;0;@">
                  <c:v>1999</c:v>
                </c:pt>
                <c:pt idx="51" formatCode="0;\-0;0;@">
                  <c:v>2000</c:v>
                </c:pt>
                <c:pt idx="52" formatCode="0;\-0;0;@">
                  <c:v>2001</c:v>
                </c:pt>
                <c:pt idx="53" formatCode="0;\-0;0;@">
                  <c:v>2002</c:v>
                </c:pt>
                <c:pt idx="54" formatCode="0;\-0;0;@">
                  <c:v>2003</c:v>
                </c:pt>
                <c:pt idx="55" formatCode="0;\-0;0;@">
                  <c:v>2004</c:v>
                </c:pt>
                <c:pt idx="56" formatCode="0;\-0;0;@">
                  <c:v>2005</c:v>
                </c:pt>
                <c:pt idx="57" formatCode="0;\-0;0;@">
                  <c:v>2006</c:v>
                </c:pt>
                <c:pt idx="58" formatCode="0;\-0;0;@">
                  <c:v>2007</c:v>
                </c:pt>
                <c:pt idx="59" formatCode="0;\-0;0;@">
                  <c:v>2008</c:v>
                </c:pt>
                <c:pt idx="60" formatCode="0;\-0;0;@">
                  <c:v>2009</c:v>
                </c:pt>
                <c:pt idx="61" formatCode="0;\-0;0;@">
                  <c:v>2010</c:v>
                </c:pt>
                <c:pt idx="62" formatCode="0;\-0;0;@">
                  <c:v>2011</c:v>
                </c:pt>
                <c:pt idx="63" formatCode="0;\-0;0;@">
                  <c:v>2012</c:v>
                </c:pt>
              </c:numCache>
            </c:numRef>
          </c:cat>
          <c:val>
            <c:numRef>
              <c:f>'Table 4.1 Sectoral shares'!$AN$54:$AN$117</c:f>
              <c:numCache>
                <c:formatCode>0</c:formatCode>
                <c:ptCount val="64"/>
                <c:pt idx="0">
                  <c:v>22.742669679153213</c:v>
                </c:pt>
                <c:pt idx="1">
                  <c:v>26.003090909283838</c:v>
                </c:pt>
                <c:pt idx="2">
                  <c:v>30.595869857614478</c:v>
                </c:pt>
                <c:pt idx="3">
                  <c:v>19.937299142610364</c:v>
                </c:pt>
                <c:pt idx="4">
                  <c:v>22.108551461780973</c:v>
                </c:pt>
                <c:pt idx="5">
                  <c:v>19.724321162560482</c:v>
                </c:pt>
                <c:pt idx="6">
                  <c:v>17.469791824482208</c:v>
                </c:pt>
                <c:pt idx="7">
                  <c:v>16.884808150269876</c:v>
                </c:pt>
                <c:pt idx="8">
                  <c:v>17.636185506853202</c:v>
                </c:pt>
                <c:pt idx="9">
                  <c:v>13.890454145793656</c:v>
                </c:pt>
                <c:pt idx="10">
                  <c:v>15.420596697237347</c:v>
                </c:pt>
                <c:pt idx="11">
                  <c:v>14.43667622694724</c:v>
                </c:pt>
                <c:pt idx="12">
                  <c:v>13.934168092747612</c:v>
                </c:pt>
                <c:pt idx="13">
                  <c:v>13.158144030603497</c:v>
                </c:pt>
                <c:pt idx="14">
                  <c:v>13.564774838151244</c:v>
                </c:pt>
                <c:pt idx="15">
                  <c:v>14.630852228481523</c:v>
                </c:pt>
                <c:pt idx="16">
                  <c:v>13.268800559526966</c:v>
                </c:pt>
                <c:pt idx="17">
                  <c:v>11.092955356251887</c:v>
                </c:pt>
                <c:pt idx="18">
                  <c:v>12.2515798556386</c:v>
                </c:pt>
                <c:pt idx="19">
                  <c:v>9.038906987932279</c:v>
                </c:pt>
                <c:pt idx="20">
                  <c:v>10.339859353498239</c:v>
                </c:pt>
                <c:pt idx="21">
                  <c:v>8.4872730800600067</c:v>
                </c:pt>
                <c:pt idx="22">
                  <c:v>7.0469047853910141</c:v>
                </c:pt>
                <c:pt idx="23">
                  <c:v>7.257401044721588</c:v>
                </c:pt>
                <c:pt idx="24">
                  <c:v>8.2819227478253854</c:v>
                </c:pt>
                <c:pt idx="25">
                  <c:v>9.2329232497610807</c:v>
                </c:pt>
                <c:pt idx="26">
                  <c:v>6.6569858182037924</c:v>
                </c:pt>
                <c:pt idx="27">
                  <c:v>5.8264188207683265</c:v>
                </c:pt>
                <c:pt idx="28">
                  <c:v>5.7730825867214239</c:v>
                </c:pt>
                <c:pt idx="29">
                  <c:v>5.2263877620487751</c:v>
                </c:pt>
                <c:pt idx="30">
                  <c:v>7.5167162435640353</c:v>
                </c:pt>
                <c:pt idx="31">
                  <c:v>7.5920240114311905</c:v>
                </c:pt>
                <c:pt idx="32">
                  <c:v>6.3889829911978975</c:v>
                </c:pt>
                <c:pt idx="33">
                  <c:v>5.9914846991993622</c:v>
                </c:pt>
                <c:pt idx="34">
                  <c:v>4.3476101654822932</c:v>
                </c:pt>
                <c:pt idx="35">
                  <c:v>6.0235465582342176</c:v>
                </c:pt>
                <c:pt idx="36">
                  <c:v>5.431398047908897</c:v>
                </c:pt>
                <c:pt idx="37">
                  <c:v>4.9397909672356883</c:v>
                </c:pt>
                <c:pt idx="38">
                  <c:v>4.9799782134893658</c:v>
                </c:pt>
                <c:pt idx="39">
                  <c:v>5.1190092808431427</c:v>
                </c:pt>
                <c:pt idx="40">
                  <c:v>5.4092381403575391</c:v>
                </c:pt>
                <c:pt idx="41">
                  <c:v>5.0256276226568506</c:v>
                </c:pt>
                <c:pt idx="42">
                  <c:v>3.8184816222199403</c:v>
                </c:pt>
                <c:pt idx="43">
                  <c:v>3.692982431415436</c:v>
                </c:pt>
                <c:pt idx="44">
                  <c:v>3.8964929442672673</c:v>
                </c:pt>
                <c:pt idx="45">
                  <c:v>3.991483357270643</c:v>
                </c:pt>
                <c:pt idx="46">
                  <c:v>3.6252887043308637</c:v>
                </c:pt>
                <c:pt idx="47">
                  <c:v>4.0482759083616937</c:v>
                </c:pt>
                <c:pt idx="48">
                  <c:v>3.8937652333845296</c:v>
                </c:pt>
                <c:pt idx="49">
                  <c:v>3.6432348279213835</c:v>
                </c:pt>
                <c:pt idx="50">
                  <c:v>3.6439615225802502</c:v>
                </c:pt>
                <c:pt idx="51">
                  <c:v>3.7031923515531426</c:v>
                </c:pt>
                <c:pt idx="52">
                  <c:v>4.1810638618139873</c:v>
                </c:pt>
                <c:pt idx="53">
                  <c:v>4.687593639899192</c:v>
                </c:pt>
                <c:pt idx="54">
                  <c:v>3.4444006162410785</c:v>
                </c:pt>
                <c:pt idx="55">
                  <c:v>3.6816468108529747</c:v>
                </c:pt>
                <c:pt idx="56">
                  <c:v>3.426315917378564</c:v>
                </c:pt>
                <c:pt idx="57">
                  <c:v>3.2274827402141519</c:v>
                </c:pt>
                <c:pt idx="58">
                  <c:v>2.6110685260885216</c:v>
                </c:pt>
                <c:pt idx="59">
                  <c:v>2.7539046297860263</c:v>
                </c:pt>
                <c:pt idx="60">
                  <c:v>2.6951167199927206</c:v>
                </c:pt>
                <c:pt idx="61">
                  <c:v>2.5830214697297627</c:v>
                </c:pt>
                <c:pt idx="62">
                  <c:v>2.6730419776321015</c:v>
                </c:pt>
                <c:pt idx="63">
                  <c:v>2.5737099619854855</c:v>
                </c:pt>
              </c:numCache>
            </c:numRef>
          </c:val>
        </c:ser>
        <c:ser>
          <c:idx val="2"/>
          <c:order val="3"/>
          <c:tx>
            <c:strRef>
              <c:f>'Table 4.1 Sectoral shares'!$AP$53</c:f>
              <c:strCache>
                <c:ptCount val="1"/>
                <c:pt idx="0">
                  <c:v>Manufacturing</c:v>
                </c:pt>
              </c:strCache>
            </c:strRef>
          </c:tx>
          <c:spPr>
            <a:pattFill prst="ltDnDiag">
              <a:fgClr>
                <a:srgbClr val="39580D"/>
              </a:fgClr>
              <a:bgClr>
                <a:sysClr val="window" lastClr="FFFFFF"/>
              </a:bgClr>
            </a:pattFill>
            <a:ln cmpd="sng">
              <a:solidFill>
                <a:srgbClr val="39580D"/>
              </a:solidFill>
            </a:ln>
          </c:spPr>
          <c:cat>
            <c:numRef>
              <c:f>'Table 4.1 Sectoral shares'!$AM$54:$AM$117</c:f>
              <c:numCache>
                <c:formatCode>yyyy</c:formatCode>
                <c:ptCount val="64"/>
                <c:pt idx="0">
                  <c:v>18050</c:v>
                </c:pt>
                <c:pt idx="1">
                  <c:v>18415</c:v>
                </c:pt>
                <c:pt idx="2">
                  <c:v>18780</c:v>
                </c:pt>
                <c:pt idx="3">
                  <c:v>19146</c:v>
                </c:pt>
                <c:pt idx="4">
                  <c:v>19511</c:v>
                </c:pt>
                <c:pt idx="5">
                  <c:v>19876</c:v>
                </c:pt>
                <c:pt idx="6">
                  <c:v>20241</c:v>
                </c:pt>
                <c:pt idx="7">
                  <c:v>20607</c:v>
                </c:pt>
                <c:pt idx="8">
                  <c:v>20972</c:v>
                </c:pt>
                <c:pt idx="9">
                  <c:v>21337</c:v>
                </c:pt>
                <c:pt idx="10">
                  <c:v>21702</c:v>
                </c:pt>
                <c:pt idx="11">
                  <c:v>22068</c:v>
                </c:pt>
                <c:pt idx="12">
                  <c:v>22433</c:v>
                </c:pt>
                <c:pt idx="13">
                  <c:v>22798</c:v>
                </c:pt>
                <c:pt idx="14">
                  <c:v>23163</c:v>
                </c:pt>
                <c:pt idx="15">
                  <c:v>23529</c:v>
                </c:pt>
                <c:pt idx="16">
                  <c:v>23894</c:v>
                </c:pt>
                <c:pt idx="17">
                  <c:v>24259</c:v>
                </c:pt>
                <c:pt idx="18">
                  <c:v>24624</c:v>
                </c:pt>
                <c:pt idx="19">
                  <c:v>24990</c:v>
                </c:pt>
                <c:pt idx="20">
                  <c:v>25355</c:v>
                </c:pt>
                <c:pt idx="21">
                  <c:v>25720</c:v>
                </c:pt>
                <c:pt idx="22">
                  <c:v>26085</c:v>
                </c:pt>
                <c:pt idx="23">
                  <c:v>26451</c:v>
                </c:pt>
                <c:pt idx="24">
                  <c:v>26816</c:v>
                </c:pt>
                <c:pt idx="25">
                  <c:v>27181</c:v>
                </c:pt>
                <c:pt idx="26">
                  <c:v>27546</c:v>
                </c:pt>
                <c:pt idx="27">
                  <c:v>27912</c:v>
                </c:pt>
                <c:pt idx="28">
                  <c:v>28277</c:v>
                </c:pt>
                <c:pt idx="29">
                  <c:v>28642</c:v>
                </c:pt>
                <c:pt idx="30">
                  <c:v>29007</c:v>
                </c:pt>
                <c:pt idx="31">
                  <c:v>29373</c:v>
                </c:pt>
                <c:pt idx="32">
                  <c:v>29738</c:v>
                </c:pt>
                <c:pt idx="33">
                  <c:v>30103</c:v>
                </c:pt>
                <c:pt idx="34">
                  <c:v>30468</c:v>
                </c:pt>
                <c:pt idx="35">
                  <c:v>30834</c:v>
                </c:pt>
                <c:pt idx="36">
                  <c:v>31199</c:v>
                </c:pt>
                <c:pt idx="37">
                  <c:v>31564</c:v>
                </c:pt>
                <c:pt idx="38">
                  <c:v>31929</c:v>
                </c:pt>
                <c:pt idx="39">
                  <c:v>32295</c:v>
                </c:pt>
                <c:pt idx="40">
                  <c:v>32660</c:v>
                </c:pt>
                <c:pt idx="41" formatCode="0;\-0;0;@">
                  <c:v>1990</c:v>
                </c:pt>
                <c:pt idx="42" formatCode="0;\-0;0;@">
                  <c:v>1991</c:v>
                </c:pt>
                <c:pt idx="43" formatCode="0;\-0;0;@">
                  <c:v>1992</c:v>
                </c:pt>
                <c:pt idx="44" formatCode="0;\-0;0;@">
                  <c:v>1993</c:v>
                </c:pt>
                <c:pt idx="45" formatCode="0;\-0;0;@">
                  <c:v>1994</c:v>
                </c:pt>
                <c:pt idx="46" formatCode="0;\-0;0;@">
                  <c:v>1995</c:v>
                </c:pt>
                <c:pt idx="47" formatCode="0;\-0;0;@">
                  <c:v>1996</c:v>
                </c:pt>
                <c:pt idx="48" formatCode="0;\-0;0;@">
                  <c:v>1997</c:v>
                </c:pt>
                <c:pt idx="49" formatCode="0;\-0;0;@">
                  <c:v>1998</c:v>
                </c:pt>
                <c:pt idx="50" formatCode="0;\-0;0;@">
                  <c:v>1999</c:v>
                </c:pt>
                <c:pt idx="51" formatCode="0;\-0;0;@">
                  <c:v>2000</c:v>
                </c:pt>
                <c:pt idx="52" formatCode="0;\-0;0;@">
                  <c:v>2001</c:v>
                </c:pt>
                <c:pt idx="53" formatCode="0;\-0;0;@">
                  <c:v>2002</c:v>
                </c:pt>
                <c:pt idx="54" formatCode="0;\-0;0;@">
                  <c:v>2003</c:v>
                </c:pt>
                <c:pt idx="55" formatCode="0;\-0;0;@">
                  <c:v>2004</c:v>
                </c:pt>
                <c:pt idx="56" formatCode="0;\-0;0;@">
                  <c:v>2005</c:v>
                </c:pt>
                <c:pt idx="57" formatCode="0;\-0;0;@">
                  <c:v>2006</c:v>
                </c:pt>
                <c:pt idx="58" formatCode="0;\-0;0;@">
                  <c:v>2007</c:v>
                </c:pt>
                <c:pt idx="59" formatCode="0;\-0;0;@">
                  <c:v>2008</c:v>
                </c:pt>
                <c:pt idx="60" formatCode="0;\-0;0;@">
                  <c:v>2009</c:v>
                </c:pt>
                <c:pt idx="61" formatCode="0;\-0;0;@">
                  <c:v>2010</c:v>
                </c:pt>
                <c:pt idx="62" formatCode="0;\-0;0;@">
                  <c:v>2011</c:v>
                </c:pt>
                <c:pt idx="63" formatCode="0;\-0;0;@">
                  <c:v>2012</c:v>
                </c:pt>
              </c:numCache>
            </c:numRef>
          </c:cat>
          <c:val>
            <c:numRef>
              <c:f>'Table 4.1 Sectoral shares'!$AP$54:$AP$117</c:f>
              <c:numCache>
                <c:formatCode>0</c:formatCode>
                <c:ptCount val="64"/>
                <c:pt idx="0">
                  <c:v>24.265987049640149</c:v>
                </c:pt>
                <c:pt idx="1">
                  <c:v>23.079434076638762</c:v>
                </c:pt>
                <c:pt idx="2">
                  <c:v>21.680427101294924</c:v>
                </c:pt>
                <c:pt idx="3">
                  <c:v>24.811456807277388</c:v>
                </c:pt>
                <c:pt idx="4">
                  <c:v>23.254425118534023</c:v>
                </c:pt>
                <c:pt idx="5">
                  <c:v>24.791008020077363</c:v>
                </c:pt>
                <c:pt idx="6">
                  <c:v>25.789861123624874</c:v>
                </c:pt>
                <c:pt idx="7">
                  <c:v>25.765860462019397</c:v>
                </c:pt>
                <c:pt idx="8">
                  <c:v>25.317407404383918</c:v>
                </c:pt>
                <c:pt idx="9">
                  <c:v>26.878384525969146</c:v>
                </c:pt>
                <c:pt idx="10">
                  <c:v>26.266647218563278</c:v>
                </c:pt>
                <c:pt idx="11">
                  <c:v>26.753155869315133</c:v>
                </c:pt>
                <c:pt idx="12">
                  <c:v>26.303029693617408</c:v>
                </c:pt>
                <c:pt idx="13">
                  <c:v>25.993235149031086</c:v>
                </c:pt>
                <c:pt idx="14">
                  <c:v>26.525258025002827</c:v>
                </c:pt>
                <c:pt idx="15">
                  <c:v>25.894676605197915</c:v>
                </c:pt>
                <c:pt idx="16">
                  <c:v>26.389544488220501</c:v>
                </c:pt>
                <c:pt idx="17">
                  <c:v>26.293443791437344</c:v>
                </c:pt>
                <c:pt idx="18">
                  <c:v>25.461499121883246</c:v>
                </c:pt>
                <c:pt idx="19">
                  <c:v>26.024073572420459</c:v>
                </c:pt>
                <c:pt idx="20">
                  <c:v>25.410546721020523</c:v>
                </c:pt>
                <c:pt idx="21">
                  <c:v>25.298029769149842</c:v>
                </c:pt>
                <c:pt idx="22">
                  <c:v>25.038037551610831</c:v>
                </c:pt>
                <c:pt idx="23">
                  <c:v>24.021476893208504</c:v>
                </c:pt>
                <c:pt idx="24">
                  <c:v>23.157309657407509</c:v>
                </c:pt>
                <c:pt idx="25">
                  <c:v>22.481803951296563</c:v>
                </c:pt>
                <c:pt idx="26">
                  <c:v>21.780212182352248</c:v>
                </c:pt>
                <c:pt idx="27">
                  <c:v>21.049837610455359</c:v>
                </c:pt>
                <c:pt idx="28">
                  <c:v>20.774833126438374</c:v>
                </c:pt>
                <c:pt idx="29">
                  <c:v>20.722504375847752</c:v>
                </c:pt>
                <c:pt idx="30">
                  <c:v>19.840242497614987</c:v>
                </c:pt>
                <c:pt idx="31">
                  <c:v>20.138308336372496</c:v>
                </c:pt>
                <c:pt idx="32">
                  <c:v>20.368668615460432</c:v>
                </c:pt>
                <c:pt idx="33">
                  <c:v>20.193880572017513</c:v>
                </c:pt>
                <c:pt idx="34">
                  <c:v>19.192723878686603</c:v>
                </c:pt>
                <c:pt idx="35">
                  <c:v>18.978230143534109</c:v>
                </c:pt>
                <c:pt idx="36">
                  <c:v>18.887647643894031</c:v>
                </c:pt>
                <c:pt idx="37">
                  <c:v>18.732671668698217</c:v>
                </c:pt>
                <c:pt idx="38">
                  <c:v>17.831263838671788</c:v>
                </c:pt>
                <c:pt idx="39">
                  <c:v>17.410063508045461</c:v>
                </c:pt>
                <c:pt idx="40">
                  <c:v>16.803381438997814</c:v>
                </c:pt>
                <c:pt idx="41">
                  <c:v>16.69527086872559</c:v>
                </c:pt>
                <c:pt idx="42">
                  <c:v>15.298745906222541</c:v>
                </c:pt>
                <c:pt idx="43">
                  <c:v>15.444175420893453</c:v>
                </c:pt>
                <c:pt idx="44">
                  <c:v>15.627593044741536</c:v>
                </c:pt>
                <c:pt idx="45">
                  <c:v>16.03195000881901</c:v>
                </c:pt>
                <c:pt idx="46">
                  <c:v>16.06069671984012</c:v>
                </c:pt>
                <c:pt idx="47">
                  <c:v>15.562804996744465</c:v>
                </c:pt>
                <c:pt idx="48">
                  <c:v>15.142277942379623</c:v>
                </c:pt>
                <c:pt idx="49">
                  <c:v>15.263028406180554</c:v>
                </c:pt>
                <c:pt idx="50">
                  <c:v>14.576993072229275</c:v>
                </c:pt>
                <c:pt idx="51">
                  <c:v>14.063093948804751</c:v>
                </c:pt>
                <c:pt idx="52">
                  <c:v>13.46359729459579</c:v>
                </c:pt>
                <c:pt idx="53">
                  <c:v>12.943991117812004</c:v>
                </c:pt>
                <c:pt idx="54">
                  <c:v>13.388358402238712</c:v>
                </c:pt>
                <c:pt idx="55">
                  <c:v>13.351985904078026</c:v>
                </c:pt>
                <c:pt idx="56">
                  <c:v>12.617560572553405</c:v>
                </c:pt>
                <c:pt idx="57">
                  <c:v>12.05445360802876</c:v>
                </c:pt>
                <c:pt idx="58">
                  <c:v>11.375246365467428</c:v>
                </c:pt>
                <c:pt idx="59">
                  <c:v>11.220307373096409</c:v>
                </c:pt>
                <c:pt idx="60">
                  <c:v>10.216597246852896</c:v>
                </c:pt>
                <c:pt idx="61">
                  <c:v>9.7974106155128542</c:v>
                </c:pt>
                <c:pt idx="62">
                  <c:v>8.9617896978654557</c:v>
                </c:pt>
                <c:pt idx="63">
                  <c:v>8.3123437644571023</c:v>
                </c:pt>
              </c:numCache>
            </c:numRef>
          </c:val>
        </c:ser>
        <c:dLbls>
          <c:showLegendKey val="0"/>
          <c:showVal val="0"/>
          <c:showCatName val="0"/>
          <c:showSerName val="0"/>
          <c:showPercent val="0"/>
          <c:showBubbleSize val="0"/>
        </c:dLbls>
        <c:axId val="163581312"/>
        <c:axId val="174625920"/>
      </c:areaChart>
      <c:catAx>
        <c:axId val="163581312"/>
        <c:scaling>
          <c:orientation val="minMax"/>
        </c:scaling>
        <c:delete val="0"/>
        <c:axPos val="b"/>
        <c:majorGridlines>
          <c:spPr>
            <a:ln>
              <a:solidFill>
                <a:sysClr val="windowText" lastClr="000000"/>
              </a:solidFill>
            </a:ln>
          </c:spPr>
        </c:majorGridlines>
        <c:numFmt formatCode="yyyy" sourceLinked="1"/>
        <c:majorTickMark val="out"/>
        <c:minorTickMark val="none"/>
        <c:tickLblPos val="nextTo"/>
        <c:spPr>
          <a:ln w="9525">
            <a:solidFill>
              <a:sysClr val="windowText" lastClr="000000"/>
            </a:solidFill>
          </a:ln>
        </c:spPr>
        <c:txPr>
          <a:bodyPr rot="0" vert="horz"/>
          <a:lstStyle/>
          <a:p>
            <a:pPr>
              <a:defRPr sz="1000" b="0" i="0" u="none" strike="noStrike" baseline="0">
                <a:solidFill>
                  <a:srgbClr val="000000"/>
                </a:solidFill>
                <a:latin typeface="Arial"/>
                <a:ea typeface="Arial"/>
                <a:cs typeface="Arial"/>
              </a:defRPr>
            </a:pPr>
            <a:endParaRPr lang="en-US"/>
          </a:p>
        </c:txPr>
        <c:crossAx val="174625920"/>
        <c:crosses val="autoZero"/>
        <c:auto val="1"/>
        <c:lblAlgn val="ctr"/>
        <c:lblOffset val="100"/>
        <c:tickLblSkip val="10"/>
        <c:tickMarkSkip val="5"/>
        <c:noMultiLvlLbl val="0"/>
      </c:catAx>
      <c:valAx>
        <c:axId val="174625920"/>
        <c:scaling>
          <c:orientation val="minMax"/>
          <c:max val="100"/>
        </c:scaling>
        <c:delete val="0"/>
        <c:axPos val="l"/>
        <c:majorGridlines/>
        <c:title>
          <c:tx>
            <c:rich>
              <a:bodyPr/>
              <a:lstStyle/>
              <a:p>
                <a:pPr>
                  <a:defRPr sz="1000" b="1" i="0" u="none" strike="noStrike" baseline="0">
                    <a:solidFill>
                      <a:srgbClr val="000000"/>
                    </a:solidFill>
                    <a:latin typeface="Arial"/>
                    <a:ea typeface="Arial"/>
                    <a:cs typeface="Arial"/>
                  </a:defRPr>
                </a:pPr>
                <a:r>
                  <a:rPr lang="en-AU"/>
                  <a:t>Per cent</a:t>
                </a:r>
              </a:p>
            </c:rich>
          </c:tx>
          <c:layout>
            <c:manualLayout>
              <c:xMode val="edge"/>
              <c:yMode val="edge"/>
              <c:x val="1.128148067337645E-2"/>
              <c:y val="0.3849340277777778"/>
            </c:manualLayout>
          </c:layout>
          <c:overlay val="0"/>
        </c:title>
        <c:numFmt formatCode="0" sourceLinked="1"/>
        <c:majorTickMark val="out"/>
        <c:minorTickMark val="none"/>
        <c:tickLblPos val="nextTo"/>
        <c:spPr>
          <a:ln w="9525">
            <a:solidFill>
              <a:sysClr val="windowText" lastClr="000000"/>
            </a:solidFill>
          </a:ln>
        </c:spPr>
        <c:txPr>
          <a:bodyPr rot="0" vert="horz"/>
          <a:lstStyle/>
          <a:p>
            <a:pPr>
              <a:defRPr sz="1000" b="0" i="0" u="none" strike="noStrike" baseline="0">
                <a:solidFill>
                  <a:srgbClr val="000000"/>
                </a:solidFill>
                <a:latin typeface="Arial"/>
                <a:ea typeface="Arial"/>
                <a:cs typeface="Arial"/>
              </a:defRPr>
            </a:pPr>
            <a:endParaRPr lang="en-US"/>
          </a:p>
        </c:txPr>
        <c:crossAx val="163581312"/>
        <c:crosses val="autoZero"/>
        <c:crossBetween val="midCat"/>
        <c:majorUnit val="20"/>
      </c:valAx>
      <c:spPr>
        <a:ln>
          <a:solidFill>
            <a:sysClr val="windowText" lastClr="000000"/>
          </a:solidFill>
        </a:ln>
      </c:spPr>
    </c:plotArea>
    <c:legend>
      <c:legendPos val="t"/>
      <c:layout>
        <c:manualLayout>
          <c:xMode val="edge"/>
          <c:yMode val="edge"/>
          <c:x val="1.2285626252187418E-2"/>
          <c:y val="2.6458333333333334E-2"/>
          <c:w val="0.98479002318988429"/>
          <c:h val="7.9740624999999996E-2"/>
        </c:manualLayout>
      </c:layout>
      <c:overlay val="0"/>
      <c:txPr>
        <a:bodyPr/>
        <a:lstStyle/>
        <a:p>
          <a:pPr>
            <a:defRPr>
              <a:latin typeface="Arial" pitchFamily="34" charset="0"/>
              <a:cs typeface="Arial" pitchFamily="34" charset="0"/>
            </a:defRPr>
          </a:pPr>
          <a:endParaRPr lang="en-US"/>
        </a:p>
      </c:txPr>
    </c:legend>
    <c:plotVisOnly val="1"/>
    <c:dispBlanksAs val="zero"/>
    <c:showDLblsOverMax val="0"/>
  </c:chart>
  <c:spPr>
    <a:ln w="12700">
      <a:noFill/>
    </a:ln>
  </c:spPr>
  <c:txPr>
    <a:bodyPr/>
    <a:lstStyle/>
    <a:p>
      <a:pPr>
        <a:defRPr sz="1000" b="0" i="0" u="none" strike="noStrike" baseline="0">
          <a:solidFill>
            <a:srgbClr val="000000"/>
          </a:solidFill>
          <a:latin typeface="Calibri"/>
          <a:ea typeface="Calibri"/>
          <a:cs typeface="Calibri"/>
        </a:defRPr>
      </a:pPr>
      <a:endParaRPr lang="en-US"/>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237654167749699"/>
          <c:y val="0.10583333333333333"/>
          <c:w val="0.85827775875841605"/>
          <c:h val="0.72785211451217602"/>
        </c:manualLayout>
      </c:layout>
      <c:barChart>
        <c:barDir val="col"/>
        <c:grouping val="clustered"/>
        <c:varyColors val="0"/>
        <c:ser>
          <c:idx val="0"/>
          <c:order val="0"/>
          <c:tx>
            <c:strRef>
              <c:f>'figure 3.16'!$A$2</c:f>
              <c:strCache>
                <c:ptCount val="1"/>
                <c:pt idx="0">
                  <c:v>1985</c:v>
                </c:pt>
              </c:strCache>
            </c:strRef>
          </c:tx>
          <c:spPr>
            <a:solidFill>
              <a:srgbClr val="344893"/>
            </a:solidFill>
            <a:ln>
              <a:solidFill>
                <a:srgbClr val="344893"/>
              </a:solidFill>
            </a:ln>
          </c:spPr>
          <c:invertIfNegative val="0"/>
          <c:cat>
            <c:strRef>
              <c:f>'figure 3.16'!$B$1:$J$1</c:f>
              <c:strCache>
                <c:ptCount val="9"/>
                <c:pt idx="0">
                  <c:v>Agric-
ulture</c:v>
                </c:pt>
                <c:pt idx="1">
                  <c:v>Mining</c:v>
                </c:pt>
                <c:pt idx="2">
                  <c:v>Manuf-
acturing</c:v>
                </c:pt>
                <c:pt idx="3">
                  <c:v>Utilities</c:v>
                </c:pt>
                <c:pt idx="4">
                  <c:v>Constr-
uction</c:v>
                </c:pt>
                <c:pt idx="5">
                  <c:v>Distrib-
ution
services</c:v>
                </c:pt>
                <c:pt idx="6">
                  <c:v>Business
services</c:v>
                </c:pt>
                <c:pt idx="7">
                  <c:v>Social services</c:v>
                </c:pt>
                <c:pt idx="8">
                  <c:v>Personal services</c:v>
                </c:pt>
              </c:strCache>
            </c:strRef>
          </c:cat>
          <c:val>
            <c:numRef>
              <c:f>'figure 3.16'!$B$2:$J$2</c:f>
              <c:numCache>
                <c:formatCode>General</c:formatCode>
                <c:ptCount val="9"/>
                <c:pt idx="0">
                  <c:v>206.44511076795283</c:v>
                </c:pt>
                <c:pt idx="1">
                  <c:v>998.21578080573113</c:v>
                </c:pt>
                <c:pt idx="2">
                  <c:v>74.936250800958533</c:v>
                </c:pt>
                <c:pt idx="3">
                  <c:v>1056.2297493458302</c:v>
                </c:pt>
                <c:pt idx="4">
                  <c:v>33.470666934183704</c:v>
                </c:pt>
                <c:pt idx="5">
                  <c:v>155.74751298869398</c:v>
                </c:pt>
                <c:pt idx="6">
                  <c:v>133.43600184982722</c:v>
                </c:pt>
                <c:pt idx="7">
                  <c:v>141.93444628690986</c:v>
                </c:pt>
                <c:pt idx="8">
                  <c:v>52.996927970068384</c:v>
                </c:pt>
              </c:numCache>
            </c:numRef>
          </c:val>
        </c:ser>
        <c:ser>
          <c:idx val="1"/>
          <c:order val="1"/>
          <c:tx>
            <c:strRef>
              <c:f>'figure 3.16'!$A$3</c:f>
              <c:strCache>
                <c:ptCount val="1"/>
                <c:pt idx="0">
                  <c:v>1998</c:v>
                </c:pt>
              </c:strCache>
            </c:strRef>
          </c:tx>
          <c:spPr>
            <a:pattFill prst="pct60">
              <a:fgClr>
                <a:srgbClr val="B4C98B"/>
              </a:fgClr>
              <a:bgClr>
                <a:sysClr val="window" lastClr="FFFFFF"/>
              </a:bgClr>
            </a:pattFill>
            <a:ln>
              <a:solidFill>
                <a:srgbClr val="B4C98B"/>
              </a:solidFill>
            </a:ln>
          </c:spPr>
          <c:invertIfNegative val="0"/>
          <c:cat>
            <c:strRef>
              <c:f>'figure 3.16'!$B$1:$J$1</c:f>
              <c:strCache>
                <c:ptCount val="9"/>
                <c:pt idx="0">
                  <c:v>Agric-
ulture</c:v>
                </c:pt>
                <c:pt idx="1">
                  <c:v>Mining</c:v>
                </c:pt>
                <c:pt idx="2">
                  <c:v>Manuf-
acturing</c:v>
                </c:pt>
                <c:pt idx="3">
                  <c:v>Utilities</c:v>
                </c:pt>
                <c:pt idx="4">
                  <c:v>Constr-
uction</c:v>
                </c:pt>
                <c:pt idx="5">
                  <c:v>Distrib-
ution
services</c:v>
                </c:pt>
                <c:pt idx="6">
                  <c:v>Business
services</c:v>
                </c:pt>
                <c:pt idx="7">
                  <c:v>Social services</c:v>
                </c:pt>
                <c:pt idx="8">
                  <c:v>Personal services</c:v>
                </c:pt>
              </c:strCache>
            </c:strRef>
          </c:cat>
          <c:val>
            <c:numRef>
              <c:f>'figure 3.16'!$B$3:$J$3</c:f>
              <c:numCache>
                <c:formatCode>General</c:formatCode>
                <c:ptCount val="9"/>
                <c:pt idx="0">
                  <c:v>192.89844110030538</c:v>
                </c:pt>
                <c:pt idx="1">
                  <c:v>1819.9371294528544</c:v>
                </c:pt>
                <c:pt idx="2">
                  <c:v>109.2327478684749</c:v>
                </c:pt>
                <c:pt idx="3">
                  <c:v>2124.7498440019831</c:v>
                </c:pt>
                <c:pt idx="4">
                  <c:v>43.11106404091425</c:v>
                </c:pt>
                <c:pt idx="5">
                  <c:v>174.90180478365116</c:v>
                </c:pt>
                <c:pt idx="6">
                  <c:v>173.17926271232912</c:v>
                </c:pt>
                <c:pt idx="7">
                  <c:v>143.82368688806378</c:v>
                </c:pt>
                <c:pt idx="8">
                  <c:v>66.947724041929803</c:v>
                </c:pt>
              </c:numCache>
            </c:numRef>
          </c:val>
        </c:ser>
        <c:ser>
          <c:idx val="2"/>
          <c:order val="2"/>
          <c:tx>
            <c:strRef>
              <c:f>'figure 3.16'!$A$4</c:f>
              <c:strCache>
                <c:ptCount val="1"/>
                <c:pt idx="0">
                  <c:v>2011</c:v>
                </c:pt>
              </c:strCache>
            </c:strRef>
          </c:tx>
          <c:spPr>
            <a:pattFill prst="zigZag">
              <a:fgClr>
                <a:srgbClr val="7B905A"/>
              </a:fgClr>
              <a:bgClr>
                <a:sysClr val="window" lastClr="FFFFFF"/>
              </a:bgClr>
            </a:pattFill>
            <a:ln>
              <a:solidFill>
                <a:srgbClr val="7B905A"/>
              </a:solidFill>
            </a:ln>
          </c:spPr>
          <c:invertIfNegative val="0"/>
          <c:cat>
            <c:strRef>
              <c:f>'figure 3.16'!$B$1:$J$1</c:f>
              <c:strCache>
                <c:ptCount val="9"/>
                <c:pt idx="0">
                  <c:v>Agric-
ulture</c:v>
                </c:pt>
                <c:pt idx="1">
                  <c:v>Mining</c:v>
                </c:pt>
                <c:pt idx="2">
                  <c:v>Manuf-
acturing</c:v>
                </c:pt>
                <c:pt idx="3">
                  <c:v>Utilities</c:v>
                </c:pt>
                <c:pt idx="4">
                  <c:v>Constr-
uction</c:v>
                </c:pt>
                <c:pt idx="5">
                  <c:v>Distrib-
ution
services</c:v>
                </c:pt>
                <c:pt idx="6">
                  <c:v>Business
services</c:v>
                </c:pt>
                <c:pt idx="7">
                  <c:v>Social services</c:v>
                </c:pt>
                <c:pt idx="8">
                  <c:v>Personal services</c:v>
                </c:pt>
              </c:strCache>
            </c:strRef>
          </c:cat>
          <c:val>
            <c:numRef>
              <c:f>'figure 3.16'!$B$4:$J$4</c:f>
              <c:numCache>
                <c:formatCode>0.0;\-0.0;0.0;@</c:formatCode>
                <c:ptCount val="9"/>
                <c:pt idx="0">
                  <c:v>313.57342401951678</c:v>
                </c:pt>
                <c:pt idx="1">
                  <c:v>1672.8031256313982</c:v>
                </c:pt>
                <c:pt idx="2">
                  <c:v>186.2745703419329</c:v>
                </c:pt>
                <c:pt idx="3">
                  <c:v>1831.6589462660766</c:v>
                </c:pt>
                <c:pt idx="4">
                  <c:v>42.098070994800757</c:v>
                </c:pt>
                <c:pt idx="5">
                  <c:v>240.80205917380331</c:v>
                </c:pt>
                <c:pt idx="6">
                  <c:v>217.54187958276637</c:v>
                </c:pt>
                <c:pt idx="7">
                  <c:v>146.97638215338119</c:v>
                </c:pt>
                <c:pt idx="8">
                  <c:v>83.862493224113777</c:v>
                </c:pt>
              </c:numCache>
            </c:numRef>
          </c:val>
        </c:ser>
        <c:dLbls>
          <c:showLegendKey val="0"/>
          <c:showVal val="0"/>
          <c:showCatName val="0"/>
          <c:showSerName val="0"/>
          <c:showPercent val="0"/>
          <c:showBubbleSize val="0"/>
        </c:dLbls>
        <c:gapWidth val="150"/>
        <c:axId val="189351040"/>
        <c:axId val="189352576"/>
      </c:barChart>
      <c:catAx>
        <c:axId val="189351040"/>
        <c:scaling>
          <c:orientation val="minMax"/>
        </c:scaling>
        <c:delete val="0"/>
        <c:axPos val="b"/>
        <c:majorTickMark val="out"/>
        <c:minorTickMark val="none"/>
        <c:tickLblPos val="nextTo"/>
        <c:spPr>
          <a:ln>
            <a:solidFill>
              <a:sysClr val="windowText" lastClr="000000"/>
            </a:solidFill>
          </a:ln>
        </c:spPr>
        <c:txPr>
          <a:bodyPr/>
          <a:lstStyle/>
          <a:p>
            <a:pPr>
              <a:defRPr sz="900"/>
            </a:pPr>
            <a:endParaRPr lang="en-US"/>
          </a:p>
        </c:txPr>
        <c:crossAx val="189352576"/>
        <c:crosses val="autoZero"/>
        <c:auto val="1"/>
        <c:lblAlgn val="ctr"/>
        <c:lblOffset val="100"/>
        <c:noMultiLvlLbl val="0"/>
      </c:catAx>
      <c:valAx>
        <c:axId val="189352576"/>
        <c:scaling>
          <c:orientation val="minMax"/>
        </c:scaling>
        <c:delete val="0"/>
        <c:axPos val="l"/>
        <c:majorGridlines/>
        <c:title>
          <c:tx>
            <c:rich>
              <a:bodyPr rot="-5400000" vert="horz"/>
              <a:lstStyle/>
              <a:p>
                <a:pPr>
                  <a:defRPr/>
                </a:pPr>
                <a:r>
                  <a:rPr lang="en-AU"/>
                  <a:t>$'</a:t>
                </a:r>
                <a:r>
                  <a:rPr lang="en-AU" baseline="0"/>
                  <a:t>000 per worker</a:t>
                </a:r>
                <a:endParaRPr lang="en-AU"/>
              </a:p>
            </c:rich>
          </c:tx>
          <c:layout>
            <c:manualLayout>
              <c:xMode val="edge"/>
              <c:yMode val="edge"/>
              <c:x val="1.175925925925926E-3"/>
              <c:y val="0.22389305555555555"/>
            </c:manualLayout>
          </c:layout>
          <c:overlay val="0"/>
        </c:title>
        <c:numFmt formatCode="#\ ##0" sourceLinked="0"/>
        <c:majorTickMark val="out"/>
        <c:minorTickMark val="none"/>
        <c:tickLblPos val="nextTo"/>
        <c:spPr>
          <a:ln>
            <a:solidFill>
              <a:sysClr val="windowText" lastClr="000000"/>
            </a:solidFill>
          </a:ln>
        </c:spPr>
        <c:crossAx val="189351040"/>
        <c:crosses val="autoZero"/>
        <c:crossBetween val="between"/>
      </c:valAx>
      <c:spPr>
        <a:noFill/>
        <a:ln>
          <a:solidFill>
            <a:schemeClr val="tx1"/>
          </a:solidFill>
        </a:ln>
      </c:spPr>
    </c:plotArea>
    <c:legend>
      <c:legendPos val="r"/>
      <c:layout>
        <c:manualLayout>
          <c:xMode val="edge"/>
          <c:yMode val="edge"/>
          <c:x val="0.12226497774734679"/>
          <c:y val="3.4878587196467991E-3"/>
          <c:w val="0.86148564762737989"/>
          <c:h val="8.0211458333333333E-2"/>
        </c:manualLayout>
      </c:layout>
      <c:overlay val="0"/>
      <c:spPr>
        <a:ln>
          <a:no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0435370370370365E-2"/>
          <c:y val="0.14494270833333336"/>
          <c:w val="0.91098000000000001"/>
          <c:h val="0.76911006944444449"/>
        </c:manualLayout>
      </c:layout>
      <c:barChart>
        <c:barDir val="col"/>
        <c:grouping val="clustered"/>
        <c:varyColors val="0"/>
        <c:ser>
          <c:idx val="0"/>
          <c:order val="0"/>
          <c:tx>
            <c:strRef>
              <c:f>Sheet3!$A$25</c:f>
              <c:strCache>
                <c:ptCount val="1"/>
                <c:pt idx="0">
                  <c:v>1992 to 2002</c:v>
                </c:pt>
              </c:strCache>
            </c:strRef>
          </c:tx>
          <c:spPr>
            <a:solidFill>
              <a:srgbClr val="344893"/>
            </a:solidFill>
            <a:ln>
              <a:solidFill>
                <a:srgbClr val="344893"/>
              </a:solidFill>
            </a:ln>
          </c:spPr>
          <c:invertIfNegative val="0"/>
          <c:cat>
            <c:strRef>
              <c:f>Sheet3!$B$29:$J$29</c:f>
              <c:strCache>
                <c:ptCount val="9"/>
                <c:pt idx="0">
                  <c:v>NSW</c:v>
                </c:pt>
                <c:pt idx="1">
                  <c:v>Vic</c:v>
                </c:pt>
                <c:pt idx="2">
                  <c:v>Qld</c:v>
                </c:pt>
                <c:pt idx="3">
                  <c:v>SA</c:v>
                </c:pt>
                <c:pt idx="4">
                  <c:v>WA</c:v>
                </c:pt>
                <c:pt idx="5">
                  <c:v>Tas</c:v>
                </c:pt>
                <c:pt idx="6">
                  <c:v>NT</c:v>
                </c:pt>
                <c:pt idx="7">
                  <c:v>ACT</c:v>
                </c:pt>
                <c:pt idx="8">
                  <c:v>Aus</c:v>
                </c:pt>
              </c:strCache>
            </c:strRef>
          </c:cat>
          <c:val>
            <c:numRef>
              <c:f>Sheet3!$B$25:$J$25</c:f>
              <c:numCache>
                <c:formatCode>0.0</c:formatCode>
                <c:ptCount val="9"/>
                <c:pt idx="0">
                  <c:v>2.4758697032141086</c:v>
                </c:pt>
                <c:pt idx="1">
                  <c:v>3.073271856551508</c:v>
                </c:pt>
                <c:pt idx="2">
                  <c:v>2.7349634869958646</c:v>
                </c:pt>
                <c:pt idx="3">
                  <c:v>2.8092644267815392</c:v>
                </c:pt>
                <c:pt idx="4">
                  <c:v>3.431967423637857</c:v>
                </c:pt>
                <c:pt idx="5">
                  <c:v>2.1490978496140105</c:v>
                </c:pt>
                <c:pt idx="6">
                  <c:v>2.2630950744415812</c:v>
                </c:pt>
                <c:pt idx="7">
                  <c:v>2.139710941848572</c:v>
                </c:pt>
                <c:pt idx="8">
                  <c:v>2.7725470496628102</c:v>
                </c:pt>
              </c:numCache>
            </c:numRef>
          </c:val>
        </c:ser>
        <c:ser>
          <c:idx val="1"/>
          <c:order val="1"/>
          <c:tx>
            <c:strRef>
              <c:f>Sheet3!$A$26</c:f>
              <c:strCache>
                <c:ptCount val="1"/>
                <c:pt idx="0">
                  <c:v>2002 to 2012</c:v>
                </c:pt>
              </c:strCache>
            </c:strRef>
          </c:tx>
          <c:spPr>
            <a:pattFill prst="pct60">
              <a:fgClr>
                <a:srgbClr val="86A20B"/>
              </a:fgClr>
              <a:bgClr>
                <a:schemeClr val="bg1"/>
              </a:bgClr>
            </a:pattFill>
            <a:ln>
              <a:solidFill>
                <a:srgbClr val="86A20B"/>
              </a:solidFill>
            </a:ln>
          </c:spPr>
          <c:invertIfNegative val="0"/>
          <c:cat>
            <c:strRef>
              <c:f>Sheet3!$B$29:$J$29</c:f>
              <c:strCache>
                <c:ptCount val="9"/>
                <c:pt idx="0">
                  <c:v>NSW</c:v>
                </c:pt>
                <c:pt idx="1">
                  <c:v>Vic</c:v>
                </c:pt>
                <c:pt idx="2">
                  <c:v>Qld</c:v>
                </c:pt>
                <c:pt idx="3">
                  <c:v>SA</c:v>
                </c:pt>
                <c:pt idx="4">
                  <c:v>WA</c:v>
                </c:pt>
                <c:pt idx="5">
                  <c:v>Tas</c:v>
                </c:pt>
                <c:pt idx="6">
                  <c:v>NT</c:v>
                </c:pt>
                <c:pt idx="7">
                  <c:v>ACT</c:v>
                </c:pt>
                <c:pt idx="8">
                  <c:v>Aus</c:v>
                </c:pt>
              </c:strCache>
            </c:strRef>
          </c:cat>
          <c:val>
            <c:numRef>
              <c:f>Sheet3!$B$26:$J$26</c:f>
              <c:numCache>
                <c:formatCode>0.0</c:formatCode>
                <c:ptCount val="9"/>
                <c:pt idx="0">
                  <c:v>2.0577851940259979</c:v>
                </c:pt>
                <c:pt idx="1">
                  <c:v>1.8497837874942868</c:v>
                </c:pt>
                <c:pt idx="2">
                  <c:v>2.4708668771834921</c:v>
                </c:pt>
                <c:pt idx="3">
                  <c:v>2.1879312279125749</c:v>
                </c:pt>
                <c:pt idx="4">
                  <c:v>6.4857689343529454</c:v>
                </c:pt>
                <c:pt idx="5">
                  <c:v>1.8563345568904519</c:v>
                </c:pt>
                <c:pt idx="6">
                  <c:v>3.313283577337979</c:v>
                </c:pt>
                <c:pt idx="7">
                  <c:v>1.9175645126789784</c:v>
                </c:pt>
                <c:pt idx="8">
                  <c:v>2.7101489051678964</c:v>
                </c:pt>
              </c:numCache>
            </c:numRef>
          </c:val>
        </c:ser>
        <c:dLbls>
          <c:showLegendKey val="0"/>
          <c:showVal val="0"/>
          <c:showCatName val="0"/>
          <c:showSerName val="0"/>
          <c:showPercent val="0"/>
          <c:showBubbleSize val="0"/>
        </c:dLbls>
        <c:gapWidth val="150"/>
        <c:axId val="189382656"/>
        <c:axId val="189384192"/>
      </c:barChart>
      <c:catAx>
        <c:axId val="189382656"/>
        <c:scaling>
          <c:orientation val="minMax"/>
        </c:scaling>
        <c:delete val="0"/>
        <c:axPos val="b"/>
        <c:majorTickMark val="out"/>
        <c:minorTickMark val="none"/>
        <c:tickLblPos val="nextTo"/>
        <c:spPr>
          <a:ln>
            <a:solidFill>
              <a:schemeClr val="tx1"/>
            </a:solidFill>
          </a:ln>
        </c:spPr>
        <c:txPr>
          <a:bodyPr/>
          <a:lstStyle/>
          <a:p>
            <a:pPr>
              <a:defRPr>
                <a:latin typeface="Arial" pitchFamily="34" charset="0"/>
                <a:cs typeface="Arial" pitchFamily="34" charset="0"/>
              </a:defRPr>
            </a:pPr>
            <a:endParaRPr lang="en-US"/>
          </a:p>
        </c:txPr>
        <c:crossAx val="189384192"/>
        <c:crosses val="autoZero"/>
        <c:auto val="1"/>
        <c:lblAlgn val="ctr"/>
        <c:lblOffset val="100"/>
        <c:noMultiLvlLbl val="0"/>
      </c:catAx>
      <c:valAx>
        <c:axId val="189384192"/>
        <c:scaling>
          <c:orientation val="minMax"/>
          <c:max val="7"/>
        </c:scaling>
        <c:delete val="0"/>
        <c:axPos val="l"/>
        <c:majorGridlines>
          <c:spPr>
            <a:ln>
              <a:solidFill>
                <a:schemeClr val="bg1">
                  <a:lumMod val="50000"/>
                </a:schemeClr>
              </a:solidFill>
            </a:ln>
          </c:spPr>
        </c:majorGridlines>
        <c:title>
          <c:tx>
            <c:rich>
              <a:bodyPr rot="-5400000" vert="horz"/>
              <a:lstStyle/>
              <a:p>
                <a:pPr>
                  <a:defRPr>
                    <a:latin typeface="Arial" pitchFamily="34" charset="0"/>
                    <a:cs typeface="Arial" pitchFamily="34" charset="0"/>
                  </a:defRPr>
                </a:pPr>
                <a:r>
                  <a:rPr lang="en-AU">
                    <a:latin typeface="Arial" pitchFamily="34" charset="0"/>
                    <a:cs typeface="Arial" pitchFamily="34" charset="0"/>
                  </a:rPr>
                  <a:t>Per cent</a:t>
                </a:r>
              </a:p>
            </c:rich>
          </c:tx>
          <c:layout>
            <c:manualLayout>
              <c:xMode val="edge"/>
              <c:yMode val="edge"/>
              <c:x val="5.8425925925925963E-4"/>
              <c:y val="0.40657430555555557"/>
            </c:manualLayout>
          </c:layout>
          <c:overlay val="0"/>
        </c:title>
        <c:numFmt formatCode="0" sourceLinked="0"/>
        <c:majorTickMark val="out"/>
        <c:minorTickMark val="none"/>
        <c:tickLblPos val="nextTo"/>
        <c:spPr>
          <a:ln>
            <a:solidFill>
              <a:schemeClr val="tx1"/>
            </a:solidFill>
          </a:ln>
        </c:spPr>
        <c:txPr>
          <a:bodyPr/>
          <a:lstStyle/>
          <a:p>
            <a:pPr>
              <a:defRPr>
                <a:latin typeface="Arial" pitchFamily="34" charset="0"/>
                <a:cs typeface="Arial" pitchFamily="34" charset="0"/>
              </a:defRPr>
            </a:pPr>
            <a:endParaRPr lang="en-US"/>
          </a:p>
        </c:txPr>
        <c:crossAx val="189382656"/>
        <c:crosses val="autoZero"/>
        <c:crossBetween val="between"/>
        <c:majorUnit val="1"/>
      </c:valAx>
      <c:spPr>
        <a:ln>
          <a:solidFill>
            <a:schemeClr val="tx1"/>
          </a:solidFill>
        </a:ln>
      </c:spPr>
    </c:plotArea>
    <c:legend>
      <c:legendPos val="t"/>
      <c:layout>
        <c:manualLayout>
          <c:xMode val="edge"/>
          <c:yMode val="edge"/>
          <c:x val="0.30685425925925924"/>
          <c:y val="2.6458333333333334E-2"/>
          <c:w val="0.46625444444444447"/>
          <c:h val="7.5244097222222223E-2"/>
        </c:manualLayout>
      </c:layout>
      <c:overlay val="0"/>
      <c:txPr>
        <a:bodyPr/>
        <a:lstStyle/>
        <a:p>
          <a:pPr>
            <a:defRPr>
              <a:latin typeface="Arial" pitchFamily="34" charset="0"/>
              <a:cs typeface="Arial" pitchFamily="34" charset="0"/>
            </a:defRPr>
          </a:pPr>
          <a:endParaRPr lang="en-US"/>
        </a:p>
      </c:txPr>
    </c:legend>
    <c:plotVisOnly val="1"/>
    <c:dispBlanksAs val="gap"/>
    <c:showDLblsOverMax val="0"/>
  </c:chart>
  <c:spPr>
    <a:ln>
      <a:noFill/>
    </a:ln>
  </c:sp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9659814814814817E-2"/>
          <c:y val="0.11247708333333334"/>
          <c:w val="0.9022166954036972"/>
          <c:h val="0.77617291666666666"/>
        </c:manualLayout>
      </c:layout>
      <c:barChart>
        <c:barDir val="col"/>
        <c:grouping val="clustered"/>
        <c:varyColors val="0"/>
        <c:ser>
          <c:idx val="0"/>
          <c:order val="0"/>
          <c:tx>
            <c:strRef>
              <c:f>'State investment'!$A$35</c:f>
              <c:strCache>
                <c:ptCount val="1"/>
                <c:pt idx="0">
                  <c:v>1992 to 2002</c:v>
                </c:pt>
              </c:strCache>
            </c:strRef>
          </c:tx>
          <c:spPr>
            <a:solidFill>
              <a:srgbClr val="344893"/>
            </a:solidFill>
            <a:ln>
              <a:solidFill>
                <a:srgbClr val="344893"/>
              </a:solidFill>
            </a:ln>
          </c:spPr>
          <c:invertIfNegative val="0"/>
          <c:cat>
            <c:strRef>
              <c:f>'State investment'!$B$34:$I$34</c:f>
              <c:strCache>
                <c:ptCount val="8"/>
                <c:pt idx="0">
                  <c:v>NSW</c:v>
                </c:pt>
                <c:pt idx="1">
                  <c:v>VIC</c:v>
                </c:pt>
                <c:pt idx="2">
                  <c:v>QLD</c:v>
                </c:pt>
                <c:pt idx="3">
                  <c:v>SA</c:v>
                </c:pt>
                <c:pt idx="4">
                  <c:v>WA</c:v>
                </c:pt>
                <c:pt idx="5">
                  <c:v>Tas</c:v>
                </c:pt>
                <c:pt idx="6">
                  <c:v>NT</c:v>
                </c:pt>
                <c:pt idx="7">
                  <c:v>ACT</c:v>
                </c:pt>
              </c:strCache>
            </c:strRef>
          </c:cat>
          <c:val>
            <c:numRef>
              <c:f>'State investment'!$B$35:$I$35</c:f>
              <c:numCache>
                <c:formatCode>0.0</c:formatCode>
                <c:ptCount val="8"/>
                <c:pt idx="0">
                  <c:v>2.8470593111312334</c:v>
                </c:pt>
                <c:pt idx="1">
                  <c:v>4.065007043075866</c:v>
                </c:pt>
                <c:pt idx="2">
                  <c:v>4.2967545713932687</c:v>
                </c:pt>
                <c:pt idx="3">
                  <c:v>2.0543459785499265</c:v>
                </c:pt>
                <c:pt idx="4">
                  <c:v>2.3015953499725086</c:v>
                </c:pt>
                <c:pt idx="5">
                  <c:v>1.9126051407229692</c:v>
                </c:pt>
                <c:pt idx="6">
                  <c:v>6.8551591509702376</c:v>
                </c:pt>
                <c:pt idx="7">
                  <c:v>4.8365101806437112</c:v>
                </c:pt>
              </c:numCache>
            </c:numRef>
          </c:val>
        </c:ser>
        <c:ser>
          <c:idx val="1"/>
          <c:order val="1"/>
          <c:tx>
            <c:strRef>
              <c:f>'State investment'!$A$36</c:f>
              <c:strCache>
                <c:ptCount val="1"/>
                <c:pt idx="0">
                  <c:v>2002 to 2012</c:v>
                </c:pt>
              </c:strCache>
            </c:strRef>
          </c:tx>
          <c:spPr>
            <a:pattFill prst="pct60">
              <a:fgClr>
                <a:srgbClr val="86A20B"/>
              </a:fgClr>
              <a:bgClr>
                <a:schemeClr val="bg1"/>
              </a:bgClr>
            </a:pattFill>
            <a:ln>
              <a:solidFill>
                <a:srgbClr val="86A20B"/>
              </a:solidFill>
            </a:ln>
          </c:spPr>
          <c:invertIfNegative val="0"/>
          <c:cat>
            <c:strRef>
              <c:f>'State investment'!$B$34:$I$34</c:f>
              <c:strCache>
                <c:ptCount val="8"/>
                <c:pt idx="0">
                  <c:v>NSW</c:v>
                </c:pt>
                <c:pt idx="1">
                  <c:v>VIC</c:v>
                </c:pt>
                <c:pt idx="2">
                  <c:v>QLD</c:v>
                </c:pt>
                <c:pt idx="3">
                  <c:v>SA</c:v>
                </c:pt>
                <c:pt idx="4">
                  <c:v>WA</c:v>
                </c:pt>
                <c:pt idx="5">
                  <c:v>Tas</c:v>
                </c:pt>
                <c:pt idx="6">
                  <c:v>NT</c:v>
                </c:pt>
                <c:pt idx="7">
                  <c:v>ACT</c:v>
                </c:pt>
              </c:strCache>
            </c:strRef>
          </c:cat>
          <c:val>
            <c:numRef>
              <c:f>'State investment'!$B$36:$I$36</c:f>
              <c:numCache>
                <c:formatCode>0.0</c:formatCode>
                <c:ptCount val="8"/>
                <c:pt idx="0">
                  <c:v>3.9711156364883711</c:v>
                </c:pt>
                <c:pt idx="1">
                  <c:v>5.0748534316933931</c:v>
                </c:pt>
                <c:pt idx="2">
                  <c:v>8.3565785867318727</c:v>
                </c:pt>
                <c:pt idx="3">
                  <c:v>5.4332246450100232</c:v>
                </c:pt>
                <c:pt idx="4">
                  <c:v>12.081125959967279</c:v>
                </c:pt>
                <c:pt idx="5">
                  <c:v>4.0562481424920493</c:v>
                </c:pt>
                <c:pt idx="6">
                  <c:v>6.1812147645062838</c:v>
                </c:pt>
                <c:pt idx="7">
                  <c:v>7.5979091710704036</c:v>
                </c:pt>
              </c:numCache>
            </c:numRef>
          </c:val>
        </c:ser>
        <c:dLbls>
          <c:showLegendKey val="0"/>
          <c:showVal val="0"/>
          <c:showCatName val="0"/>
          <c:showSerName val="0"/>
          <c:showPercent val="0"/>
          <c:showBubbleSize val="0"/>
        </c:dLbls>
        <c:gapWidth val="150"/>
        <c:axId val="188950784"/>
        <c:axId val="188952576"/>
      </c:barChart>
      <c:catAx>
        <c:axId val="188950784"/>
        <c:scaling>
          <c:orientation val="minMax"/>
        </c:scaling>
        <c:delete val="0"/>
        <c:axPos val="b"/>
        <c:majorTickMark val="out"/>
        <c:minorTickMark val="none"/>
        <c:tickLblPos val="nextTo"/>
        <c:spPr>
          <a:ln>
            <a:solidFill>
              <a:schemeClr val="tx1"/>
            </a:solidFill>
          </a:ln>
        </c:spPr>
        <c:crossAx val="188952576"/>
        <c:crosses val="autoZero"/>
        <c:auto val="1"/>
        <c:lblAlgn val="ctr"/>
        <c:lblOffset val="100"/>
        <c:noMultiLvlLbl val="0"/>
      </c:catAx>
      <c:valAx>
        <c:axId val="188952576"/>
        <c:scaling>
          <c:orientation val="minMax"/>
          <c:max val="15"/>
        </c:scaling>
        <c:delete val="0"/>
        <c:axPos val="l"/>
        <c:majorGridlines/>
        <c:title>
          <c:tx>
            <c:rich>
              <a:bodyPr rot="-5400000" vert="horz"/>
              <a:lstStyle/>
              <a:p>
                <a:pPr>
                  <a:defRPr/>
                </a:pPr>
                <a:r>
                  <a:rPr lang="en-AU"/>
                  <a:t>Per cent</a:t>
                </a:r>
              </a:p>
            </c:rich>
          </c:tx>
          <c:layout>
            <c:manualLayout>
              <c:xMode val="edge"/>
              <c:yMode val="edge"/>
              <c:x val="5.5555555555555558E-3"/>
              <c:y val="0.33294181977252846"/>
            </c:manualLayout>
          </c:layout>
          <c:overlay val="0"/>
        </c:title>
        <c:numFmt formatCode="0" sourceLinked="0"/>
        <c:majorTickMark val="out"/>
        <c:minorTickMark val="none"/>
        <c:tickLblPos val="nextTo"/>
        <c:spPr>
          <a:ln>
            <a:solidFill>
              <a:schemeClr val="tx1"/>
            </a:solidFill>
          </a:ln>
        </c:spPr>
        <c:crossAx val="188950784"/>
        <c:crosses val="autoZero"/>
        <c:crossBetween val="between"/>
        <c:majorUnit val="3"/>
      </c:valAx>
      <c:spPr>
        <a:ln>
          <a:solidFill>
            <a:schemeClr val="tx1"/>
          </a:solidFill>
        </a:ln>
      </c:spPr>
    </c:plotArea>
    <c:legend>
      <c:legendPos val="t"/>
      <c:layout>
        <c:manualLayout>
          <c:xMode val="edge"/>
          <c:yMode val="edge"/>
          <c:x val="0.30685425925925924"/>
          <c:y val="8.819444444444444E-3"/>
          <c:w val="0.47095814814814813"/>
          <c:h val="9.2882986111111107E-2"/>
        </c:manualLayout>
      </c:layout>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7748333333333345E-2"/>
          <c:y val="0.11267038640037545"/>
          <c:w val="0.87866777777777783"/>
          <c:h val="0.74771236836850741"/>
        </c:manualLayout>
      </c:layout>
      <c:lineChart>
        <c:grouping val="standard"/>
        <c:varyColors val="0"/>
        <c:ser>
          <c:idx val="0"/>
          <c:order val="0"/>
          <c:tx>
            <c:strRef>
              <c:f>'Summary SCIs'!$B$3</c:f>
              <c:strCache>
                <c:ptCount val="1"/>
                <c:pt idx="0">
                  <c:v>Nominal output</c:v>
                </c:pt>
              </c:strCache>
            </c:strRef>
          </c:tx>
          <c:spPr>
            <a:ln w="19050">
              <a:solidFill>
                <a:srgbClr val="344893"/>
              </a:solidFill>
            </a:ln>
          </c:spPr>
          <c:marker>
            <c:symbol val="none"/>
          </c:marker>
          <c:cat>
            <c:numRef>
              <c:f>'Summary SCIs'!$A$4:$A$53</c:f>
              <c:numCache>
                <c:formatCode>yyyy</c:formatCode>
                <c:ptCount val="50"/>
                <c:pt idx="0">
                  <c:v>23163</c:v>
                </c:pt>
                <c:pt idx="1">
                  <c:v>23529</c:v>
                </c:pt>
                <c:pt idx="2">
                  <c:v>23894</c:v>
                </c:pt>
                <c:pt idx="3">
                  <c:v>24259</c:v>
                </c:pt>
                <c:pt idx="4">
                  <c:v>24624</c:v>
                </c:pt>
                <c:pt idx="5">
                  <c:v>24990</c:v>
                </c:pt>
                <c:pt idx="6">
                  <c:v>25355</c:v>
                </c:pt>
                <c:pt idx="7">
                  <c:v>25720</c:v>
                </c:pt>
                <c:pt idx="8">
                  <c:v>26085</c:v>
                </c:pt>
                <c:pt idx="9">
                  <c:v>26451</c:v>
                </c:pt>
                <c:pt idx="10">
                  <c:v>26816</c:v>
                </c:pt>
                <c:pt idx="11">
                  <c:v>27181</c:v>
                </c:pt>
                <c:pt idx="12">
                  <c:v>27546</c:v>
                </c:pt>
                <c:pt idx="13">
                  <c:v>27912</c:v>
                </c:pt>
                <c:pt idx="14">
                  <c:v>28277</c:v>
                </c:pt>
                <c:pt idx="15">
                  <c:v>28642</c:v>
                </c:pt>
                <c:pt idx="16">
                  <c:v>29007</c:v>
                </c:pt>
                <c:pt idx="17">
                  <c:v>29373</c:v>
                </c:pt>
                <c:pt idx="18">
                  <c:v>29738</c:v>
                </c:pt>
                <c:pt idx="19">
                  <c:v>30103</c:v>
                </c:pt>
                <c:pt idx="20">
                  <c:v>30468</c:v>
                </c:pt>
                <c:pt idx="21">
                  <c:v>30834</c:v>
                </c:pt>
                <c:pt idx="22">
                  <c:v>31199</c:v>
                </c:pt>
                <c:pt idx="23">
                  <c:v>31564</c:v>
                </c:pt>
                <c:pt idx="24">
                  <c:v>31929</c:v>
                </c:pt>
                <c:pt idx="25">
                  <c:v>32295</c:v>
                </c:pt>
                <c:pt idx="26">
                  <c:v>32660</c:v>
                </c:pt>
                <c:pt idx="27" formatCode="0;\-0;0;@">
                  <c:v>1990</c:v>
                </c:pt>
                <c:pt idx="28" formatCode="0;\-0;0;@">
                  <c:v>1991</c:v>
                </c:pt>
                <c:pt idx="29" formatCode="0;\-0;0;@">
                  <c:v>1992</c:v>
                </c:pt>
                <c:pt idx="30" formatCode="0;\-0;0;@">
                  <c:v>1993</c:v>
                </c:pt>
                <c:pt idx="31" formatCode="0;\-0;0;@">
                  <c:v>1994</c:v>
                </c:pt>
                <c:pt idx="32" formatCode="0;\-0;0;@">
                  <c:v>1995</c:v>
                </c:pt>
                <c:pt idx="33" formatCode="0;\-0;0;@">
                  <c:v>1996</c:v>
                </c:pt>
                <c:pt idx="34" formatCode="0;\-0;0;@">
                  <c:v>1997</c:v>
                </c:pt>
                <c:pt idx="35" formatCode="0;\-0;0;@">
                  <c:v>1998</c:v>
                </c:pt>
                <c:pt idx="36" formatCode="0;\-0;0;@">
                  <c:v>1999</c:v>
                </c:pt>
                <c:pt idx="37" formatCode="0;\-0;0;@">
                  <c:v>2000</c:v>
                </c:pt>
                <c:pt idx="38" formatCode="0;\-0;0;@">
                  <c:v>2001</c:v>
                </c:pt>
                <c:pt idx="39" formatCode="0;\-0;0;@">
                  <c:v>2002</c:v>
                </c:pt>
                <c:pt idx="40" formatCode="0;\-0;0;@">
                  <c:v>2003</c:v>
                </c:pt>
                <c:pt idx="41" formatCode="0;\-0;0;@">
                  <c:v>2004</c:v>
                </c:pt>
                <c:pt idx="42" formatCode="0;\-0;0;@">
                  <c:v>2005</c:v>
                </c:pt>
                <c:pt idx="43" formatCode="0;\-0;0;@">
                  <c:v>2006</c:v>
                </c:pt>
                <c:pt idx="44" formatCode="0;\-0;0;@">
                  <c:v>2007</c:v>
                </c:pt>
                <c:pt idx="45" formatCode="0;\-0;0;@">
                  <c:v>2008</c:v>
                </c:pt>
                <c:pt idx="46" formatCode="0;\-0;0;@">
                  <c:v>2009</c:v>
                </c:pt>
                <c:pt idx="47" formatCode="0;\-0;0;@">
                  <c:v>2010</c:v>
                </c:pt>
                <c:pt idx="48" formatCode="0;\-0;0;@">
                  <c:v>2011</c:v>
                </c:pt>
                <c:pt idx="49" formatCode="0;\-0;0;@">
                  <c:v>2012</c:v>
                </c:pt>
              </c:numCache>
            </c:numRef>
          </c:cat>
          <c:val>
            <c:numRef>
              <c:f>'Summary SCIs'!$B$4:$B$53</c:f>
              <c:numCache>
                <c:formatCode>0.00</c:formatCode>
                <c:ptCount val="50"/>
                <c:pt idx="0">
                  <c:v>1.0315137785799768</c:v>
                </c:pt>
                <c:pt idx="1">
                  <c:v>0.96616923514656761</c:v>
                </c:pt>
                <c:pt idx="2">
                  <c:v>0.75450470975129291</c:v>
                </c:pt>
                <c:pt idx="3">
                  <c:v>0.43846439008496274</c:v>
                </c:pt>
                <c:pt idx="4">
                  <c:v>0.58188850403544046</c:v>
                </c:pt>
                <c:pt idx="5">
                  <c:v>0.96510425179531456</c:v>
                </c:pt>
                <c:pt idx="6">
                  <c:v>1.4511681238641425</c:v>
                </c:pt>
                <c:pt idx="7">
                  <c:v>2.0188976015214748</c:v>
                </c:pt>
                <c:pt idx="8">
                  <c:v>1.9924693901296338</c:v>
                </c:pt>
                <c:pt idx="9">
                  <c:v>2.0678367184740329</c:v>
                </c:pt>
                <c:pt idx="10">
                  <c:v>1.8776378925870467</c:v>
                </c:pt>
                <c:pt idx="11">
                  <c:v>1.7926078073085547</c:v>
                </c:pt>
                <c:pt idx="12">
                  <c:v>1.8289612411561855</c:v>
                </c:pt>
                <c:pt idx="13">
                  <c:v>2.1495542663532388</c:v>
                </c:pt>
                <c:pt idx="14">
                  <c:v>2.1833423118778499</c:v>
                </c:pt>
                <c:pt idx="15">
                  <c:v>2.2877208059847822</c:v>
                </c:pt>
                <c:pt idx="16">
                  <c:v>2.0754608297134949</c:v>
                </c:pt>
                <c:pt idx="17">
                  <c:v>1.4937147527640424</c:v>
                </c:pt>
                <c:pt idx="18">
                  <c:v>1.0215926274653142</c:v>
                </c:pt>
                <c:pt idx="19">
                  <c:v>0.93419515985491453</c:v>
                </c:pt>
                <c:pt idx="20">
                  <c:v>1.0892492507592693</c:v>
                </c:pt>
                <c:pt idx="21">
                  <c:v>1.0644994773258578</c:v>
                </c:pt>
                <c:pt idx="22">
                  <c:v>1.0454827087643099</c:v>
                </c:pt>
                <c:pt idx="23">
                  <c:v>0.96747893876833713</c:v>
                </c:pt>
                <c:pt idx="24">
                  <c:v>1.108025248975153</c:v>
                </c:pt>
                <c:pt idx="25">
                  <c:v>1.0476082287321054</c:v>
                </c:pt>
                <c:pt idx="26">
                  <c:v>1.0217050471683666</c:v>
                </c:pt>
                <c:pt idx="27">
                  <c:v>1.3672227058300348</c:v>
                </c:pt>
                <c:pt idx="28">
                  <c:v>1.8863481925251813</c:v>
                </c:pt>
                <c:pt idx="29">
                  <c:v>2.3753770895913169</c:v>
                </c:pt>
                <c:pt idx="30">
                  <c:v>2.9086750361122924</c:v>
                </c:pt>
                <c:pt idx="31">
                  <c:v>3.0075460546170616</c:v>
                </c:pt>
                <c:pt idx="32">
                  <c:v>2.7871633804565703</c:v>
                </c:pt>
                <c:pt idx="33">
                  <c:v>2.4431237044065757</c:v>
                </c:pt>
                <c:pt idx="34">
                  <c:v>1.9129002787812202</c:v>
                </c:pt>
                <c:pt idx="35">
                  <c:v>1.531468466785606</c:v>
                </c:pt>
                <c:pt idx="36">
                  <c:v>1.3749410019011179</c:v>
                </c:pt>
                <c:pt idx="37">
                  <c:v>0.97261298003607166</c:v>
                </c:pt>
                <c:pt idx="38">
                  <c:v>0.66203892704454725</c:v>
                </c:pt>
                <c:pt idx="39">
                  <c:v>0.71552445697739919</c:v>
                </c:pt>
                <c:pt idx="40">
                  <c:v>0.98189535030483832</c:v>
                </c:pt>
                <c:pt idx="41">
                  <c:v>1.2065608565647405</c:v>
                </c:pt>
                <c:pt idx="42">
                  <c:v>1.6153225115004786</c:v>
                </c:pt>
                <c:pt idx="43">
                  <c:v>2.1090329675344073</c:v>
                </c:pt>
                <c:pt idx="44">
                  <c:v>2.7928822894207506</c:v>
                </c:pt>
                <c:pt idx="45">
                  <c:v>3.6175410031940354</c:v>
                </c:pt>
                <c:pt idx="46">
                  <c:v>4.4995277240817257</c:v>
                </c:pt>
                <c:pt idx="47">
                  <c:v>4.8024951015398623</c:v>
                </c:pt>
                <c:pt idx="48">
                  <c:v>4.751801805362776</c:v>
                </c:pt>
                <c:pt idx="49">
                  <c:v>4.4495267035455361</c:v>
                </c:pt>
              </c:numCache>
            </c:numRef>
          </c:val>
          <c:smooth val="0"/>
        </c:ser>
        <c:ser>
          <c:idx val="1"/>
          <c:order val="1"/>
          <c:tx>
            <c:strRef>
              <c:f>'Summary SCIs'!$C$3</c:f>
              <c:strCache>
                <c:ptCount val="1"/>
                <c:pt idx="0">
                  <c:v>Real output</c:v>
                </c:pt>
              </c:strCache>
            </c:strRef>
          </c:tx>
          <c:spPr>
            <a:ln w="19050">
              <a:solidFill>
                <a:srgbClr val="B4C98B"/>
              </a:solidFill>
              <a:prstDash val="sysDash"/>
            </a:ln>
          </c:spPr>
          <c:marker>
            <c:symbol val="none"/>
          </c:marker>
          <c:cat>
            <c:numRef>
              <c:f>'Summary SCIs'!$A$4:$A$53</c:f>
              <c:numCache>
                <c:formatCode>yyyy</c:formatCode>
                <c:ptCount val="50"/>
                <c:pt idx="0">
                  <c:v>23163</c:v>
                </c:pt>
                <c:pt idx="1">
                  <c:v>23529</c:v>
                </c:pt>
                <c:pt idx="2">
                  <c:v>23894</c:v>
                </c:pt>
                <c:pt idx="3">
                  <c:v>24259</c:v>
                </c:pt>
                <c:pt idx="4">
                  <c:v>24624</c:v>
                </c:pt>
                <c:pt idx="5">
                  <c:v>24990</c:v>
                </c:pt>
                <c:pt idx="6">
                  <c:v>25355</c:v>
                </c:pt>
                <c:pt idx="7">
                  <c:v>25720</c:v>
                </c:pt>
                <c:pt idx="8">
                  <c:v>26085</c:v>
                </c:pt>
                <c:pt idx="9">
                  <c:v>26451</c:v>
                </c:pt>
                <c:pt idx="10">
                  <c:v>26816</c:v>
                </c:pt>
                <c:pt idx="11">
                  <c:v>27181</c:v>
                </c:pt>
                <c:pt idx="12">
                  <c:v>27546</c:v>
                </c:pt>
                <c:pt idx="13">
                  <c:v>27912</c:v>
                </c:pt>
                <c:pt idx="14">
                  <c:v>28277</c:v>
                </c:pt>
                <c:pt idx="15">
                  <c:v>28642</c:v>
                </c:pt>
                <c:pt idx="16">
                  <c:v>29007</c:v>
                </c:pt>
                <c:pt idx="17">
                  <c:v>29373</c:v>
                </c:pt>
                <c:pt idx="18">
                  <c:v>29738</c:v>
                </c:pt>
                <c:pt idx="19">
                  <c:v>30103</c:v>
                </c:pt>
                <c:pt idx="20">
                  <c:v>30468</c:v>
                </c:pt>
                <c:pt idx="21">
                  <c:v>30834</c:v>
                </c:pt>
                <c:pt idx="22">
                  <c:v>31199</c:v>
                </c:pt>
                <c:pt idx="23">
                  <c:v>31564</c:v>
                </c:pt>
                <c:pt idx="24">
                  <c:v>31929</c:v>
                </c:pt>
                <c:pt idx="25">
                  <c:v>32295</c:v>
                </c:pt>
                <c:pt idx="26">
                  <c:v>32660</c:v>
                </c:pt>
                <c:pt idx="27" formatCode="0;\-0;0;@">
                  <c:v>1990</c:v>
                </c:pt>
                <c:pt idx="28" formatCode="0;\-0;0;@">
                  <c:v>1991</c:v>
                </c:pt>
                <c:pt idx="29" formatCode="0;\-0;0;@">
                  <c:v>1992</c:v>
                </c:pt>
                <c:pt idx="30" formatCode="0;\-0;0;@">
                  <c:v>1993</c:v>
                </c:pt>
                <c:pt idx="31" formatCode="0;\-0;0;@">
                  <c:v>1994</c:v>
                </c:pt>
                <c:pt idx="32" formatCode="0;\-0;0;@">
                  <c:v>1995</c:v>
                </c:pt>
                <c:pt idx="33" formatCode="0;\-0;0;@">
                  <c:v>1996</c:v>
                </c:pt>
                <c:pt idx="34" formatCode="0;\-0;0;@">
                  <c:v>1997</c:v>
                </c:pt>
                <c:pt idx="35" formatCode="0;\-0;0;@">
                  <c:v>1998</c:v>
                </c:pt>
                <c:pt idx="36" formatCode="0;\-0;0;@">
                  <c:v>1999</c:v>
                </c:pt>
                <c:pt idx="37" formatCode="0;\-0;0;@">
                  <c:v>2000</c:v>
                </c:pt>
                <c:pt idx="38" formatCode="0;\-0;0;@">
                  <c:v>2001</c:v>
                </c:pt>
                <c:pt idx="39" formatCode="0;\-0;0;@">
                  <c:v>2002</c:v>
                </c:pt>
                <c:pt idx="40" formatCode="0;\-0;0;@">
                  <c:v>2003</c:v>
                </c:pt>
                <c:pt idx="41" formatCode="0;\-0;0;@">
                  <c:v>2004</c:v>
                </c:pt>
                <c:pt idx="42" formatCode="0;\-0;0;@">
                  <c:v>2005</c:v>
                </c:pt>
                <c:pt idx="43" formatCode="0;\-0;0;@">
                  <c:v>2006</c:v>
                </c:pt>
                <c:pt idx="44" formatCode="0;\-0;0;@">
                  <c:v>2007</c:v>
                </c:pt>
                <c:pt idx="45" formatCode="0;\-0;0;@">
                  <c:v>2008</c:v>
                </c:pt>
                <c:pt idx="46" formatCode="0;\-0;0;@">
                  <c:v>2009</c:v>
                </c:pt>
                <c:pt idx="47" formatCode="0;\-0;0;@">
                  <c:v>2010</c:v>
                </c:pt>
                <c:pt idx="48" formatCode="0;\-0;0;@">
                  <c:v>2011</c:v>
                </c:pt>
                <c:pt idx="49" formatCode="0;\-0;0;@">
                  <c:v>2012</c:v>
                </c:pt>
              </c:numCache>
            </c:numRef>
          </c:cat>
          <c:val>
            <c:numRef>
              <c:f>'Summary SCIs'!$C$4:$C$53</c:f>
              <c:numCache>
                <c:formatCode>0.00</c:formatCode>
                <c:ptCount val="50"/>
                <c:pt idx="0">
                  <c:v>0.96804856665455064</c:v>
                </c:pt>
                <c:pt idx="1">
                  <c:v>1.0172640429221116</c:v>
                </c:pt>
                <c:pt idx="2">
                  <c:v>0.82702721082606789</c:v>
                </c:pt>
                <c:pt idx="3">
                  <c:v>0.78884611118381653</c:v>
                </c:pt>
                <c:pt idx="4">
                  <c:v>0.69018636765836017</c:v>
                </c:pt>
                <c:pt idx="5">
                  <c:v>1.0645714684420342</c:v>
                </c:pt>
                <c:pt idx="6">
                  <c:v>1.6031762655680253</c:v>
                </c:pt>
                <c:pt idx="7">
                  <c:v>2.1754953320323001</c:v>
                </c:pt>
                <c:pt idx="8">
                  <c:v>2.2387902229133294</c:v>
                </c:pt>
                <c:pt idx="9">
                  <c:v>2.387045718684448</c:v>
                </c:pt>
                <c:pt idx="10">
                  <c:v>2.170572565181609</c:v>
                </c:pt>
                <c:pt idx="11">
                  <c:v>2.0884034215204594</c:v>
                </c:pt>
                <c:pt idx="12">
                  <c:v>2.2264944018826585</c:v>
                </c:pt>
                <c:pt idx="13">
                  <c:v>2.5280004048122993</c:v>
                </c:pt>
                <c:pt idx="14">
                  <c:v>2.5019151779655715</c:v>
                </c:pt>
                <c:pt idx="15">
                  <c:v>2.5058045546363807</c:v>
                </c:pt>
                <c:pt idx="16">
                  <c:v>2.129899729394972</c:v>
                </c:pt>
                <c:pt idx="17">
                  <c:v>1.5262144944374678</c:v>
                </c:pt>
                <c:pt idx="18">
                  <c:v>1.3336545859610893</c:v>
                </c:pt>
                <c:pt idx="19">
                  <c:v>1.244700974989625</c:v>
                </c:pt>
                <c:pt idx="20">
                  <c:v>1.2694460852856588</c:v>
                </c:pt>
                <c:pt idx="21">
                  <c:v>1.0052235808647618</c:v>
                </c:pt>
                <c:pt idx="22">
                  <c:v>1.0382508174673015</c:v>
                </c:pt>
                <c:pt idx="23">
                  <c:v>1.0849218367635622</c:v>
                </c:pt>
                <c:pt idx="24">
                  <c:v>1.2113792384260398</c:v>
                </c:pt>
                <c:pt idx="25">
                  <c:v>0.8434450545524077</c:v>
                </c:pt>
                <c:pt idx="26">
                  <c:v>0.87011983577962759</c:v>
                </c:pt>
                <c:pt idx="27">
                  <c:v>0.96080698302659906</c:v>
                </c:pt>
                <c:pt idx="28">
                  <c:v>1.1510779136888973</c:v>
                </c:pt>
                <c:pt idx="29">
                  <c:v>1.6272138318427591</c:v>
                </c:pt>
                <c:pt idx="30">
                  <c:v>2.161952247809543</c:v>
                </c:pt>
                <c:pt idx="31">
                  <c:v>2.3825005582090064</c:v>
                </c:pt>
                <c:pt idx="32">
                  <c:v>2.3939921636059736</c:v>
                </c:pt>
                <c:pt idx="33">
                  <c:v>2.2898715063728767</c:v>
                </c:pt>
                <c:pt idx="34">
                  <c:v>2.0948441218415423</c:v>
                </c:pt>
                <c:pt idx="35">
                  <c:v>1.8237584608760484</c:v>
                </c:pt>
                <c:pt idx="36">
                  <c:v>1.6172288800831194</c:v>
                </c:pt>
                <c:pt idx="37">
                  <c:v>1.2152399775801994</c:v>
                </c:pt>
                <c:pt idx="38">
                  <c:v>0.9224740674664107</c:v>
                </c:pt>
                <c:pt idx="39">
                  <c:v>0.88832912366504257</c:v>
                </c:pt>
                <c:pt idx="40">
                  <c:v>0.97088657493606001</c:v>
                </c:pt>
                <c:pt idx="41">
                  <c:v>1.1153992396468131</c:v>
                </c:pt>
                <c:pt idx="42">
                  <c:v>1.4547895729494407</c:v>
                </c:pt>
                <c:pt idx="43">
                  <c:v>1.9020906899110188</c:v>
                </c:pt>
                <c:pt idx="44">
                  <c:v>2.2154366575150517</c:v>
                </c:pt>
                <c:pt idx="45">
                  <c:v>2.5022209081870219</c:v>
                </c:pt>
                <c:pt idx="46">
                  <c:v>2.5961514481718075</c:v>
                </c:pt>
                <c:pt idx="47">
                  <c:v>2.5253993158597883</c:v>
                </c:pt>
                <c:pt idx="48">
                  <c:v>2.2092334754784488</c:v>
                </c:pt>
                <c:pt idx="49">
                  <c:v>1.8901606268477593</c:v>
                </c:pt>
              </c:numCache>
            </c:numRef>
          </c:val>
          <c:smooth val="0"/>
        </c:ser>
        <c:ser>
          <c:idx val="2"/>
          <c:order val="2"/>
          <c:tx>
            <c:strRef>
              <c:f>'Summary SCIs'!$D$3</c:f>
              <c:strCache>
                <c:ptCount val="1"/>
                <c:pt idx="0">
                  <c:v>Nominal investment</c:v>
                </c:pt>
              </c:strCache>
            </c:strRef>
          </c:tx>
          <c:spPr>
            <a:ln w="19050">
              <a:solidFill>
                <a:srgbClr val="7B905A"/>
              </a:solidFill>
              <a:prstDash val="dashDot"/>
            </a:ln>
          </c:spPr>
          <c:marker>
            <c:symbol val="none"/>
          </c:marker>
          <c:cat>
            <c:numRef>
              <c:f>'Summary SCIs'!$A$4:$A$53</c:f>
              <c:numCache>
                <c:formatCode>yyyy</c:formatCode>
                <c:ptCount val="50"/>
                <c:pt idx="0">
                  <c:v>23163</c:v>
                </c:pt>
                <c:pt idx="1">
                  <c:v>23529</c:v>
                </c:pt>
                <c:pt idx="2">
                  <c:v>23894</c:v>
                </c:pt>
                <c:pt idx="3">
                  <c:v>24259</c:v>
                </c:pt>
                <c:pt idx="4">
                  <c:v>24624</c:v>
                </c:pt>
                <c:pt idx="5">
                  <c:v>24990</c:v>
                </c:pt>
                <c:pt idx="6">
                  <c:v>25355</c:v>
                </c:pt>
                <c:pt idx="7">
                  <c:v>25720</c:v>
                </c:pt>
                <c:pt idx="8">
                  <c:v>26085</c:v>
                </c:pt>
                <c:pt idx="9">
                  <c:v>26451</c:v>
                </c:pt>
                <c:pt idx="10">
                  <c:v>26816</c:v>
                </c:pt>
                <c:pt idx="11">
                  <c:v>27181</c:v>
                </c:pt>
                <c:pt idx="12">
                  <c:v>27546</c:v>
                </c:pt>
                <c:pt idx="13">
                  <c:v>27912</c:v>
                </c:pt>
                <c:pt idx="14">
                  <c:v>28277</c:v>
                </c:pt>
                <c:pt idx="15">
                  <c:v>28642</c:v>
                </c:pt>
                <c:pt idx="16">
                  <c:v>29007</c:v>
                </c:pt>
                <c:pt idx="17">
                  <c:v>29373</c:v>
                </c:pt>
                <c:pt idx="18">
                  <c:v>29738</c:v>
                </c:pt>
                <c:pt idx="19">
                  <c:v>30103</c:v>
                </c:pt>
                <c:pt idx="20">
                  <c:v>30468</c:v>
                </c:pt>
                <c:pt idx="21">
                  <c:v>30834</c:v>
                </c:pt>
                <c:pt idx="22">
                  <c:v>31199</c:v>
                </c:pt>
                <c:pt idx="23">
                  <c:v>31564</c:v>
                </c:pt>
                <c:pt idx="24">
                  <c:v>31929</c:v>
                </c:pt>
                <c:pt idx="25">
                  <c:v>32295</c:v>
                </c:pt>
                <c:pt idx="26">
                  <c:v>32660</c:v>
                </c:pt>
                <c:pt idx="27" formatCode="0;\-0;0;@">
                  <c:v>1990</c:v>
                </c:pt>
                <c:pt idx="28" formatCode="0;\-0;0;@">
                  <c:v>1991</c:v>
                </c:pt>
                <c:pt idx="29" formatCode="0;\-0;0;@">
                  <c:v>1992</c:v>
                </c:pt>
                <c:pt idx="30" formatCode="0;\-0;0;@">
                  <c:v>1993</c:v>
                </c:pt>
                <c:pt idx="31" formatCode="0;\-0;0;@">
                  <c:v>1994</c:v>
                </c:pt>
                <c:pt idx="32" formatCode="0;\-0;0;@">
                  <c:v>1995</c:v>
                </c:pt>
                <c:pt idx="33" formatCode="0;\-0;0;@">
                  <c:v>1996</c:v>
                </c:pt>
                <c:pt idx="34" formatCode="0;\-0;0;@">
                  <c:v>1997</c:v>
                </c:pt>
                <c:pt idx="35" formatCode="0;\-0;0;@">
                  <c:v>1998</c:v>
                </c:pt>
                <c:pt idx="36" formatCode="0;\-0;0;@">
                  <c:v>1999</c:v>
                </c:pt>
                <c:pt idx="37" formatCode="0;\-0;0;@">
                  <c:v>2000</c:v>
                </c:pt>
                <c:pt idx="38" formatCode="0;\-0;0;@">
                  <c:v>2001</c:v>
                </c:pt>
                <c:pt idx="39" formatCode="0;\-0;0;@">
                  <c:v>2002</c:v>
                </c:pt>
                <c:pt idx="40" formatCode="0;\-0;0;@">
                  <c:v>2003</c:v>
                </c:pt>
                <c:pt idx="41" formatCode="0;\-0;0;@">
                  <c:v>2004</c:v>
                </c:pt>
                <c:pt idx="42" formatCode="0;\-0;0;@">
                  <c:v>2005</c:v>
                </c:pt>
                <c:pt idx="43" formatCode="0;\-0;0;@">
                  <c:v>2006</c:v>
                </c:pt>
                <c:pt idx="44" formatCode="0;\-0;0;@">
                  <c:v>2007</c:v>
                </c:pt>
                <c:pt idx="45" formatCode="0;\-0;0;@">
                  <c:v>2008</c:v>
                </c:pt>
                <c:pt idx="46" formatCode="0;\-0;0;@">
                  <c:v>2009</c:v>
                </c:pt>
                <c:pt idx="47" formatCode="0;\-0;0;@">
                  <c:v>2010</c:v>
                </c:pt>
                <c:pt idx="48" formatCode="0;\-0;0;@">
                  <c:v>2011</c:v>
                </c:pt>
                <c:pt idx="49" formatCode="0;\-0;0;@">
                  <c:v>2012</c:v>
                </c:pt>
              </c:numCache>
            </c:numRef>
          </c:cat>
          <c:val>
            <c:numRef>
              <c:f>'Summary SCIs'!$D$4:$D$53</c:f>
              <c:numCache>
                <c:formatCode>0.00</c:formatCode>
                <c:ptCount val="50"/>
                <c:pt idx="0">
                  <c:v>2.2860458800258883</c:v>
                </c:pt>
                <c:pt idx="1">
                  <c:v>2.1739904047004273</c:v>
                </c:pt>
                <c:pt idx="2">
                  <c:v>1.5955365236991672</c:v>
                </c:pt>
                <c:pt idx="3">
                  <c:v>1.5186719279656007</c:v>
                </c:pt>
                <c:pt idx="4">
                  <c:v>2.9301262194439222</c:v>
                </c:pt>
                <c:pt idx="5">
                  <c:v>3.633620195461944</c:v>
                </c:pt>
                <c:pt idx="6">
                  <c:v>4.2006002663628053</c:v>
                </c:pt>
                <c:pt idx="7">
                  <c:v>5.1148659338312514</c:v>
                </c:pt>
                <c:pt idx="8">
                  <c:v>5.1462815249672946</c:v>
                </c:pt>
                <c:pt idx="9">
                  <c:v>5.009018596440086</c:v>
                </c:pt>
                <c:pt idx="10">
                  <c:v>4.3165479373448044</c:v>
                </c:pt>
                <c:pt idx="11">
                  <c:v>3.8907819948938811</c:v>
                </c:pt>
                <c:pt idx="12">
                  <c:v>3.4488478749029321</c:v>
                </c:pt>
                <c:pt idx="13">
                  <c:v>3.2915142844404288</c:v>
                </c:pt>
                <c:pt idx="14">
                  <c:v>2.8437655384270499</c:v>
                </c:pt>
                <c:pt idx="15">
                  <c:v>3.0229035232935857</c:v>
                </c:pt>
                <c:pt idx="16">
                  <c:v>2.5006298668854572</c:v>
                </c:pt>
                <c:pt idx="17">
                  <c:v>1.8524635750592522</c:v>
                </c:pt>
                <c:pt idx="18">
                  <c:v>0.75892248906591764</c:v>
                </c:pt>
                <c:pt idx="19">
                  <c:v>2.5388833431269999</c:v>
                </c:pt>
                <c:pt idx="20">
                  <c:v>3.6465308163713726</c:v>
                </c:pt>
                <c:pt idx="21">
                  <c:v>4.0556263087389617</c:v>
                </c:pt>
                <c:pt idx="22">
                  <c:v>3.6465209355924562</c:v>
                </c:pt>
                <c:pt idx="23">
                  <c:v>1.7325146637094606</c:v>
                </c:pt>
                <c:pt idx="24">
                  <c:v>2.2467117973818578</c:v>
                </c:pt>
                <c:pt idx="25">
                  <c:v>2.0033032155777444</c:v>
                </c:pt>
                <c:pt idx="26">
                  <c:v>2.7899711582313227</c:v>
                </c:pt>
                <c:pt idx="27">
                  <c:v>2.637242583474892</c:v>
                </c:pt>
                <c:pt idx="28">
                  <c:v>2.5399740954863046</c:v>
                </c:pt>
                <c:pt idx="29">
                  <c:v>2.7800921084501065</c:v>
                </c:pt>
                <c:pt idx="30">
                  <c:v>3.4925390451928799</c:v>
                </c:pt>
                <c:pt idx="31">
                  <c:v>4.1321596918081598</c:v>
                </c:pt>
                <c:pt idx="32">
                  <c:v>4.2952485421716968</c:v>
                </c:pt>
                <c:pt idx="33">
                  <c:v>3.7579527949715059</c:v>
                </c:pt>
                <c:pt idx="34">
                  <c:v>3.2725952942785934</c:v>
                </c:pt>
                <c:pt idx="35">
                  <c:v>2.8741479042914988</c:v>
                </c:pt>
                <c:pt idx="36">
                  <c:v>2.3474974485906359</c:v>
                </c:pt>
                <c:pt idx="37">
                  <c:v>2.5983079400680928</c:v>
                </c:pt>
                <c:pt idx="38">
                  <c:v>2.0333636793939025</c:v>
                </c:pt>
                <c:pt idx="39">
                  <c:v>2.1155810069332803</c:v>
                </c:pt>
                <c:pt idx="40">
                  <c:v>2.5593873098515116</c:v>
                </c:pt>
                <c:pt idx="41">
                  <c:v>2.67261592081802</c:v>
                </c:pt>
                <c:pt idx="42">
                  <c:v>3.1684522051031663</c:v>
                </c:pt>
                <c:pt idx="43">
                  <c:v>3.0939955914275377</c:v>
                </c:pt>
                <c:pt idx="44">
                  <c:v>4.3355498726925674</c:v>
                </c:pt>
                <c:pt idx="45">
                  <c:v>6.5010950132177427</c:v>
                </c:pt>
                <c:pt idx="46">
                  <c:v>8.3087497659051675</c:v>
                </c:pt>
                <c:pt idx="47">
                  <c:v>9.1190199687244977</c:v>
                </c:pt>
                <c:pt idx="48">
                  <c:v>8.6195052351034747</c:v>
                </c:pt>
                <c:pt idx="49">
                  <c:v>7.6015044684264677</c:v>
                </c:pt>
              </c:numCache>
            </c:numRef>
          </c:val>
          <c:smooth val="0"/>
        </c:ser>
        <c:ser>
          <c:idx val="3"/>
          <c:order val="3"/>
          <c:tx>
            <c:strRef>
              <c:f>'Summary SCIs'!$E$3</c:f>
              <c:strCache>
                <c:ptCount val="1"/>
                <c:pt idx="0">
                  <c:v>Real investment</c:v>
                </c:pt>
              </c:strCache>
            </c:strRef>
          </c:tx>
          <c:spPr>
            <a:ln w="22225">
              <a:solidFill>
                <a:srgbClr val="39580D"/>
              </a:solidFill>
              <a:prstDash val="sysDot"/>
            </a:ln>
          </c:spPr>
          <c:marker>
            <c:symbol val="none"/>
          </c:marker>
          <c:cat>
            <c:numRef>
              <c:f>'Summary SCIs'!$A$4:$A$53</c:f>
              <c:numCache>
                <c:formatCode>yyyy</c:formatCode>
                <c:ptCount val="50"/>
                <c:pt idx="0">
                  <c:v>23163</c:v>
                </c:pt>
                <c:pt idx="1">
                  <c:v>23529</c:v>
                </c:pt>
                <c:pt idx="2">
                  <c:v>23894</c:v>
                </c:pt>
                <c:pt idx="3">
                  <c:v>24259</c:v>
                </c:pt>
                <c:pt idx="4">
                  <c:v>24624</c:v>
                </c:pt>
                <c:pt idx="5">
                  <c:v>24990</c:v>
                </c:pt>
                <c:pt idx="6">
                  <c:v>25355</c:v>
                </c:pt>
                <c:pt idx="7">
                  <c:v>25720</c:v>
                </c:pt>
                <c:pt idx="8">
                  <c:v>26085</c:v>
                </c:pt>
                <c:pt idx="9">
                  <c:v>26451</c:v>
                </c:pt>
                <c:pt idx="10">
                  <c:v>26816</c:v>
                </c:pt>
                <c:pt idx="11">
                  <c:v>27181</c:v>
                </c:pt>
                <c:pt idx="12">
                  <c:v>27546</c:v>
                </c:pt>
                <c:pt idx="13">
                  <c:v>27912</c:v>
                </c:pt>
                <c:pt idx="14">
                  <c:v>28277</c:v>
                </c:pt>
                <c:pt idx="15">
                  <c:v>28642</c:v>
                </c:pt>
                <c:pt idx="16">
                  <c:v>29007</c:v>
                </c:pt>
                <c:pt idx="17">
                  <c:v>29373</c:v>
                </c:pt>
                <c:pt idx="18">
                  <c:v>29738</c:v>
                </c:pt>
                <c:pt idx="19">
                  <c:v>30103</c:v>
                </c:pt>
                <c:pt idx="20">
                  <c:v>30468</c:v>
                </c:pt>
                <c:pt idx="21">
                  <c:v>30834</c:v>
                </c:pt>
                <c:pt idx="22">
                  <c:v>31199</c:v>
                </c:pt>
                <c:pt idx="23">
                  <c:v>31564</c:v>
                </c:pt>
                <c:pt idx="24">
                  <c:v>31929</c:v>
                </c:pt>
                <c:pt idx="25">
                  <c:v>32295</c:v>
                </c:pt>
                <c:pt idx="26">
                  <c:v>32660</c:v>
                </c:pt>
                <c:pt idx="27" formatCode="0;\-0;0;@">
                  <c:v>1990</c:v>
                </c:pt>
                <c:pt idx="28" formatCode="0;\-0;0;@">
                  <c:v>1991</c:v>
                </c:pt>
                <c:pt idx="29" formatCode="0;\-0;0;@">
                  <c:v>1992</c:v>
                </c:pt>
                <c:pt idx="30" formatCode="0;\-0;0;@">
                  <c:v>1993</c:v>
                </c:pt>
                <c:pt idx="31" formatCode="0;\-0;0;@">
                  <c:v>1994</c:v>
                </c:pt>
                <c:pt idx="32" formatCode="0;\-0;0;@">
                  <c:v>1995</c:v>
                </c:pt>
                <c:pt idx="33" formatCode="0;\-0;0;@">
                  <c:v>1996</c:v>
                </c:pt>
                <c:pt idx="34" formatCode="0;\-0;0;@">
                  <c:v>1997</c:v>
                </c:pt>
                <c:pt idx="35" formatCode="0;\-0;0;@">
                  <c:v>1998</c:v>
                </c:pt>
                <c:pt idx="36" formatCode="0;\-0;0;@">
                  <c:v>1999</c:v>
                </c:pt>
                <c:pt idx="37" formatCode="0;\-0;0;@">
                  <c:v>2000</c:v>
                </c:pt>
                <c:pt idx="38" formatCode="0;\-0;0;@">
                  <c:v>2001</c:v>
                </c:pt>
                <c:pt idx="39" formatCode="0;\-0;0;@">
                  <c:v>2002</c:v>
                </c:pt>
                <c:pt idx="40" formatCode="0;\-0;0;@">
                  <c:v>2003</c:v>
                </c:pt>
                <c:pt idx="41" formatCode="0;\-0;0;@">
                  <c:v>2004</c:v>
                </c:pt>
                <c:pt idx="42" formatCode="0;\-0;0;@">
                  <c:v>2005</c:v>
                </c:pt>
                <c:pt idx="43" formatCode="0;\-0;0;@">
                  <c:v>2006</c:v>
                </c:pt>
                <c:pt idx="44" formatCode="0;\-0;0;@">
                  <c:v>2007</c:v>
                </c:pt>
                <c:pt idx="45" formatCode="0;\-0;0;@">
                  <c:v>2008</c:v>
                </c:pt>
                <c:pt idx="46" formatCode="0;\-0;0;@">
                  <c:v>2009</c:v>
                </c:pt>
                <c:pt idx="47" formatCode="0;\-0;0;@">
                  <c:v>2010</c:v>
                </c:pt>
                <c:pt idx="48" formatCode="0;\-0;0;@">
                  <c:v>2011</c:v>
                </c:pt>
                <c:pt idx="49" formatCode="0;\-0;0;@">
                  <c:v>2012</c:v>
                </c:pt>
              </c:numCache>
            </c:numRef>
          </c:cat>
          <c:val>
            <c:numRef>
              <c:f>'Summary SCIs'!$E$4:$E$53</c:f>
              <c:numCache>
                <c:formatCode>General</c:formatCode>
                <c:ptCount val="50"/>
                <c:pt idx="36" formatCode="0.00">
                  <c:v>2.4182186342408771</c:v>
                </c:pt>
                <c:pt idx="37" formatCode="0.00">
                  <c:v>2.6398978469571004</c:v>
                </c:pt>
                <c:pt idx="38" formatCode="0.00">
                  <c:v>2.2458475075493718</c:v>
                </c:pt>
                <c:pt idx="39" formatCode="0.00">
                  <c:v>2.3060075568020344</c:v>
                </c:pt>
                <c:pt idx="40" formatCode="0.00">
                  <c:v>2.6777532359960619</c:v>
                </c:pt>
                <c:pt idx="41" formatCode="0.00">
                  <c:v>2.9311260922899809</c:v>
                </c:pt>
                <c:pt idx="42" formatCode="0.00">
                  <c:v>3.3071274121835841</c:v>
                </c:pt>
                <c:pt idx="43" formatCode="0.00">
                  <c:v>3.0578815800971331</c:v>
                </c:pt>
                <c:pt idx="44" formatCode="0.00">
                  <c:v>3.3140437553021735</c:v>
                </c:pt>
                <c:pt idx="45" formatCode="0.00">
                  <c:v>4.8641968184769553</c:v>
                </c:pt>
                <c:pt idx="46" formatCode="0.00">
                  <c:v>6.2224569712749265</c:v>
                </c:pt>
                <c:pt idx="47" formatCode="0.00">
                  <c:v>6.9107602438354085</c:v>
                </c:pt>
                <c:pt idx="48" formatCode="0.00">
                  <c:v>6.5452765350506503</c:v>
                </c:pt>
                <c:pt idx="49" formatCode="0.00">
                  <c:v>5.9297639943419886</c:v>
                </c:pt>
              </c:numCache>
            </c:numRef>
          </c:val>
          <c:smooth val="0"/>
        </c:ser>
        <c:dLbls>
          <c:showLegendKey val="0"/>
          <c:showVal val="0"/>
          <c:showCatName val="0"/>
          <c:showSerName val="0"/>
          <c:showPercent val="0"/>
          <c:showBubbleSize val="0"/>
        </c:dLbls>
        <c:marker val="1"/>
        <c:smooth val="0"/>
        <c:axId val="188983936"/>
        <c:axId val="189006208"/>
      </c:lineChart>
      <c:catAx>
        <c:axId val="188983936"/>
        <c:scaling>
          <c:orientation val="minMax"/>
        </c:scaling>
        <c:delete val="0"/>
        <c:axPos val="b"/>
        <c:numFmt formatCode="yyyy" sourceLinked="1"/>
        <c:majorTickMark val="out"/>
        <c:minorTickMark val="none"/>
        <c:tickLblPos val="nextTo"/>
        <c:spPr>
          <a:ln>
            <a:solidFill>
              <a:schemeClr val="tx1"/>
            </a:solidFill>
          </a:ln>
        </c:spPr>
        <c:txPr>
          <a:bodyPr rot="0"/>
          <a:lstStyle/>
          <a:p>
            <a:pPr>
              <a:defRPr/>
            </a:pPr>
            <a:endParaRPr lang="en-US"/>
          </a:p>
        </c:txPr>
        <c:crossAx val="189006208"/>
        <c:crosses val="autoZero"/>
        <c:auto val="1"/>
        <c:lblAlgn val="ctr"/>
        <c:lblOffset val="100"/>
        <c:tickLblSkip val="7"/>
        <c:tickMarkSkip val="7"/>
        <c:noMultiLvlLbl val="0"/>
      </c:catAx>
      <c:valAx>
        <c:axId val="189006208"/>
        <c:scaling>
          <c:orientation val="minMax"/>
          <c:max val="10"/>
          <c:min val="0"/>
        </c:scaling>
        <c:delete val="0"/>
        <c:axPos val="l"/>
        <c:majorGridlines/>
        <c:title>
          <c:tx>
            <c:rich>
              <a:bodyPr rot="-5400000" vert="horz"/>
              <a:lstStyle/>
              <a:p>
                <a:pPr>
                  <a:defRPr/>
                </a:pPr>
                <a:r>
                  <a:rPr lang="en-AU"/>
                  <a:t>Index value</a:t>
                </a:r>
              </a:p>
            </c:rich>
          </c:tx>
          <c:layout>
            <c:manualLayout>
              <c:xMode val="edge"/>
              <c:yMode val="edge"/>
              <c:x val="2.7777777777777775E-3"/>
              <c:y val="0.38731666666666664"/>
            </c:manualLayout>
          </c:layout>
          <c:overlay val="0"/>
        </c:title>
        <c:numFmt formatCode="0" sourceLinked="0"/>
        <c:majorTickMark val="out"/>
        <c:minorTickMark val="none"/>
        <c:tickLblPos val="nextTo"/>
        <c:spPr>
          <a:ln>
            <a:solidFill>
              <a:schemeClr val="tx1"/>
            </a:solidFill>
          </a:ln>
        </c:spPr>
        <c:crossAx val="188983936"/>
        <c:crosses val="autoZero"/>
        <c:crossBetween val="midCat"/>
        <c:majorUnit val="2"/>
      </c:valAx>
      <c:spPr>
        <a:ln>
          <a:solidFill>
            <a:schemeClr val="tx1"/>
          </a:solidFill>
        </a:ln>
      </c:spPr>
    </c:plotArea>
    <c:legend>
      <c:legendPos val="t"/>
      <c:layout>
        <c:manualLayout>
          <c:xMode val="edge"/>
          <c:yMode val="edge"/>
          <c:x val="0"/>
          <c:y val="4.3785430900520027E-3"/>
          <c:w val="1"/>
          <c:h val="8.2137500000000002E-2"/>
        </c:manualLayout>
      </c:layout>
      <c:overlay val="0"/>
      <c:txPr>
        <a:bodyPr/>
        <a:lstStyle/>
        <a:p>
          <a:pPr>
            <a:defRPr sz="950"/>
          </a:pPr>
          <a:endParaRPr lang="en-US"/>
        </a:p>
      </c:txPr>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231290322580645E-2"/>
          <c:y val="0.1060749856599051"/>
          <c:w val="0.87872222222222218"/>
          <c:h val="0.80611169469306965"/>
        </c:manualLayout>
      </c:layout>
      <c:lineChart>
        <c:grouping val="standard"/>
        <c:varyColors val="0"/>
        <c:ser>
          <c:idx val="0"/>
          <c:order val="0"/>
          <c:tx>
            <c:strRef>
              <c:f>'Updated SCI summary'!$B$1</c:f>
              <c:strCache>
                <c:ptCount val="1"/>
                <c:pt idx="0">
                  <c:v>Nominal output</c:v>
                </c:pt>
              </c:strCache>
            </c:strRef>
          </c:tx>
          <c:spPr>
            <a:ln w="19050">
              <a:solidFill>
                <a:srgbClr val="344893"/>
              </a:solidFill>
            </a:ln>
          </c:spPr>
          <c:marker>
            <c:symbol val="none"/>
          </c:marker>
          <c:cat>
            <c:numRef>
              <c:f>'Updated SCI summary'!$A$3:$A$57</c:f>
              <c:numCache>
                <c:formatCode>yyyy</c:formatCode>
                <c:ptCount val="55"/>
                <c:pt idx="0">
                  <c:v>21337</c:v>
                </c:pt>
                <c:pt idx="1">
                  <c:v>21702</c:v>
                </c:pt>
                <c:pt idx="2">
                  <c:v>22068</c:v>
                </c:pt>
                <c:pt idx="3">
                  <c:v>22433</c:v>
                </c:pt>
                <c:pt idx="4">
                  <c:v>22798</c:v>
                </c:pt>
                <c:pt idx="5">
                  <c:v>23163</c:v>
                </c:pt>
                <c:pt idx="6">
                  <c:v>23529</c:v>
                </c:pt>
                <c:pt idx="7">
                  <c:v>23894</c:v>
                </c:pt>
                <c:pt idx="8">
                  <c:v>24259</c:v>
                </c:pt>
                <c:pt idx="9">
                  <c:v>24624</c:v>
                </c:pt>
                <c:pt idx="10">
                  <c:v>24990</c:v>
                </c:pt>
                <c:pt idx="11">
                  <c:v>25355</c:v>
                </c:pt>
                <c:pt idx="12">
                  <c:v>25720</c:v>
                </c:pt>
                <c:pt idx="13">
                  <c:v>26085</c:v>
                </c:pt>
                <c:pt idx="14">
                  <c:v>26451</c:v>
                </c:pt>
                <c:pt idx="15">
                  <c:v>26816</c:v>
                </c:pt>
                <c:pt idx="16">
                  <c:v>27181</c:v>
                </c:pt>
                <c:pt idx="17">
                  <c:v>27546</c:v>
                </c:pt>
                <c:pt idx="18">
                  <c:v>27912</c:v>
                </c:pt>
                <c:pt idx="19">
                  <c:v>28277</c:v>
                </c:pt>
                <c:pt idx="20">
                  <c:v>28642</c:v>
                </c:pt>
                <c:pt idx="21">
                  <c:v>29007</c:v>
                </c:pt>
                <c:pt idx="22">
                  <c:v>29373</c:v>
                </c:pt>
                <c:pt idx="23">
                  <c:v>29738</c:v>
                </c:pt>
                <c:pt idx="24">
                  <c:v>30103</c:v>
                </c:pt>
                <c:pt idx="25">
                  <c:v>30468</c:v>
                </c:pt>
                <c:pt idx="26">
                  <c:v>30834</c:v>
                </c:pt>
                <c:pt idx="27">
                  <c:v>31199</c:v>
                </c:pt>
                <c:pt idx="28">
                  <c:v>31564</c:v>
                </c:pt>
                <c:pt idx="29">
                  <c:v>31929</c:v>
                </c:pt>
                <c:pt idx="30">
                  <c:v>32295</c:v>
                </c:pt>
                <c:pt idx="31">
                  <c:v>32660</c:v>
                </c:pt>
                <c:pt idx="32" formatCode="0;\-0;0;@">
                  <c:v>1990</c:v>
                </c:pt>
                <c:pt idx="33" formatCode="0;\-0;0;@">
                  <c:v>1991</c:v>
                </c:pt>
                <c:pt idx="34" formatCode="0;\-0;0;@">
                  <c:v>1992</c:v>
                </c:pt>
                <c:pt idx="35" formatCode="0;\-0;0;@">
                  <c:v>1993</c:v>
                </c:pt>
                <c:pt idx="36" formatCode="0;\-0;0;@">
                  <c:v>1994</c:v>
                </c:pt>
                <c:pt idx="37" formatCode="0;\-0;0;@">
                  <c:v>1995</c:v>
                </c:pt>
                <c:pt idx="38" formatCode="0;\-0;0;@">
                  <c:v>1996</c:v>
                </c:pt>
                <c:pt idx="39" formatCode="0;\-0;0;@">
                  <c:v>1997</c:v>
                </c:pt>
                <c:pt idx="40" formatCode="0;\-0;0;@">
                  <c:v>1998</c:v>
                </c:pt>
                <c:pt idx="41" formatCode="0;\-0;0;@">
                  <c:v>1999</c:v>
                </c:pt>
                <c:pt idx="42" formatCode="0;\-0;0;@">
                  <c:v>2000</c:v>
                </c:pt>
                <c:pt idx="43" formatCode="0;\-0;0;@">
                  <c:v>2001</c:v>
                </c:pt>
                <c:pt idx="44" formatCode="0;\-0;0;@">
                  <c:v>2002</c:v>
                </c:pt>
                <c:pt idx="45" formatCode="0;\-0;0;@">
                  <c:v>2003</c:v>
                </c:pt>
                <c:pt idx="46" formatCode="0;\-0;0;@">
                  <c:v>2004</c:v>
                </c:pt>
                <c:pt idx="47" formatCode="0;\-0;0;@">
                  <c:v>2005</c:v>
                </c:pt>
                <c:pt idx="48" formatCode="0;\-0;0;@">
                  <c:v>2006</c:v>
                </c:pt>
                <c:pt idx="49" formatCode="0;\-0;0;@">
                  <c:v>2007</c:v>
                </c:pt>
                <c:pt idx="50" formatCode="0;\-0;0;@">
                  <c:v>2008</c:v>
                </c:pt>
                <c:pt idx="51" formatCode="0;\-0;0;@">
                  <c:v>2009</c:v>
                </c:pt>
                <c:pt idx="52" formatCode="0;\-0;0;@">
                  <c:v>2010</c:v>
                </c:pt>
                <c:pt idx="53" formatCode="0;\-0;0;@">
                  <c:v>2011</c:v>
                </c:pt>
                <c:pt idx="54" formatCode="0;\-0;0;@">
                  <c:v>2012</c:v>
                </c:pt>
              </c:numCache>
            </c:numRef>
          </c:cat>
          <c:val>
            <c:numRef>
              <c:f>'Updated SCI summary'!$B$3:$B$57</c:f>
              <c:numCache>
                <c:formatCode>0.00</c:formatCode>
                <c:ptCount val="55"/>
                <c:pt idx="0">
                  <c:v>7.3470991231858029</c:v>
                </c:pt>
                <c:pt idx="1">
                  <c:v>7.5747170565524291</c:v>
                </c:pt>
                <c:pt idx="2">
                  <c:v>6.5900749898688566</c:v>
                </c:pt>
                <c:pt idx="3">
                  <c:v>4.6085721497886922</c:v>
                </c:pt>
                <c:pt idx="4">
                  <c:v>5.0106139779196397</c:v>
                </c:pt>
                <c:pt idx="5">
                  <c:v>3.4361819371639974</c:v>
                </c:pt>
                <c:pt idx="6">
                  <c:v>2.6736377408673588</c:v>
                </c:pt>
                <c:pt idx="7">
                  <c:v>2.2392550971228751</c:v>
                </c:pt>
                <c:pt idx="8">
                  <c:v>2.2225752348064924</c:v>
                </c:pt>
                <c:pt idx="9">
                  <c:v>1.7456460507744238</c:v>
                </c:pt>
                <c:pt idx="10">
                  <c:v>2.4193899285145384</c:v>
                </c:pt>
                <c:pt idx="11">
                  <c:v>3.1245521902530791</c:v>
                </c:pt>
                <c:pt idx="12">
                  <c:v>4.0368916509706319</c:v>
                </c:pt>
                <c:pt idx="13">
                  <c:v>4.664854701261234</c:v>
                </c:pt>
                <c:pt idx="14">
                  <c:v>5.5435093055002369</c:v>
                </c:pt>
                <c:pt idx="15">
                  <c:v>5.7056080555877529</c:v>
                </c:pt>
                <c:pt idx="16">
                  <c:v>5.9053782767662257</c:v>
                </c:pt>
                <c:pt idx="17">
                  <c:v>5.8549891489385262</c:v>
                </c:pt>
                <c:pt idx="18">
                  <c:v>5.7392755992546771</c:v>
                </c:pt>
                <c:pt idx="19">
                  <c:v>5.3480567611301755</c:v>
                </c:pt>
                <c:pt idx="20">
                  <c:v>5.332806200487255</c:v>
                </c:pt>
                <c:pt idx="21">
                  <c:v>5.2857415901459301</c:v>
                </c:pt>
                <c:pt idx="22">
                  <c:v>4.2229683845131945</c:v>
                </c:pt>
                <c:pt idx="23">
                  <c:v>3.2001910801230817</c:v>
                </c:pt>
                <c:pt idx="24">
                  <c:v>2.5573405687219601</c:v>
                </c:pt>
                <c:pt idx="25">
                  <c:v>2.3461354629381574</c:v>
                </c:pt>
                <c:pt idx="26">
                  <c:v>2.1620248886248934</c:v>
                </c:pt>
                <c:pt idx="27">
                  <c:v>2.3322739452541814</c:v>
                </c:pt>
                <c:pt idx="28">
                  <c:v>2.6615027217084282</c:v>
                </c:pt>
                <c:pt idx="29">
                  <c:v>3.1549628429126977</c:v>
                </c:pt>
                <c:pt idx="30">
                  <c:v>3.0282756087403948</c:v>
                </c:pt>
                <c:pt idx="31">
                  <c:v>3.3300022882219538</c:v>
                </c:pt>
                <c:pt idx="32">
                  <c:v>3.7450450245829296</c:v>
                </c:pt>
                <c:pt idx="33">
                  <c:v>4.5481538889498392</c:v>
                </c:pt>
                <c:pt idx="34">
                  <c:v>4.6650126386867274</c:v>
                </c:pt>
                <c:pt idx="35">
                  <c:v>4.4974591877837504</c:v>
                </c:pt>
                <c:pt idx="36">
                  <c:v>3.8891394785594264</c:v>
                </c:pt>
                <c:pt idx="37">
                  <c:v>3.8294968856548368</c:v>
                </c:pt>
                <c:pt idx="38">
                  <c:v>2.9862995502012155</c:v>
                </c:pt>
                <c:pt idx="39">
                  <c:v>2.397773101498911</c:v>
                </c:pt>
                <c:pt idx="40">
                  <c:v>2.0779392003134269</c:v>
                </c:pt>
                <c:pt idx="41">
                  <c:v>2.1365760091554291</c:v>
                </c:pt>
                <c:pt idx="42">
                  <c:v>2.4251220710972077</c:v>
                </c:pt>
                <c:pt idx="43">
                  <c:v>2.7952371801077085</c:v>
                </c:pt>
                <c:pt idx="44">
                  <c:v>2.9770605788965852</c:v>
                </c:pt>
                <c:pt idx="45">
                  <c:v>3.0106588575614945</c:v>
                </c:pt>
                <c:pt idx="46">
                  <c:v>2.8535227721266128</c:v>
                </c:pt>
                <c:pt idx="47">
                  <c:v>2.56346408056018</c:v>
                </c:pt>
                <c:pt idx="48">
                  <c:v>2.6473821854140391</c:v>
                </c:pt>
                <c:pt idx="49">
                  <c:v>3.2119908484280155</c:v>
                </c:pt>
                <c:pt idx="50">
                  <c:v>3.9535212136964759</c:v>
                </c:pt>
                <c:pt idx="51">
                  <c:v>5.3059095548545887</c:v>
                </c:pt>
                <c:pt idx="52">
                  <c:v>6.0217644319086236</c:v>
                </c:pt>
                <c:pt idx="53">
                  <c:v>6.3516366030288651</c:v>
                </c:pt>
                <c:pt idx="54">
                  <c:v>6.1629907275194427</c:v>
                </c:pt>
              </c:numCache>
            </c:numRef>
          </c:val>
          <c:smooth val="0"/>
        </c:ser>
        <c:ser>
          <c:idx val="1"/>
          <c:order val="1"/>
          <c:tx>
            <c:strRef>
              <c:f>'Updated SCI summary'!$D$1</c:f>
              <c:strCache>
                <c:ptCount val="1"/>
                <c:pt idx="0">
                  <c:v>Real output</c:v>
                </c:pt>
              </c:strCache>
            </c:strRef>
          </c:tx>
          <c:spPr>
            <a:ln w="19050">
              <a:solidFill>
                <a:srgbClr val="86A20B"/>
              </a:solidFill>
              <a:prstDash val="sysDash"/>
            </a:ln>
          </c:spPr>
          <c:marker>
            <c:symbol val="none"/>
          </c:marker>
          <c:cat>
            <c:numRef>
              <c:f>'Updated SCI summary'!$A$3:$A$57</c:f>
              <c:numCache>
                <c:formatCode>yyyy</c:formatCode>
                <c:ptCount val="55"/>
                <c:pt idx="0">
                  <c:v>21337</c:v>
                </c:pt>
                <c:pt idx="1">
                  <c:v>21702</c:v>
                </c:pt>
                <c:pt idx="2">
                  <c:v>22068</c:v>
                </c:pt>
                <c:pt idx="3">
                  <c:v>22433</c:v>
                </c:pt>
                <c:pt idx="4">
                  <c:v>22798</c:v>
                </c:pt>
                <c:pt idx="5">
                  <c:v>23163</c:v>
                </c:pt>
                <c:pt idx="6">
                  <c:v>23529</c:v>
                </c:pt>
                <c:pt idx="7">
                  <c:v>23894</c:v>
                </c:pt>
                <c:pt idx="8">
                  <c:v>24259</c:v>
                </c:pt>
                <c:pt idx="9">
                  <c:v>24624</c:v>
                </c:pt>
                <c:pt idx="10">
                  <c:v>24990</c:v>
                </c:pt>
                <c:pt idx="11">
                  <c:v>25355</c:v>
                </c:pt>
                <c:pt idx="12">
                  <c:v>25720</c:v>
                </c:pt>
                <c:pt idx="13">
                  <c:v>26085</c:v>
                </c:pt>
                <c:pt idx="14">
                  <c:v>26451</c:v>
                </c:pt>
                <c:pt idx="15">
                  <c:v>26816</c:v>
                </c:pt>
                <c:pt idx="16">
                  <c:v>27181</c:v>
                </c:pt>
                <c:pt idx="17">
                  <c:v>27546</c:v>
                </c:pt>
                <c:pt idx="18">
                  <c:v>27912</c:v>
                </c:pt>
                <c:pt idx="19">
                  <c:v>28277</c:v>
                </c:pt>
                <c:pt idx="20">
                  <c:v>28642</c:v>
                </c:pt>
                <c:pt idx="21">
                  <c:v>29007</c:v>
                </c:pt>
                <c:pt idx="22">
                  <c:v>29373</c:v>
                </c:pt>
                <c:pt idx="23">
                  <c:v>29738</c:v>
                </c:pt>
                <c:pt idx="24">
                  <c:v>30103</c:v>
                </c:pt>
                <c:pt idx="25">
                  <c:v>30468</c:v>
                </c:pt>
                <c:pt idx="26">
                  <c:v>30834</c:v>
                </c:pt>
                <c:pt idx="27">
                  <c:v>31199</c:v>
                </c:pt>
                <c:pt idx="28">
                  <c:v>31564</c:v>
                </c:pt>
                <c:pt idx="29">
                  <c:v>31929</c:v>
                </c:pt>
                <c:pt idx="30">
                  <c:v>32295</c:v>
                </c:pt>
                <c:pt idx="31">
                  <c:v>32660</c:v>
                </c:pt>
                <c:pt idx="32" formatCode="0;\-0;0;@">
                  <c:v>1990</c:v>
                </c:pt>
                <c:pt idx="33" formatCode="0;\-0;0;@">
                  <c:v>1991</c:v>
                </c:pt>
                <c:pt idx="34" formatCode="0;\-0;0;@">
                  <c:v>1992</c:v>
                </c:pt>
                <c:pt idx="35" formatCode="0;\-0;0;@">
                  <c:v>1993</c:v>
                </c:pt>
                <c:pt idx="36" formatCode="0;\-0;0;@">
                  <c:v>1994</c:v>
                </c:pt>
                <c:pt idx="37" formatCode="0;\-0;0;@">
                  <c:v>1995</c:v>
                </c:pt>
                <c:pt idx="38" formatCode="0;\-0;0;@">
                  <c:v>1996</c:v>
                </c:pt>
                <c:pt idx="39" formatCode="0;\-0;0;@">
                  <c:v>1997</c:v>
                </c:pt>
                <c:pt idx="40" formatCode="0;\-0;0;@">
                  <c:v>1998</c:v>
                </c:pt>
                <c:pt idx="41" formatCode="0;\-0;0;@">
                  <c:v>1999</c:v>
                </c:pt>
                <c:pt idx="42" formatCode="0;\-0;0;@">
                  <c:v>2000</c:v>
                </c:pt>
                <c:pt idx="43" formatCode="0;\-0;0;@">
                  <c:v>2001</c:v>
                </c:pt>
                <c:pt idx="44" formatCode="0;\-0;0;@">
                  <c:v>2002</c:v>
                </c:pt>
                <c:pt idx="45" formatCode="0;\-0;0;@">
                  <c:v>2003</c:v>
                </c:pt>
                <c:pt idx="46" formatCode="0;\-0;0;@">
                  <c:v>2004</c:v>
                </c:pt>
                <c:pt idx="47" formatCode="0;\-0;0;@">
                  <c:v>2005</c:v>
                </c:pt>
                <c:pt idx="48" formatCode="0;\-0;0;@">
                  <c:v>2006</c:v>
                </c:pt>
                <c:pt idx="49" formatCode="0;\-0;0;@">
                  <c:v>2007</c:v>
                </c:pt>
                <c:pt idx="50" formatCode="0;\-0;0;@">
                  <c:v>2008</c:v>
                </c:pt>
                <c:pt idx="51" formatCode="0;\-0;0;@">
                  <c:v>2009</c:v>
                </c:pt>
                <c:pt idx="52" formatCode="0;\-0;0;@">
                  <c:v>2010</c:v>
                </c:pt>
                <c:pt idx="53" formatCode="0;\-0;0;@">
                  <c:v>2011</c:v>
                </c:pt>
                <c:pt idx="54" formatCode="0;\-0;0;@">
                  <c:v>2012</c:v>
                </c:pt>
              </c:numCache>
            </c:numRef>
          </c:cat>
          <c:val>
            <c:numRef>
              <c:f>'Updated SCI summary'!$D$3:$D$57</c:f>
              <c:numCache>
                <c:formatCode>General</c:formatCode>
                <c:ptCount val="55"/>
                <c:pt idx="11" formatCode="0.00">
                  <c:v>0.84343921312643144</c:v>
                </c:pt>
                <c:pt idx="12" formatCode="0.00">
                  <c:v>1.2520886708220007</c:v>
                </c:pt>
                <c:pt idx="13" formatCode="0.00">
                  <c:v>1.8195109430799621</c:v>
                </c:pt>
                <c:pt idx="14" formatCode="0.00">
                  <c:v>2.6274202088965253</c:v>
                </c:pt>
                <c:pt idx="15" formatCode="0.00">
                  <c:v>3.425158357618034</c:v>
                </c:pt>
                <c:pt idx="16" formatCode="0.00">
                  <c:v>4.1679731031766885</c:v>
                </c:pt>
                <c:pt idx="17" formatCode="0.00">
                  <c:v>4.1417143552865729</c:v>
                </c:pt>
                <c:pt idx="18" formatCode="0.00">
                  <c:v>4.3569569360497891</c:v>
                </c:pt>
                <c:pt idx="19" formatCode="0.00">
                  <c:v>4.5550514506136146</c:v>
                </c:pt>
                <c:pt idx="20" formatCode="0.00">
                  <c:v>5.1659069559523072</c:v>
                </c:pt>
                <c:pt idx="21" formatCode="0.00">
                  <c:v>5.2955721544048924</c:v>
                </c:pt>
                <c:pt idx="22" formatCode="0.00">
                  <c:v>4.5147222166487309</c:v>
                </c:pt>
                <c:pt idx="23" formatCode="0.00">
                  <c:v>3.6719995296831915</c:v>
                </c:pt>
                <c:pt idx="24" formatCode="0.00">
                  <c:v>2.8899375562348553</c:v>
                </c:pt>
                <c:pt idx="25" formatCode="0.00">
                  <c:v>2.3542413619539571</c:v>
                </c:pt>
                <c:pt idx="26" formatCode="0.00">
                  <c:v>2.5117262134844816</c:v>
                </c:pt>
                <c:pt idx="27" formatCode="0.00">
                  <c:v>2.4985583742968251</c:v>
                </c:pt>
                <c:pt idx="28" formatCode="0.00">
                  <c:v>2.3108515157645533</c:v>
                </c:pt>
                <c:pt idx="29" formatCode="0.00">
                  <c:v>2.8369791374303559</c:v>
                </c:pt>
                <c:pt idx="30" formatCode="0.00">
                  <c:v>2.9828637652002681</c:v>
                </c:pt>
                <c:pt idx="31" formatCode="0.00">
                  <c:v>3.4026573869817724</c:v>
                </c:pt>
                <c:pt idx="32" formatCode="0.00">
                  <c:v>3.8400790574547057</c:v>
                </c:pt>
                <c:pt idx="33" formatCode="0.00">
                  <c:v>3.9390871768519058</c:v>
                </c:pt>
                <c:pt idx="34" formatCode="0.00">
                  <c:v>3.8536587630863717</c:v>
                </c:pt>
                <c:pt idx="35" formatCode="0.00">
                  <c:v>3.3669244319339677</c:v>
                </c:pt>
                <c:pt idx="36" formatCode="0.00">
                  <c:v>3.1070916685113752</c:v>
                </c:pt>
                <c:pt idx="37" formatCode="0.00">
                  <c:v>2.7119019909527449</c:v>
                </c:pt>
                <c:pt idx="38" formatCode="0.00">
                  <c:v>2.6388699529986397</c:v>
                </c:pt>
                <c:pt idx="39" formatCode="0.00">
                  <c:v>2.3613728305520691</c:v>
                </c:pt>
                <c:pt idx="40" formatCode="0.00">
                  <c:v>2.480430634677409</c:v>
                </c:pt>
                <c:pt idx="41" formatCode="0.00">
                  <c:v>2.4239785097743569</c:v>
                </c:pt>
                <c:pt idx="42" formatCode="0.00">
                  <c:v>2.3969700281153119</c:v>
                </c:pt>
                <c:pt idx="43" formatCode="0.00">
                  <c:v>2.5755522316831199</c:v>
                </c:pt>
                <c:pt idx="44" formatCode="0.00">
                  <c:v>2.6673664797360805</c:v>
                </c:pt>
                <c:pt idx="45" formatCode="0.00">
                  <c:v>2.5462791498089912</c:v>
                </c:pt>
                <c:pt idx="46" formatCode="0.00">
                  <c:v>2.4125934834362206</c:v>
                </c:pt>
                <c:pt idx="47" formatCode="0.00">
                  <c:v>2.2458059374205237</c:v>
                </c:pt>
                <c:pt idx="48" formatCode="0.00">
                  <c:v>2.5743871307053072</c:v>
                </c:pt>
                <c:pt idx="49" formatCode="0.00">
                  <c:v>2.770133418566092</c:v>
                </c:pt>
                <c:pt idx="50" formatCode="0.00">
                  <c:v>2.8281149332427917</c:v>
                </c:pt>
                <c:pt idx="51" formatCode="0.00">
                  <c:v>2.7517605089542241</c:v>
                </c:pt>
                <c:pt idx="52" formatCode="0.00">
                  <c:v>2.5573930242817196</c:v>
                </c:pt>
                <c:pt idx="53" formatCode="0.00">
                  <c:v>2.2533557223334406</c:v>
                </c:pt>
                <c:pt idx="54" formatCode="0.00">
                  <c:v>2.164805671435154</c:v>
                </c:pt>
              </c:numCache>
            </c:numRef>
          </c:val>
          <c:smooth val="0"/>
        </c:ser>
        <c:dLbls>
          <c:showLegendKey val="0"/>
          <c:showVal val="0"/>
          <c:showCatName val="0"/>
          <c:showSerName val="0"/>
          <c:showPercent val="0"/>
          <c:showBubbleSize val="0"/>
        </c:dLbls>
        <c:marker val="1"/>
        <c:smooth val="0"/>
        <c:axId val="174651264"/>
        <c:axId val="174652800"/>
      </c:lineChart>
      <c:catAx>
        <c:axId val="174651264"/>
        <c:scaling>
          <c:orientation val="minMax"/>
        </c:scaling>
        <c:delete val="0"/>
        <c:axPos val="b"/>
        <c:numFmt formatCode="yyyy" sourceLinked="1"/>
        <c:majorTickMark val="out"/>
        <c:minorTickMark val="none"/>
        <c:tickLblPos val="nextTo"/>
        <c:spPr>
          <a:ln>
            <a:solidFill>
              <a:schemeClr val="tx1"/>
            </a:solidFill>
          </a:ln>
        </c:spPr>
        <c:txPr>
          <a:bodyPr rot="0"/>
          <a:lstStyle/>
          <a:p>
            <a:pPr>
              <a:defRPr/>
            </a:pPr>
            <a:endParaRPr lang="en-US"/>
          </a:p>
        </c:txPr>
        <c:crossAx val="174652800"/>
        <c:crosses val="autoZero"/>
        <c:auto val="1"/>
        <c:lblAlgn val="ctr"/>
        <c:lblOffset val="100"/>
        <c:tickLblSkip val="6"/>
        <c:tickMarkSkip val="6"/>
        <c:noMultiLvlLbl val="0"/>
      </c:catAx>
      <c:valAx>
        <c:axId val="174652800"/>
        <c:scaling>
          <c:orientation val="minMax"/>
        </c:scaling>
        <c:delete val="0"/>
        <c:axPos val="l"/>
        <c:majorGridlines/>
        <c:title>
          <c:tx>
            <c:rich>
              <a:bodyPr rot="-5400000" vert="horz"/>
              <a:lstStyle/>
              <a:p>
                <a:pPr>
                  <a:defRPr/>
                </a:pPr>
                <a:r>
                  <a:rPr lang="en-AU"/>
                  <a:t>Index value</a:t>
                </a:r>
              </a:p>
            </c:rich>
          </c:tx>
          <c:layout>
            <c:manualLayout>
              <c:xMode val="edge"/>
              <c:yMode val="edge"/>
              <c:x val="3.7813620071684593E-3"/>
              <c:y val="0.37553993055555557"/>
            </c:manualLayout>
          </c:layout>
          <c:overlay val="0"/>
        </c:title>
        <c:numFmt formatCode="0" sourceLinked="0"/>
        <c:majorTickMark val="out"/>
        <c:minorTickMark val="none"/>
        <c:tickLblPos val="nextTo"/>
        <c:spPr>
          <a:ln>
            <a:solidFill>
              <a:schemeClr val="tx1"/>
            </a:solidFill>
          </a:ln>
        </c:spPr>
        <c:crossAx val="174651264"/>
        <c:crosses val="autoZero"/>
        <c:crossBetween val="midCat"/>
        <c:majorUnit val="2"/>
      </c:valAx>
      <c:spPr>
        <a:ln>
          <a:solidFill>
            <a:schemeClr val="tx1"/>
          </a:solidFill>
        </a:ln>
      </c:spPr>
    </c:plotArea>
    <c:legend>
      <c:legendPos val="t"/>
      <c:layout>
        <c:manualLayout>
          <c:xMode val="edge"/>
          <c:yMode val="edge"/>
          <c:x val="0.19949432246895063"/>
          <c:y val="4.3733342593476818E-3"/>
          <c:w val="0.61831236559139779"/>
          <c:h val="7.5244097222222223E-2"/>
        </c:manualLayout>
      </c:layout>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0507275985663082"/>
          <c:y val="0.13698020833333333"/>
          <c:w val="0.83320917649798898"/>
          <c:h val="0.77609652777777782"/>
        </c:manualLayout>
      </c:layout>
      <c:lineChart>
        <c:grouping val="standard"/>
        <c:varyColors val="0"/>
        <c:ser>
          <c:idx val="0"/>
          <c:order val="0"/>
          <c:tx>
            <c:strRef>
              <c:f>Annualised!$C$193</c:f>
              <c:strCache>
                <c:ptCount val="1"/>
                <c:pt idx="0">
                  <c:v>Tradeables</c:v>
                </c:pt>
              </c:strCache>
            </c:strRef>
          </c:tx>
          <c:spPr>
            <a:ln w="19050">
              <a:solidFill>
                <a:srgbClr val="344893"/>
              </a:solidFill>
            </a:ln>
          </c:spPr>
          <c:marker>
            <c:symbol val="none"/>
          </c:marker>
          <c:cat>
            <c:numRef>
              <c:f>Annualised!$A$202:$A$216</c:f>
              <c:numCache>
                <c:formatCode>General</c:formatCode>
                <c:ptCount val="15"/>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numCache>
            </c:numRef>
          </c:cat>
          <c:val>
            <c:numRef>
              <c:f>Annualised!$C$202:$C$216</c:f>
              <c:numCache>
                <c:formatCode>0</c:formatCode>
                <c:ptCount val="15"/>
                <c:pt idx="0">
                  <c:v>100</c:v>
                </c:pt>
                <c:pt idx="1">
                  <c:v>100.375</c:v>
                </c:pt>
                <c:pt idx="2">
                  <c:v>102.05</c:v>
                </c:pt>
                <c:pt idx="3">
                  <c:v>106.47499999999999</c:v>
                </c:pt>
                <c:pt idx="4">
                  <c:v>109.05</c:v>
                </c:pt>
                <c:pt idx="5">
                  <c:v>111.29999999999998</c:v>
                </c:pt>
                <c:pt idx="6">
                  <c:v>111.5</c:v>
                </c:pt>
                <c:pt idx="7">
                  <c:v>112.6</c:v>
                </c:pt>
                <c:pt idx="8">
                  <c:v>116.02500000000001</c:v>
                </c:pt>
                <c:pt idx="9">
                  <c:v>118.49999999999999</c:v>
                </c:pt>
                <c:pt idx="10">
                  <c:v>120.65</c:v>
                </c:pt>
                <c:pt idx="11">
                  <c:v>122.25</c:v>
                </c:pt>
                <c:pt idx="12">
                  <c:v>123.27499999999999</c:v>
                </c:pt>
                <c:pt idx="13">
                  <c:v>126.35000000000001</c:v>
                </c:pt>
                <c:pt idx="14" formatCode="0.0">
                  <c:v>126.8</c:v>
                </c:pt>
              </c:numCache>
            </c:numRef>
          </c:val>
          <c:smooth val="0"/>
        </c:ser>
        <c:ser>
          <c:idx val="1"/>
          <c:order val="1"/>
          <c:tx>
            <c:strRef>
              <c:f>Annualised!$E$193</c:f>
              <c:strCache>
                <c:ptCount val="1"/>
                <c:pt idx="0">
                  <c:v>Non-tradeables</c:v>
                </c:pt>
              </c:strCache>
            </c:strRef>
          </c:tx>
          <c:spPr>
            <a:ln w="19050">
              <a:solidFill>
                <a:srgbClr val="86A20B"/>
              </a:solidFill>
              <a:prstDash val="sysDash"/>
            </a:ln>
          </c:spPr>
          <c:marker>
            <c:symbol val="none"/>
          </c:marker>
          <c:cat>
            <c:numRef>
              <c:f>Annualised!$A$202:$A$216</c:f>
              <c:numCache>
                <c:formatCode>General</c:formatCode>
                <c:ptCount val="15"/>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numCache>
            </c:numRef>
          </c:cat>
          <c:val>
            <c:numRef>
              <c:f>Annualised!$E$202:$E$216</c:f>
              <c:numCache>
                <c:formatCode>0</c:formatCode>
                <c:ptCount val="15"/>
                <c:pt idx="0">
                  <c:v>100</c:v>
                </c:pt>
                <c:pt idx="1">
                  <c:v>100.97499999999999</c:v>
                </c:pt>
                <c:pt idx="2">
                  <c:v>104.02500000000001</c:v>
                </c:pt>
                <c:pt idx="3">
                  <c:v>111.77500000000001</c:v>
                </c:pt>
                <c:pt idx="4">
                  <c:v>115.44999999999999</c:v>
                </c:pt>
                <c:pt idx="5">
                  <c:v>120.02500000000001</c:v>
                </c:pt>
                <c:pt idx="6">
                  <c:v>125.05</c:v>
                </c:pt>
                <c:pt idx="7">
                  <c:v>129.55000000000001</c:v>
                </c:pt>
                <c:pt idx="8">
                  <c:v>133.9</c:v>
                </c:pt>
                <c:pt idx="9">
                  <c:v>138.57499999999999</c:v>
                </c:pt>
                <c:pt idx="10">
                  <c:v>144.875</c:v>
                </c:pt>
                <c:pt idx="11">
                  <c:v>151.125</c:v>
                </c:pt>
                <c:pt idx="12">
                  <c:v>156.15</c:v>
                </c:pt>
                <c:pt idx="13">
                  <c:v>161.67500000000001</c:v>
                </c:pt>
                <c:pt idx="14" formatCode="0.0">
                  <c:v>167.5</c:v>
                </c:pt>
              </c:numCache>
            </c:numRef>
          </c:val>
          <c:smooth val="0"/>
        </c:ser>
        <c:dLbls>
          <c:showLegendKey val="0"/>
          <c:showVal val="0"/>
          <c:showCatName val="0"/>
          <c:showSerName val="0"/>
          <c:showPercent val="0"/>
          <c:showBubbleSize val="0"/>
        </c:dLbls>
        <c:marker val="1"/>
        <c:smooth val="0"/>
        <c:axId val="163680640"/>
        <c:axId val="163682176"/>
      </c:lineChart>
      <c:catAx>
        <c:axId val="163680640"/>
        <c:scaling>
          <c:orientation val="minMax"/>
        </c:scaling>
        <c:delete val="0"/>
        <c:axPos val="b"/>
        <c:numFmt formatCode="General" sourceLinked="1"/>
        <c:majorTickMark val="out"/>
        <c:minorTickMark val="none"/>
        <c:tickLblPos val="nextTo"/>
        <c:spPr>
          <a:ln>
            <a:solidFill>
              <a:sysClr val="windowText" lastClr="000000"/>
            </a:solidFill>
          </a:ln>
        </c:spPr>
        <c:txPr>
          <a:bodyPr rot="0"/>
          <a:lstStyle/>
          <a:p>
            <a:pPr>
              <a:defRPr sz="950"/>
            </a:pPr>
            <a:endParaRPr lang="en-US"/>
          </a:p>
        </c:txPr>
        <c:crossAx val="163682176"/>
        <c:crosses val="autoZero"/>
        <c:auto val="1"/>
        <c:lblAlgn val="ctr"/>
        <c:lblOffset val="100"/>
        <c:tickMarkSkip val="1"/>
        <c:noMultiLvlLbl val="0"/>
      </c:catAx>
      <c:valAx>
        <c:axId val="163682176"/>
        <c:scaling>
          <c:orientation val="minMax"/>
          <c:max val="175"/>
          <c:min val="100"/>
        </c:scaling>
        <c:delete val="0"/>
        <c:axPos val="l"/>
        <c:majorGridlines/>
        <c:title>
          <c:tx>
            <c:rich>
              <a:bodyPr rot="-5400000" vert="horz"/>
              <a:lstStyle/>
              <a:p>
                <a:pPr>
                  <a:defRPr/>
                </a:pPr>
                <a:r>
                  <a:rPr lang="en-AU"/>
                  <a:t>Index</a:t>
                </a:r>
                <a:r>
                  <a:rPr lang="en-AU" baseline="0"/>
                  <a:t> value </a:t>
                </a:r>
                <a:endParaRPr lang="en-AU"/>
              </a:p>
            </c:rich>
          </c:tx>
          <c:layout>
            <c:manualLayout>
              <c:xMode val="edge"/>
              <c:yMode val="edge"/>
              <c:x val="3.7813620071684593E-3"/>
              <c:y val="0.37553993055555557"/>
            </c:manualLayout>
          </c:layout>
          <c:overlay val="0"/>
        </c:title>
        <c:numFmt formatCode="0" sourceLinked="0"/>
        <c:majorTickMark val="out"/>
        <c:minorTickMark val="none"/>
        <c:tickLblPos val="nextTo"/>
        <c:spPr>
          <a:ln>
            <a:solidFill>
              <a:sysClr val="windowText" lastClr="000000"/>
            </a:solidFill>
          </a:ln>
        </c:spPr>
        <c:crossAx val="163680640"/>
        <c:crossesAt val="1"/>
        <c:crossBetween val="midCat"/>
        <c:majorUnit val="15"/>
      </c:valAx>
      <c:spPr>
        <a:ln>
          <a:solidFill>
            <a:schemeClr val="tx1"/>
          </a:solidFill>
        </a:ln>
      </c:spPr>
    </c:plotArea>
    <c:legend>
      <c:legendPos val="t"/>
      <c:layout>
        <c:manualLayout>
          <c:xMode val="edge"/>
          <c:yMode val="edge"/>
          <c:x val="0.21360358422939069"/>
          <c:y val="3.0868055555555555E-2"/>
          <c:w val="0.61831236559139779"/>
          <c:h val="7.5244097222222223E-2"/>
        </c:manualLayout>
      </c:layout>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9.1416845878136199E-2"/>
          <c:y val="0.13698020833333333"/>
          <c:w val="0.86964703486138306"/>
          <c:h val="0.77609652777777782"/>
        </c:manualLayout>
      </c:layout>
      <c:lineChart>
        <c:grouping val="standard"/>
        <c:varyColors val="0"/>
        <c:ser>
          <c:idx val="0"/>
          <c:order val="0"/>
          <c:tx>
            <c:strRef>
              <c:f>Sheet1!$S$1</c:f>
              <c:strCache>
                <c:ptCount val="1"/>
                <c:pt idx="0">
                  <c:v>All groups</c:v>
                </c:pt>
              </c:strCache>
            </c:strRef>
          </c:tx>
          <c:spPr>
            <a:ln w="19050">
              <a:solidFill>
                <a:srgbClr val="344893"/>
              </a:solidFill>
            </a:ln>
          </c:spPr>
          <c:marker>
            <c:symbol val="none"/>
          </c:marker>
          <c:cat>
            <c:numRef>
              <c:f>Sheet1!$N$2:$N$41</c:f>
              <c:numCache>
                <c:formatCode>General</c:formatCode>
                <c:ptCount val="40"/>
                <c:pt idx="0">
                  <c:v>1973</c:v>
                </c:pt>
                <c:pt idx="1">
                  <c:v>1974</c:v>
                </c:pt>
                <c:pt idx="2">
                  <c:v>1975</c:v>
                </c:pt>
                <c:pt idx="3">
                  <c:v>1976</c:v>
                </c:pt>
                <c:pt idx="4">
                  <c:v>1977</c:v>
                </c:pt>
                <c:pt idx="5">
                  <c:v>1978</c:v>
                </c:pt>
                <c:pt idx="6">
                  <c:v>1979</c:v>
                </c:pt>
                <c:pt idx="7">
                  <c:v>1980</c:v>
                </c:pt>
                <c:pt idx="8">
                  <c:v>1981</c:v>
                </c:pt>
                <c:pt idx="9">
                  <c:v>1982</c:v>
                </c:pt>
                <c:pt idx="10">
                  <c:v>1983</c:v>
                </c:pt>
                <c:pt idx="11">
                  <c:v>1984</c:v>
                </c:pt>
                <c:pt idx="12">
                  <c:v>1985</c:v>
                </c:pt>
                <c:pt idx="13">
                  <c:v>1986</c:v>
                </c:pt>
                <c:pt idx="14">
                  <c:v>1987</c:v>
                </c:pt>
                <c:pt idx="15">
                  <c:v>1988</c:v>
                </c:pt>
                <c:pt idx="16">
                  <c:v>1989</c:v>
                </c:pt>
                <c:pt idx="17">
                  <c:v>1990</c:v>
                </c:pt>
                <c:pt idx="18">
                  <c:v>1991</c:v>
                </c:pt>
                <c:pt idx="19">
                  <c:v>1992</c:v>
                </c:pt>
                <c:pt idx="20">
                  <c:v>1993</c:v>
                </c:pt>
                <c:pt idx="21">
                  <c:v>1994</c:v>
                </c:pt>
                <c:pt idx="22">
                  <c:v>1995</c:v>
                </c:pt>
                <c:pt idx="23">
                  <c:v>1996</c:v>
                </c:pt>
                <c:pt idx="24">
                  <c:v>1997</c:v>
                </c:pt>
                <c:pt idx="25">
                  <c:v>1998</c:v>
                </c:pt>
                <c:pt idx="26">
                  <c:v>1999</c:v>
                </c:pt>
                <c:pt idx="27">
                  <c:v>2000</c:v>
                </c:pt>
                <c:pt idx="28">
                  <c:v>2001</c:v>
                </c:pt>
                <c:pt idx="29">
                  <c:v>2002</c:v>
                </c:pt>
                <c:pt idx="30">
                  <c:v>2003</c:v>
                </c:pt>
                <c:pt idx="31">
                  <c:v>2004</c:v>
                </c:pt>
                <c:pt idx="32">
                  <c:v>2005</c:v>
                </c:pt>
                <c:pt idx="33">
                  <c:v>2006</c:v>
                </c:pt>
                <c:pt idx="34">
                  <c:v>2007</c:v>
                </c:pt>
                <c:pt idx="35">
                  <c:v>2008</c:v>
                </c:pt>
                <c:pt idx="36">
                  <c:v>2009</c:v>
                </c:pt>
                <c:pt idx="37">
                  <c:v>2010</c:v>
                </c:pt>
                <c:pt idx="38">
                  <c:v>2011</c:v>
                </c:pt>
                <c:pt idx="39">
                  <c:v>2012</c:v>
                </c:pt>
              </c:numCache>
            </c:numRef>
          </c:cat>
          <c:val>
            <c:numRef>
              <c:f>Sheet1!$S$2:$S$41</c:f>
              <c:numCache>
                <c:formatCode>0.0;\-0.0;0.0;@</c:formatCode>
                <c:ptCount val="40"/>
                <c:pt idx="0">
                  <c:v>20.425000000000001</c:v>
                </c:pt>
                <c:pt idx="1">
                  <c:v>23.049999999999997</c:v>
                </c:pt>
                <c:pt idx="2">
                  <c:v>26.924999999999997</c:v>
                </c:pt>
                <c:pt idx="3">
                  <c:v>30.4</c:v>
                </c:pt>
                <c:pt idx="4">
                  <c:v>34.625</c:v>
                </c:pt>
                <c:pt idx="5">
                  <c:v>37.924999999999997</c:v>
                </c:pt>
                <c:pt idx="6">
                  <c:v>41</c:v>
                </c:pt>
                <c:pt idx="7">
                  <c:v>45.2</c:v>
                </c:pt>
                <c:pt idx="8">
                  <c:v>49.424999999999997</c:v>
                </c:pt>
                <c:pt idx="9">
                  <c:v>54.574999999999996</c:v>
                </c:pt>
                <c:pt idx="10">
                  <c:v>60.85</c:v>
                </c:pt>
                <c:pt idx="11">
                  <c:v>65.025000000000006</c:v>
                </c:pt>
                <c:pt idx="12">
                  <c:v>67.8</c:v>
                </c:pt>
                <c:pt idx="13">
                  <c:v>73.5</c:v>
                </c:pt>
                <c:pt idx="14">
                  <c:v>80.349999999999994</c:v>
                </c:pt>
                <c:pt idx="15">
                  <c:v>86.25</c:v>
                </c:pt>
                <c:pt idx="16">
                  <c:v>92.575000000000003</c:v>
                </c:pt>
                <c:pt idx="17">
                  <c:v>100</c:v>
                </c:pt>
                <c:pt idx="18">
                  <c:v>105.27500000000001</c:v>
                </c:pt>
                <c:pt idx="19">
                  <c:v>107.27499999999999</c:v>
                </c:pt>
                <c:pt idx="20">
                  <c:v>108.37500000000001</c:v>
                </c:pt>
                <c:pt idx="21">
                  <c:v>110.35000000000001</c:v>
                </c:pt>
                <c:pt idx="22">
                  <c:v>113.89999999999999</c:v>
                </c:pt>
                <c:pt idx="23">
                  <c:v>118.72500000000001</c:v>
                </c:pt>
                <c:pt idx="24">
                  <c:v>120.27499999999999</c:v>
                </c:pt>
                <c:pt idx="25">
                  <c:v>120.25</c:v>
                </c:pt>
                <c:pt idx="26">
                  <c:v>121.825</c:v>
                </c:pt>
                <c:pt idx="27">
                  <c:v>124.72499999999999</c:v>
                </c:pt>
                <c:pt idx="28">
                  <c:v>132.17500000000001</c:v>
                </c:pt>
                <c:pt idx="29">
                  <c:v>135.95000000000002</c:v>
                </c:pt>
                <c:pt idx="30">
                  <c:v>140.15</c:v>
                </c:pt>
                <c:pt idx="31">
                  <c:v>143.44999999999999</c:v>
                </c:pt>
                <c:pt idx="32">
                  <c:v>146.94999999999999</c:v>
                </c:pt>
                <c:pt idx="33">
                  <c:v>151.64999999999998</c:v>
                </c:pt>
                <c:pt idx="34">
                  <c:v>156.07499999999999</c:v>
                </c:pt>
                <c:pt idx="35">
                  <c:v>161.375</c:v>
                </c:pt>
                <c:pt idx="36">
                  <c:v>166.42500000000001</c:v>
                </c:pt>
                <c:pt idx="37">
                  <c:v>170.3</c:v>
                </c:pt>
                <c:pt idx="38">
                  <c:v>175.57499999999999</c:v>
                </c:pt>
                <c:pt idx="39">
                  <c:v>179.67499999999998</c:v>
                </c:pt>
              </c:numCache>
            </c:numRef>
          </c:val>
          <c:smooth val="0"/>
        </c:ser>
        <c:ser>
          <c:idx val="1"/>
          <c:order val="1"/>
          <c:tx>
            <c:strRef>
              <c:f>Sheet1!$O$1</c:f>
              <c:strCache>
                <c:ptCount val="1"/>
                <c:pt idx="0">
                  <c:v>Clothing and footwear</c:v>
                </c:pt>
              </c:strCache>
            </c:strRef>
          </c:tx>
          <c:spPr>
            <a:ln w="19050">
              <a:solidFill>
                <a:srgbClr val="B4C98B"/>
              </a:solidFill>
              <a:prstDash val="sysDash"/>
            </a:ln>
          </c:spPr>
          <c:marker>
            <c:symbol val="none"/>
          </c:marker>
          <c:cat>
            <c:numRef>
              <c:f>Sheet1!$N$2:$N$41</c:f>
              <c:numCache>
                <c:formatCode>General</c:formatCode>
                <c:ptCount val="40"/>
                <c:pt idx="0">
                  <c:v>1973</c:v>
                </c:pt>
                <c:pt idx="1">
                  <c:v>1974</c:v>
                </c:pt>
                <c:pt idx="2">
                  <c:v>1975</c:v>
                </c:pt>
                <c:pt idx="3">
                  <c:v>1976</c:v>
                </c:pt>
                <c:pt idx="4">
                  <c:v>1977</c:v>
                </c:pt>
                <c:pt idx="5">
                  <c:v>1978</c:v>
                </c:pt>
                <c:pt idx="6">
                  <c:v>1979</c:v>
                </c:pt>
                <c:pt idx="7">
                  <c:v>1980</c:v>
                </c:pt>
                <c:pt idx="8">
                  <c:v>1981</c:v>
                </c:pt>
                <c:pt idx="9">
                  <c:v>1982</c:v>
                </c:pt>
                <c:pt idx="10">
                  <c:v>1983</c:v>
                </c:pt>
                <c:pt idx="11">
                  <c:v>1984</c:v>
                </c:pt>
                <c:pt idx="12">
                  <c:v>1985</c:v>
                </c:pt>
                <c:pt idx="13">
                  <c:v>1986</c:v>
                </c:pt>
                <c:pt idx="14">
                  <c:v>1987</c:v>
                </c:pt>
                <c:pt idx="15">
                  <c:v>1988</c:v>
                </c:pt>
                <c:pt idx="16">
                  <c:v>1989</c:v>
                </c:pt>
                <c:pt idx="17">
                  <c:v>1990</c:v>
                </c:pt>
                <c:pt idx="18">
                  <c:v>1991</c:v>
                </c:pt>
                <c:pt idx="19">
                  <c:v>1992</c:v>
                </c:pt>
                <c:pt idx="20">
                  <c:v>1993</c:v>
                </c:pt>
                <c:pt idx="21">
                  <c:v>1994</c:v>
                </c:pt>
                <c:pt idx="22">
                  <c:v>1995</c:v>
                </c:pt>
                <c:pt idx="23">
                  <c:v>1996</c:v>
                </c:pt>
                <c:pt idx="24">
                  <c:v>1997</c:v>
                </c:pt>
                <c:pt idx="25">
                  <c:v>1998</c:v>
                </c:pt>
                <c:pt idx="26">
                  <c:v>1999</c:v>
                </c:pt>
                <c:pt idx="27">
                  <c:v>2000</c:v>
                </c:pt>
                <c:pt idx="28">
                  <c:v>2001</c:v>
                </c:pt>
                <c:pt idx="29">
                  <c:v>2002</c:v>
                </c:pt>
                <c:pt idx="30">
                  <c:v>2003</c:v>
                </c:pt>
                <c:pt idx="31">
                  <c:v>2004</c:v>
                </c:pt>
                <c:pt idx="32">
                  <c:v>2005</c:v>
                </c:pt>
                <c:pt idx="33">
                  <c:v>2006</c:v>
                </c:pt>
                <c:pt idx="34">
                  <c:v>2007</c:v>
                </c:pt>
                <c:pt idx="35">
                  <c:v>2008</c:v>
                </c:pt>
                <c:pt idx="36">
                  <c:v>2009</c:v>
                </c:pt>
                <c:pt idx="37">
                  <c:v>2010</c:v>
                </c:pt>
                <c:pt idx="38">
                  <c:v>2011</c:v>
                </c:pt>
                <c:pt idx="39">
                  <c:v>2012</c:v>
                </c:pt>
              </c:numCache>
            </c:numRef>
          </c:cat>
          <c:val>
            <c:numRef>
              <c:f>Sheet1!$O$2:$O$41</c:f>
              <c:numCache>
                <c:formatCode>0.0;\-0.0;0.0;@</c:formatCode>
                <c:ptCount val="40"/>
                <c:pt idx="0">
                  <c:v>21.5</c:v>
                </c:pt>
                <c:pt idx="1">
                  <c:v>24.45</c:v>
                </c:pt>
                <c:pt idx="2">
                  <c:v>29.525000000000002</c:v>
                </c:pt>
                <c:pt idx="3">
                  <c:v>34.324999999999996</c:v>
                </c:pt>
                <c:pt idx="4">
                  <c:v>39.725000000000001</c:v>
                </c:pt>
                <c:pt idx="5">
                  <c:v>43.975000000000001</c:v>
                </c:pt>
                <c:pt idx="6">
                  <c:v>47.175000000000004</c:v>
                </c:pt>
                <c:pt idx="7">
                  <c:v>50.425000000000004</c:v>
                </c:pt>
                <c:pt idx="8">
                  <c:v>54.05</c:v>
                </c:pt>
                <c:pt idx="9">
                  <c:v>57.9</c:v>
                </c:pt>
                <c:pt idx="10">
                  <c:v>61.724999999999994</c:v>
                </c:pt>
                <c:pt idx="11">
                  <c:v>65.325000000000003</c:v>
                </c:pt>
                <c:pt idx="12">
                  <c:v>69.349999999999994</c:v>
                </c:pt>
                <c:pt idx="13">
                  <c:v>75.125</c:v>
                </c:pt>
                <c:pt idx="14">
                  <c:v>82.350000000000009</c:v>
                </c:pt>
                <c:pt idx="15">
                  <c:v>88.75</c:v>
                </c:pt>
                <c:pt idx="16">
                  <c:v>95.05</c:v>
                </c:pt>
                <c:pt idx="17">
                  <c:v>99.95</c:v>
                </c:pt>
                <c:pt idx="18">
                  <c:v>104.6</c:v>
                </c:pt>
                <c:pt idx="19">
                  <c:v>106.4</c:v>
                </c:pt>
                <c:pt idx="20">
                  <c:v>107.5</c:v>
                </c:pt>
                <c:pt idx="21">
                  <c:v>106.65</c:v>
                </c:pt>
                <c:pt idx="22">
                  <c:v>106.69999999999999</c:v>
                </c:pt>
                <c:pt idx="23">
                  <c:v>107</c:v>
                </c:pt>
                <c:pt idx="24">
                  <c:v>107.25</c:v>
                </c:pt>
                <c:pt idx="25">
                  <c:v>107.39999999999999</c:v>
                </c:pt>
                <c:pt idx="26">
                  <c:v>106.72499999999999</c:v>
                </c:pt>
                <c:pt idx="27">
                  <c:v>105.47499999999999</c:v>
                </c:pt>
                <c:pt idx="28">
                  <c:v>112.45</c:v>
                </c:pt>
                <c:pt idx="29">
                  <c:v>112.425</c:v>
                </c:pt>
                <c:pt idx="30">
                  <c:v>113.27499999999999</c:v>
                </c:pt>
                <c:pt idx="31">
                  <c:v>112.64999999999999</c:v>
                </c:pt>
                <c:pt idx="32">
                  <c:v>110.77500000000001</c:v>
                </c:pt>
                <c:pt idx="33">
                  <c:v>109.17500000000001</c:v>
                </c:pt>
                <c:pt idx="34">
                  <c:v>108.375</c:v>
                </c:pt>
                <c:pt idx="35">
                  <c:v>109.25</c:v>
                </c:pt>
                <c:pt idx="36">
                  <c:v>110.22500000000001</c:v>
                </c:pt>
                <c:pt idx="37">
                  <c:v>109.85</c:v>
                </c:pt>
                <c:pt idx="38">
                  <c:v>107.675</c:v>
                </c:pt>
                <c:pt idx="39">
                  <c:v>109.25</c:v>
                </c:pt>
              </c:numCache>
            </c:numRef>
          </c:val>
          <c:smooth val="0"/>
        </c:ser>
        <c:ser>
          <c:idx val="2"/>
          <c:order val="2"/>
          <c:tx>
            <c:strRef>
              <c:f>Sheet1!$P$1</c:f>
              <c:strCache>
                <c:ptCount val="1"/>
                <c:pt idx="0">
                  <c:v>Motor vehicles</c:v>
                </c:pt>
              </c:strCache>
            </c:strRef>
          </c:tx>
          <c:spPr>
            <a:ln w="19050">
              <a:solidFill>
                <a:srgbClr val="7B905A"/>
              </a:solidFill>
              <a:prstDash val="dashDot"/>
            </a:ln>
          </c:spPr>
          <c:marker>
            <c:symbol val="none"/>
          </c:marker>
          <c:cat>
            <c:numRef>
              <c:f>Sheet1!$N$2:$N$41</c:f>
              <c:numCache>
                <c:formatCode>General</c:formatCode>
                <c:ptCount val="40"/>
                <c:pt idx="0">
                  <c:v>1973</c:v>
                </c:pt>
                <c:pt idx="1">
                  <c:v>1974</c:v>
                </c:pt>
                <c:pt idx="2">
                  <c:v>1975</c:v>
                </c:pt>
                <c:pt idx="3">
                  <c:v>1976</c:v>
                </c:pt>
                <c:pt idx="4">
                  <c:v>1977</c:v>
                </c:pt>
                <c:pt idx="5">
                  <c:v>1978</c:v>
                </c:pt>
                <c:pt idx="6">
                  <c:v>1979</c:v>
                </c:pt>
                <c:pt idx="7">
                  <c:v>1980</c:v>
                </c:pt>
                <c:pt idx="8">
                  <c:v>1981</c:v>
                </c:pt>
                <c:pt idx="9">
                  <c:v>1982</c:v>
                </c:pt>
                <c:pt idx="10">
                  <c:v>1983</c:v>
                </c:pt>
                <c:pt idx="11">
                  <c:v>1984</c:v>
                </c:pt>
                <c:pt idx="12">
                  <c:v>1985</c:v>
                </c:pt>
                <c:pt idx="13">
                  <c:v>1986</c:v>
                </c:pt>
                <c:pt idx="14">
                  <c:v>1987</c:v>
                </c:pt>
                <c:pt idx="15">
                  <c:v>1988</c:v>
                </c:pt>
                <c:pt idx="16">
                  <c:v>1989</c:v>
                </c:pt>
                <c:pt idx="17">
                  <c:v>1990</c:v>
                </c:pt>
                <c:pt idx="18">
                  <c:v>1991</c:v>
                </c:pt>
                <c:pt idx="19">
                  <c:v>1992</c:v>
                </c:pt>
                <c:pt idx="20">
                  <c:v>1993</c:v>
                </c:pt>
                <c:pt idx="21">
                  <c:v>1994</c:v>
                </c:pt>
                <c:pt idx="22">
                  <c:v>1995</c:v>
                </c:pt>
                <c:pt idx="23">
                  <c:v>1996</c:v>
                </c:pt>
                <c:pt idx="24">
                  <c:v>1997</c:v>
                </c:pt>
                <c:pt idx="25">
                  <c:v>1998</c:v>
                </c:pt>
                <c:pt idx="26">
                  <c:v>1999</c:v>
                </c:pt>
                <c:pt idx="27">
                  <c:v>2000</c:v>
                </c:pt>
                <c:pt idx="28">
                  <c:v>2001</c:v>
                </c:pt>
                <c:pt idx="29">
                  <c:v>2002</c:v>
                </c:pt>
                <c:pt idx="30">
                  <c:v>2003</c:v>
                </c:pt>
                <c:pt idx="31">
                  <c:v>2004</c:v>
                </c:pt>
                <c:pt idx="32">
                  <c:v>2005</c:v>
                </c:pt>
                <c:pt idx="33">
                  <c:v>2006</c:v>
                </c:pt>
                <c:pt idx="34">
                  <c:v>2007</c:v>
                </c:pt>
                <c:pt idx="35">
                  <c:v>2008</c:v>
                </c:pt>
                <c:pt idx="36">
                  <c:v>2009</c:v>
                </c:pt>
                <c:pt idx="37">
                  <c:v>2010</c:v>
                </c:pt>
                <c:pt idx="38">
                  <c:v>2011</c:v>
                </c:pt>
                <c:pt idx="39">
                  <c:v>2012</c:v>
                </c:pt>
              </c:numCache>
            </c:numRef>
          </c:cat>
          <c:val>
            <c:numRef>
              <c:f>Sheet1!$P$2:$P$41</c:f>
              <c:numCache>
                <c:formatCode>0.0;\-0.0;0.0;@</c:formatCode>
                <c:ptCount val="40"/>
                <c:pt idx="0">
                  <c:v>20.625</c:v>
                </c:pt>
                <c:pt idx="1">
                  <c:v>21.875</c:v>
                </c:pt>
                <c:pt idx="2">
                  <c:v>25.450000000000003</c:v>
                </c:pt>
                <c:pt idx="3">
                  <c:v>30.724999999999998</c:v>
                </c:pt>
                <c:pt idx="4">
                  <c:v>34.424999999999997</c:v>
                </c:pt>
                <c:pt idx="5">
                  <c:v>37.700000000000003</c:v>
                </c:pt>
                <c:pt idx="6">
                  <c:v>39.875</c:v>
                </c:pt>
                <c:pt idx="7">
                  <c:v>41.95</c:v>
                </c:pt>
                <c:pt idx="8">
                  <c:v>44</c:v>
                </c:pt>
                <c:pt idx="9">
                  <c:v>48.45</c:v>
                </c:pt>
                <c:pt idx="10">
                  <c:v>52.575000000000003</c:v>
                </c:pt>
                <c:pt idx="11">
                  <c:v>56.325000000000003</c:v>
                </c:pt>
                <c:pt idx="12">
                  <c:v>59.9</c:v>
                </c:pt>
                <c:pt idx="13">
                  <c:v>67.275000000000006</c:v>
                </c:pt>
                <c:pt idx="14">
                  <c:v>79.699999999999989</c:v>
                </c:pt>
                <c:pt idx="15">
                  <c:v>88.575000000000003</c:v>
                </c:pt>
                <c:pt idx="16">
                  <c:v>95.749999999999986</c:v>
                </c:pt>
                <c:pt idx="17">
                  <c:v>100.02500000000001</c:v>
                </c:pt>
                <c:pt idx="18">
                  <c:v>100.27500000000001</c:v>
                </c:pt>
                <c:pt idx="19">
                  <c:v>104.75</c:v>
                </c:pt>
                <c:pt idx="20">
                  <c:v>108.2</c:v>
                </c:pt>
                <c:pt idx="21">
                  <c:v>113.60000000000001</c:v>
                </c:pt>
                <c:pt idx="22">
                  <c:v>117.82500000000002</c:v>
                </c:pt>
                <c:pt idx="23">
                  <c:v>121.77499999999999</c:v>
                </c:pt>
                <c:pt idx="24">
                  <c:v>116.80000000000001</c:v>
                </c:pt>
                <c:pt idx="25">
                  <c:v>111.27500000000001</c:v>
                </c:pt>
                <c:pt idx="26">
                  <c:v>105.875</c:v>
                </c:pt>
                <c:pt idx="27">
                  <c:v>104.77500000000001</c:v>
                </c:pt>
                <c:pt idx="28">
                  <c:v>103.17500000000001</c:v>
                </c:pt>
                <c:pt idx="29">
                  <c:v>106.69999999999999</c:v>
                </c:pt>
                <c:pt idx="30">
                  <c:v>105.85</c:v>
                </c:pt>
                <c:pt idx="31">
                  <c:v>103.07499999999999</c:v>
                </c:pt>
                <c:pt idx="32">
                  <c:v>100.35</c:v>
                </c:pt>
                <c:pt idx="33">
                  <c:v>98.625</c:v>
                </c:pt>
                <c:pt idx="34">
                  <c:v>99.424999999999997</c:v>
                </c:pt>
                <c:pt idx="35">
                  <c:v>98.85</c:v>
                </c:pt>
                <c:pt idx="36">
                  <c:v>96.800000000000011</c:v>
                </c:pt>
                <c:pt idx="37">
                  <c:v>97.325000000000003</c:v>
                </c:pt>
                <c:pt idx="38">
                  <c:v>96.049999999999983</c:v>
                </c:pt>
                <c:pt idx="39">
                  <c:v>93.625</c:v>
                </c:pt>
              </c:numCache>
            </c:numRef>
          </c:val>
          <c:smooth val="0"/>
        </c:ser>
        <c:ser>
          <c:idx val="3"/>
          <c:order val="3"/>
          <c:tx>
            <c:strRef>
              <c:f>Sheet1!$R$1</c:f>
              <c:strCache>
                <c:ptCount val="1"/>
                <c:pt idx="0">
                  <c:v>Food/beverages</c:v>
                </c:pt>
              </c:strCache>
            </c:strRef>
          </c:tx>
          <c:spPr>
            <a:ln w="19050">
              <a:solidFill>
                <a:srgbClr val="39580D"/>
              </a:solidFill>
              <a:prstDash val="sysDot"/>
            </a:ln>
          </c:spPr>
          <c:marker>
            <c:symbol val="none"/>
          </c:marker>
          <c:cat>
            <c:numRef>
              <c:f>Sheet1!$N$2:$N$41</c:f>
              <c:numCache>
                <c:formatCode>General</c:formatCode>
                <c:ptCount val="40"/>
                <c:pt idx="0">
                  <c:v>1973</c:v>
                </c:pt>
                <c:pt idx="1">
                  <c:v>1974</c:v>
                </c:pt>
                <c:pt idx="2">
                  <c:v>1975</c:v>
                </c:pt>
                <c:pt idx="3">
                  <c:v>1976</c:v>
                </c:pt>
                <c:pt idx="4">
                  <c:v>1977</c:v>
                </c:pt>
                <c:pt idx="5">
                  <c:v>1978</c:v>
                </c:pt>
                <c:pt idx="6">
                  <c:v>1979</c:v>
                </c:pt>
                <c:pt idx="7">
                  <c:v>1980</c:v>
                </c:pt>
                <c:pt idx="8">
                  <c:v>1981</c:v>
                </c:pt>
                <c:pt idx="9">
                  <c:v>1982</c:v>
                </c:pt>
                <c:pt idx="10">
                  <c:v>1983</c:v>
                </c:pt>
                <c:pt idx="11">
                  <c:v>1984</c:v>
                </c:pt>
                <c:pt idx="12">
                  <c:v>1985</c:v>
                </c:pt>
                <c:pt idx="13">
                  <c:v>1986</c:v>
                </c:pt>
                <c:pt idx="14">
                  <c:v>1987</c:v>
                </c:pt>
                <c:pt idx="15">
                  <c:v>1988</c:v>
                </c:pt>
                <c:pt idx="16">
                  <c:v>1989</c:v>
                </c:pt>
                <c:pt idx="17">
                  <c:v>1990</c:v>
                </c:pt>
                <c:pt idx="18">
                  <c:v>1991</c:v>
                </c:pt>
                <c:pt idx="19">
                  <c:v>1992</c:v>
                </c:pt>
                <c:pt idx="20">
                  <c:v>1993</c:v>
                </c:pt>
                <c:pt idx="21">
                  <c:v>1994</c:v>
                </c:pt>
                <c:pt idx="22">
                  <c:v>1995</c:v>
                </c:pt>
                <c:pt idx="23">
                  <c:v>1996</c:v>
                </c:pt>
                <c:pt idx="24">
                  <c:v>1997</c:v>
                </c:pt>
                <c:pt idx="25">
                  <c:v>1998</c:v>
                </c:pt>
                <c:pt idx="26">
                  <c:v>1999</c:v>
                </c:pt>
                <c:pt idx="27">
                  <c:v>2000</c:v>
                </c:pt>
                <c:pt idx="28">
                  <c:v>2001</c:v>
                </c:pt>
                <c:pt idx="29">
                  <c:v>2002</c:v>
                </c:pt>
                <c:pt idx="30">
                  <c:v>2003</c:v>
                </c:pt>
                <c:pt idx="31">
                  <c:v>2004</c:v>
                </c:pt>
                <c:pt idx="32">
                  <c:v>2005</c:v>
                </c:pt>
                <c:pt idx="33">
                  <c:v>2006</c:v>
                </c:pt>
                <c:pt idx="34">
                  <c:v>2007</c:v>
                </c:pt>
                <c:pt idx="35">
                  <c:v>2008</c:v>
                </c:pt>
                <c:pt idx="36">
                  <c:v>2009</c:v>
                </c:pt>
                <c:pt idx="37">
                  <c:v>2010</c:v>
                </c:pt>
                <c:pt idx="38">
                  <c:v>2011</c:v>
                </c:pt>
                <c:pt idx="39">
                  <c:v>2012</c:v>
                </c:pt>
              </c:numCache>
            </c:numRef>
          </c:cat>
          <c:val>
            <c:numRef>
              <c:f>Sheet1!$R$2:$R$41</c:f>
              <c:numCache>
                <c:formatCode>0.0;\-0.0;0.0;@</c:formatCode>
                <c:ptCount val="40"/>
                <c:pt idx="0">
                  <c:v>20.849999999999998</c:v>
                </c:pt>
                <c:pt idx="1">
                  <c:v>24.824999999999999</c:v>
                </c:pt>
                <c:pt idx="2">
                  <c:v>27.175000000000001</c:v>
                </c:pt>
                <c:pt idx="3">
                  <c:v>29.85</c:v>
                </c:pt>
                <c:pt idx="4">
                  <c:v>33.35</c:v>
                </c:pt>
                <c:pt idx="5">
                  <c:v>37</c:v>
                </c:pt>
                <c:pt idx="6">
                  <c:v>41.275000000000006</c:v>
                </c:pt>
                <c:pt idx="7">
                  <c:v>47</c:v>
                </c:pt>
                <c:pt idx="8">
                  <c:v>51.875</c:v>
                </c:pt>
                <c:pt idx="9">
                  <c:v>56.325000000000003</c:v>
                </c:pt>
                <c:pt idx="10">
                  <c:v>61.475000000000001</c:v>
                </c:pt>
                <c:pt idx="11">
                  <c:v>66.25</c:v>
                </c:pt>
                <c:pt idx="12">
                  <c:v>69.724999999999994</c:v>
                </c:pt>
                <c:pt idx="13">
                  <c:v>75.05</c:v>
                </c:pt>
                <c:pt idx="14">
                  <c:v>81.075000000000017</c:v>
                </c:pt>
                <c:pt idx="15">
                  <c:v>85.325000000000003</c:v>
                </c:pt>
                <c:pt idx="16">
                  <c:v>93.375</c:v>
                </c:pt>
                <c:pt idx="17">
                  <c:v>100</c:v>
                </c:pt>
                <c:pt idx="18">
                  <c:v>103.25</c:v>
                </c:pt>
                <c:pt idx="19">
                  <c:v>105.75</c:v>
                </c:pt>
                <c:pt idx="20">
                  <c:v>107.425</c:v>
                </c:pt>
                <c:pt idx="21">
                  <c:v>109.4</c:v>
                </c:pt>
                <c:pt idx="22">
                  <c:v>112.05</c:v>
                </c:pt>
                <c:pt idx="23">
                  <c:v>116.02500000000001</c:v>
                </c:pt>
                <c:pt idx="24">
                  <c:v>119.675</c:v>
                </c:pt>
                <c:pt idx="25">
                  <c:v>121.77500000000001</c:v>
                </c:pt>
                <c:pt idx="26">
                  <c:v>126.5</c:v>
                </c:pt>
                <c:pt idx="27">
                  <c:v>129.17500000000001</c:v>
                </c:pt>
                <c:pt idx="28">
                  <c:v>135.55000000000001</c:v>
                </c:pt>
                <c:pt idx="29">
                  <c:v>142.72500000000002</c:v>
                </c:pt>
                <c:pt idx="30">
                  <c:v>147.9</c:v>
                </c:pt>
                <c:pt idx="31">
                  <c:v>152.32499999999999</c:v>
                </c:pt>
                <c:pt idx="32">
                  <c:v>154.80000000000001</c:v>
                </c:pt>
                <c:pt idx="33">
                  <c:v>162.30000000000001</c:v>
                </c:pt>
                <c:pt idx="34">
                  <c:v>172.39999999999998</c:v>
                </c:pt>
                <c:pt idx="35">
                  <c:v>177.77500000000001</c:v>
                </c:pt>
                <c:pt idx="36">
                  <c:v>186.47499999999999</c:v>
                </c:pt>
                <c:pt idx="37">
                  <c:v>189.47500000000002</c:v>
                </c:pt>
                <c:pt idx="38">
                  <c:v>196.45</c:v>
                </c:pt>
                <c:pt idx="39">
                  <c:v>197.85</c:v>
                </c:pt>
              </c:numCache>
            </c:numRef>
          </c:val>
          <c:smooth val="0"/>
        </c:ser>
        <c:dLbls>
          <c:showLegendKey val="0"/>
          <c:showVal val="0"/>
          <c:showCatName val="0"/>
          <c:showSerName val="0"/>
          <c:showPercent val="0"/>
          <c:showBubbleSize val="0"/>
        </c:dLbls>
        <c:marker val="1"/>
        <c:smooth val="0"/>
        <c:axId val="76312960"/>
        <c:axId val="76314496"/>
      </c:lineChart>
      <c:catAx>
        <c:axId val="76312960"/>
        <c:scaling>
          <c:orientation val="minMax"/>
        </c:scaling>
        <c:delete val="0"/>
        <c:axPos val="b"/>
        <c:numFmt formatCode="General" sourceLinked="1"/>
        <c:majorTickMark val="out"/>
        <c:minorTickMark val="none"/>
        <c:tickLblPos val="nextTo"/>
        <c:spPr>
          <a:ln>
            <a:solidFill>
              <a:sysClr val="windowText" lastClr="000000"/>
            </a:solidFill>
          </a:ln>
        </c:spPr>
        <c:txPr>
          <a:bodyPr rot="0"/>
          <a:lstStyle/>
          <a:p>
            <a:pPr>
              <a:defRPr sz="950"/>
            </a:pPr>
            <a:endParaRPr lang="en-US"/>
          </a:p>
        </c:txPr>
        <c:crossAx val="76314496"/>
        <c:crosses val="autoZero"/>
        <c:auto val="1"/>
        <c:lblAlgn val="ctr"/>
        <c:lblOffset val="100"/>
        <c:tickLblSkip val="3"/>
        <c:tickMarkSkip val="3"/>
        <c:noMultiLvlLbl val="0"/>
      </c:catAx>
      <c:valAx>
        <c:axId val="76314496"/>
        <c:scaling>
          <c:orientation val="minMax"/>
          <c:max val="200"/>
        </c:scaling>
        <c:delete val="0"/>
        <c:axPos val="l"/>
        <c:majorGridlines/>
        <c:title>
          <c:tx>
            <c:rich>
              <a:bodyPr rot="-5400000" vert="horz"/>
              <a:lstStyle/>
              <a:p>
                <a:pPr>
                  <a:defRPr/>
                </a:pPr>
                <a:r>
                  <a:rPr lang="en-AU"/>
                  <a:t>Index</a:t>
                </a:r>
                <a:r>
                  <a:rPr lang="en-AU" baseline="0"/>
                  <a:t> value</a:t>
                </a:r>
                <a:endParaRPr lang="en-AU"/>
              </a:p>
            </c:rich>
          </c:tx>
          <c:layout>
            <c:manualLayout>
              <c:xMode val="edge"/>
              <c:yMode val="edge"/>
              <c:x val="3.7813620071684593E-3"/>
              <c:y val="0.37553993055555557"/>
            </c:manualLayout>
          </c:layout>
          <c:overlay val="0"/>
        </c:title>
        <c:numFmt formatCode="0" sourceLinked="0"/>
        <c:majorTickMark val="out"/>
        <c:minorTickMark val="none"/>
        <c:tickLblPos val="nextTo"/>
        <c:spPr>
          <a:ln>
            <a:solidFill>
              <a:sysClr val="windowText" lastClr="000000"/>
            </a:solidFill>
          </a:ln>
        </c:spPr>
        <c:crossAx val="76312960"/>
        <c:crosses val="autoZero"/>
        <c:crossBetween val="midCat"/>
        <c:majorUnit val="50"/>
      </c:valAx>
      <c:spPr>
        <a:ln>
          <a:solidFill>
            <a:schemeClr val="tx1"/>
          </a:solidFill>
        </a:ln>
      </c:spPr>
    </c:plotArea>
    <c:legend>
      <c:legendPos val="t"/>
      <c:layout>
        <c:manualLayout>
          <c:xMode val="edge"/>
          <c:yMode val="edge"/>
          <c:x val="1.103711992004606E-2"/>
          <c:y val="0"/>
          <c:w val="0.98702204301075269"/>
          <c:h val="7.5244097222222223E-2"/>
        </c:manualLayout>
      </c:layout>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2816851851851859E-2"/>
          <c:y val="8.9988541666666658E-2"/>
          <c:w val="0.86691944444444446"/>
          <c:h val="0.79335902777777778"/>
        </c:manualLayout>
      </c:layout>
      <c:lineChart>
        <c:grouping val="standard"/>
        <c:varyColors val="0"/>
        <c:ser>
          <c:idx val="0"/>
          <c:order val="0"/>
          <c:tx>
            <c:strRef>
              <c:f>'Building vs engineering'!$B$1</c:f>
              <c:strCache>
                <c:ptCount val="1"/>
                <c:pt idx="0">
                  <c:v>Building</c:v>
                </c:pt>
              </c:strCache>
            </c:strRef>
          </c:tx>
          <c:spPr>
            <a:ln w="19050">
              <a:solidFill>
                <a:srgbClr val="344893"/>
              </a:solidFill>
            </a:ln>
          </c:spPr>
          <c:marker>
            <c:symbol val="none"/>
          </c:marker>
          <c:cat>
            <c:numRef>
              <c:f>'Building vs engineering'!$D$2:$D$106</c:f>
              <c:numCache>
                <c:formatCode>General</c:formatCode>
                <c:ptCount val="105"/>
                <c:pt idx="0">
                  <c:v>1986</c:v>
                </c:pt>
                <c:pt idx="4">
                  <c:v>1987</c:v>
                </c:pt>
                <c:pt idx="8">
                  <c:v>1988</c:v>
                </c:pt>
                <c:pt idx="12">
                  <c:v>1989</c:v>
                </c:pt>
                <c:pt idx="16">
                  <c:v>1990</c:v>
                </c:pt>
                <c:pt idx="20">
                  <c:v>1991</c:v>
                </c:pt>
                <c:pt idx="24">
                  <c:v>1992</c:v>
                </c:pt>
                <c:pt idx="28">
                  <c:v>1993</c:v>
                </c:pt>
                <c:pt idx="32">
                  <c:v>1994</c:v>
                </c:pt>
                <c:pt idx="36">
                  <c:v>1995</c:v>
                </c:pt>
                <c:pt idx="40">
                  <c:v>1996</c:v>
                </c:pt>
                <c:pt idx="44">
                  <c:v>1997</c:v>
                </c:pt>
                <c:pt idx="48">
                  <c:v>1998</c:v>
                </c:pt>
                <c:pt idx="52">
                  <c:v>1999</c:v>
                </c:pt>
                <c:pt idx="56">
                  <c:v>2000</c:v>
                </c:pt>
                <c:pt idx="60">
                  <c:v>2001</c:v>
                </c:pt>
                <c:pt idx="64">
                  <c:v>2002</c:v>
                </c:pt>
                <c:pt idx="68">
                  <c:v>2003</c:v>
                </c:pt>
                <c:pt idx="72">
                  <c:v>2004</c:v>
                </c:pt>
                <c:pt idx="76">
                  <c:v>2005</c:v>
                </c:pt>
                <c:pt idx="80">
                  <c:v>2006</c:v>
                </c:pt>
                <c:pt idx="84">
                  <c:v>2007</c:v>
                </c:pt>
                <c:pt idx="88">
                  <c:v>2008</c:v>
                </c:pt>
                <c:pt idx="92">
                  <c:v>2009</c:v>
                </c:pt>
                <c:pt idx="96">
                  <c:v>2010</c:v>
                </c:pt>
                <c:pt idx="100">
                  <c:v>2011</c:v>
                </c:pt>
                <c:pt idx="104">
                  <c:v>2012</c:v>
                </c:pt>
              </c:numCache>
            </c:numRef>
          </c:cat>
          <c:val>
            <c:numRef>
              <c:f>'Building vs engineering'!$B$2:$B$106</c:f>
              <c:numCache>
                <c:formatCode>0;\-0;0;@</c:formatCode>
                <c:ptCount val="105"/>
                <c:pt idx="0">
                  <c:v>11270392</c:v>
                </c:pt>
                <c:pt idx="1">
                  <c:v>10858558</c:v>
                </c:pt>
                <c:pt idx="2">
                  <c:v>11295789</c:v>
                </c:pt>
                <c:pt idx="3">
                  <c:v>11572411</c:v>
                </c:pt>
                <c:pt idx="4">
                  <c:v>11934444</c:v>
                </c:pt>
                <c:pt idx="5">
                  <c:v>12696352</c:v>
                </c:pt>
                <c:pt idx="6">
                  <c:v>13094270</c:v>
                </c:pt>
                <c:pt idx="7">
                  <c:v>12755586</c:v>
                </c:pt>
                <c:pt idx="8">
                  <c:v>13635154</c:v>
                </c:pt>
                <c:pt idx="9">
                  <c:v>14089144</c:v>
                </c:pt>
                <c:pt idx="10">
                  <c:v>14782843</c:v>
                </c:pt>
                <c:pt idx="11">
                  <c:v>15517779</c:v>
                </c:pt>
                <c:pt idx="12">
                  <c:v>15474156</c:v>
                </c:pt>
                <c:pt idx="13">
                  <c:v>14942547</c:v>
                </c:pt>
                <c:pt idx="14">
                  <c:v>14540852</c:v>
                </c:pt>
                <c:pt idx="15">
                  <c:v>13715373</c:v>
                </c:pt>
                <c:pt idx="16">
                  <c:v>13358910</c:v>
                </c:pt>
                <c:pt idx="17">
                  <c:v>13073961</c:v>
                </c:pt>
                <c:pt idx="18">
                  <c:v>12567200</c:v>
                </c:pt>
                <c:pt idx="19">
                  <c:v>12046202</c:v>
                </c:pt>
                <c:pt idx="20">
                  <c:v>11373888</c:v>
                </c:pt>
                <c:pt idx="21">
                  <c:v>11042936</c:v>
                </c:pt>
                <c:pt idx="22">
                  <c:v>11453871</c:v>
                </c:pt>
                <c:pt idx="23">
                  <c:v>11476272</c:v>
                </c:pt>
                <c:pt idx="24">
                  <c:v>11677846</c:v>
                </c:pt>
                <c:pt idx="25">
                  <c:v>11947355</c:v>
                </c:pt>
                <c:pt idx="26">
                  <c:v>12452746</c:v>
                </c:pt>
                <c:pt idx="27">
                  <c:v>11863545</c:v>
                </c:pt>
                <c:pt idx="28">
                  <c:v>12317290</c:v>
                </c:pt>
                <c:pt idx="29">
                  <c:v>12389780</c:v>
                </c:pt>
                <c:pt idx="30">
                  <c:v>12402237</c:v>
                </c:pt>
                <c:pt idx="31">
                  <c:v>13163146</c:v>
                </c:pt>
                <c:pt idx="32">
                  <c:v>13345850</c:v>
                </c:pt>
                <c:pt idx="33">
                  <c:v>13419841</c:v>
                </c:pt>
                <c:pt idx="34">
                  <c:v>13083245</c:v>
                </c:pt>
                <c:pt idx="35">
                  <c:v>13077872</c:v>
                </c:pt>
                <c:pt idx="36">
                  <c:v>12951138</c:v>
                </c:pt>
                <c:pt idx="37">
                  <c:v>12280685</c:v>
                </c:pt>
                <c:pt idx="38">
                  <c:v>11920465</c:v>
                </c:pt>
                <c:pt idx="39">
                  <c:v>11975208</c:v>
                </c:pt>
                <c:pt idx="40">
                  <c:v>12171176</c:v>
                </c:pt>
                <c:pt idx="41">
                  <c:v>12411780</c:v>
                </c:pt>
                <c:pt idx="42">
                  <c:v>13329225</c:v>
                </c:pt>
                <c:pt idx="43">
                  <c:v>12779431</c:v>
                </c:pt>
                <c:pt idx="44">
                  <c:v>13365355</c:v>
                </c:pt>
                <c:pt idx="45">
                  <c:v>13795711</c:v>
                </c:pt>
                <c:pt idx="46">
                  <c:v>14391372</c:v>
                </c:pt>
                <c:pt idx="47">
                  <c:v>14453523</c:v>
                </c:pt>
                <c:pt idx="48">
                  <c:v>14513115</c:v>
                </c:pt>
                <c:pt idx="49">
                  <c:v>15413342</c:v>
                </c:pt>
                <c:pt idx="50">
                  <c:v>14892819</c:v>
                </c:pt>
                <c:pt idx="51">
                  <c:v>15069275</c:v>
                </c:pt>
                <c:pt idx="52">
                  <c:v>15429139</c:v>
                </c:pt>
                <c:pt idx="53">
                  <c:v>15554969</c:v>
                </c:pt>
                <c:pt idx="54">
                  <c:v>16131816</c:v>
                </c:pt>
                <c:pt idx="55">
                  <c:v>18046456</c:v>
                </c:pt>
                <c:pt idx="56">
                  <c:v>13161570</c:v>
                </c:pt>
                <c:pt idx="57">
                  <c:v>12141330</c:v>
                </c:pt>
                <c:pt idx="58">
                  <c:v>12305335</c:v>
                </c:pt>
                <c:pt idx="59">
                  <c:v>12409317</c:v>
                </c:pt>
                <c:pt idx="60">
                  <c:v>13333202</c:v>
                </c:pt>
                <c:pt idx="61">
                  <c:v>14183557</c:v>
                </c:pt>
                <c:pt idx="62">
                  <c:v>14893899</c:v>
                </c:pt>
                <c:pt idx="63">
                  <c:v>15716061</c:v>
                </c:pt>
                <c:pt idx="64">
                  <c:v>16497528</c:v>
                </c:pt>
                <c:pt idx="65">
                  <c:v>16880222</c:v>
                </c:pt>
                <c:pt idx="66">
                  <c:v>17062688</c:v>
                </c:pt>
                <c:pt idx="67">
                  <c:v>16239982</c:v>
                </c:pt>
                <c:pt idx="68">
                  <c:v>16807537</c:v>
                </c:pt>
                <c:pt idx="69">
                  <c:v>17879402</c:v>
                </c:pt>
                <c:pt idx="70">
                  <c:v>18410856</c:v>
                </c:pt>
                <c:pt idx="71">
                  <c:v>18069405</c:v>
                </c:pt>
                <c:pt idx="72">
                  <c:v>17861914</c:v>
                </c:pt>
                <c:pt idx="73">
                  <c:v>18058796</c:v>
                </c:pt>
                <c:pt idx="74">
                  <c:v>17590327</c:v>
                </c:pt>
                <c:pt idx="75">
                  <c:v>18608459</c:v>
                </c:pt>
                <c:pt idx="76">
                  <c:v>18528385</c:v>
                </c:pt>
                <c:pt idx="77">
                  <c:v>17860533</c:v>
                </c:pt>
                <c:pt idx="78">
                  <c:v>17858472</c:v>
                </c:pt>
                <c:pt idx="79">
                  <c:v>18556314</c:v>
                </c:pt>
                <c:pt idx="80">
                  <c:v>18469760</c:v>
                </c:pt>
                <c:pt idx="81">
                  <c:v>19050210</c:v>
                </c:pt>
                <c:pt idx="82">
                  <c:v>19432309</c:v>
                </c:pt>
                <c:pt idx="83">
                  <c:v>18658577</c:v>
                </c:pt>
                <c:pt idx="84">
                  <c:v>19616510</c:v>
                </c:pt>
                <c:pt idx="85">
                  <c:v>19229403</c:v>
                </c:pt>
                <c:pt idx="86">
                  <c:v>19684603</c:v>
                </c:pt>
                <c:pt idx="87">
                  <c:v>20206612</c:v>
                </c:pt>
                <c:pt idx="88">
                  <c:v>20321868</c:v>
                </c:pt>
                <c:pt idx="89">
                  <c:v>20276996</c:v>
                </c:pt>
                <c:pt idx="90">
                  <c:v>19830168</c:v>
                </c:pt>
                <c:pt idx="91">
                  <c:v>18948847</c:v>
                </c:pt>
                <c:pt idx="92">
                  <c:v>18999071</c:v>
                </c:pt>
                <c:pt idx="93">
                  <c:v>19920357</c:v>
                </c:pt>
                <c:pt idx="94">
                  <c:v>21388950</c:v>
                </c:pt>
                <c:pt idx="95">
                  <c:v>22635429</c:v>
                </c:pt>
                <c:pt idx="96">
                  <c:v>21854606</c:v>
                </c:pt>
                <c:pt idx="97">
                  <c:v>21078411</c:v>
                </c:pt>
                <c:pt idx="98">
                  <c:v>20431719</c:v>
                </c:pt>
                <c:pt idx="99">
                  <c:v>19933888</c:v>
                </c:pt>
                <c:pt idx="100">
                  <c:v>20241835</c:v>
                </c:pt>
                <c:pt idx="101">
                  <c:v>19793260</c:v>
                </c:pt>
                <c:pt idx="102">
                  <c:v>19700021</c:v>
                </c:pt>
                <c:pt idx="103">
                  <c:v>19571063</c:v>
                </c:pt>
                <c:pt idx="104">
                  <c:v>19257942</c:v>
                </c:pt>
              </c:numCache>
            </c:numRef>
          </c:val>
          <c:smooth val="0"/>
        </c:ser>
        <c:ser>
          <c:idx val="1"/>
          <c:order val="1"/>
          <c:tx>
            <c:strRef>
              <c:f>'Building vs engineering'!$C$1</c:f>
              <c:strCache>
                <c:ptCount val="1"/>
                <c:pt idx="0">
                  <c:v>Engineering </c:v>
                </c:pt>
              </c:strCache>
            </c:strRef>
          </c:tx>
          <c:spPr>
            <a:ln w="19050">
              <a:solidFill>
                <a:srgbClr val="86A20B"/>
              </a:solidFill>
              <a:prstDash val="sysDash"/>
            </a:ln>
          </c:spPr>
          <c:marker>
            <c:symbol val="none"/>
          </c:marker>
          <c:cat>
            <c:numRef>
              <c:f>'Building vs engineering'!$D$2:$D$106</c:f>
              <c:numCache>
                <c:formatCode>General</c:formatCode>
                <c:ptCount val="105"/>
                <c:pt idx="0">
                  <c:v>1986</c:v>
                </c:pt>
                <c:pt idx="4">
                  <c:v>1987</c:v>
                </c:pt>
                <c:pt idx="8">
                  <c:v>1988</c:v>
                </c:pt>
                <c:pt idx="12">
                  <c:v>1989</c:v>
                </c:pt>
                <c:pt idx="16">
                  <c:v>1990</c:v>
                </c:pt>
                <c:pt idx="20">
                  <c:v>1991</c:v>
                </c:pt>
                <c:pt idx="24">
                  <c:v>1992</c:v>
                </c:pt>
                <c:pt idx="28">
                  <c:v>1993</c:v>
                </c:pt>
                <c:pt idx="32">
                  <c:v>1994</c:v>
                </c:pt>
                <c:pt idx="36">
                  <c:v>1995</c:v>
                </c:pt>
                <c:pt idx="40">
                  <c:v>1996</c:v>
                </c:pt>
                <c:pt idx="44">
                  <c:v>1997</c:v>
                </c:pt>
                <c:pt idx="48">
                  <c:v>1998</c:v>
                </c:pt>
                <c:pt idx="52">
                  <c:v>1999</c:v>
                </c:pt>
                <c:pt idx="56">
                  <c:v>2000</c:v>
                </c:pt>
                <c:pt idx="60">
                  <c:v>2001</c:v>
                </c:pt>
                <c:pt idx="64">
                  <c:v>2002</c:v>
                </c:pt>
                <c:pt idx="68">
                  <c:v>2003</c:v>
                </c:pt>
                <c:pt idx="72">
                  <c:v>2004</c:v>
                </c:pt>
                <c:pt idx="76">
                  <c:v>2005</c:v>
                </c:pt>
                <c:pt idx="80">
                  <c:v>2006</c:v>
                </c:pt>
                <c:pt idx="84">
                  <c:v>2007</c:v>
                </c:pt>
                <c:pt idx="88">
                  <c:v>2008</c:v>
                </c:pt>
                <c:pt idx="92">
                  <c:v>2009</c:v>
                </c:pt>
                <c:pt idx="96">
                  <c:v>2010</c:v>
                </c:pt>
                <c:pt idx="100">
                  <c:v>2011</c:v>
                </c:pt>
                <c:pt idx="104">
                  <c:v>2012</c:v>
                </c:pt>
              </c:numCache>
            </c:numRef>
          </c:cat>
          <c:val>
            <c:numRef>
              <c:f>'Building vs engineering'!$C$2:$C$106</c:f>
              <c:numCache>
                <c:formatCode>0;\-0;0;@</c:formatCode>
                <c:ptCount val="105"/>
                <c:pt idx="0">
                  <c:v>5088012</c:v>
                </c:pt>
                <c:pt idx="1">
                  <c:v>4771476</c:v>
                </c:pt>
                <c:pt idx="2">
                  <c:v>4968871</c:v>
                </c:pt>
                <c:pt idx="3">
                  <c:v>4599595</c:v>
                </c:pt>
                <c:pt idx="4">
                  <c:v>4392172</c:v>
                </c:pt>
                <c:pt idx="5">
                  <c:v>4612143</c:v>
                </c:pt>
                <c:pt idx="6">
                  <c:v>4512011</c:v>
                </c:pt>
                <c:pt idx="7">
                  <c:v>4567885</c:v>
                </c:pt>
                <c:pt idx="8">
                  <c:v>4438711</c:v>
                </c:pt>
                <c:pt idx="9">
                  <c:v>4505631</c:v>
                </c:pt>
                <c:pt idx="10">
                  <c:v>4451609</c:v>
                </c:pt>
                <c:pt idx="11">
                  <c:v>4495448</c:v>
                </c:pt>
                <c:pt idx="12">
                  <c:v>5043004</c:v>
                </c:pt>
                <c:pt idx="13">
                  <c:v>4875805</c:v>
                </c:pt>
                <c:pt idx="14">
                  <c:v>5001219</c:v>
                </c:pt>
                <c:pt idx="15">
                  <c:v>4920175</c:v>
                </c:pt>
                <c:pt idx="16">
                  <c:v>5213193</c:v>
                </c:pt>
                <c:pt idx="17">
                  <c:v>5088210</c:v>
                </c:pt>
                <c:pt idx="18">
                  <c:v>4944801</c:v>
                </c:pt>
                <c:pt idx="19">
                  <c:v>4965422</c:v>
                </c:pt>
                <c:pt idx="20">
                  <c:v>4688725</c:v>
                </c:pt>
                <c:pt idx="21">
                  <c:v>4797605</c:v>
                </c:pt>
                <c:pt idx="22">
                  <c:v>4623855</c:v>
                </c:pt>
                <c:pt idx="23">
                  <c:v>4579030</c:v>
                </c:pt>
                <c:pt idx="24">
                  <c:v>4465896</c:v>
                </c:pt>
                <c:pt idx="25">
                  <c:v>4643611</c:v>
                </c:pt>
                <c:pt idx="26">
                  <c:v>4849018</c:v>
                </c:pt>
                <c:pt idx="27">
                  <c:v>5299936</c:v>
                </c:pt>
                <c:pt idx="28">
                  <c:v>5044051</c:v>
                </c:pt>
                <c:pt idx="29">
                  <c:v>5001243</c:v>
                </c:pt>
                <c:pt idx="30">
                  <c:v>5472527</c:v>
                </c:pt>
                <c:pt idx="31">
                  <c:v>5352568</c:v>
                </c:pt>
                <c:pt idx="32">
                  <c:v>5258166</c:v>
                </c:pt>
                <c:pt idx="33">
                  <c:v>5423419</c:v>
                </c:pt>
                <c:pt idx="34">
                  <c:v>5281108</c:v>
                </c:pt>
                <c:pt idx="35">
                  <c:v>5421600</c:v>
                </c:pt>
                <c:pt idx="36">
                  <c:v>5589460</c:v>
                </c:pt>
                <c:pt idx="37">
                  <c:v>6025479</c:v>
                </c:pt>
                <c:pt idx="38">
                  <c:v>5829929</c:v>
                </c:pt>
                <c:pt idx="39">
                  <c:v>5973081</c:v>
                </c:pt>
                <c:pt idx="40">
                  <c:v>6368647</c:v>
                </c:pt>
                <c:pt idx="41">
                  <c:v>5921953</c:v>
                </c:pt>
                <c:pt idx="42">
                  <c:v>5678023</c:v>
                </c:pt>
                <c:pt idx="43">
                  <c:v>6181766</c:v>
                </c:pt>
                <c:pt idx="44">
                  <c:v>6036415</c:v>
                </c:pt>
                <c:pt idx="45">
                  <c:v>6552887</c:v>
                </c:pt>
                <c:pt idx="46">
                  <c:v>7444794</c:v>
                </c:pt>
                <c:pt idx="47">
                  <c:v>7119716</c:v>
                </c:pt>
                <c:pt idx="48">
                  <c:v>7293978</c:v>
                </c:pt>
                <c:pt idx="49">
                  <c:v>7477371</c:v>
                </c:pt>
                <c:pt idx="50">
                  <c:v>7518340</c:v>
                </c:pt>
                <c:pt idx="51">
                  <c:v>7671226</c:v>
                </c:pt>
                <c:pt idx="52">
                  <c:v>7657357</c:v>
                </c:pt>
                <c:pt idx="53">
                  <c:v>7775183</c:v>
                </c:pt>
                <c:pt idx="54">
                  <c:v>7613696</c:v>
                </c:pt>
                <c:pt idx="55">
                  <c:v>6997648</c:v>
                </c:pt>
                <c:pt idx="56">
                  <c:v>7079244</c:v>
                </c:pt>
                <c:pt idx="57">
                  <c:v>6318075</c:v>
                </c:pt>
                <c:pt idx="58">
                  <c:v>6325047</c:v>
                </c:pt>
                <c:pt idx="59">
                  <c:v>6780317</c:v>
                </c:pt>
                <c:pt idx="60">
                  <c:v>6760689</c:v>
                </c:pt>
                <c:pt idx="61">
                  <c:v>6753450</c:v>
                </c:pt>
                <c:pt idx="62">
                  <c:v>7754944</c:v>
                </c:pt>
                <c:pt idx="63">
                  <c:v>7500122</c:v>
                </c:pt>
                <c:pt idx="64">
                  <c:v>8159466</c:v>
                </c:pt>
                <c:pt idx="65">
                  <c:v>8598416</c:v>
                </c:pt>
                <c:pt idx="66">
                  <c:v>8805217</c:v>
                </c:pt>
                <c:pt idx="67">
                  <c:v>9000857</c:v>
                </c:pt>
                <c:pt idx="68">
                  <c:v>8834390</c:v>
                </c:pt>
                <c:pt idx="69">
                  <c:v>9270259</c:v>
                </c:pt>
                <c:pt idx="70">
                  <c:v>9531460</c:v>
                </c:pt>
                <c:pt idx="71">
                  <c:v>9518200</c:v>
                </c:pt>
                <c:pt idx="72">
                  <c:v>9947163</c:v>
                </c:pt>
                <c:pt idx="73">
                  <c:v>10091768</c:v>
                </c:pt>
                <c:pt idx="74">
                  <c:v>11165305</c:v>
                </c:pt>
                <c:pt idx="75">
                  <c:v>11384748</c:v>
                </c:pt>
                <c:pt idx="76">
                  <c:v>12322380</c:v>
                </c:pt>
                <c:pt idx="77">
                  <c:v>13168042</c:v>
                </c:pt>
                <c:pt idx="78">
                  <c:v>13736809</c:v>
                </c:pt>
                <c:pt idx="79">
                  <c:v>14327914</c:v>
                </c:pt>
                <c:pt idx="80">
                  <c:v>13417231</c:v>
                </c:pt>
                <c:pt idx="81">
                  <c:v>14125928</c:v>
                </c:pt>
                <c:pt idx="82">
                  <c:v>15364371</c:v>
                </c:pt>
                <c:pt idx="83">
                  <c:v>15019540</c:v>
                </c:pt>
                <c:pt idx="84">
                  <c:v>15065057</c:v>
                </c:pt>
                <c:pt idx="85">
                  <c:v>15091355</c:v>
                </c:pt>
                <c:pt idx="86">
                  <c:v>17228238</c:v>
                </c:pt>
                <c:pt idx="87">
                  <c:v>16178026</c:v>
                </c:pt>
                <c:pt idx="88">
                  <c:v>18391814</c:v>
                </c:pt>
                <c:pt idx="89">
                  <c:v>19176468</c:v>
                </c:pt>
                <c:pt idx="90">
                  <c:v>18513910</c:v>
                </c:pt>
                <c:pt idx="91">
                  <c:v>19606316</c:v>
                </c:pt>
                <c:pt idx="92">
                  <c:v>19936581</c:v>
                </c:pt>
                <c:pt idx="93">
                  <c:v>18838728</c:v>
                </c:pt>
                <c:pt idx="94">
                  <c:v>18846349</c:v>
                </c:pt>
                <c:pt idx="95">
                  <c:v>19507288</c:v>
                </c:pt>
                <c:pt idx="96">
                  <c:v>19261007</c:v>
                </c:pt>
                <c:pt idx="97">
                  <c:v>21036700</c:v>
                </c:pt>
                <c:pt idx="98">
                  <c:v>22297689</c:v>
                </c:pt>
                <c:pt idx="99">
                  <c:v>23452096</c:v>
                </c:pt>
                <c:pt idx="100">
                  <c:v>28140049</c:v>
                </c:pt>
                <c:pt idx="101">
                  <c:v>26540880</c:v>
                </c:pt>
                <c:pt idx="102">
                  <c:v>30280484</c:v>
                </c:pt>
                <c:pt idx="103">
                  <c:v>30877123</c:v>
                </c:pt>
                <c:pt idx="104">
                  <c:v>32040101</c:v>
                </c:pt>
              </c:numCache>
            </c:numRef>
          </c:val>
          <c:smooth val="0"/>
        </c:ser>
        <c:dLbls>
          <c:showLegendKey val="0"/>
          <c:showVal val="0"/>
          <c:showCatName val="0"/>
          <c:showSerName val="0"/>
          <c:showPercent val="0"/>
          <c:showBubbleSize val="0"/>
        </c:dLbls>
        <c:marker val="1"/>
        <c:smooth val="0"/>
        <c:axId val="76345344"/>
        <c:axId val="76346880"/>
      </c:lineChart>
      <c:catAx>
        <c:axId val="76345344"/>
        <c:scaling>
          <c:orientation val="minMax"/>
        </c:scaling>
        <c:delete val="0"/>
        <c:axPos val="b"/>
        <c:numFmt formatCode="General" sourceLinked="1"/>
        <c:majorTickMark val="out"/>
        <c:minorTickMark val="none"/>
        <c:tickLblPos val="nextTo"/>
        <c:spPr>
          <a:ln>
            <a:solidFill>
              <a:sysClr val="windowText" lastClr="000000"/>
            </a:solidFill>
          </a:ln>
        </c:spPr>
        <c:txPr>
          <a:bodyPr rot="0"/>
          <a:lstStyle/>
          <a:p>
            <a:pPr>
              <a:defRPr sz="950"/>
            </a:pPr>
            <a:endParaRPr lang="en-US"/>
          </a:p>
        </c:txPr>
        <c:crossAx val="76346880"/>
        <c:crosses val="autoZero"/>
        <c:auto val="1"/>
        <c:lblAlgn val="ctr"/>
        <c:lblOffset val="100"/>
        <c:tickLblSkip val="8"/>
        <c:tickMarkSkip val="8"/>
        <c:noMultiLvlLbl val="0"/>
      </c:catAx>
      <c:valAx>
        <c:axId val="76346880"/>
        <c:scaling>
          <c:orientation val="minMax"/>
        </c:scaling>
        <c:delete val="0"/>
        <c:axPos val="l"/>
        <c:majorGridlines/>
        <c:numFmt formatCode="0;\-0;0;@" sourceLinked="1"/>
        <c:majorTickMark val="out"/>
        <c:minorTickMark val="none"/>
        <c:tickLblPos val="nextTo"/>
        <c:spPr>
          <a:ln>
            <a:solidFill>
              <a:schemeClr val="tx1"/>
            </a:solidFill>
          </a:ln>
        </c:spPr>
        <c:txPr>
          <a:bodyPr/>
          <a:lstStyle/>
          <a:p>
            <a:pPr algn="ctr">
              <a:defRPr/>
            </a:pPr>
            <a:endParaRPr lang="en-US"/>
          </a:p>
        </c:txPr>
        <c:crossAx val="76345344"/>
        <c:crosses val="autoZero"/>
        <c:crossBetween val="midCat"/>
        <c:dispUnits>
          <c:builtInUnit val="millions"/>
          <c:dispUnitsLbl>
            <c:layout>
              <c:manualLayout>
                <c:xMode val="edge"/>
                <c:yMode val="edge"/>
                <c:x val="1.8748148148148148E-3"/>
                <c:y val="0.27186354166666665"/>
              </c:manualLayout>
            </c:layout>
            <c:tx>
              <c:rich>
                <a:bodyPr/>
                <a:lstStyle/>
                <a:p>
                  <a:pPr algn="ctr">
                    <a:defRPr/>
                  </a:pPr>
                  <a:r>
                    <a:rPr lang="en-US"/>
                    <a:t>Value ($billion)</a:t>
                  </a:r>
                </a:p>
              </c:rich>
            </c:tx>
          </c:dispUnitsLbl>
        </c:dispUnits>
      </c:valAx>
      <c:spPr>
        <a:ln>
          <a:solidFill>
            <a:schemeClr val="tx1"/>
          </a:solidFill>
        </a:ln>
      </c:spPr>
    </c:plotArea>
    <c:legend>
      <c:legendPos val="t"/>
      <c:layout>
        <c:manualLayout>
          <c:xMode val="edge"/>
          <c:yMode val="edge"/>
          <c:x val="2.9225185185185191E-2"/>
          <c:y val="0"/>
          <c:w val="0.9391977777777778"/>
          <c:h val="7.5244097222222223E-2"/>
        </c:manualLayout>
      </c:layout>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0920752688172043"/>
          <c:y val="0.1273576388888889"/>
          <c:w val="0.85072526881720434"/>
          <c:h val="0.76180104166666662"/>
        </c:manualLayout>
      </c:layout>
      <c:areaChart>
        <c:grouping val="stacked"/>
        <c:varyColors val="0"/>
        <c:ser>
          <c:idx val="3"/>
          <c:order val="0"/>
          <c:tx>
            <c:strRef>
              <c:f>'Stacked shares (nominal)'!$K$2</c:f>
              <c:strCache>
                <c:ptCount val="1"/>
                <c:pt idx="0">
                  <c:v>Services</c:v>
                </c:pt>
              </c:strCache>
            </c:strRef>
          </c:tx>
          <c:spPr>
            <a:pattFill prst="pct60">
              <a:fgClr>
                <a:srgbClr val="B4C98B"/>
              </a:fgClr>
              <a:bgClr>
                <a:sysClr val="window" lastClr="FFFFFF"/>
              </a:bgClr>
            </a:pattFill>
            <a:ln>
              <a:solidFill>
                <a:srgbClr val="B4C98B"/>
              </a:solidFill>
            </a:ln>
          </c:spPr>
          <c:cat>
            <c:numRef>
              <c:f>'Stacked shares (nominal)'!$A$3:$A$66</c:f>
              <c:numCache>
                <c:formatCode>yyyy</c:formatCode>
                <c:ptCount val="64"/>
                <c:pt idx="0">
                  <c:v>18050</c:v>
                </c:pt>
                <c:pt idx="1">
                  <c:v>18415</c:v>
                </c:pt>
                <c:pt idx="2">
                  <c:v>18780</c:v>
                </c:pt>
                <c:pt idx="3">
                  <c:v>19146</c:v>
                </c:pt>
                <c:pt idx="4">
                  <c:v>19511</c:v>
                </c:pt>
                <c:pt idx="5">
                  <c:v>19876</c:v>
                </c:pt>
                <c:pt idx="6">
                  <c:v>20241</c:v>
                </c:pt>
                <c:pt idx="7">
                  <c:v>20607</c:v>
                </c:pt>
                <c:pt idx="8">
                  <c:v>20972</c:v>
                </c:pt>
                <c:pt idx="9">
                  <c:v>21337</c:v>
                </c:pt>
                <c:pt idx="10">
                  <c:v>21702</c:v>
                </c:pt>
                <c:pt idx="11">
                  <c:v>22068</c:v>
                </c:pt>
                <c:pt idx="12">
                  <c:v>22433</c:v>
                </c:pt>
                <c:pt idx="13">
                  <c:v>22798</c:v>
                </c:pt>
                <c:pt idx="14">
                  <c:v>23163</c:v>
                </c:pt>
                <c:pt idx="15">
                  <c:v>23529</c:v>
                </c:pt>
                <c:pt idx="16">
                  <c:v>23894</c:v>
                </c:pt>
                <c:pt idx="17">
                  <c:v>24259</c:v>
                </c:pt>
                <c:pt idx="18">
                  <c:v>24624</c:v>
                </c:pt>
                <c:pt idx="19">
                  <c:v>24990</c:v>
                </c:pt>
                <c:pt idx="20">
                  <c:v>25355</c:v>
                </c:pt>
                <c:pt idx="21">
                  <c:v>25720</c:v>
                </c:pt>
                <c:pt idx="22">
                  <c:v>26085</c:v>
                </c:pt>
                <c:pt idx="23">
                  <c:v>26451</c:v>
                </c:pt>
                <c:pt idx="24">
                  <c:v>26816</c:v>
                </c:pt>
                <c:pt idx="25">
                  <c:v>27181</c:v>
                </c:pt>
                <c:pt idx="26">
                  <c:v>27546</c:v>
                </c:pt>
                <c:pt idx="27">
                  <c:v>27912</c:v>
                </c:pt>
                <c:pt idx="28">
                  <c:v>28277</c:v>
                </c:pt>
                <c:pt idx="29">
                  <c:v>28642</c:v>
                </c:pt>
                <c:pt idx="30">
                  <c:v>29007</c:v>
                </c:pt>
                <c:pt idx="31">
                  <c:v>29373</c:v>
                </c:pt>
                <c:pt idx="32">
                  <c:v>29738</c:v>
                </c:pt>
                <c:pt idx="33">
                  <c:v>30103</c:v>
                </c:pt>
                <c:pt idx="34">
                  <c:v>30468</c:v>
                </c:pt>
                <c:pt idx="35">
                  <c:v>30834</c:v>
                </c:pt>
                <c:pt idx="36">
                  <c:v>31199</c:v>
                </c:pt>
                <c:pt idx="37">
                  <c:v>31564</c:v>
                </c:pt>
                <c:pt idx="38">
                  <c:v>31929</c:v>
                </c:pt>
                <c:pt idx="39">
                  <c:v>32295</c:v>
                </c:pt>
                <c:pt idx="40">
                  <c:v>32660</c:v>
                </c:pt>
                <c:pt idx="41">
                  <c:v>33025</c:v>
                </c:pt>
                <c:pt idx="42">
                  <c:v>33390</c:v>
                </c:pt>
                <c:pt idx="43">
                  <c:v>33756</c:v>
                </c:pt>
                <c:pt idx="44">
                  <c:v>34121</c:v>
                </c:pt>
                <c:pt idx="45">
                  <c:v>34486</c:v>
                </c:pt>
                <c:pt idx="46">
                  <c:v>34851</c:v>
                </c:pt>
                <c:pt idx="47">
                  <c:v>35217</c:v>
                </c:pt>
                <c:pt idx="48">
                  <c:v>35582</c:v>
                </c:pt>
                <c:pt idx="49">
                  <c:v>35947</c:v>
                </c:pt>
                <c:pt idx="50">
                  <c:v>36312</c:v>
                </c:pt>
                <c:pt idx="51">
                  <c:v>36678</c:v>
                </c:pt>
                <c:pt idx="52">
                  <c:v>37043</c:v>
                </c:pt>
                <c:pt idx="53">
                  <c:v>37408</c:v>
                </c:pt>
                <c:pt idx="54">
                  <c:v>37773</c:v>
                </c:pt>
                <c:pt idx="55">
                  <c:v>38139</c:v>
                </c:pt>
                <c:pt idx="56">
                  <c:v>38504</c:v>
                </c:pt>
                <c:pt idx="57">
                  <c:v>38869</c:v>
                </c:pt>
                <c:pt idx="58">
                  <c:v>39234</c:v>
                </c:pt>
                <c:pt idx="59">
                  <c:v>39600</c:v>
                </c:pt>
                <c:pt idx="60">
                  <c:v>39965</c:v>
                </c:pt>
                <c:pt idx="61">
                  <c:v>40330</c:v>
                </c:pt>
                <c:pt idx="62">
                  <c:v>40695</c:v>
                </c:pt>
                <c:pt idx="63" formatCode="General">
                  <c:v>2012</c:v>
                </c:pt>
              </c:numCache>
            </c:numRef>
          </c:cat>
          <c:val>
            <c:numRef>
              <c:f>'Stacked shares (nominal)'!$K$3:$K$66</c:f>
              <c:numCache>
                <c:formatCode>0.0</c:formatCode>
                <c:ptCount val="64"/>
                <c:pt idx="0">
                  <c:v>56.39856080964735</c:v>
                </c:pt>
                <c:pt idx="1">
                  <c:v>57.3248502064787</c:v>
                </c:pt>
                <c:pt idx="2">
                  <c:v>57.630024152343431</c:v>
                </c:pt>
                <c:pt idx="3">
                  <c:v>59.630754689383458</c:v>
                </c:pt>
                <c:pt idx="4">
                  <c:v>60.794979997897833</c:v>
                </c:pt>
                <c:pt idx="5">
                  <c:v>59.390292455595549</c:v>
                </c:pt>
                <c:pt idx="6">
                  <c:v>60.851451192753572</c:v>
                </c:pt>
                <c:pt idx="7">
                  <c:v>62.514569331849245</c:v>
                </c:pt>
                <c:pt idx="8">
                  <c:v>62.84146697722538</c:v>
                </c:pt>
                <c:pt idx="9">
                  <c:v>63.145996127873246</c:v>
                </c:pt>
                <c:pt idx="10">
                  <c:v>65.114267416489483</c:v>
                </c:pt>
                <c:pt idx="11">
                  <c:v>65.53825321597833</c:v>
                </c:pt>
                <c:pt idx="12">
                  <c:v>63.733166301284058</c:v>
                </c:pt>
                <c:pt idx="13">
                  <c:v>65.34274786701971</c:v>
                </c:pt>
                <c:pt idx="14">
                  <c:v>64.215686274509807</c:v>
                </c:pt>
                <c:pt idx="15">
                  <c:v>64.657863145258105</c:v>
                </c:pt>
                <c:pt idx="16">
                  <c:v>63.617549668874169</c:v>
                </c:pt>
                <c:pt idx="17">
                  <c:v>64.142538975501125</c:v>
                </c:pt>
                <c:pt idx="18">
                  <c:v>64.269584853222156</c:v>
                </c:pt>
                <c:pt idx="19">
                  <c:v>65.743113388853288</c:v>
                </c:pt>
                <c:pt idx="20">
                  <c:v>64.251626898047718</c:v>
                </c:pt>
                <c:pt idx="21">
                  <c:v>64.421369039486279</c:v>
                </c:pt>
                <c:pt idx="22">
                  <c:v>63.867993205532628</c:v>
                </c:pt>
                <c:pt idx="23">
                  <c:v>63.795423956931359</c:v>
                </c:pt>
                <c:pt idx="24">
                  <c:v>67.997403440441417</c:v>
                </c:pt>
                <c:pt idx="25">
                  <c:v>68.022040661219833</c:v>
                </c:pt>
                <c:pt idx="26">
                  <c:v>70.662775516473388</c:v>
                </c:pt>
                <c:pt idx="27">
                  <c:v>72.729677888749251</c:v>
                </c:pt>
                <c:pt idx="28">
                  <c:v>72.054631828978614</c:v>
                </c:pt>
                <c:pt idx="29">
                  <c:v>71.679957469431159</c:v>
                </c:pt>
                <c:pt idx="30">
                  <c:v>68.825220046703777</c:v>
                </c:pt>
                <c:pt idx="31">
                  <c:v>68.308844713339099</c:v>
                </c:pt>
                <c:pt idx="32">
                  <c:v>66.358264393044067</c:v>
                </c:pt>
                <c:pt idx="33">
                  <c:v>63.258016281774381</c:v>
                </c:pt>
                <c:pt idx="34">
                  <c:v>65.051359838203197</c:v>
                </c:pt>
                <c:pt idx="35">
                  <c:v>69.733233607579166</c:v>
                </c:pt>
                <c:pt idx="36">
                  <c:v>72.682152074647618</c:v>
                </c:pt>
                <c:pt idx="37">
                  <c:v>74.590346259360871</c:v>
                </c:pt>
                <c:pt idx="38">
                  <c:v>74.067074484839452</c:v>
                </c:pt>
                <c:pt idx="39">
                  <c:v>72.310861817470936</c:v>
                </c:pt>
                <c:pt idx="40">
                  <c:v>73.569341577767219</c:v>
                </c:pt>
                <c:pt idx="41">
                  <c:v>74.084849700906688</c:v>
                </c:pt>
                <c:pt idx="42">
                  <c:v>72.80245779100548</c:v>
                </c:pt>
                <c:pt idx="43">
                  <c:v>71.775656817477767</c:v>
                </c:pt>
                <c:pt idx="44">
                  <c:v>70.480514038273498</c:v>
                </c:pt>
                <c:pt idx="45">
                  <c:v>70.103284390515896</c:v>
                </c:pt>
                <c:pt idx="46">
                  <c:v>70.069939738906996</c:v>
                </c:pt>
                <c:pt idx="47">
                  <c:v>70.188723705068327</c:v>
                </c:pt>
                <c:pt idx="48">
                  <c:v>71.676902996023514</c:v>
                </c:pt>
                <c:pt idx="49">
                  <c:v>68.987863350314655</c:v>
                </c:pt>
                <c:pt idx="50">
                  <c:v>72.788656313301829</c:v>
                </c:pt>
                <c:pt idx="51">
                  <c:v>75.070802313158211</c:v>
                </c:pt>
                <c:pt idx="52">
                  <c:v>75.781503700285427</c:v>
                </c:pt>
                <c:pt idx="53">
                  <c:v>75.97084843274169</c:v>
                </c:pt>
                <c:pt idx="54">
                  <c:v>72.804757748018204</c:v>
                </c:pt>
                <c:pt idx="55">
                  <c:v>72.4020239312607</c:v>
                </c:pt>
                <c:pt idx="56">
                  <c:v>71.786681358356091</c:v>
                </c:pt>
                <c:pt idx="57">
                  <c:v>68.462774342185043</c:v>
                </c:pt>
                <c:pt idx="58">
                  <c:v>69.579624066049178</c:v>
                </c:pt>
                <c:pt idx="59">
                  <c:v>68.571417050412506</c:v>
                </c:pt>
                <c:pt idx="60">
                  <c:v>67.407000470883688</c:v>
                </c:pt>
                <c:pt idx="61">
                  <c:v>68.891661939875206</c:v>
                </c:pt>
                <c:pt idx="62">
                  <c:v>65.622967171169606</c:v>
                </c:pt>
                <c:pt idx="63">
                  <c:v>57.115203631018524</c:v>
                </c:pt>
              </c:numCache>
            </c:numRef>
          </c:val>
        </c:ser>
        <c:ser>
          <c:idx val="1"/>
          <c:order val="1"/>
          <c:tx>
            <c:strRef>
              <c:f>'Stacked shares (nominal)'!$C$2</c:f>
              <c:strCache>
                <c:ptCount val="1"/>
                <c:pt idx="0">
                  <c:v>Mining</c:v>
                </c:pt>
              </c:strCache>
            </c:strRef>
          </c:tx>
          <c:spPr>
            <a:solidFill>
              <a:srgbClr val="344893"/>
            </a:solidFill>
            <a:ln>
              <a:solidFill>
                <a:srgbClr val="344893"/>
              </a:solidFill>
            </a:ln>
          </c:spPr>
          <c:cat>
            <c:numRef>
              <c:f>'Stacked shares (nominal)'!$A$3:$A$66</c:f>
              <c:numCache>
                <c:formatCode>yyyy</c:formatCode>
                <c:ptCount val="64"/>
                <c:pt idx="0">
                  <c:v>18050</c:v>
                </c:pt>
                <c:pt idx="1">
                  <c:v>18415</c:v>
                </c:pt>
                <c:pt idx="2">
                  <c:v>18780</c:v>
                </c:pt>
                <c:pt idx="3">
                  <c:v>19146</c:v>
                </c:pt>
                <c:pt idx="4">
                  <c:v>19511</c:v>
                </c:pt>
                <c:pt idx="5">
                  <c:v>19876</c:v>
                </c:pt>
                <c:pt idx="6">
                  <c:v>20241</c:v>
                </c:pt>
                <c:pt idx="7">
                  <c:v>20607</c:v>
                </c:pt>
                <c:pt idx="8">
                  <c:v>20972</c:v>
                </c:pt>
                <c:pt idx="9">
                  <c:v>21337</c:v>
                </c:pt>
                <c:pt idx="10">
                  <c:v>21702</c:v>
                </c:pt>
                <c:pt idx="11">
                  <c:v>22068</c:v>
                </c:pt>
                <c:pt idx="12">
                  <c:v>22433</c:v>
                </c:pt>
                <c:pt idx="13">
                  <c:v>22798</c:v>
                </c:pt>
                <c:pt idx="14">
                  <c:v>23163</c:v>
                </c:pt>
                <c:pt idx="15">
                  <c:v>23529</c:v>
                </c:pt>
                <c:pt idx="16">
                  <c:v>23894</c:v>
                </c:pt>
                <c:pt idx="17">
                  <c:v>24259</c:v>
                </c:pt>
                <c:pt idx="18">
                  <c:v>24624</c:v>
                </c:pt>
                <c:pt idx="19">
                  <c:v>24990</c:v>
                </c:pt>
                <c:pt idx="20">
                  <c:v>25355</c:v>
                </c:pt>
                <c:pt idx="21">
                  <c:v>25720</c:v>
                </c:pt>
                <c:pt idx="22">
                  <c:v>26085</c:v>
                </c:pt>
                <c:pt idx="23">
                  <c:v>26451</c:v>
                </c:pt>
                <c:pt idx="24">
                  <c:v>26816</c:v>
                </c:pt>
                <c:pt idx="25">
                  <c:v>27181</c:v>
                </c:pt>
                <c:pt idx="26">
                  <c:v>27546</c:v>
                </c:pt>
                <c:pt idx="27">
                  <c:v>27912</c:v>
                </c:pt>
                <c:pt idx="28">
                  <c:v>28277</c:v>
                </c:pt>
                <c:pt idx="29">
                  <c:v>28642</c:v>
                </c:pt>
                <c:pt idx="30">
                  <c:v>29007</c:v>
                </c:pt>
                <c:pt idx="31">
                  <c:v>29373</c:v>
                </c:pt>
                <c:pt idx="32">
                  <c:v>29738</c:v>
                </c:pt>
                <c:pt idx="33">
                  <c:v>30103</c:v>
                </c:pt>
                <c:pt idx="34">
                  <c:v>30468</c:v>
                </c:pt>
                <c:pt idx="35">
                  <c:v>30834</c:v>
                </c:pt>
                <c:pt idx="36">
                  <c:v>31199</c:v>
                </c:pt>
                <c:pt idx="37">
                  <c:v>31564</c:v>
                </c:pt>
                <c:pt idx="38">
                  <c:v>31929</c:v>
                </c:pt>
                <c:pt idx="39">
                  <c:v>32295</c:v>
                </c:pt>
                <c:pt idx="40">
                  <c:v>32660</c:v>
                </c:pt>
                <c:pt idx="41">
                  <c:v>33025</c:v>
                </c:pt>
                <c:pt idx="42">
                  <c:v>33390</c:v>
                </c:pt>
                <c:pt idx="43">
                  <c:v>33756</c:v>
                </c:pt>
                <c:pt idx="44">
                  <c:v>34121</c:v>
                </c:pt>
                <c:pt idx="45">
                  <c:v>34486</c:v>
                </c:pt>
                <c:pt idx="46">
                  <c:v>34851</c:v>
                </c:pt>
                <c:pt idx="47">
                  <c:v>35217</c:v>
                </c:pt>
                <c:pt idx="48">
                  <c:v>35582</c:v>
                </c:pt>
                <c:pt idx="49">
                  <c:v>35947</c:v>
                </c:pt>
                <c:pt idx="50">
                  <c:v>36312</c:v>
                </c:pt>
                <c:pt idx="51">
                  <c:v>36678</c:v>
                </c:pt>
                <c:pt idx="52">
                  <c:v>37043</c:v>
                </c:pt>
                <c:pt idx="53">
                  <c:v>37408</c:v>
                </c:pt>
                <c:pt idx="54">
                  <c:v>37773</c:v>
                </c:pt>
                <c:pt idx="55">
                  <c:v>38139</c:v>
                </c:pt>
                <c:pt idx="56">
                  <c:v>38504</c:v>
                </c:pt>
                <c:pt idx="57">
                  <c:v>38869</c:v>
                </c:pt>
                <c:pt idx="58">
                  <c:v>39234</c:v>
                </c:pt>
                <c:pt idx="59">
                  <c:v>39600</c:v>
                </c:pt>
                <c:pt idx="60">
                  <c:v>39965</c:v>
                </c:pt>
                <c:pt idx="61">
                  <c:v>40330</c:v>
                </c:pt>
                <c:pt idx="62">
                  <c:v>40695</c:v>
                </c:pt>
                <c:pt idx="63" formatCode="General">
                  <c:v>2012</c:v>
                </c:pt>
              </c:numCache>
            </c:numRef>
          </c:cat>
          <c:val>
            <c:numRef>
              <c:f>'Stacked shares (nominal)'!$C$3:$C$66</c:f>
              <c:numCache>
                <c:formatCode>0.0</c:formatCode>
                <c:ptCount val="64"/>
                <c:pt idx="0">
                  <c:v>2.3941477924471903</c:v>
                </c:pt>
                <c:pt idx="1">
                  <c:v>2.5442846493110882</c:v>
                </c:pt>
                <c:pt idx="2">
                  <c:v>2.6160907007373178</c:v>
                </c:pt>
                <c:pt idx="3">
                  <c:v>3.1057639889900921</c:v>
                </c:pt>
                <c:pt idx="4">
                  <c:v>3.3359137042109106</c:v>
                </c:pt>
                <c:pt idx="5">
                  <c:v>2.5933401490559409</c:v>
                </c:pt>
                <c:pt idx="6">
                  <c:v>2.1746667631705385</c:v>
                </c:pt>
                <c:pt idx="7">
                  <c:v>2.4955993099659723</c:v>
                </c:pt>
                <c:pt idx="8">
                  <c:v>3.6711063976591678</c:v>
                </c:pt>
                <c:pt idx="9">
                  <c:v>2.9885734051618282</c:v>
                </c:pt>
                <c:pt idx="10">
                  <c:v>2.6372301270991994</c:v>
                </c:pt>
                <c:pt idx="11">
                  <c:v>2.8436018957345972</c:v>
                </c:pt>
                <c:pt idx="12">
                  <c:v>2.912621359223301</c:v>
                </c:pt>
                <c:pt idx="13">
                  <c:v>3.2068255369226244</c:v>
                </c:pt>
                <c:pt idx="14">
                  <c:v>4.1122004357298474</c:v>
                </c:pt>
                <c:pt idx="15">
                  <c:v>3.8895558223289313</c:v>
                </c:pt>
                <c:pt idx="16">
                  <c:v>4.6564569536423841</c:v>
                </c:pt>
                <c:pt idx="17">
                  <c:v>6.7186340014847818</c:v>
                </c:pt>
                <c:pt idx="18">
                  <c:v>6.8959527531700537</c:v>
                </c:pt>
                <c:pt idx="19">
                  <c:v>8.215887251761691</c:v>
                </c:pt>
                <c:pt idx="20">
                  <c:v>9.6167751265365133</c:v>
                </c:pt>
                <c:pt idx="21">
                  <c:v>11.285694767044678</c:v>
                </c:pt>
                <c:pt idx="22">
                  <c:v>13.795195340936667</c:v>
                </c:pt>
                <c:pt idx="23">
                  <c:v>13.2907133243607</c:v>
                </c:pt>
                <c:pt idx="24">
                  <c:v>8.1142486205777331</c:v>
                </c:pt>
                <c:pt idx="25">
                  <c:v>7.9992399771993155</c:v>
                </c:pt>
                <c:pt idx="26">
                  <c:v>7.9794178634513475</c:v>
                </c:pt>
                <c:pt idx="27">
                  <c:v>6.5943514782723724</c:v>
                </c:pt>
                <c:pt idx="28">
                  <c:v>5.7185273159144892</c:v>
                </c:pt>
                <c:pt idx="29">
                  <c:v>7.6023391812865491</c:v>
                </c:pt>
                <c:pt idx="30">
                  <c:v>8.4920064666786423</c:v>
                </c:pt>
                <c:pt idx="31">
                  <c:v>8.9146808247931855</c:v>
                </c:pt>
                <c:pt idx="32">
                  <c:v>11.73391862231977</c:v>
                </c:pt>
                <c:pt idx="33">
                  <c:v>14.473611341861881</c:v>
                </c:pt>
                <c:pt idx="34">
                  <c:v>15.940177763585076</c:v>
                </c:pt>
                <c:pt idx="35">
                  <c:v>11.062079281974571</c:v>
                </c:pt>
                <c:pt idx="36">
                  <c:v>9.3221273685835921</c:v>
                </c:pt>
                <c:pt idx="37">
                  <c:v>9.5684733447023067</c:v>
                </c:pt>
                <c:pt idx="38">
                  <c:v>9.1659621027502851</c:v>
                </c:pt>
                <c:pt idx="39">
                  <c:v>8.9790823922164247</c:v>
                </c:pt>
                <c:pt idx="40">
                  <c:v>8.3182713868315545</c:v>
                </c:pt>
                <c:pt idx="41">
                  <c:v>7.8303507605874012</c:v>
                </c:pt>
                <c:pt idx="42">
                  <c:v>9.2702061417344446</c:v>
                </c:pt>
                <c:pt idx="43">
                  <c:v>9.287642537874877</c:v>
                </c:pt>
                <c:pt idx="44">
                  <c:v>11.282301997485682</c:v>
                </c:pt>
                <c:pt idx="45">
                  <c:v>10.948410907256459</c:v>
                </c:pt>
                <c:pt idx="46">
                  <c:v>10.918434363801865</c:v>
                </c:pt>
                <c:pt idx="47">
                  <c:v>11.845036630821301</c:v>
                </c:pt>
                <c:pt idx="48">
                  <c:v>12.599285649239611</c:v>
                </c:pt>
                <c:pt idx="49">
                  <c:v>14.174408151033862</c:v>
                </c:pt>
                <c:pt idx="50">
                  <c:v>11.873200895554213</c:v>
                </c:pt>
                <c:pt idx="51">
                  <c:v>8.545457628843252</c:v>
                </c:pt>
                <c:pt idx="52">
                  <c:v>8.1158454254900949</c:v>
                </c:pt>
                <c:pt idx="53">
                  <c:v>9.0459852313724856</c:v>
                </c:pt>
                <c:pt idx="54">
                  <c:v>9.8405331175881958</c:v>
                </c:pt>
                <c:pt idx="55">
                  <c:v>10.297613514123693</c:v>
                </c:pt>
                <c:pt idx="56">
                  <c:v>10.256831049478953</c:v>
                </c:pt>
                <c:pt idx="57">
                  <c:v>14.086940705711168</c:v>
                </c:pt>
                <c:pt idx="58">
                  <c:v>15.871741267357987</c:v>
                </c:pt>
                <c:pt idx="59">
                  <c:v>17.827044202682323</c:v>
                </c:pt>
                <c:pt idx="60">
                  <c:v>20.438220807079698</c:v>
                </c:pt>
                <c:pt idx="61">
                  <c:v>20.17961807525052</c:v>
                </c:pt>
                <c:pt idx="62">
                  <c:v>23.610087167700247</c:v>
                </c:pt>
                <c:pt idx="63">
                  <c:v>32.305866726260355</c:v>
                </c:pt>
              </c:numCache>
            </c:numRef>
          </c:val>
        </c:ser>
        <c:ser>
          <c:idx val="0"/>
          <c:order val="2"/>
          <c:tx>
            <c:strRef>
              <c:f>'Stacked shares (nominal)'!$B$2</c:f>
              <c:strCache>
                <c:ptCount val="1"/>
                <c:pt idx="0">
                  <c:v>Agriculture</c:v>
                </c:pt>
              </c:strCache>
            </c:strRef>
          </c:tx>
          <c:spPr>
            <a:pattFill prst="zigZag">
              <a:fgClr>
                <a:srgbClr val="7B905A"/>
              </a:fgClr>
              <a:bgClr>
                <a:sysClr val="window" lastClr="FFFFFF"/>
              </a:bgClr>
            </a:pattFill>
            <a:ln>
              <a:solidFill>
                <a:srgbClr val="7B905A"/>
              </a:solidFill>
            </a:ln>
          </c:spPr>
          <c:cat>
            <c:numRef>
              <c:f>'Stacked shares (nominal)'!$A$3:$A$66</c:f>
              <c:numCache>
                <c:formatCode>yyyy</c:formatCode>
                <c:ptCount val="64"/>
                <c:pt idx="0">
                  <c:v>18050</c:v>
                </c:pt>
                <c:pt idx="1">
                  <c:v>18415</c:v>
                </c:pt>
                <c:pt idx="2">
                  <c:v>18780</c:v>
                </c:pt>
                <c:pt idx="3">
                  <c:v>19146</c:v>
                </c:pt>
                <c:pt idx="4">
                  <c:v>19511</c:v>
                </c:pt>
                <c:pt idx="5">
                  <c:v>19876</c:v>
                </c:pt>
                <c:pt idx="6">
                  <c:v>20241</c:v>
                </c:pt>
                <c:pt idx="7">
                  <c:v>20607</c:v>
                </c:pt>
                <c:pt idx="8">
                  <c:v>20972</c:v>
                </c:pt>
                <c:pt idx="9">
                  <c:v>21337</c:v>
                </c:pt>
                <c:pt idx="10">
                  <c:v>21702</c:v>
                </c:pt>
                <c:pt idx="11">
                  <c:v>22068</c:v>
                </c:pt>
                <c:pt idx="12">
                  <c:v>22433</c:v>
                </c:pt>
                <c:pt idx="13">
                  <c:v>22798</c:v>
                </c:pt>
                <c:pt idx="14">
                  <c:v>23163</c:v>
                </c:pt>
                <c:pt idx="15">
                  <c:v>23529</c:v>
                </c:pt>
                <c:pt idx="16">
                  <c:v>23894</c:v>
                </c:pt>
                <c:pt idx="17">
                  <c:v>24259</c:v>
                </c:pt>
                <c:pt idx="18">
                  <c:v>24624</c:v>
                </c:pt>
                <c:pt idx="19">
                  <c:v>24990</c:v>
                </c:pt>
                <c:pt idx="20">
                  <c:v>25355</c:v>
                </c:pt>
                <c:pt idx="21">
                  <c:v>25720</c:v>
                </c:pt>
                <c:pt idx="22">
                  <c:v>26085</c:v>
                </c:pt>
                <c:pt idx="23">
                  <c:v>26451</c:v>
                </c:pt>
                <c:pt idx="24">
                  <c:v>26816</c:v>
                </c:pt>
                <c:pt idx="25">
                  <c:v>27181</c:v>
                </c:pt>
                <c:pt idx="26">
                  <c:v>27546</c:v>
                </c:pt>
                <c:pt idx="27">
                  <c:v>27912</c:v>
                </c:pt>
                <c:pt idx="28">
                  <c:v>28277</c:v>
                </c:pt>
                <c:pt idx="29">
                  <c:v>28642</c:v>
                </c:pt>
                <c:pt idx="30">
                  <c:v>29007</c:v>
                </c:pt>
                <c:pt idx="31">
                  <c:v>29373</c:v>
                </c:pt>
                <c:pt idx="32">
                  <c:v>29738</c:v>
                </c:pt>
                <c:pt idx="33">
                  <c:v>30103</c:v>
                </c:pt>
                <c:pt idx="34">
                  <c:v>30468</c:v>
                </c:pt>
                <c:pt idx="35">
                  <c:v>30834</c:v>
                </c:pt>
                <c:pt idx="36">
                  <c:v>31199</c:v>
                </c:pt>
                <c:pt idx="37">
                  <c:v>31564</c:v>
                </c:pt>
                <c:pt idx="38">
                  <c:v>31929</c:v>
                </c:pt>
                <c:pt idx="39">
                  <c:v>32295</c:v>
                </c:pt>
                <c:pt idx="40">
                  <c:v>32660</c:v>
                </c:pt>
                <c:pt idx="41">
                  <c:v>33025</c:v>
                </c:pt>
                <c:pt idx="42">
                  <c:v>33390</c:v>
                </c:pt>
                <c:pt idx="43">
                  <c:v>33756</c:v>
                </c:pt>
                <c:pt idx="44">
                  <c:v>34121</c:v>
                </c:pt>
                <c:pt idx="45">
                  <c:v>34486</c:v>
                </c:pt>
                <c:pt idx="46">
                  <c:v>34851</c:v>
                </c:pt>
                <c:pt idx="47">
                  <c:v>35217</c:v>
                </c:pt>
                <c:pt idx="48">
                  <c:v>35582</c:v>
                </c:pt>
                <c:pt idx="49">
                  <c:v>35947</c:v>
                </c:pt>
                <c:pt idx="50">
                  <c:v>36312</c:v>
                </c:pt>
                <c:pt idx="51">
                  <c:v>36678</c:v>
                </c:pt>
                <c:pt idx="52">
                  <c:v>37043</c:v>
                </c:pt>
                <c:pt idx="53">
                  <c:v>37408</c:v>
                </c:pt>
                <c:pt idx="54">
                  <c:v>37773</c:v>
                </c:pt>
                <c:pt idx="55">
                  <c:v>38139</c:v>
                </c:pt>
                <c:pt idx="56">
                  <c:v>38504</c:v>
                </c:pt>
                <c:pt idx="57">
                  <c:v>38869</c:v>
                </c:pt>
                <c:pt idx="58">
                  <c:v>39234</c:v>
                </c:pt>
                <c:pt idx="59">
                  <c:v>39600</c:v>
                </c:pt>
                <c:pt idx="60">
                  <c:v>39965</c:v>
                </c:pt>
                <c:pt idx="61">
                  <c:v>40330</c:v>
                </c:pt>
                <c:pt idx="62">
                  <c:v>40695</c:v>
                </c:pt>
                <c:pt idx="63" formatCode="General">
                  <c:v>2012</c:v>
                </c:pt>
              </c:numCache>
            </c:numRef>
          </c:cat>
          <c:val>
            <c:numRef>
              <c:f>'Stacked shares (nominal)'!$B$3:$B$66</c:f>
              <c:numCache>
                <c:formatCode>0.0</c:formatCode>
                <c:ptCount val="64"/>
                <c:pt idx="0">
                  <c:v>20.853269193543781</c:v>
                </c:pt>
                <c:pt idx="1">
                  <c:v>22.160976387699581</c:v>
                </c:pt>
                <c:pt idx="2">
                  <c:v>21.844119021083188</c:v>
                </c:pt>
                <c:pt idx="3">
                  <c:v>20.055435886195493</c:v>
                </c:pt>
                <c:pt idx="4">
                  <c:v>17.20605847932578</c:v>
                </c:pt>
                <c:pt idx="5">
                  <c:v>17.867429019757552</c:v>
                </c:pt>
                <c:pt idx="6">
                  <c:v>16.45210412628396</c:v>
                </c:pt>
                <c:pt idx="7">
                  <c:v>14.701534409011357</c:v>
                </c:pt>
                <c:pt idx="8">
                  <c:v>14.480427619763212</c:v>
                </c:pt>
                <c:pt idx="9">
                  <c:v>13.923438510213931</c:v>
                </c:pt>
                <c:pt idx="10">
                  <c:v>13.331117481436703</c:v>
                </c:pt>
                <c:pt idx="11">
                  <c:v>12.796208530805686</c:v>
                </c:pt>
                <c:pt idx="12">
                  <c:v>12.464766677106169</c:v>
                </c:pt>
                <c:pt idx="13">
                  <c:v>11.209179170344219</c:v>
                </c:pt>
                <c:pt idx="14">
                  <c:v>11.90087145969499</c:v>
                </c:pt>
                <c:pt idx="15">
                  <c:v>13.853541416566625</c:v>
                </c:pt>
                <c:pt idx="16">
                  <c:v>11.858443708609272</c:v>
                </c:pt>
                <c:pt idx="17">
                  <c:v>9.632516703786191</c:v>
                </c:pt>
                <c:pt idx="18">
                  <c:v>10.891089108910892</c:v>
                </c:pt>
                <c:pt idx="19">
                  <c:v>9.016655989750161</c:v>
                </c:pt>
                <c:pt idx="20">
                  <c:v>9.6456977584960235</c:v>
                </c:pt>
                <c:pt idx="21">
                  <c:v>7.4190463178029784</c:v>
                </c:pt>
                <c:pt idx="22">
                  <c:v>6.005823829167678</c:v>
                </c:pt>
                <c:pt idx="23">
                  <c:v>6.4602960969044414</c:v>
                </c:pt>
                <c:pt idx="24">
                  <c:v>9.0446824624039817</c:v>
                </c:pt>
                <c:pt idx="25">
                  <c:v>9.5002850085502555</c:v>
                </c:pt>
                <c:pt idx="26">
                  <c:v>7.6799016972582752</c:v>
                </c:pt>
                <c:pt idx="27">
                  <c:v>8.8101064885243741</c:v>
                </c:pt>
                <c:pt idx="28">
                  <c:v>9.0914489311163909</c:v>
                </c:pt>
                <c:pt idx="29">
                  <c:v>7.9851143009037742</c:v>
                </c:pt>
                <c:pt idx="30">
                  <c:v>9.1746003233339319</c:v>
                </c:pt>
                <c:pt idx="31">
                  <c:v>9.5773140716960938</c:v>
                </c:pt>
                <c:pt idx="32">
                  <c:v>7.955427992571332</c:v>
                </c:pt>
                <c:pt idx="33">
                  <c:v>7.0139004264274245</c:v>
                </c:pt>
                <c:pt idx="34">
                  <c:v>5.4100803661716963</c:v>
                </c:pt>
                <c:pt idx="35">
                  <c:v>7.5168287210172036</c:v>
                </c:pt>
                <c:pt idx="36">
                  <c:v>7.0809344186354313</c:v>
                </c:pt>
                <c:pt idx="37">
                  <c:v>5.1438422184325647</c:v>
                </c:pt>
                <c:pt idx="38">
                  <c:v>4.4246613948707747</c:v>
                </c:pt>
                <c:pt idx="39">
                  <c:v>5.45271357464022</c:v>
                </c:pt>
                <c:pt idx="40">
                  <c:v>5.3135829313039338</c:v>
                </c:pt>
                <c:pt idx="41">
                  <c:v>4.6788979320550279</c:v>
                </c:pt>
                <c:pt idx="42">
                  <c:v>4.1392931107788948</c:v>
                </c:pt>
                <c:pt idx="43">
                  <c:v>4.8237914705925737</c:v>
                </c:pt>
                <c:pt idx="44">
                  <c:v>4.0787819527867022</c:v>
                </c:pt>
                <c:pt idx="45">
                  <c:v>4.4513182699200806</c:v>
                </c:pt>
                <c:pt idx="46">
                  <c:v>4.237864245468896</c:v>
                </c:pt>
                <c:pt idx="47">
                  <c:v>4.6720363309198403</c:v>
                </c:pt>
                <c:pt idx="48">
                  <c:v>4.0928453622851126</c:v>
                </c:pt>
                <c:pt idx="49">
                  <c:v>4.7272999700329636</c:v>
                </c:pt>
                <c:pt idx="50">
                  <c:v>4.6412452468104766</c:v>
                </c:pt>
                <c:pt idx="51">
                  <c:v>4.5449149524310206</c:v>
                </c:pt>
                <c:pt idx="52">
                  <c:v>4.5420362679245931</c:v>
                </c:pt>
                <c:pt idx="53">
                  <c:v>4.0408829035860929</c:v>
                </c:pt>
                <c:pt idx="54">
                  <c:v>4.1793523387766403</c:v>
                </c:pt>
                <c:pt idx="55">
                  <c:v>4.1873066043373752</c:v>
                </c:pt>
                <c:pt idx="56">
                  <c:v>4.5024557784055608</c:v>
                </c:pt>
                <c:pt idx="57">
                  <c:v>3.9398164989289031</c:v>
                </c:pt>
                <c:pt idx="58">
                  <c:v>3.4316779502231332</c:v>
                </c:pt>
                <c:pt idx="59">
                  <c:v>3.4258893360323235</c:v>
                </c:pt>
                <c:pt idx="60">
                  <c:v>3.6347736394824763</c:v>
                </c:pt>
                <c:pt idx="61">
                  <c:v>3.3991302703724711</c:v>
                </c:pt>
                <c:pt idx="62">
                  <c:v>3.6095812191913499</c:v>
                </c:pt>
                <c:pt idx="63">
                  <c:v>3.9936167600965669</c:v>
                </c:pt>
              </c:numCache>
            </c:numRef>
          </c:val>
        </c:ser>
        <c:ser>
          <c:idx val="2"/>
          <c:order val="3"/>
          <c:tx>
            <c:strRef>
              <c:f>'Stacked shares (nominal)'!$D$2</c:f>
              <c:strCache>
                <c:ptCount val="1"/>
                <c:pt idx="0">
                  <c:v>Manufacturing</c:v>
                </c:pt>
              </c:strCache>
            </c:strRef>
          </c:tx>
          <c:spPr>
            <a:pattFill prst="ltDnDiag">
              <a:fgClr>
                <a:srgbClr val="39580D"/>
              </a:fgClr>
              <a:bgClr>
                <a:sysClr val="window" lastClr="FFFFFF"/>
              </a:bgClr>
            </a:pattFill>
            <a:ln>
              <a:solidFill>
                <a:srgbClr val="39580D"/>
              </a:solidFill>
            </a:ln>
          </c:spPr>
          <c:cat>
            <c:numRef>
              <c:f>'Stacked shares (nominal)'!$A$3:$A$66</c:f>
              <c:numCache>
                <c:formatCode>yyyy</c:formatCode>
                <c:ptCount val="64"/>
                <c:pt idx="0">
                  <c:v>18050</c:v>
                </c:pt>
                <c:pt idx="1">
                  <c:v>18415</c:v>
                </c:pt>
                <c:pt idx="2">
                  <c:v>18780</c:v>
                </c:pt>
                <c:pt idx="3">
                  <c:v>19146</c:v>
                </c:pt>
                <c:pt idx="4">
                  <c:v>19511</c:v>
                </c:pt>
                <c:pt idx="5">
                  <c:v>19876</c:v>
                </c:pt>
                <c:pt idx="6">
                  <c:v>20241</c:v>
                </c:pt>
                <c:pt idx="7">
                  <c:v>20607</c:v>
                </c:pt>
                <c:pt idx="8">
                  <c:v>20972</c:v>
                </c:pt>
                <c:pt idx="9">
                  <c:v>21337</c:v>
                </c:pt>
                <c:pt idx="10">
                  <c:v>21702</c:v>
                </c:pt>
                <c:pt idx="11">
                  <c:v>22068</c:v>
                </c:pt>
                <c:pt idx="12">
                  <c:v>22433</c:v>
                </c:pt>
                <c:pt idx="13">
                  <c:v>22798</c:v>
                </c:pt>
                <c:pt idx="14">
                  <c:v>23163</c:v>
                </c:pt>
                <c:pt idx="15">
                  <c:v>23529</c:v>
                </c:pt>
                <c:pt idx="16">
                  <c:v>23894</c:v>
                </c:pt>
                <c:pt idx="17">
                  <c:v>24259</c:v>
                </c:pt>
                <c:pt idx="18">
                  <c:v>24624</c:v>
                </c:pt>
                <c:pt idx="19">
                  <c:v>24990</c:v>
                </c:pt>
                <c:pt idx="20">
                  <c:v>25355</c:v>
                </c:pt>
                <c:pt idx="21">
                  <c:v>25720</c:v>
                </c:pt>
                <c:pt idx="22">
                  <c:v>26085</c:v>
                </c:pt>
                <c:pt idx="23">
                  <c:v>26451</c:v>
                </c:pt>
                <c:pt idx="24">
                  <c:v>26816</c:v>
                </c:pt>
                <c:pt idx="25">
                  <c:v>27181</c:v>
                </c:pt>
                <c:pt idx="26">
                  <c:v>27546</c:v>
                </c:pt>
                <c:pt idx="27">
                  <c:v>27912</c:v>
                </c:pt>
                <c:pt idx="28">
                  <c:v>28277</c:v>
                </c:pt>
                <c:pt idx="29">
                  <c:v>28642</c:v>
                </c:pt>
                <c:pt idx="30">
                  <c:v>29007</c:v>
                </c:pt>
                <c:pt idx="31">
                  <c:v>29373</c:v>
                </c:pt>
                <c:pt idx="32">
                  <c:v>29738</c:v>
                </c:pt>
                <c:pt idx="33">
                  <c:v>30103</c:v>
                </c:pt>
                <c:pt idx="34">
                  <c:v>30468</c:v>
                </c:pt>
                <c:pt idx="35">
                  <c:v>30834</c:v>
                </c:pt>
                <c:pt idx="36">
                  <c:v>31199</c:v>
                </c:pt>
                <c:pt idx="37">
                  <c:v>31564</c:v>
                </c:pt>
                <c:pt idx="38">
                  <c:v>31929</c:v>
                </c:pt>
                <c:pt idx="39">
                  <c:v>32295</c:v>
                </c:pt>
                <c:pt idx="40">
                  <c:v>32660</c:v>
                </c:pt>
                <c:pt idx="41">
                  <c:v>33025</c:v>
                </c:pt>
                <c:pt idx="42">
                  <c:v>33390</c:v>
                </c:pt>
                <c:pt idx="43">
                  <c:v>33756</c:v>
                </c:pt>
                <c:pt idx="44">
                  <c:v>34121</c:v>
                </c:pt>
                <c:pt idx="45">
                  <c:v>34486</c:v>
                </c:pt>
                <c:pt idx="46">
                  <c:v>34851</c:v>
                </c:pt>
                <c:pt idx="47">
                  <c:v>35217</c:v>
                </c:pt>
                <c:pt idx="48">
                  <c:v>35582</c:v>
                </c:pt>
                <c:pt idx="49">
                  <c:v>35947</c:v>
                </c:pt>
                <c:pt idx="50">
                  <c:v>36312</c:v>
                </c:pt>
                <c:pt idx="51">
                  <c:v>36678</c:v>
                </c:pt>
                <c:pt idx="52">
                  <c:v>37043</c:v>
                </c:pt>
                <c:pt idx="53">
                  <c:v>37408</c:v>
                </c:pt>
                <c:pt idx="54">
                  <c:v>37773</c:v>
                </c:pt>
                <c:pt idx="55">
                  <c:v>38139</c:v>
                </c:pt>
                <c:pt idx="56">
                  <c:v>38504</c:v>
                </c:pt>
                <c:pt idx="57">
                  <c:v>38869</c:v>
                </c:pt>
                <c:pt idx="58">
                  <c:v>39234</c:v>
                </c:pt>
                <c:pt idx="59">
                  <c:v>39600</c:v>
                </c:pt>
                <c:pt idx="60">
                  <c:v>39965</c:v>
                </c:pt>
                <c:pt idx="61">
                  <c:v>40330</c:v>
                </c:pt>
                <c:pt idx="62">
                  <c:v>40695</c:v>
                </c:pt>
                <c:pt idx="63" formatCode="General">
                  <c:v>2012</c:v>
                </c:pt>
              </c:numCache>
            </c:numRef>
          </c:cat>
          <c:val>
            <c:numRef>
              <c:f>'Stacked shares (nominal)'!$D$3:$D$66</c:f>
              <c:numCache>
                <c:formatCode>0.0</c:formatCode>
                <c:ptCount val="64"/>
                <c:pt idx="0">
                  <c:v>20.354022204361655</c:v>
                </c:pt>
                <c:pt idx="1">
                  <c:v>17.969888756510628</c:v>
                </c:pt>
                <c:pt idx="2">
                  <c:v>17.90976612583604</c:v>
                </c:pt>
                <c:pt idx="3">
                  <c:v>17.208045435430954</c:v>
                </c:pt>
                <c:pt idx="4">
                  <c:v>18.663047818565477</c:v>
                </c:pt>
                <c:pt idx="5">
                  <c:v>20.148938375590983</c:v>
                </c:pt>
                <c:pt idx="6">
                  <c:v>20.521777917791944</c:v>
                </c:pt>
                <c:pt idx="7">
                  <c:v>20.288296949173439</c:v>
                </c:pt>
                <c:pt idx="8">
                  <c:v>19.006999005352267</c:v>
                </c:pt>
                <c:pt idx="9">
                  <c:v>19.941991956750982</c:v>
                </c:pt>
                <c:pt idx="10">
                  <c:v>18.917384974974624</c:v>
                </c:pt>
                <c:pt idx="11">
                  <c:v>18.82193635748138</c:v>
                </c:pt>
                <c:pt idx="12">
                  <c:v>20.889445662386471</c:v>
                </c:pt>
                <c:pt idx="13">
                  <c:v>20.241247425713446</c:v>
                </c:pt>
                <c:pt idx="14">
                  <c:v>19.77124183006536</c:v>
                </c:pt>
                <c:pt idx="15">
                  <c:v>17.599039615846337</c:v>
                </c:pt>
                <c:pt idx="16">
                  <c:v>19.867549668874172</c:v>
                </c:pt>
                <c:pt idx="17">
                  <c:v>19.506310319227914</c:v>
                </c:pt>
                <c:pt idx="18">
                  <c:v>17.943373284696889</c:v>
                </c:pt>
                <c:pt idx="19">
                  <c:v>17.024343369634849</c:v>
                </c:pt>
                <c:pt idx="20">
                  <c:v>16.485900216919742</c:v>
                </c:pt>
                <c:pt idx="21">
                  <c:v>16.873889875666073</c:v>
                </c:pt>
                <c:pt idx="22">
                  <c:v>16.330987624363019</c:v>
                </c:pt>
                <c:pt idx="23">
                  <c:v>16.4535666218035</c:v>
                </c:pt>
                <c:pt idx="24">
                  <c:v>14.84366547657687</c:v>
                </c:pt>
                <c:pt idx="25">
                  <c:v>14.478434353030591</c:v>
                </c:pt>
                <c:pt idx="26">
                  <c:v>13.677904922816989</c:v>
                </c:pt>
                <c:pt idx="27">
                  <c:v>11.865864144453999</c:v>
                </c:pt>
                <c:pt idx="28">
                  <c:v>13.1353919239905</c:v>
                </c:pt>
                <c:pt idx="29">
                  <c:v>12.732589048378523</c:v>
                </c:pt>
                <c:pt idx="30">
                  <c:v>13.508173163283635</c:v>
                </c:pt>
                <c:pt idx="31">
                  <c:v>13.199160390171627</c:v>
                </c:pt>
                <c:pt idx="32">
                  <c:v>13.952388992064831</c:v>
                </c:pt>
                <c:pt idx="33">
                  <c:v>15.254471949936313</c:v>
                </c:pt>
                <c:pt idx="34">
                  <c:v>13.598382032040025</c:v>
                </c:pt>
                <c:pt idx="35">
                  <c:v>11.687858389429071</c:v>
                </c:pt>
                <c:pt idx="36">
                  <c:v>10.914786138133369</c:v>
                </c:pt>
                <c:pt idx="37">
                  <c:v>10.697338177504264</c:v>
                </c:pt>
                <c:pt idx="38">
                  <c:v>12.342302017539497</c:v>
                </c:pt>
                <c:pt idx="39">
                  <c:v>13.257342215672416</c:v>
                </c:pt>
                <c:pt idx="40">
                  <c:v>12.798804104097302</c:v>
                </c:pt>
                <c:pt idx="41">
                  <c:v>13.405901606450884</c:v>
                </c:pt>
                <c:pt idx="42">
                  <c:v>13.788042956481188</c:v>
                </c:pt>
                <c:pt idx="43">
                  <c:v>14.112909174054789</c:v>
                </c:pt>
                <c:pt idx="44">
                  <c:v>14.158402011454113</c:v>
                </c:pt>
                <c:pt idx="45">
                  <c:v>14.496986432307571</c:v>
                </c:pt>
                <c:pt idx="46">
                  <c:v>14.773761651822234</c:v>
                </c:pt>
                <c:pt idx="47">
                  <c:v>13.294203333190524</c:v>
                </c:pt>
                <c:pt idx="48">
                  <c:v>11.630965992451761</c:v>
                </c:pt>
                <c:pt idx="49">
                  <c:v>12.110428528618518</c:v>
                </c:pt>
                <c:pt idx="50">
                  <c:v>10.696897544333488</c:v>
                </c:pt>
                <c:pt idx="51">
                  <c:v>11.838825105567521</c:v>
                </c:pt>
                <c:pt idx="52">
                  <c:v>11.560614606299884</c:v>
                </c:pt>
                <c:pt idx="53">
                  <c:v>10.942283432299742</c:v>
                </c:pt>
                <c:pt idx="54">
                  <c:v>13.175356795616967</c:v>
                </c:pt>
                <c:pt idx="55">
                  <c:v>13.113055950278223</c:v>
                </c:pt>
                <c:pt idx="56">
                  <c:v>13.454031813759393</c:v>
                </c:pt>
                <c:pt idx="57">
                  <c:v>13.510468453174893</c:v>
                </c:pt>
                <c:pt idx="58">
                  <c:v>11.116956716369694</c:v>
                </c:pt>
                <c:pt idx="59">
                  <c:v>10.175649410872843</c:v>
                </c:pt>
                <c:pt idx="60">
                  <c:v>8.5200050825541336</c:v>
                </c:pt>
                <c:pt idx="61">
                  <c:v>7.529589714501796</c:v>
                </c:pt>
                <c:pt idx="62">
                  <c:v>7.1573644419387943</c:v>
                </c:pt>
                <c:pt idx="63">
                  <c:v>6.5853128826245566</c:v>
                </c:pt>
              </c:numCache>
            </c:numRef>
          </c:val>
        </c:ser>
        <c:dLbls>
          <c:showLegendKey val="0"/>
          <c:showVal val="0"/>
          <c:showCatName val="0"/>
          <c:showSerName val="0"/>
          <c:showPercent val="0"/>
          <c:showBubbleSize val="0"/>
        </c:dLbls>
        <c:axId val="173518848"/>
        <c:axId val="173520384"/>
      </c:areaChart>
      <c:catAx>
        <c:axId val="173518848"/>
        <c:scaling>
          <c:orientation val="minMax"/>
        </c:scaling>
        <c:delete val="0"/>
        <c:axPos val="b"/>
        <c:numFmt formatCode="yyyy" sourceLinked="1"/>
        <c:majorTickMark val="out"/>
        <c:minorTickMark val="none"/>
        <c:tickLblPos val="nextTo"/>
        <c:spPr>
          <a:ln w="9525">
            <a:solidFill>
              <a:sysClr val="windowText" lastClr="000000"/>
            </a:solidFill>
          </a:ln>
        </c:spPr>
        <c:txPr>
          <a:bodyPr rot="0" vert="horz"/>
          <a:lstStyle/>
          <a:p>
            <a:pPr>
              <a:defRPr sz="1000" b="0" i="0" u="none" strike="noStrike" baseline="0">
                <a:solidFill>
                  <a:srgbClr val="000000"/>
                </a:solidFill>
                <a:latin typeface="Arial"/>
                <a:ea typeface="Arial"/>
                <a:cs typeface="Arial"/>
              </a:defRPr>
            </a:pPr>
            <a:endParaRPr lang="en-US"/>
          </a:p>
        </c:txPr>
        <c:crossAx val="173520384"/>
        <c:crosses val="autoZero"/>
        <c:auto val="1"/>
        <c:lblAlgn val="ctr"/>
        <c:lblOffset val="100"/>
        <c:tickLblSkip val="10"/>
        <c:tickMarkSkip val="5"/>
        <c:noMultiLvlLbl val="0"/>
      </c:catAx>
      <c:valAx>
        <c:axId val="173520384"/>
        <c:scaling>
          <c:orientation val="minMax"/>
          <c:max val="100"/>
        </c:scaling>
        <c:delete val="0"/>
        <c:axPos val="l"/>
        <c:majorGridlines/>
        <c:title>
          <c:tx>
            <c:rich>
              <a:bodyPr/>
              <a:lstStyle/>
              <a:p>
                <a:pPr>
                  <a:defRPr sz="1000" b="1" i="0" u="none" strike="noStrike" baseline="0">
                    <a:solidFill>
                      <a:srgbClr val="000000"/>
                    </a:solidFill>
                    <a:latin typeface="Arial"/>
                    <a:ea typeface="Arial"/>
                    <a:cs typeface="Arial"/>
                  </a:defRPr>
                </a:pPr>
                <a:r>
                  <a:rPr lang="en-AU"/>
                  <a:t>Per</a:t>
                </a:r>
                <a:r>
                  <a:rPr lang="en-AU" baseline="0"/>
                  <a:t> cent</a:t>
                </a:r>
                <a:endParaRPr lang="en-AU"/>
              </a:p>
            </c:rich>
          </c:tx>
          <c:layout>
            <c:manualLayout>
              <c:xMode val="edge"/>
              <c:yMode val="edge"/>
              <c:x val="1.128148067337645E-2"/>
              <c:y val="0.3849340277777778"/>
            </c:manualLayout>
          </c:layout>
          <c:overlay val="0"/>
        </c:title>
        <c:numFmt formatCode="0" sourceLinked="0"/>
        <c:majorTickMark val="out"/>
        <c:minorTickMark val="none"/>
        <c:tickLblPos val="nextTo"/>
        <c:spPr>
          <a:ln w="9525">
            <a:solidFill>
              <a:sysClr val="windowText" lastClr="000000"/>
            </a:solidFill>
          </a:ln>
        </c:spPr>
        <c:txPr>
          <a:bodyPr rot="0" vert="horz"/>
          <a:lstStyle/>
          <a:p>
            <a:pPr>
              <a:defRPr sz="1000" b="0" i="0" u="none" strike="noStrike" baseline="0">
                <a:solidFill>
                  <a:srgbClr val="000000"/>
                </a:solidFill>
                <a:latin typeface="Arial"/>
                <a:ea typeface="Arial"/>
                <a:cs typeface="Arial"/>
              </a:defRPr>
            </a:pPr>
            <a:endParaRPr lang="en-US"/>
          </a:p>
        </c:txPr>
        <c:crossAx val="173518848"/>
        <c:crosses val="autoZero"/>
        <c:crossBetween val="midCat"/>
        <c:majorUnit val="20"/>
      </c:valAx>
      <c:spPr>
        <a:ln>
          <a:solidFill>
            <a:sysClr val="windowText" lastClr="000000"/>
          </a:solidFill>
        </a:ln>
      </c:spPr>
    </c:plotArea>
    <c:legend>
      <c:legendPos val="t"/>
      <c:layout>
        <c:manualLayout>
          <c:xMode val="edge"/>
          <c:yMode val="edge"/>
          <c:x val="1.2285626252187418E-2"/>
          <c:y val="2.6458333333333334E-2"/>
          <c:w val="0.98479002318988429"/>
          <c:h val="7.9740624999999996E-2"/>
        </c:manualLayout>
      </c:layout>
      <c:overlay val="0"/>
      <c:txPr>
        <a:bodyPr/>
        <a:lstStyle/>
        <a:p>
          <a:pPr>
            <a:defRPr>
              <a:latin typeface="Arial" pitchFamily="34" charset="0"/>
              <a:cs typeface="Arial" pitchFamily="34" charset="0"/>
            </a:defRPr>
          </a:pPr>
          <a:endParaRPr lang="en-US"/>
        </a:p>
      </c:txPr>
    </c:legend>
    <c:plotVisOnly val="1"/>
    <c:dispBlanksAs val="zero"/>
    <c:showDLblsOverMax val="0"/>
  </c:chart>
  <c:spPr>
    <a:ln w="12700">
      <a:noFill/>
    </a:ln>
  </c:spPr>
  <c:txPr>
    <a:bodyPr/>
    <a:lstStyle/>
    <a:p>
      <a:pPr>
        <a:defRPr sz="1000" b="0" i="0" u="none" strike="noStrike" baseline="0">
          <a:solidFill>
            <a:srgbClr val="000000"/>
          </a:solidFill>
          <a:latin typeface="Calibri"/>
          <a:ea typeface="Calibri"/>
          <a:cs typeface="Calibri"/>
        </a:defRPr>
      </a:pPr>
      <a:endParaRPr lang="en-US"/>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795197132616488"/>
          <c:y val="0.21166666666666667"/>
          <c:w val="0.8604075268817204"/>
          <c:h val="0.68590486111111115"/>
        </c:manualLayout>
      </c:layout>
      <c:lineChart>
        <c:grouping val="standard"/>
        <c:varyColors val="0"/>
        <c:ser>
          <c:idx val="0"/>
          <c:order val="0"/>
          <c:tx>
            <c:strRef>
              <c:f>'SCIs together'!$D$2</c:f>
              <c:strCache>
                <c:ptCount val="1"/>
                <c:pt idx="0">
                  <c:v>Nominal investment</c:v>
                </c:pt>
              </c:strCache>
            </c:strRef>
          </c:tx>
          <c:spPr>
            <a:ln w="19050">
              <a:solidFill>
                <a:srgbClr val="344893"/>
              </a:solidFill>
            </a:ln>
          </c:spPr>
          <c:marker>
            <c:symbol val="none"/>
          </c:marker>
          <c:cat>
            <c:numRef>
              <c:f>'SCIs together'!$C$3:$C$57</c:f>
              <c:numCache>
                <c:formatCode>yyyy</c:formatCode>
                <c:ptCount val="55"/>
                <c:pt idx="0">
                  <c:v>21337</c:v>
                </c:pt>
                <c:pt idx="1">
                  <c:v>21702</c:v>
                </c:pt>
                <c:pt idx="2">
                  <c:v>22068</c:v>
                </c:pt>
                <c:pt idx="3">
                  <c:v>22433</c:v>
                </c:pt>
                <c:pt idx="4">
                  <c:v>22798</c:v>
                </c:pt>
                <c:pt idx="5">
                  <c:v>23163</c:v>
                </c:pt>
                <c:pt idx="6">
                  <c:v>23529</c:v>
                </c:pt>
                <c:pt idx="7">
                  <c:v>23894</c:v>
                </c:pt>
                <c:pt idx="8">
                  <c:v>24259</c:v>
                </c:pt>
                <c:pt idx="9">
                  <c:v>24624</c:v>
                </c:pt>
                <c:pt idx="10">
                  <c:v>24990</c:v>
                </c:pt>
                <c:pt idx="11">
                  <c:v>25355</c:v>
                </c:pt>
                <c:pt idx="12">
                  <c:v>25720</c:v>
                </c:pt>
                <c:pt idx="13">
                  <c:v>26085</c:v>
                </c:pt>
                <c:pt idx="14">
                  <c:v>26451</c:v>
                </c:pt>
                <c:pt idx="15">
                  <c:v>26816</c:v>
                </c:pt>
                <c:pt idx="16">
                  <c:v>27181</c:v>
                </c:pt>
                <c:pt idx="17">
                  <c:v>27546</c:v>
                </c:pt>
                <c:pt idx="18">
                  <c:v>27912</c:v>
                </c:pt>
                <c:pt idx="19">
                  <c:v>28277</c:v>
                </c:pt>
                <c:pt idx="20">
                  <c:v>28642</c:v>
                </c:pt>
                <c:pt idx="21">
                  <c:v>29007</c:v>
                </c:pt>
                <c:pt idx="22">
                  <c:v>29373</c:v>
                </c:pt>
                <c:pt idx="23">
                  <c:v>29738</c:v>
                </c:pt>
                <c:pt idx="24">
                  <c:v>30103</c:v>
                </c:pt>
                <c:pt idx="25">
                  <c:v>30468</c:v>
                </c:pt>
                <c:pt idx="26">
                  <c:v>30834</c:v>
                </c:pt>
                <c:pt idx="27">
                  <c:v>31199</c:v>
                </c:pt>
                <c:pt idx="28">
                  <c:v>31564</c:v>
                </c:pt>
                <c:pt idx="29">
                  <c:v>31929</c:v>
                </c:pt>
                <c:pt idx="30">
                  <c:v>32295</c:v>
                </c:pt>
                <c:pt idx="31">
                  <c:v>32660</c:v>
                </c:pt>
                <c:pt idx="32">
                  <c:v>33025</c:v>
                </c:pt>
                <c:pt idx="33">
                  <c:v>33390</c:v>
                </c:pt>
                <c:pt idx="34">
                  <c:v>33756</c:v>
                </c:pt>
                <c:pt idx="35">
                  <c:v>34121</c:v>
                </c:pt>
                <c:pt idx="36">
                  <c:v>34486</c:v>
                </c:pt>
                <c:pt idx="37">
                  <c:v>34851</c:v>
                </c:pt>
                <c:pt idx="38">
                  <c:v>35217</c:v>
                </c:pt>
                <c:pt idx="39">
                  <c:v>35582</c:v>
                </c:pt>
                <c:pt idx="40">
                  <c:v>35947</c:v>
                </c:pt>
                <c:pt idx="41">
                  <c:v>36312</c:v>
                </c:pt>
                <c:pt idx="42">
                  <c:v>36678</c:v>
                </c:pt>
                <c:pt idx="43">
                  <c:v>37043</c:v>
                </c:pt>
                <c:pt idx="44">
                  <c:v>37408</c:v>
                </c:pt>
                <c:pt idx="45">
                  <c:v>37773</c:v>
                </c:pt>
                <c:pt idx="46">
                  <c:v>38139</c:v>
                </c:pt>
                <c:pt idx="47">
                  <c:v>38504</c:v>
                </c:pt>
                <c:pt idx="48">
                  <c:v>38869</c:v>
                </c:pt>
                <c:pt idx="49">
                  <c:v>39234</c:v>
                </c:pt>
                <c:pt idx="50">
                  <c:v>39600</c:v>
                </c:pt>
                <c:pt idx="51">
                  <c:v>39965</c:v>
                </c:pt>
                <c:pt idx="52">
                  <c:v>40330</c:v>
                </c:pt>
                <c:pt idx="53">
                  <c:v>40695</c:v>
                </c:pt>
                <c:pt idx="54" formatCode="General">
                  <c:v>2012</c:v>
                </c:pt>
              </c:numCache>
            </c:numRef>
          </c:cat>
          <c:val>
            <c:numRef>
              <c:f>'SCIs together'!$D$3:$D$57</c:f>
              <c:numCache>
                <c:formatCode>0.00</c:formatCode>
                <c:ptCount val="55"/>
                <c:pt idx="0">
                  <c:v>5.5588283240666092</c:v>
                </c:pt>
                <c:pt idx="1">
                  <c:v>5.9932672996828522</c:v>
                </c:pt>
                <c:pt idx="2">
                  <c:v>5.5386371150821354</c:v>
                </c:pt>
                <c:pt idx="3">
                  <c:v>4.7214365709911563</c:v>
                </c:pt>
                <c:pt idx="4">
                  <c:v>4.3942793809829483</c:v>
                </c:pt>
                <c:pt idx="5">
                  <c:v>4.6724120247335401</c:v>
                </c:pt>
                <c:pt idx="6">
                  <c:v>3.7832956249908203</c:v>
                </c:pt>
                <c:pt idx="7">
                  <c:v>2.8832461111036229</c:v>
                </c:pt>
                <c:pt idx="8">
                  <c:v>2.9977801636123926</c:v>
                </c:pt>
                <c:pt idx="9">
                  <c:v>4.0459166634266586</c:v>
                </c:pt>
                <c:pt idx="10">
                  <c:v>5.7721595335553246</c:v>
                </c:pt>
                <c:pt idx="11">
                  <c:v>7.1065109121166214</c:v>
                </c:pt>
                <c:pt idx="12">
                  <c:v>8.284503104770307</c:v>
                </c:pt>
                <c:pt idx="13">
                  <c:v>8.775561477616165</c:v>
                </c:pt>
                <c:pt idx="14">
                  <c:v>8.8319845609401142</c:v>
                </c:pt>
                <c:pt idx="15">
                  <c:v>8.5265175507759601</c:v>
                </c:pt>
                <c:pt idx="16">
                  <c:v>7.524616005785405</c:v>
                </c:pt>
                <c:pt idx="17">
                  <c:v>5.868921940337005</c:v>
                </c:pt>
                <c:pt idx="18">
                  <c:v>4.9029083301153218</c:v>
                </c:pt>
                <c:pt idx="19">
                  <c:v>7.2711908138784143</c:v>
                </c:pt>
                <c:pt idx="20">
                  <c:v>7.0613153571981631</c:v>
                </c:pt>
                <c:pt idx="21">
                  <c:v>6.4631708860838435</c:v>
                </c:pt>
                <c:pt idx="22">
                  <c:v>5.0400580375786443</c:v>
                </c:pt>
                <c:pt idx="23">
                  <c:v>2.2906373943039138</c:v>
                </c:pt>
                <c:pt idx="24">
                  <c:v>4.143326897306741</c:v>
                </c:pt>
                <c:pt idx="25">
                  <c:v>5.9959623195744518</c:v>
                </c:pt>
                <c:pt idx="26">
                  <c:v>6.7569370973058067</c:v>
                </c:pt>
                <c:pt idx="27">
                  <c:v>6.6653396282677466</c:v>
                </c:pt>
                <c:pt idx="28">
                  <c:v>6.1707151840369932</c:v>
                </c:pt>
                <c:pt idx="29">
                  <c:v>5.0528138927057658</c:v>
                </c:pt>
                <c:pt idx="30">
                  <c:v>6.8651725161631347</c:v>
                </c:pt>
                <c:pt idx="31">
                  <c:v>9.7757433386297805</c:v>
                </c:pt>
                <c:pt idx="32">
                  <c:v>10.336989583529434</c:v>
                </c:pt>
                <c:pt idx="33">
                  <c:v>9.9012909923144647</c:v>
                </c:pt>
                <c:pt idx="34">
                  <c:v>8.216870656982092</c:v>
                </c:pt>
                <c:pt idx="35">
                  <c:v>5.5015757123848008</c:v>
                </c:pt>
                <c:pt idx="36">
                  <c:v>4.9874714507584432</c:v>
                </c:pt>
                <c:pt idx="37">
                  <c:v>6.8853766334901589</c:v>
                </c:pt>
                <c:pt idx="38">
                  <c:v>6.8436101553265409</c:v>
                </c:pt>
                <c:pt idx="39">
                  <c:v>5.6030290480708107</c:v>
                </c:pt>
                <c:pt idx="40">
                  <c:v>3.5027099626870766</c:v>
                </c:pt>
                <c:pt idx="41">
                  <c:v>4.0322431022857863</c:v>
                </c:pt>
                <c:pt idx="42">
                  <c:v>5.6169234039125921</c:v>
                </c:pt>
                <c:pt idx="43">
                  <c:v>5.6754760836365961</c:v>
                </c:pt>
                <c:pt idx="44">
                  <c:v>4.9108408157665329</c:v>
                </c:pt>
                <c:pt idx="45">
                  <c:v>4.7506194120494172</c:v>
                </c:pt>
                <c:pt idx="46">
                  <c:v>5.1000950072612135</c:v>
                </c:pt>
                <c:pt idx="47">
                  <c:v>4.0899832385486024</c:v>
                </c:pt>
                <c:pt idx="48">
                  <c:v>3.9301443864578949</c:v>
                </c:pt>
                <c:pt idx="49">
                  <c:v>4.9543914572902281</c:v>
                </c:pt>
                <c:pt idx="50">
                  <c:v>5.5242511464379742</c:v>
                </c:pt>
                <c:pt idx="51">
                  <c:v>6.6259003307710289</c:v>
                </c:pt>
                <c:pt idx="52">
                  <c:v>8.2944289418051884</c:v>
                </c:pt>
                <c:pt idx="53">
                  <c:v>9.2077555440586636</c:v>
                </c:pt>
                <c:pt idx="54">
                  <c:v>11.769598836633282</c:v>
                </c:pt>
              </c:numCache>
            </c:numRef>
          </c:val>
          <c:smooth val="0"/>
        </c:ser>
        <c:ser>
          <c:idx val="1"/>
          <c:order val="1"/>
          <c:tx>
            <c:strRef>
              <c:f>'SCIs together'!$E$2</c:f>
              <c:strCache>
                <c:ptCount val="1"/>
                <c:pt idx="0">
                  <c:v>Real investment</c:v>
                </c:pt>
              </c:strCache>
            </c:strRef>
          </c:tx>
          <c:spPr>
            <a:ln w="19050">
              <a:solidFill>
                <a:srgbClr val="7B905A"/>
              </a:solidFill>
              <a:prstDash val="dashDot"/>
            </a:ln>
          </c:spPr>
          <c:marker>
            <c:symbol val="none"/>
          </c:marker>
          <c:cat>
            <c:numRef>
              <c:f>'SCIs together'!$C$3:$C$57</c:f>
              <c:numCache>
                <c:formatCode>yyyy</c:formatCode>
                <c:ptCount val="55"/>
                <c:pt idx="0">
                  <c:v>21337</c:v>
                </c:pt>
                <c:pt idx="1">
                  <c:v>21702</c:v>
                </c:pt>
                <c:pt idx="2">
                  <c:v>22068</c:v>
                </c:pt>
                <c:pt idx="3">
                  <c:v>22433</c:v>
                </c:pt>
                <c:pt idx="4">
                  <c:v>22798</c:v>
                </c:pt>
                <c:pt idx="5">
                  <c:v>23163</c:v>
                </c:pt>
                <c:pt idx="6">
                  <c:v>23529</c:v>
                </c:pt>
                <c:pt idx="7">
                  <c:v>23894</c:v>
                </c:pt>
                <c:pt idx="8">
                  <c:v>24259</c:v>
                </c:pt>
                <c:pt idx="9">
                  <c:v>24624</c:v>
                </c:pt>
                <c:pt idx="10">
                  <c:v>24990</c:v>
                </c:pt>
                <c:pt idx="11">
                  <c:v>25355</c:v>
                </c:pt>
                <c:pt idx="12">
                  <c:v>25720</c:v>
                </c:pt>
                <c:pt idx="13">
                  <c:v>26085</c:v>
                </c:pt>
                <c:pt idx="14">
                  <c:v>26451</c:v>
                </c:pt>
                <c:pt idx="15">
                  <c:v>26816</c:v>
                </c:pt>
                <c:pt idx="16">
                  <c:v>27181</c:v>
                </c:pt>
                <c:pt idx="17">
                  <c:v>27546</c:v>
                </c:pt>
                <c:pt idx="18">
                  <c:v>27912</c:v>
                </c:pt>
                <c:pt idx="19">
                  <c:v>28277</c:v>
                </c:pt>
                <c:pt idx="20">
                  <c:v>28642</c:v>
                </c:pt>
                <c:pt idx="21">
                  <c:v>29007</c:v>
                </c:pt>
                <c:pt idx="22">
                  <c:v>29373</c:v>
                </c:pt>
                <c:pt idx="23">
                  <c:v>29738</c:v>
                </c:pt>
                <c:pt idx="24">
                  <c:v>30103</c:v>
                </c:pt>
                <c:pt idx="25">
                  <c:v>30468</c:v>
                </c:pt>
                <c:pt idx="26">
                  <c:v>30834</c:v>
                </c:pt>
                <c:pt idx="27">
                  <c:v>31199</c:v>
                </c:pt>
                <c:pt idx="28">
                  <c:v>31564</c:v>
                </c:pt>
                <c:pt idx="29">
                  <c:v>31929</c:v>
                </c:pt>
                <c:pt idx="30">
                  <c:v>32295</c:v>
                </c:pt>
                <c:pt idx="31">
                  <c:v>32660</c:v>
                </c:pt>
                <c:pt idx="32">
                  <c:v>33025</c:v>
                </c:pt>
                <c:pt idx="33">
                  <c:v>33390</c:v>
                </c:pt>
                <c:pt idx="34">
                  <c:v>33756</c:v>
                </c:pt>
                <c:pt idx="35">
                  <c:v>34121</c:v>
                </c:pt>
                <c:pt idx="36">
                  <c:v>34486</c:v>
                </c:pt>
                <c:pt idx="37">
                  <c:v>34851</c:v>
                </c:pt>
                <c:pt idx="38">
                  <c:v>35217</c:v>
                </c:pt>
                <c:pt idx="39">
                  <c:v>35582</c:v>
                </c:pt>
                <c:pt idx="40">
                  <c:v>35947</c:v>
                </c:pt>
                <c:pt idx="41">
                  <c:v>36312</c:v>
                </c:pt>
                <c:pt idx="42">
                  <c:v>36678</c:v>
                </c:pt>
                <c:pt idx="43">
                  <c:v>37043</c:v>
                </c:pt>
                <c:pt idx="44">
                  <c:v>37408</c:v>
                </c:pt>
                <c:pt idx="45">
                  <c:v>37773</c:v>
                </c:pt>
                <c:pt idx="46">
                  <c:v>38139</c:v>
                </c:pt>
                <c:pt idx="47">
                  <c:v>38504</c:v>
                </c:pt>
                <c:pt idx="48">
                  <c:v>38869</c:v>
                </c:pt>
                <c:pt idx="49">
                  <c:v>39234</c:v>
                </c:pt>
                <c:pt idx="50">
                  <c:v>39600</c:v>
                </c:pt>
                <c:pt idx="51">
                  <c:v>39965</c:v>
                </c:pt>
                <c:pt idx="52">
                  <c:v>40330</c:v>
                </c:pt>
                <c:pt idx="53">
                  <c:v>40695</c:v>
                </c:pt>
                <c:pt idx="54" formatCode="General">
                  <c:v>2012</c:v>
                </c:pt>
              </c:numCache>
            </c:numRef>
          </c:cat>
          <c:val>
            <c:numRef>
              <c:f>'SCIs together'!$E$3:$E$57</c:f>
              <c:numCache>
                <c:formatCode>General</c:formatCode>
                <c:ptCount val="55"/>
                <c:pt idx="11" formatCode="0.00">
                  <c:v>7.6411341144209723</c:v>
                </c:pt>
                <c:pt idx="12" formatCode="0.00">
                  <c:v>9.1057400626035019</c:v>
                </c:pt>
                <c:pt idx="13" formatCode="0.00">
                  <c:v>9.9862239518197971</c:v>
                </c:pt>
                <c:pt idx="14" formatCode="0.00">
                  <c:v>10.870703102439427</c:v>
                </c:pt>
                <c:pt idx="15" formatCode="0.00">
                  <c:v>9.9003995793800534</c:v>
                </c:pt>
                <c:pt idx="16" formatCode="0.00">
                  <c:v>7.8806190349554459</c:v>
                </c:pt>
                <c:pt idx="17" formatCode="0.00">
                  <c:v>5.0585876152348792</c:v>
                </c:pt>
                <c:pt idx="18" formatCode="0.00">
                  <c:v>3.922119315717377</c:v>
                </c:pt>
                <c:pt idx="19" formatCode="0.00">
                  <c:v>6.9430547914404572</c:v>
                </c:pt>
                <c:pt idx="20" formatCode="0.00">
                  <c:v>7.4341612213751169</c:v>
                </c:pt>
                <c:pt idx="21" formatCode="0.00">
                  <c:v>7.0862995217850804</c:v>
                </c:pt>
                <c:pt idx="22" formatCode="0.00">
                  <c:v>5.8447946012394238</c:v>
                </c:pt>
                <c:pt idx="23" formatCode="0.00">
                  <c:v>2.5050010784014578</c:v>
                </c:pt>
                <c:pt idx="24" formatCode="0.00">
                  <c:v>5.0195617963701595</c:v>
                </c:pt>
                <c:pt idx="25" formatCode="0.00">
                  <c:v>7.7074726363385491</c:v>
                </c:pt>
                <c:pt idx="26" formatCode="0.00">
                  <c:v>8.0808123497128808</c:v>
                </c:pt>
                <c:pt idx="27" formatCode="0.00">
                  <c:v>8.1954335732462873</c:v>
                </c:pt>
                <c:pt idx="28" formatCode="0.00">
                  <c:v>6.6771621380697237</c:v>
                </c:pt>
                <c:pt idx="29" formatCode="0.00">
                  <c:v>4.6743308342359917</c:v>
                </c:pt>
                <c:pt idx="30" formatCode="0.00">
                  <c:v>6.5724595918675153</c:v>
                </c:pt>
                <c:pt idx="31" formatCode="0.00">
                  <c:v>9.2530335364307152</c:v>
                </c:pt>
                <c:pt idx="32" formatCode="0.00">
                  <c:v>10.238268185595585</c:v>
                </c:pt>
                <c:pt idx="33" formatCode="0.00">
                  <c:v>10.769544826888945</c:v>
                </c:pt>
                <c:pt idx="34" formatCode="0.00">
                  <c:v>9.5090807359015379</c:v>
                </c:pt>
                <c:pt idx="35" formatCode="0.00">
                  <c:v>6.5489742143207179</c:v>
                </c:pt>
                <c:pt idx="36" formatCode="0.00">
                  <c:v>5.2679294283705431</c:v>
                </c:pt>
                <c:pt idx="37" formatCode="0.00">
                  <c:v>6.2520227291901289</c:v>
                </c:pt>
                <c:pt idx="38" formatCode="0.00">
                  <c:v>5.4672847429402029</c:v>
                </c:pt>
                <c:pt idx="39" formatCode="0.00">
                  <c:v>4.9731850056882259</c:v>
                </c:pt>
                <c:pt idx="40" formatCode="0.00">
                  <c:v>3.846422359317176</c:v>
                </c:pt>
                <c:pt idx="41" formatCode="0.00">
                  <c:v>4.8644153114957369</c:v>
                </c:pt>
                <c:pt idx="42" formatCode="0.00">
                  <c:v>5.602351002508108</c:v>
                </c:pt>
                <c:pt idx="43" formatCode="0.00">
                  <c:v>6.0176309694764658</c:v>
                </c:pt>
                <c:pt idx="44" formatCode="0.00">
                  <c:v>5.7045846243846441</c:v>
                </c:pt>
                <c:pt idx="45" formatCode="0.00">
                  <c:v>7.1045972485825413</c:v>
                </c:pt>
                <c:pt idx="46" formatCode="0.00">
                  <c:v>7.66019331296802</c:v>
                </c:pt>
                <c:pt idx="47" formatCode="0.00">
                  <c:v>6.1466782543487284</c:v>
                </c:pt>
                <c:pt idx="48" formatCode="0.00">
                  <c:v>4.187212767208373</c:v>
                </c:pt>
                <c:pt idx="49" formatCode="0.00">
                  <c:v>3.0372483493662576</c:v>
                </c:pt>
                <c:pt idx="50" formatCode="0.00">
                  <c:v>3.655169591981843</c:v>
                </c:pt>
                <c:pt idx="51" formatCode="0.00">
                  <c:v>6.0945643329651222</c:v>
                </c:pt>
                <c:pt idx="52" formatCode="0.00">
                  <c:v>7.8228138153022515</c:v>
                </c:pt>
                <c:pt idx="53" formatCode="0.00">
                  <c:v>8.3790181538758919</c:v>
                </c:pt>
                <c:pt idx="54" formatCode="0.00">
                  <c:v>10.547407738857899</c:v>
                </c:pt>
              </c:numCache>
            </c:numRef>
          </c:val>
          <c:smooth val="0"/>
        </c:ser>
        <c:ser>
          <c:idx val="2"/>
          <c:order val="2"/>
          <c:tx>
            <c:strRef>
              <c:f>'SCIs together'!$F$2</c:f>
              <c:strCache>
                <c:ptCount val="1"/>
                <c:pt idx="0">
                  <c:v>Nominal output</c:v>
                </c:pt>
              </c:strCache>
            </c:strRef>
          </c:tx>
          <c:spPr>
            <a:ln w="22225">
              <a:solidFill>
                <a:srgbClr val="7B905A"/>
              </a:solidFill>
              <a:prstDash val="dashDot"/>
            </a:ln>
          </c:spPr>
          <c:marker>
            <c:symbol val="none"/>
          </c:marker>
          <c:cat>
            <c:numRef>
              <c:f>'SCIs together'!$C$3:$C$57</c:f>
              <c:numCache>
                <c:formatCode>yyyy</c:formatCode>
                <c:ptCount val="55"/>
                <c:pt idx="0">
                  <c:v>21337</c:v>
                </c:pt>
                <c:pt idx="1">
                  <c:v>21702</c:v>
                </c:pt>
                <c:pt idx="2">
                  <c:v>22068</c:v>
                </c:pt>
                <c:pt idx="3">
                  <c:v>22433</c:v>
                </c:pt>
                <c:pt idx="4">
                  <c:v>22798</c:v>
                </c:pt>
                <c:pt idx="5">
                  <c:v>23163</c:v>
                </c:pt>
                <c:pt idx="6">
                  <c:v>23529</c:v>
                </c:pt>
                <c:pt idx="7">
                  <c:v>23894</c:v>
                </c:pt>
                <c:pt idx="8">
                  <c:v>24259</c:v>
                </c:pt>
                <c:pt idx="9">
                  <c:v>24624</c:v>
                </c:pt>
                <c:pt idx="10">
                  <c:v>24990</c:v>
                </c:pt>
                <c:pt idx="11">
                  <c:v>25355</c:v>
                </c:pt>
                <c:pt idx="12">
                  <c:v>25720</c:v>
                </c:pt>
                <c:pt idx="13">
                  <c:v>26085</c:v>
                </c:pt>
                <c:pt idx="14">
                  <c:v>26451</c:v>
                </c:pt>
                <c:pt idx="15">
                  <c:v>26816</c:v>
                </c:pt>
                <c:pt idx="16">
                  <c:v>27181</c:v>
                </c:pt>
                <c:pt idx="17">
                  <c:v>27546</c:v>
                </c:pt>
                <c:pt idx="18">
                  <c:v>27912</c:v>
                </c:pt>
                <c:pt idx="19">
                  <c:v>28277</c:v>
                </c:pt>
                <c:pt idx="20">
                  <c:v>28642</c:v>
                </c:pt>
                <c:pt idx="21">
                  <c:v>29007</c:v>
                </c:pt>
                <c:pt idx="22">
                  <c:v>29373</c:v>
                </c:pt>
                <c:pt idx="23">
                  <c:v>29738</c:v>
                </c:pt>
                <c:pt idx="24">
                  <c:v>30103</c:v>
                </c:pt>
                <c:pt idx="25">
                  <c:v>30468</c:v>
                </c:pt>
                <c:pt idx="26">
                  <c:v>30834</c:v>
                </c:pt>
                <c:pt idx="27">
                  <c:v>31199</c:v>
                </c:pt>
                <c:pt idx="28">
                  <c:v>31564</c:v>
                </c:pt>
                <c:pt idx="29">
                  <c:v>31929</c:v>
                </c:pt>
                <c:pt idx="30">
                  <c:v>32295</c:v>
                </c:pt>
                <c:pt idx="31">
                  <c:v>32660</c:v>
                </c:pt>
                <c:pt idx="32">
                  <c:v>33025</c:v>
                </c:pt>
                <c:pt idx="33">
                  <c:v>33390</c:v>
                </c:pt>
                <c:pt idx="34">
                  <c:v>33756</c:v>
                </c:pt>
                <c:pt idx="35">
                  <c:v>34121</c:v>
                </c:pt>
                <c:pt idx="36">
                  <c:v>34486</c:v>
                </c:pt>
                <c:pt idx="37">
                  <c:v>34851</c:v>
                </c:pt>
                <c:pt idx="38">
                  <c:v>35217</c:v>
                </c:pt>
                <c:pt idx="39">
                  <c:v>35582</c:v>
                </c:pt>
                <c:pt idx="40">
                  <c:v>35947</c:v>
                </c:pt>
                <c:pt idx="41">
                  <c:v>36312</c:v>
                </c:pt>
                <c:pt idx="42">
                  <c:v>36678</c:v>
                </c:pt>
                <c:pt idx="43">
                  <c:v>37043</c:v>
                </c:pt>
                <c:pt idx="44">
                  <c:v>37408</c:v>
                </c:pt>
                <c:pt idx="45">
                  <c:v>37773</c:v>
                </c:pt>
                <c:pt idx="46">
                  <c:v>38139</c:v>
                </c:pt>
                <c:pt idx="47">
                  <c:v>38504</c:v>
                </c:pt>
                <c:pt idx="48">
                  <c:v>38869</c:v>
                </c:pt>
                <c:pt idx="49">
                  <c:v>39234</c:v>
                </c:pt>
                <c:pt idx="50">
                  <c:v>39600</c:v>
                </c:pt>
                <c:pt idx="51">
                  <c:v>39965</c:v>
                </c:pt>
                <c:pt idx="52">
                  <c:v>40330</c:v>
                </c:pt>
                <c:pt idx="53">
                  <c:v>40695</c:v>
                </c:pt>
                <c:pt idx="54" formatCode="General">
                  <c:v>2012</c:v>
                </c:pt>
              </c:numCache>
            </c:numRef>
          </c:cat>
          <c:val>
            <c:numRef>
              <c:f>'SCIs together'!$F$3:$F$57</c:f>
              <c:numCache>
                <c:formatCode>0.00</c:formatCode>
                <c:ptCount val="55"/>
                <c:pt idx="0">
                  <c:v>7.3470991231858029</c:v>
                </c:pt>
                <c:pt idx="1">
                  <c:v>7.5747170565524291</c:v>
                </c:pt>
                <c:pt idx="2">
                  <c:v>6.5900749898688566</c:v>
                </c:pt>
                <c:pt idx="3">
                  <c:v>4.6085721497886922</c:v>
                </c:pt>
                <c:pt idx="4">
                  <c:v>5.0106139779196397</c:v>
                </c:pt>
                <c:pt idx="5">
                  <c:v>3.4361819371639974</c:v>
                </c:pt>
                <c:pt idx="6">
                  <c:v>2.6736377408673588</c:v>
                </c:pt>
                <c:pt idx="7">
                  <c:v>2.2392550971228751</c:v>
                </c:pt>
                <c:pt idx="8">
                  <c:v>2.2225752348064924</c:v>
                </c:pt>
                <c:pt idx="9">
                  <c:v>1.7456460507744238</c:v>
                </c:pt>
                <c:pt idx="10">
                  <c:v>2.4193899285145384</c:v>
                </c:pt>
                <c:pt idx="11">
                  <c:v>3.1245521902530791</c:v>
                </c:pt>
                <c:pt idx="12">
                  <c:v>4.0368916509706319</c:v>
                </c:pt>
                <c:pt idx="13">
                  <c:v>4.664854701261234</c:v>
                </c:pt>
                <c:pt idx="14">
                  <c:v>5.5435093055002369</c:v>
                </c:pt>
                <c:pt idx="15">
                  <c:v>5.7056080555877529</c:v>
                </c:pt>
                <c:pt idx="16">
                  <c:v>5.9053782767662257</c:v>
                </c:pt>
                <c:pt idx="17">
                  <c:v>5.8549891489385262</c:v>
                </c:pt>
                <c:pt idx="18">
                  <c:v>5.7392755992546771</c:v>
                </c:pt>
                <c:pt idx="19">
                  <c:v>5.3480567611301755</c:v>
                </c:pt>
                <c:pt idx="20">
                  <c:v>5.332806200487255</c:v>
                </c:pt>
                <c:pt idx="21">
                  <c:v>5.2857415901459301</c:v>
                </c:pt>
                <c:pt idx="22">
                  <c:v>4.2229683845131945</c:v>
                </c:pt>
                <c:pt idx="23">
                  <c:v>3.2001910801230817</c:v>
                </c:pt>
                <c:pt idx="24">
                  <c:v>2.5573405687219601</c:v>
                </c:pt>
                <c:pt idx="25">
                  <c:v>2.3461354629381574</c:v>
                </c:pt>
                <c:pt idx="26">
                  <c:v>2.1620248886248934</c:v>
                </c:pt>
                <c:pt idx="27">
                  <c:v>2.3322739452541814</c:v>
                </c:pt>
                <c:pt idx="28">
                  <c:v>2.6615027217084282</c:v>
                </c:pt>
                <c:pt idx="29">
                  <c:v>3.1549628429126977</c:v>
                </c:pt>
                <c:pt idx="30">
                  <c:v>3.0282756087403948</c:v>
                </c:pt>
                <c:pt idx="31">
                  <c:v>3.3300022882219538</c:v>
                </c:pt>
                <c:pt idx="32">
                  <c:v>3.7450450245829296</c:v>
                </c:pt>
                <c:pt idx="33">
                  <c:v>4.5481538889498392</c:v>
                </c:pt>
                <c:pt idx="34">
                  <c:v>4.6650126386867274</c:v>
                </c:pt>
                <c:pt idx="35">
                  <c:v>4.4974591877837504</c:v>
                </c:pt>
                <c:pt idx="36">
                  <c:v>3.8891394785594264</c:v>
                </c:pt>
                <c:pt idx="37">
                  <c:v>3.8294968856548368</c:v>
                </c:pt>
                <c:pt idx="38">
                  <c:v>2.9862995502012155</c:v>
                </c:pt>
                <c:pt idx="39">
                  <c:v>2.397773101498911</c:v>
                </c:pt>
                <c:pt idx="40">
                  <c:v>2.0779392003134269</c:v>
                </c:pt>
                <c:pt idx="41">
                  <c:v>2.1365760091554291</c:v>
                </c:pt>
                <c:pt idx="42">
                  <c:v>2.4251220710972077</c:v>
                </c:pt>
                <c:pt idx="43">
                  <c:v>2.7952371801077085</c:v>
                </c:pt>
                <c:pt idx="44">
                  <c:v>2.9770605788965852</c:v>
                </c:pt>
                <c:pt idx="45">
                  <c:v>3.0106588575614945</c:v>
                </c:pt>
                <c:pt idx="46">
                  <c:v>2.8535227721266128</c:v>
                </c:pt>
                <c:pt idx="47">
                  <c:v>2.56346408056018</c:v>
                </c:pt>
                <c:pt idx="48">
                  <c:v>2.6473821854140391</c:v>
                </c:pt>
                <c:pt idx="49">
                  <c:v>3.2119908484280155</c:v>
                </c:pt>
                <c:pt idx="50">
                  <c:v>3.9535212136964759</c:v>
                </c:pt>
                <c:pt idx="51">
                  <c:v>5.3059095548545887</c:v>
                </c:pt>
                <c:pt idx="52">
                  <c:v>6.0217644319086236</c:v>
                </c:pt>
                <c:pt idx="53">
                  <c:v>6.3516366030288651</c:v>
                </c:pt>
                <c:pt idx="54">
                  <c:v>6.1629907275194427</c:v>
                </c:pt>
              </c:numCache>
            </c:numRef>
          </c:val>
          <c:smooth val="0"/>
        </c:ser>
        <c:ser>
          <c:idx val="3"/>
          <c:order val="3"/>
          <c:tx>
            <c:strRef>
              <c:f>'SCIs together'!$G$2</c:f>
              <c:strCache>
                <c:ptCount val="1"/>
                <c:pt idx="0">
                  <c:v>Real output</c:v>
                </c:pt>
              </c:strCache>
            </c:strRef>
          </c:tx>
          <c:spPr>
            <a:ln w="22225">
              <a:solidFill>
                <a:srgbClr val="39580D"/>
              </a:solidFill>
              <a:prstDash val="sysDot"/>
            </a:ln>
          </c:spPr>
          <c:marker>
            <c:symbol val="none"/>
          </c:marker>
          <c:cat>
            <c:numRef>
              <c:f>'SCIs together'!$C$3:$C$57</c:f>
              <c:numCache>
                <c:formatCode>yyyy</c:formatCode>
                <c:ptCount val="55"/>
                <c:pt idx="0">
                  <c:v>21337</c:v>
                </c:pt>
                <c:pt idx="1">
                  <c:v>21702</c:v>
                </c:pt>
                <c:pt idx="2">
                  <c:v>22068</c:v>
                </c:pt>
                <c:pt idx="3">
                  <c:v>22433</c:v>
                </c:pt>
                <c:pt idx="4">
                  <c:v>22798</c:v>
                </c:pt>
                <c:pt idx="5">
                  <c:v>23163</c:v>
                </c:pt>
                <c:pt idx="6">
                  <c:v>23529</c:v>
                </c:pt>
                <c:pt idx="7">
                  <c:v>23894</c:v>
                </c:pt>
                <c:pt idx="8">
                  <c:v>24259</c:v>
                </c:pt>
                <c:pt idx="9">
                  <c:v>24624</c:v>
                </c:pt>
                <c:pt idx="10">
                  <c:v>24990</c:v>
                </c:pt>
                <c:pt idx="11">
                  <c:v>25355</c:v>
                </c:pt>
                <c:pt idx="12">
                  <c:v>25720</c:v>
                </c:pt>
                <c:pt idx="13">
                  <c:v>26085</c:v>
                </c:pt>
                <c:pt idx="14">
                  <c:v>26451</c:v>
                </c:pt>
                <c:pt idx="15">
                  <c:v>26816</c:v>
                </c:pt>
                <c:pt idx="16">
                  <c:v>27181</c:v>
                </c:pt>
                <c:pt idx="17">
                  <c:v>27546</c:v>
                </c:pt>
                <c:pt idx="18">
                  <c:v>27912</c:v>
                </c:pt>
                <c:pt idx="19">
                  <c:v>28277</c:v>
                </c:pt>
                <c:pt idx="20">
                  <c:v>28642</c:v>
                </c:pt>
                <c:pt idx="21">
                  <c:v>29007</c:v>
                </c:pt>
                <c:pt idx="22">
                  <c:v>29373</c:v>
                </c:pt>
                <c:pt idx="23">
                  <c:v>29738</c:v>
                </c:pt>
                <c:pt idx="24">
                  <c:v>30103</c:v>
                </c:pt>
                <c:pt idx="25">
                  <c:v>30468</c:v>
                </c:pt>
                <c:pt idx="26">
                  <c:v>30834</c:v>
                </c:pt>
                <c:pt idx="27">
                  <c:v>31199</c:v>
                </c:pt>
                <c:pt idx="28">
                  <c:v>31564</c:v>
                </c:pt>
                <c:pt idx="29">
                  <c:v>31929</c:v>
                </c:pt>
                <c:pt idx="30">
                  <c:v>32295</c:v>
                </c:pt>
                <c:pt idx="31">
                  <c:v>32660</c:v>
                </c:pt>
                <c:pt idx="32">
                  <c:v>33025</c:v>
                </c:pt>
                <c:pt idx="33">
                  <c:v>33390</c:v>
                </c:pt>
                <c:pt idx="34">
                  <c:v>33756</c:v>
                </c:pt>
                <c:pt idx="35">
                  <c:v>34121</c:v>
                </c:pt>
                <c:pt idx="36">
                  <c:v>34486</c:v>
                </c:pt>
                <c:pt idx="37">
                  <c:v>34851</c:v>
                </c:pt>
                <c:pt idx="38">
                  <c:v>35217</c:v>
                </c:pt>
                <c:pt idx="39">
                  <c:v>35582</c:v>
                </c:pt>
                <c:pt idx="40">
                  <c:v>35947</c:v>
                </c:pt>
                <c:pt idx="41">
                  <c:v>36312</c:v>
                </c:pt>
                <c:pt idx="42">
                  <c:v>36678</c:v>
                </c:pt>
                <c:pt idx="43">
                  <c:v>37043</c:v>
                </c:pt>
                <c:pt idx="44">
                  <c:v>37408</c:v>
                </c:pt>
                <c:pt idx="45">
                  <c:v>37773</c:v>
                </c:pt>
                <c:pt idx="46">
                  <c:v>38139</c:v>
                </c:pt>
                <c:pt idx="47">
                  <c:v>38504</c:v>
                </c:pt>
                <c:pt idx="48">
                  <c:v>38869</c:v>
                </c:pt>
                <c:pt idx="49">
                  <c:v>39234</c:v>
                </c:pt>
                <c:pt idx="50">
                  <c:v>39600</c:v>
                </c:pt>
                <c:pt idx="51">
                  <c:v>39965</c:v>
                </c:pt>
                <c:pt idx="52">
                  <c:v>40330</c:v>
                </c:pt>
                <c:pt idx="53">
                  <c:v>40695</c:v>
                </c:pt>
                <c:pt idx="54" formatCode="General">
                  <c:v>2012</c:v>
                </c:pt>
              </c:numCache>
            </c:numRef>
          </c:cat>
          <c:val>
            <c:numRef>
              <c:f>'SCIs together'!$G$3:$G$57</c:f>
              <c:numCache>
                <c:formatCode>General</c:formatCode>
                <c:ptCount val="55"/>
                <c:pt idx="11" formatCode="0.00">
                  <c:v>0.84343921312643144</c:v>
                </c:pt>
                <c:pt idx="12" formatCode="0.00">
                  <c:v>1.2520886708220007</c:v>
                </c:pt>
                <c:pt idx="13" formatCode="0.00">
                  <c:v>1.8195109430799621</c:v>
                </c:pt>
                <c:pt idx="14" formatCode="0.00">
                  <c:v>2.6274202088965253</c:v>
                </c:pt>
                <c:pt idx="15" formatCode="0.00">
                  <c:v>3.425158357618034</c:v>
                </c:pt>
                <c:pt idx="16" formatCode="0.00">
                  <c:v>4.1679731031766885</c:v>
                </c:pt>
                <c:pt idx="17" formatCode="0.00">
                  <c:v>4.1417143552865729</c:v>
                </c:pt>
                <c:pt idx="18" formatCode="0.00">
                  <c:v>4.3569569360497891</c:v>
                </c:pt>
                <c:pt idx="19" formatCode="0.00">
                  <c:v>4.5550514506136146</c:v>
                </c:pt>
                <c:pt idx="20" formatCode="0.00">
                  <c:v>5.1659069559523072</c:v>
                </c:pt>
                <c:pt idx="21" formatCode="0.00">
                  <c:v>5.2955721544048924</c:v>
                </c:pt>
                <c:pt idx="22" formatCode="0.00">
                  <c:v>4.5147222166487309</c:v>
                </c:pt>
                <c:pt idx="23" formatCode="0.00">
                  <c:v>3.6719995296831915</c:v>
                </c:pt>
                <c:pt idx="24" formatCode="0.00">
                  <c:v>2.8899375562348553</c:v>
                </c:pt>
                <c:pt idx="25" formatCode="0.00">
                  <c:v>2.3542413619539571</c:v>
                </c:pt>
                <c:pt idx="26" formatCode="0.00">
                  <c:v>2.5117262134844816</c:v>
                </c:pt>
                <c:pt idx="27" formatCode="0.00">
                  <c:v>2.4985583742968251</c:v>
                </c:pt>
                <c:pt idx="28" formatCode="0.00">
                  <c:v>2.3108515157645533</c:v>
                </c:pt>
                <c:pt idx="29" formatCode="0.00">
                  <c:v>2.8369791374303559</c:v>
                </c:pt>
                <c:pt idx="30" formatCode="0.00">
                  <c:v>2.9828637652002681</c:v>
                </c:pt>
                <c:pt idx="31" formatCode="0.00">
                  <c:v>3.4026573869817724</c:v>
                </c:pt>
                <c:pt idx="32" formatCode="0.00">
                  <c:v>3.8400790574547057</c:v>
                </c:pt>
                <c:pt idx="33" formatCode="0.00">
                  <c:v>3.9390871768519058</c:v>
                </c:pt>
                <c:pt idx="34" formatCode="0.00">
                  <c:v>3.8536587630863717</c:v>
                </c:pt>
                <c:pt idx="35" formatCode="0.00">
                  <c:v>3.3669244319339677</c:v>
                </c:pt>
                <c:pt idx="36" formatCode="0.00">
                  <c:v>3.1070916685113752</c:v>
                </c:pt>
                <c:pt idx="37" formatCode="0.00">
                  <c:v>2.7119019909527449</c:v>
                </c:pt>
                <c:pt idx="38" formatCode="0.00">
                  <c:v>2.6388699529986397</c:v>
                </c:pt>
                <c:pt idx="39" formatCode="0.00">
                  <c:v>2.3613728305520691</c:v>
                </c:pt>
                <c:pt idx="40" formatCode="0.00">
                  <c:v>2.480430634677409</c:v>
                </c:pt>
                <c:pt idx="41" formatCode="0.00">
                  <c:v>2.4239785097743569</c:v>
                </c:pt>
                <c:pt idx="42" formatCode="0.00">
                  <c:v>2.3969700281153119</c:v>
                </c:pt>
                <c:pt idx="43" formatCode="0.00">
                  <c:v>2.5755522316831199</c:v>
                </c:pt>
                <c:pt idx="44" formatCode="0.00">
                  <c:v>2.6673664797360805</c:v>
                </c:pt>
                <c:pt idx="45" formatCode="0.00">
                  <c:v>2.5462791498089912</c:v>
                </c:pt>
                <c:pt idx="46" formatCode="0.00">
                  <c:v>2.4125934834362206</c:v>
                </c:pt>
                <c:pt idx="47" formatCode="0.00">
                  <c:v>2.2458059374205237</c:v>
                </c:pt>
                <c:pt idx="48" formatCode="0.00">
                  <c:v>2.5743871307053072</c:v>
                </c:pt>
                <c:pt idx="49" formatCode="0.00">
                  <c:v>2.770133418566092</c:v>
                </c:pt>
                <c:pt idx="50" formatCode="0.00">
                  <c:v>2.8281149332427917</c:v>
                </c:pt>
                <c:pt idx="51" formatCode="0.00">
                  <c:v>2.7517605089542241</c:v>
                </c:pt>
                <c:pt idx="52" formatCode="0.00">
                  <c:v>2.5573930242817196</c:v>
                </c:pt>
                <c:pt idx="53" formatCode="0.00">
                  <c:v>2.2533557223334406</c:v>
                </c:pt>
                <c:pt idx="54" formatCode="0.00">
                  <c:v>2.164805671435154</c:v>
                </c:pt>
              </c:numCache>
            </c:numRef>
          </c:val>
          <c:smooth val="0"/>
        </c:ser>
        <c:dLbls>
          <c:showLegendKey val="0"/>
          <c:showVal val="0"/>
          <c:showCatName val="0"/>
          <c:showSerName val="0"/>
          <c:showPercent val="0"/>
          <c:showBubbleSize val="0"/>
        </c:dLbls>
        <c:marker val="1"/>
        <c:smooth val="0"/>
        <c:axId val="174735360"/>
        <c:axId val="174736896"/>
      </c:lineChart>
      <c:catAx>
        <c:axId val="174735360"/>
        <c:scaling>
          <c:orientation val="minMax"/>
        </c:scaling>
        <c:delete val="0"/>
        <c:axPos val="b"/>
        <c:numFmt formatCode="yyyy" sourceLinked="1"/>
        <c:majorTickMark val="out"/>
        <c:minorTickMark val="none"/>
        <c:tickLblPos val="nextTo"/>
        <c:txPr>
          <a:bodyPr rot="0"/>
          <a:lstStyle/>
          <a:p>
            <a:pPr>
              <a:defRPr/>
            </a:pPr>
            <a:endParaRPr lang="en-US"/>
          </a:p>
        </c:txPr>
        <c:crossAx val="174736896"/>
        <c:crosses val="autoZero"/>
        <c:auto val="1"/>
        <c:lblAlgn val="ctr"/>
        <c:lblOffset val="100"/>
        <c:tickLblSkip val="6"/>
        <c:tickMarkSkip val="6"/>
        <c:noMultiLvlLbl val="0"/>
      </c:catAx>
      <c:valAx>
        <c:axId val="174736896"/>
        <c:scaling>
          <c:orientation val="minMax"/>
          <c:max val="12"/>
        </c:scaling>
        <c:delete val="0"/>
        <c:axPos val="l"/>
        <c:majorGridlines/>
        <c:title>
          <c:tx>
            <c:rich>
              <a:bodyPr rot="-5400000" vert="horz"/>
              <a:lstStyle/>
              <a:p>
                <a:pPr>
                  <a:defRPr/>
                </a:pPr>
                <a:r>
                  <a:rPr lang="en-AU"/>
                  <a:t>Index value</a:t>
                </a:r>
              </a:p>
            </c:rich>
          </c:tx>
          <c:layout>
            <c:manualLayout>
              <c:xMode val="edge"/>
              <c:yMode val="edge"/>
              <c:x val="1.3387096774193549E-2"/>
              <c:y val="0.37389583333333332"/>
            </c:manualLayout>
          </c:layout>
          <c:overlay val="0"/>
        </c:title>
        <c:numFmt formatCode="0" sourceLinked="0"/>
        <c:majorTickMark val="out"/>
        <c:minorTickMark val="none"/>
        <c:tickLblPos val="nextTo"/>
        <c:crossAx val="174735360"/>
        <c:crosses val="autoZero"/>
        <c:crossBetween val="midCat"/>
        <c:majorUnit val="3"/>
      </c:valAx>
      <c:spPr>
        <a:ln>
          <a:solidFill>
            <a:schemeClr val="tx1"/>
          </a:solidFill>
        </a:ln>
      </c:spPr>
    </c:plotArea>
    <c:legend>
      <c:legendPos val="b"/>
      <c:layout>
        <c:manualLayout>
          <c:xMode val="edge"/>
          <c:yMode val="edge"/>
          <c:x val="0.18559982078853046"/>
          <c:y val="1.6353125E-2"/>
          <c:w val="0.7000568506462036"/>
          <c:h val="0.1438736111111111"/>
        </c:manualLayout>
      </c:layout>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8125555555555559E-2"/>
          <c:y val="9.9027777777777784E-2"/>
          <c:w val="0.88893185185185186"/>
          <c:h val="0.74649548611111116"/>
        </c:manualLayout>
      </c:layout>
      <c:barChart>
        <c:barDir val="col"/>
        <c:grouping val="clustered"/>
        <c:varyColors val="0"/>
        <c:ser>
          <c:idx val="0"/>
          <c:order val="0"/>
          <c:tx>
            <c:strRef>
              <c:f>'By asset'!$A$60</c:f>
              <c:strCache>
                <c:ptCount val="1"/>
                <c:pt idx="0">
                  <c:v>1960 to 2002</c:v>
                </c:pt>
              </c:strCache>
            </c:strRef>
          </c:tx>
          <c:spPr>
            <a:solidFill>
              <a:srgbClr val="344893"/>
            </a:solidFill>
            <a:ln cmpd="sng">
              <a:solidFill>
                <a:srgbClr val="344893"/>
              </a:solidFill>
            </a:ln>
          </c:spPr>
          <c:invertIfNegative val="0"/>
          <c:cat>
            <c:strRef>
              <c:f>'By asset'!$B$59:$H$59</c:f>
              <c:strCache>
                <c:ptCount val="7"/>
                <c:pt idx="0">
                  <c:v>Constr-
uction</c:v>
                </c:pt>
                <c:pt idx="1">
                  <c:v>Machinery &amp;
equipment</c:v>
                </c:pt>
                <c:pt idx="2">
                  <c:v>Weapons systems</c:v>
                </c:pt>
                <c:pt idx="3">
                  <c:v>Research &amp; development</c:v>
                </c:pt>
                <c:pt idx="4">
                  <c:v>Mineral exploration</c:v>
                </c:pt>
                <c:pt idx="5">
                  <c:v>Computer software</c:v>
                </c:pt>
                <c:pt idx="6">
                  <c:v>Artistic originals</c:v>
                </c:pt>
              </c:strCache>
            </c:strRef>
          </c:cat>
          <c:val>
            <c:numRef>
              <c:f>'By asset'!$B$60:$H$60</c:f>
              <c:numCache>
                <c:formatCode>0.0;\-0.0;0.0;@</c:formatCode>
                <c:ptCount val="7"/>
                <c:pt idx="0">
                  <c:v>3.8555317101307414</c:v>
                </c:pt>
                <c:pt idx="1">
                  <c:v>5.2809697022962103</c:v>
                </c:pt>
                <c:pt idx="2">
                  <c:v>2.504422942615399</c:v>
                </c:pt>
                <c:pt idx="3">
                  <c:v>4.6451535035660081</c:v>
                </c:pt>
                <c:pt idx="4">
                  <c:v>7.9586959108768811</c:v>
                </c:pt>
              </c:numCache>
            </c:numRef>
          </c:val>
        </c:ser>
        <c:ser>
          <c:idx val="1"/>
          <c:order val="1"/>
          <c:tx>
            <c:strRef>
              <c:f>'By asset'!$A$61</c:f>
              <c:strCache>
                <c:ptCount val="1"/>
                <c:pt idx="0">
                  <c:v>2002 to 2012</c:v>
                </c:pt>
              </c:strCache>
            </c:strRef>
          </c:tx>
          <c:spPr>
            <a:pattFill prst="pct60">
              <a:fgClr>
                <a:srgbClr val="B4C98B"/>
              </a:fgClr>
              <a:bgClr>
                <a:schemeClr val="bg1"/>
              </a:bgClr>
            </a:pattFill>
            <a:ln>
              <a:solidFill>
                <a:srgbClr val="B4C98B"/>
              </a:solidFill>
            </a:ln>
          </c:spPr>
          <c:invertIfNegative val="0"/>
          <c:cat>
            <c:strRef>
              <c:f>'By asset'!$B$59:$H$59</c:f>
              <c:strCache>
                <c:ptCount val="7"/>
                <c:pt idx="0">
                  <c:v>Constr-
uction</c:v>
                </c:pt>
                <c:pt idx="1">
                  <c:v>Machinery &amp;
equipment</c:v>
                </c:pt>
                <c:pt idx="2">
                  <c:v>Weapons systems</c:v>
                </c:pt>
                <c:pt idx="3">
                  <c:v>Research &amp; development</c:v>
                </c:pt>
                <c:pt idx="4">
                  <c:v>Mineral exploration</c:v>
                </c:pt>
                <c:pt idx="5">
                  <c:v>Computer software</c:v>
                </c:pt>
                <c:pt idx="6">
                  <c:v>Artistic originals</c:v>
                </c:pt>
              </c:strCache>
            </c:strRef>
          </c:cat>
          <c:val>
            <c:numRef>
              <c:f>'By asset'!$B$61:$H$61</c:f>
              <c:numCache>
                <c:formatCode>0.0;\-0.0;0.0;@</c:formatCode>
                <c:ptCount val="7"/>
                <c:pt idx="0">
                  <c:v>3.8946397938401773</c:v>
                </c:pt>
                <c:pt idx="1">
                  <c:v>6.8724917726967245</c:v>
                </c:pt>
                <c:pt idx="2">
                  <c:v>8.2512858579071171</c:v>
                </c:pt>
                <c:pt idx="3">
                  <c:v>6.5414225873375145</c:v>
                </c:pt>
                <c:pt idx="4">
                  <c:v>4.3656633862795049</c:v>
                </c:pt>
                <c:pt idx="5">
                  <c:v>8.5832001606225088</c:v>
                </c:pt>
                <c:pt idx="6">
                  <c:v>8.7969049676288584</c:v>
                </c:pt>
              </c:numCache>
            </c:numRef>
          </c:val>
        </c:ser>
        <c:dLbls>
          <c:showLegendKey val="0"/>
          <c:showVal val="0"/>
          <c:showCatName val="0"/>
          <c:showSerName val="0"/>
          <c:showPercent val="0"/>
          <c:showBubbleSize val="0"/>
        </c:dLbls>
        <c:gapWidth val="150"/>
        <c:axId val="174762240"/>
        <c:axId val="174772224"/>
      </c:barChart>
      <c:catAx>
        <c:axId val="174762240"/>
        <c:scaling>
          <c:orientation val="minMax"/>
        </c:scaling>
        <c:delete val="0"/>
        <c:axPos val="b"/>
        <c:numFmt formatCode="0.0;\-0.0;0.0;@" sourceLinked="1"/>
        <c:majorTickMark val="out"/>
        <c:minorTickMark val="none"/>
        <c:tickLblPos val="nextTo"/>
        <c:spPr>
          <a:ln>
            <a:solidFill>
              <a:schemeClr val="tx1"/>
            </a:solidFill>
          </a:ln>
        </c:spPr>
        <c:txPr>
          <a:bodyPr/>
          <a:lstStyle/>
          <a:p>
            <a:pPr>
              <a:defRPr sz="900"/>
            </a:pPr>
            <a:endParaRPr lang="en-US"/>
          </a:p>
        </c:txPr>
        <c:crossAx val="174772224"/>
        <c:crosses val="autoZero"/>
        <c:auto val="1"/>
        <c:lblAlgn val="ctr"/>
        <c:lblOffset val="100"/>
        <c:noMultiLvlLbl val="0"/>
      </c:catAx>
      <c:valAx>
        <c:axId val="174772224"/>
        <c:scaling>
          <c:orientation val="minMax"/>
          <c:max val="10"/>
        </c:scaling>
        <c:delete val="0"/>
        <c:axPos val="l"/>
        <c:majorGridlines>
          <c:spPr>
            <a:ln>
              <a:solidFill>
                <a:schemeClr val="bg1">
                  <a:lumMod val="50000"/>
                </a:schemeClr>
              </a:solidFill>
            </a:ln>
          </c:spPr>
        </c:majorGridlines>
        <c:title>
          <c:tx>
            <c:rich>
              <a:bodyPr rot="-5400000" vert="horz"/>
              <a:lstStyle/>
              <a:p>
                <a:pPr>
                  <a:defRPr/>
                </a:pPr>
                <a:r>
                  <a:rPr lang="en-AU"/>
                  <a:t>Per cent</a:t>
                </a:r>
              </a:p>
            </c:rich>
          </c:tx>
          <c:layout>
            <c:manualLayout>
              <c:xMode val="edge"/>
              <c:yMode val="edge"/>
              <c:x val="5.0185185185185185E-4"/>
              <c:y val="0.35892430555555555"/>
            </c:manualLayout>
          </c:layout>
          <c:overlay val="0"/>
        </c:title>
        <c:numFmt formatCode="#,##0" sourceLinked="0"/>
        <c:majorTickMark val="out"/>
        <c:minorTickMark val="none"/>
        <c:tickLblPos val="nextTo"/>
        <c:spPr>
          <a:ln>
            <a:solidFill>
              <a:sysClr val="windowText" lastClr="000000"/>
            </a:solidFill>
          </a:ln>
        </c:spPr>
        <c:crossAx val="174762240"/>
        <c:crosses val="autoZero"/>
        <c:crossBetween val="between"/>
        <c:majorUnit val="2"/>
      </c:valAx>
      <c:spPr>
        <a:ln>
          <a:solidFill>
            <a:schemeClr val="tx1"/>
          </a:solidFill>
        </a:ln>
      </c:spPr>
    </c:plotArea>
    <c:legend>
      <c:legendPos val="r"/>
      <c:layout>
        <c:manualLayout>
          <c:xMode val="edge"/>
          <c:yMode val="edge"/>
          <c:x val="7.3972962962962949E-2"/>
          <c:y val="2.2208680555555558E-2"/>
          <c:w val="0.88938981481481483"/>
          <c:h val="5.6323272090988627E-2"/>
        </c:manualLayout>
      </c:layout>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2449462365591392E-2"/>
          <c:y val="0.10946875"/>
          <c:w val="0.89577685185185185"/>
          <c:h val="0.83692152777777773"/>
        </c:manualLayout>
      </c:layout>
      <c:barChart>
        <c:barDir val="col"/>
        <c:grouping val="clustered"/>
        <c:varyColors val="0"/>
        <c:ser>
          <c:idx val="0"/>
          <c:order val="0"/>
          <c:tx>
            <c:strRef>
              <c:f>'Asset by sector since 1990'!$B$59</c:f>
              <c:strCache>
                <c:ptCount val="1"/>
                <c:pt idx="0">
                  <c:v>Construction</c:v>
                </c:pt>
              </c:strCache>
            </c:strRef>
          </c:tx>
          <c:spPr>
            <a:solidFill>
              <a:srgbClr val="344893"/>
            </a:solidFill>
            <a:ln>
              <a:solidFill>
                <a:srgbClr val="344893"/>
              </a:solidFill>
            </a:ln>
          </c:spPr>
          <c:invertIfNegative val="0"/>
          <c:cat>
            <c:strRef>
              <c:f>'Asset by sector since 1990'!$A$60:$A$68</c:f>
              <c:strCache>
                <c:ptCount val="9"/>
                <c:pt idx="0">
                  <c:v>Agri-
culture</c:v>
                </c:pt>
                <c:pt idx="1">
                  <c:v>Mining</c:v>
                </c:pt>
                <c:pt idx="2">
                  <c:v>Manuf-
acturing</c:v>
                </c:pt>
                <c:pt idx="3">
                  <c:v>Utilities</c:v>
                </c:pt>
                <c:pt idx="4">
                  <c:v>Constr-
uction</c:v>
                </c:pt>
                <c:pt idx="5">
                  <c:v>Distribution
services</c:v>
                </c:pt>
                <c:pt idx="6">
                  <c:v>Business
services</c:v>
                </c:pt>
                <c:pt idx="7">
                  <c:v>Social
services</c:v>
                </c:pt>
                <c:pt idx="8">
                  <c:v>Personal
services</c:v>
                </c:pt>
              </c:strCache>
            </c:strRef>
          </c:cat>
          <c:val>
            <c:numRef>
              <c:f>'Asset by sector since 1990'!$B$60:$B$68</c:f>
              <c:numCache>
                <c:formatCode>General</c:formatCode>
                <c:ptCount val="9"/>
                <c:pt idx="0">
                  <c:v>4.4303958936014878</c:v>
                </c:pt>
                <c:pt idx="1">
                  <c:v>11.926281257725794</c:v>
                </c:pt>
                <c:pt idx="2">
                  <c:v>4.6891029136675559</c:v>
                </c:pt>
                <c:pt idx="3">
                  <c:v>3.7428133569713862</c:v>
                </c:pt>
                <c:pt idx="4">
                  <c:v>-0.26211110722166375</c:v>
                </c:pt>
                <c:pt idx="5">
                  <c:v>3.2113044702457167</c:v>
                </c:pt>
                <c:pt idx="6">
                  <c:v>2.4235873653812776</c:v>
                </c:pt>
                <c:pt idx="7">
                  <c:v>2.6775510984035127</c:v>
                </c:pt>
                <c:pt idx="8">
                  <c:v>1.7618341767729548</c:v>
                </c:pt>
              </c:numCache>
            </c:numRef>
          </c:val>
        </c:ser>
        <c:ser>
          <c:idx val="1"/>
          <c:order val="1"/>
          <c:tx>
            <c:strRef>
              <c:f>'Asset by sector since 1990'!$C$59</c:f>
              <c:strCache>
                <c:ptCount val="1"/>
                <c:pt idx="0">
                  <c:v>Machinery &amp; equipment</c:v>
                </c:pt>
              </c:strCache>
            </c:strRef>
          </c:tx>
          <c:spPr>
            <a:pattFill prst="pct60">
              <a:fgClr>
                <a:srgbClr val="B4C98B"/>
              </a:fgClr>
              <a:bgClr>
                <a:schemeClr val="bg1"/>
              </a:bgClr>
            </a:pattFill>
            <a:ln>
              <a:solidFill>
                <a:srgbClr val="B4C98B"/>
              </a:solidFill>
            </a:ln>
          </c:spPr>
          <c:invertIfNegative val="0"/>
          <c:cat>
            <c:strRef>
              <c:f>'Asset by sector since 1990'!$A$60:$A$68</c:f>
              <c:strCache>
                <c:ptCount val="9"/>
                <c:pt idx="0">
                  <c:v>Agri-
culture</c:v>
                </c:pt>
                <c:pt idx="1">
                  <c:v>Mining</c:v>
                </c:pt>
                <c:pt idx="2">
                  <c:v>Manuf-
acturing</c:v>
                </c:pt>
                <c:pt idx="3">
                  <c:v>Utilities</c:v>
                </c:pt>
                <c:pt idx="4">
                  <c:v>Constr-
uction</c:v>
                </c:pt>
                <c:pt idx="5">
                  <c:v>Distribution
services</c:v>
                </c:pt>
                <c:pt idx="6">
                  <c:v>Business
services</c:v>
                </c:pt>
                <c:pt idx="7">
                  <c:v>Social
services</c:v>
                </c:pt>
                <c:pt idx="8">
                  <c:v>Personal
services</c:v>
                </c:pt>
              </c:strCache>
            </c:strRef>
          </c:cat>
          <c:val>
            <c:numRef>
              <c:f>'Asset by sector since 1990'!$C$60:$C$68</c:f>
              <c:numCache>
                <c:formatCode>General</c:formatCode>
                <c:ptCount val="9"/>
                <c:pt idx="0">
                  <c:v>2.4881332354911363</c:v>
                </c:pt>
                <c:pt idx="1">
                  <c:v>8.5026608621581179</c:v>
                </c:pt>
                <c:pt idx="2">
                  <c:v>2.2564888132057379</c:v>
                </c:pt>
                <c:pt idx="3">
                  <c:v>12.620898677126291</c:v>
                </c:pt>
                <c:pt idx="4">
                  <c:v>8.3482479718117126</c:v>
                </c:pt>
                <c:pt idx="5">
                  <c:v>6.8592550271813906</c:v>
                </c:pt>
                <c:pt idx="6">
                  <c:v>8.2501611950442388</c:v>
                </c:pt>
                <c:pt idx="7">
                  <c:v>9.3205063292047079</c:v>
                </c:pt>
                <c:pt idx="8">
                  <c:v>6.7042076644497888</c:v>
                </c:pt>
              </c:numCache>
            </c:numRef>
          </c:val>
        </c:ser>
        <c:ser>
          <c:idx val="2"/>
          <c:order val="2"/>
          <c:tx>
            <c:strRef>
              <c:f>'Asset by sector since 1990'!$D$59</c:f>
              <c:strCache>
                <c:ptCount val="1"/>
                <c:pt idx="0">
                  <c:v>Research &amp; development</c:v>
                </c:pt>
              </c:strCache>
            </c:strRef>
          </c:tx>
          <c:spPr>
            <a:pattFill prst="zigZag">
              <a:fgClr>
                <a:srgbClr val="7B905A"/>
              </a:fgClr>
              <a:bgClr>
                <a:schemeClr val="bg1"/>
              </a:bgClr>
            </a:pattFill>
            <a:ln>
              <a:solidFill>
                <a:srgbClr val="7B905A"/>
              </a:solidFill>
            </a:ln>
          </c:spPr>
          <c:invertIfNegative val="0"/>
          <c:cat>
            <c:strRef>
              <c:f>'Asset by sector since 1990'!$A$60:$A$68</c:f>
              <c:strCache>
                <c:ptCount val="9"/>
                <c:pt idx="0">
                  <c:v>Agri-
culture</c:v>
                </c:pt>
                <c:pt idx="1">
                  <c:v>Mining</c:v>
                </c:pt>
                <c:pt idx="2">
                  <c:v>Manuf-
acturing</c:v>
                </c:pt>
                <c:pt idx="3">
                  <c:v>Utilities</c:v>
                </c:pt>
                <c:pt idx="4">
                  <c:v>Constr-
uction</c:v>
                </c:pt>
                <c:pt idx="5">
                  <c:v>Distribution
services</c:v>
                </c:pt>
                <c:pt idx="6">
                  <c:v>Business
services</c:v>
                </c:pt>
                <c:pt idx="7">
                  <c:v>Social
services</c:v>
                </c:pt>
                <c:pt idx="8">
                  <c:v>Personal
services</c:v>
                </c:pt>
              </c:strCache>
            </c:strRef>
          </c:cat>
          <c:val>
            <c:numRef>
              <c:f>'Asset by sector since 1990'!$D$60:$D$68</c:f>
              <c:numCache>
                <c:formatCode>General</c:formatCode>
                <c:ptCount val="9"/>
                <c:pt idx="0">
                  <c:v>9.3807808605906242</c:v>
                </c:pt>
                <c:pt idx="1">
                  <c:v>8.851396082484337</c:v>
                </c:pt>
                <c:pt idx="2">
                  <c:v>8.0086017140028254</c:v>
                </c:pt>
                <c:pt idx="3">
                  <c:v>6.7089233911052508</c:v>
                </c:pt>
                <c:pt idx="4">
                  <c:v>10.035112373217018</c:v>
                </c:pt>
                <c:pt idx="5">
                  <c:v>6.2046302971390705</c:v>
                </c:pt>
                <c:pt idx="6">
                  <c:v>7.3511489542749233</c:v>
                </c:pt>
                <c:pt idx="7">
                  <c:v>1.6123489415854519</c:v>
                </c:pt>
                <c:pt idx="8">
                  <c:v>5.8232217043004022</c:v>
                </c:pt>
              </c:numCache>
            </c:numRef>
          </c:val>
        </c:ser>
        <c:ser>
          <c:idx val="3"/>
          <c:order val="3"/>
          <c:tx>
            <c:strRef>
              <c:f>'Asset by sector since 1990'!$E$59</c:f>
              <c:strCache>
                <c:ptCount val="1"/>
                <c:pt idx="0">
                  <c:v>Computer software</c:v>
                </c:pt>
              </c:strCache>
            </c:strRef>
          </c:tx>
          <c:spPr>
            <a:pattFill prst="ltDnDiag">
              <a:fgClr>
                <a:srgbClr val="39580D"/>
              </a:fgClr>
              <a:bgClr>
                <a:schemeClr val="bg1"/>
              </a:bgClr>
            </a:pattFill>
            <a:ln>
              <a:solidFill>
                <a:srgbClr val="39580D"/>
              </a:solidFill>
            </a:ln>
          </c:spPr>
          <c:invertIfNegative val="0"/>
          <c:cat>
            <c:strRef>
              <c:f>'Asset by sector since 1990'!$A$60:$A$68</c:f>
              <c:strCache>
                <c:ptCount val="9"/>
                <c:pt idx="0">
                  <c:v>Agri-
culture</c:v>
                </c:pt>
                <c:pt idx="1">
                  <c:v>Mining</c:v>
                </c:pt>
                <c:pt idx="2">
                  <c:v>Manuf-
acturing</c:v>
                </c:pt>
                <c:pt idx="3">
                  <c:v>Utilities</c:v>
                </c:pt>
                <c:pt idx="4">
                  <c:v>Constr-
uction</c:v>
                </c:pt>
                <c:pt idx="5">
                  <c:v>Distribution
services</c:v>
                </c:pt>
                <c:pt idx="6">
                  <c:v>Business
services</c:v>
                </c:pt>
                <c:pt idx="7">
                  <c:v>Social
services</c:v>
                </c:pt>
                <c:pt idx="8">
                  <c:v>Personal
services</c:v>
                </c:pt>
              </c:strCache>
            </c:strRef>
          </c:cat>
          <c:val>
            <c:numRef>
              <c:f>'Asset by sector since 1990'!$E$60:$E$68</c:f>
              <c:numCache>
                <c:formatCode>General</c:formatCode>
                <c:ptCount val="9"/>
                <c:pt idx="0">
                  <c:v>2.3393779644509025</c:v>
                </c:pt>
                <c:pt idx="1">
                  <c:v>12.158125494672218</c:v>
                </c:pt>
                <c:pt idx="2">
                  <c:v>6.6718023266321449</c:v>
                </c:pt>
                <c:pt idx="3">
                  <c:v>9.2850398118030899</c:v>
                </c:pt>
                <c:pt idx="4">
                  <c:v>6.1207149116687116</c:v>
                </c:pt>
                <c:pt idx="5">
                  <c:v>7.584233482953322</c:v>
                </c:pt>
                <c:pt idx="6">
                  <c:v>9.4006313306829909</c:v>
                </c:pt>
                <c:pt idx="7">
                  <c:v>9.1811151531384745</c:v>
                </c:pt>
                <c:pt idx="8">
                  <c:v>8.4469707868714625</c:v>
                </c:pt>
              </c:numCache>
            </c:numRef>
          </c:val>
        </c:ser>
        <c:dLbls>
          <c:showLegendKey val="0"/>
          <c:showVal val="0"/>
          <c:showCatName val="0"/>
          <c:showSerName val="0"/>
          <c:showPercent val="0"/>
          <c:showBubbleSize val="0"/>
        </c:dLbls>
        <c:gapWidth val="50"/>
        <c:axId val="184719616"/>
        <c:axId val="184729600"/>
      </c:barChart>
      <c:catAx>
        <c:axId val="184719616"/>
        <c:scaling>
          <c:orientation val="minMax"/>
        </c:scaling>
        <c:delete val="0"/>
        <c:axPos val="b"/>
        <c:majorTickMark val="out"/>
        <c:minorTickMark val="none"/>
        <c:tickLblPos val="nextTo"/>
        <c:spPr>
          <a:ln>
            <a:solidFill>
              <a:schemeClr val="tx1"/>
            </a:solidFill>
          </a:ln>
        </c:spPr>
        <c:txPr>
          <a:bodyPr rot="0"/>
          <a:lstStyle/>
          <a:p>
            <a:pPr>
              <a:defRPr sz="900">
                <a:latin typeface="Arial" pitchFamily="34" charset="0"/>
                <a:cs typeface="Arial" pitchFamily="34" charset="0"/>
              </a:defRPr>
            </a:pPr>
            <a:endParaRPr lang="en-US"/>
          </a:p>
        </c:txPr>
        <c:crossAx val="184729600"/>
        <c:crosses val="autoZero"/>
        <c:auto val="1"/>
        <c:lblAlgn val="ctr"/>
        <c:lblOffset val="100"/>
        <c:tickLblSkip val="1"/>
        <c:noMultiLvlLbl val="0"/>
      </c:catAx>
      <c:valAx>
        <c:axId val="184729600"/>
        <c:scaling>
          <c:orientation val="minMax"/>
          <c:max val="15"/>
        </c:scaling>
        <c:delete val="0"/>
        <c:axPos val="l"/>
        <c:majorGridlines>
          <c:spPr>
            <a:ln>
              <a:solidFill>
                <a:schemeClr val="bg1">
                  <a:lumMod val="50000"/>
                </a:schemeClr>
              </a:solidFill>
            </a:ln>
          </c:spPr>
        </c:majorGridlines>
        <c:title>
          <c:tx>
            <c:rich>
              <a:bodyPr rot="-5400000" vert="horz"/>
              <a:lstStyle/>
              <a:p>
                <a:pPr>
                  <a:defRPr>
                    <a:latin typeface="Arial" pitchFamily="34" charset="0"/>
                    <a:cs typeface="Arial" pitchFamily="34" charset="0"/>
                  </a:defRPr>
                </a:pPr>
                <a:r>
                  <a:rPr lang="en-AU">
                    <a:latin typeface="Arial" pitchFamily="34" charset="0"/>
                    <a:cs typeface="Arial" pitchFamily="34" charset="0"/>
                  </a:rPr>
                  <a:t>Per cent</a:t>
                </a:r>
              </a:p>
            </c:rich>
          </c:tx>
          <c:layout>
            <c:manualLayout>
              <c:xMode val="edge"/>
              <c:yMode val="edge"/>
              <c:x val="0"/>
              <c:y val="0.34278229166666668"/>
            </c:manualLayout>
          </c:layout>
          <c:overlay val="0"/>
        </c:title>
        <c:numFmt formatCode="General" sourceLinked="0"/>
        <c:majorTickMark val="out"/>
        <c:minorTickMark val="none"/>
        <c:tickLblPos val="nextTo"/>
        <c:spPr>
          <a:ln>
            <a:solidFill>
              <a:sysClr val="windowText" lastClr="000000"/>
            </a:solidFill>
          </a:ln>
        </c:spPr>
        <c:txPr>
          <a:bodyPr/>
          <a:lstStyle/>
          <a:p>
            <a:pPr>
              <a:defRPr>
                <a:latin typeface="Arial" pitchFamily="34" charset="0"/>
                <a:cs typeface="Arial" pitchFamily="34" charset="0"/>
              </a:defRPr>
            </a:pPr>
            <a:endParaRPr lang="en-US"/>
          </a:p>
        </c:txPr>
        <c:crossAx val="184719616"/>
        <c:crosses val="autoZero"/>
        <c:crossBetween val="between"/>
        <c:majorUnit val="3"/>
      </c:valAx>
      <c:spPr>
        <a:ln>
          <a:solidFill>
            <a:schemeClr val="tx1"/>
          </a:solidFill>
        </a:ln>
      </c:spPr>
    </c:plotArea>
    <c:legend>
      <c:legendPos val="r"/>
      <c:layout>
        <c:manualLayout>
          <c:xMode val="edge"/>
          <c:yMode val="edge"/>
          <c:x val="1.1379629629629617E-3"/>
          <c:y val="1.8004444444444444E-2"/>
          <c:w val="0.99531129629629633"/>
          <c:h val="5.6176543209876535E-2"/>
        </c:manualLayout>
      </c:layout>
      <c:overlay val="0"/>
      <c:txPr>
        <a:bodyPr/>
        <a:lstStyle/>
        <a:p>
          <a:pPr>
            <a:defRPr sz="950">
              <a:latin typeface="Arial" pitchFamily="34" charset="0"/>
              <a:cs typeface="Arial" pitchFamily="34" charset="0"/>
            </a:defRPr>
          </a:pPr>
          <a:endParaRPr lang="en-US"/>
        </a:p>
      </c:txPr>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43D270-B7EB-4BA1-A088-20FFB4A69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23</Pages>
  <Words>6846</Words>
  <Characters>37037</Characters>
  <Application>Microsoft Office Word</Application>
  <DocSecurity>0</DocSecurity>
  <Lines>925</Lines>
  <Paragraphs>457</Paragraphs>
  <ScaleCrop>false</ScaleCrop>
  <HeadingPairs>
    <vt:vector size="2" baseType="variant">
      <vt:variant>
        <vt:lpstr>Title</vt:lpstr>
      </vt:variant>
      <vt:variant>
        <vt:i4>1</vt:i4>
      </vt:variant>
    </vt:vector>
  </HeadingPairs>
  <TitlesOfParts>
    <vt:vector size="1" baseType="lpstr">
      <vt:lpstr>Output and investment</vt:lpstr>
    </vt:vector>
  </TitlesOfParts>
  <Company>Productivity Commission</Company>
  <LinksUpToDate>false</LinksUpToDate>
  <CharactersWithSpaces>43426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Output and investment</dc:title>
  <dc:subject>Looking back on structural change</dc:subject>
  <dc:creator>Productivity Commission</dc:creator>
  <dc:description>3.</dc:description>
  <cp:lastModifiedBy>Productivity Commission</cp:lastModifiedBy>
  <cp:revision>2</cp:revision>
  <cp:lastPrinted>2013-10-07T22:48:00Z</cp:lastPrinted>
  <dcterms:created xsi:type="dcterms:W3CDTF">2013-10-08T23:12:00Z</dcterms:created>
  <dcterms:modified xsi:type="dcterms:W3CDTF">2013-10-08T23:12:00Z</dcterms:modified>
</cp:coreProperties>
</file>