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theme/themeOverride1.xml" ContentType="application/vnd.openxmlformats-officedocument.themeOverride+xml"/>
  <Override PartName="/word/charts/chart24.xml" ContentType="application/vnd.openxmlformats-officedocument.drawingml.chart+xml"/>
  <Override PartName="/word/theme/themeOverride2.xml" ContentType="application/vnd.openxmlformats-officedocument.themeOverride+xml"/>
  <Override PartName="/word/charts/chart25.xml" ContentType="application/vnd.openxmlformats-officedocument.drawingml.chart+xml"/>
  <Override PartName="/word/theme/themeOverride3.xml" ContentType="application/vnd.openxmlformats-officedocument.themeOverride+xml"/>
  <Override PartName="/word/charts/chart26.xml" ContentType="application/vnd.openxmlformats-officedocument.drawingml.chart+xml"/>
  <Override PartName="/word/theme/themeOverride4.xml" ContentType="application/vnd.openxmlformats-officedocument.themeOverride+xml"/>
  <Override PartName="/word/drawings/drawing1.xml" ContentType="application/vnd.openxmlformats-officedocument.drawingml.chartshapes+xml"/>
  <Override PartName="/word/charts/chart27.xml" ContentType="application/vnd.openxmlformats-officedocument.drawingml.chart+xml"/>
  <Override PartName="/word/theme/themeOverride5.xml" ContentType="application/vnd.openxmlformats-officedocument.themeOverride+xml"/>
  <Override PartName="/word/drawings/drawing2.xml" ContentType="application/vnd.openxmlformats-officedocument.drawingml.chartshapes+xml"/>
  <Override PartName="/word/charts/chart28.xml" ContentType="application/vnd.openxmlformats-officedocument.drawingml.chart+xml"/>
  <Override PartName="/word/theme/themeOverride6.xml" ContentType="application/vnd.openxmlformats-officedocument.themeOverride+xml"/>
  <Override PartName="/word/charts/chart29.xml" ContentType="application/vnd.openxmlformats-officedocument.drawingml.chart+xml"/>
  <Override PartName="/word/theme/themeOverride7.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0BCA87" w14:textId="6E3D0B11" w:rsidR="00A33DFF" w:rsidRDefault="00FC6557" w:rsidP="00FC6557">
      <w:pPr>
        <w:pStyle w:val="Heading1"/>
        <w:spacing w:before="0"/>
      </w:pPr>
      <w:bookmarkStart w:id="0" w:name="ChapterNumber"/>
      <w:bookmarkStart w:id="1" w:name="_GoBack"/>
      <w:bookmarkEnd w:id="1"/>
      <w:r>
        <w:t>6</w:t>
      </w:r>
      <w:bookmarkEnd w:id="0"/>
      <w:r>
        <w:tab/>
      </w:r>
      <w:bookmarkStart w:id="2" w:name="ChapterTitle"/>
      <w:r>
        <w:t>Resources: a case study in structural adjustment</w:t>
      </w:r>
      <w:bookmarkEnd w:id="2"/>
    </w:p>
    <w:p w14:paraId="07B633CF" w14:textId="13B9A05C" w:rsidR="00811952" w:rsidRDefault="00811952">
      <w:pPr>
        <w:pStyle w:val="BoxSpaceAbov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11952" w14:paraId="13787F44" w14:textId="77777777">
        <w:tc>
          <w:tcPr>
            <w:tcW w:w="8771" w:type="dxa"/>
            <w:tcBorders>
              <w:top w:val="single" w:sz="6" w:space="0" w:color="auto"/>
              <w:bottom w:val="nil"/>
            </w:tcBorders>
          </w:tcPr>
          <w:p w14:paraId="73EE2E70" w14:textId="0BBF5352" w:rsidR="00811952" w:rsidRDefault="00811952">
            <w:pPr>
              <w:pStyle w:val="BoxTitle"/>
            </w:pPr>
            <w:r>
              <w:t>Key points</w:t>
            </w:r>
          </w:p>
        </w:tc>
      </w:tr>
      <w:tr w:rsidR="00811952" w14:paraId="5C9A9357" w14:textId="77777777">
        <w:trPr>
          <w:cantSplit/>
        </w:trPr>
        <w:tc>
          <w:tcPr>
            <w:tcW w:w="8771" w:type="dxa"/>
            <w:tcBorders>
              <w:top w:val="nil"/>
              <w:left w:val="single" w:sz="6" w:space="0" w:color="auto"/>
              <w:bottom w:val="nil"/>
              <w:right w:val="single" w:sz="6" w:space="0" w:color="auto"/>
            </w:tcBorders>
          </w:tcPr>
          <w:p w14:paraId="44A1AAC5" w14:textId="77777777" w:rsidR="00811952" w:rsidRDefault="00811952" w:rsidP="00811952">
            <w:pPr>
              <w:pStyle w:val="BoxListBullet"/>
            </w:pPr>
            <w:r>
              <w:t>Australia’s natural resources sector experienced significant adjustment pressures during the decade to 2012.</w:t>
            </w:r>
          </w:p>
          <w:p w14:paraId="09211E7D" w14:textId="77777777" w:rsidR="00811952" w:rsidRDefault="00811952" w:rsidP="00811952">
            <w:pPr>
              <w:pStyle w:val="BoxListBullet2"/>
              <w:numPr>
                <w:ilvl w:val="0"/>
                <w:numId w:val="2"/>
              </w:numPr>
            </w:pPr>
            <w:r>
              <w:t>Export prices rose substantially from the early 2000s onward, driven by demand from China and other Asian countries, although they have declined since 2012.</w:t>
            </w:r>
          </w:p>
          <w:p w14:paraId="569B497F" w14:textId="77777777" w:rsidR="00811952" w:rsidRDefault="00811952" w:rsidP="00811952">
            <w:pPr>
              <w:pStyle w:val="BoxListBullet"/>
            </w:pPr>
            <w:r>
              <w:t>Price increases encouraged resource businesses to expand their output. Those with easy access to additional reserves and capacity were able to do so at relatively low cost.</w:t>
            </w:r>
          </w:p>
          <w:p w14:paraId="1E5F6DCC" w14:textId="77777777" w:rsidR="00811952" w:rsidRDefault="00811952" w:rsidP="00811952">
            <w:pPr>
              <w:pStyle w:val="BoxListBullet2"/>
              <w:numPr>
                <w:ilvl w:val="0"/>
                <w:numId w:val="2"/>
              </w:numPr>
            </w:pPr>
            <w:r>
              <w:t>Many resource businesses, however, faced capacity or ore grade constraints and were only able to respond by using substantially more inputs or by investing.</w:t>
            </w:r>
          </w:p>
          <w:p w14:paraId="4E03EAB9" w14:textId="77777777" w:rsidR="00811952" w:rsidRDefault="00811952" w:rsidP="00811952">
            <w:pPr>
              <w:pStyle w:val="BoxListBullet2"/>
              <w:numPr>
                <w:ilvl w:val="0"/>
                <w:numId w:val="2"/>
              </w:numPr>
            </w:pPr>
            <w:r>
              <w:t>The construction boom in new projects is generally expected to yield substantial increases in output over the next few years, thereby increasing the sector’s output as well as measured multifactor productivity.</w:t>
            </w:r>
          </w:p>
          <w:p w14:paraId="07509D38" w14:textId="77777777" w:rsidR="00811952" w:rsidRDefault="00811952" w:rsidP="00811952">
            <w:pPr>
              <w:pStyle w:val="BoxListBullet"/>
            </w:pPr>
            <w:r>
              <w:t>Dramatic declines in the prices of some inputs, such as information and computing technologies, have allowed many resource operations to increase their automation, continuing a long</w:t>
            </w:r>
            <w:r>
              <w:noBreakHyphen/>
              <w:t>term trend towards mechanisation in the sector.</w:t>
            </w:r>
          </w:p>
          <w:p w14:paraId="3AAC10EF" w14:textId="77777777" w:rsidR="00811952" w:rsidRPr="007456AA" w:rsidRDefault="00811952" w:rsidP="00811952">
            <w:pPr>
              <w:pStyle w:val="BoxListBullet"/>
            </w:pPr>
            <w:r w:rsidRPr="007456AA">
              <w:t>Australia’s resources workforce more than trebled between 200</w:t>
            </w:r>
            <w:r>
              <w:t>2</w:t>
            </w:r>
            <w:r w:rsidRPr="007456AA">
              <w:t xml:space="preserve"> and 2012. </w:t>
            </w:r>
            <w:r>
              <w:t>I</w:t>
            </w:r>
            <w:r w:rsidRPr="007456AA">
              <w:t xml:space="preserve">t is likely that workers who moved into </w:t>
            </w:r>
            <w:r>
              <w:t>that sector</w:t>
            </w:r>
            <w:r w:rsidRPr="007456AA">
              <w:t xml:space="preserve"> from other industries mainly came from manufacturing (in the early years) </w:t>
            </w:r>
            <w:r>
              <w:t>and</w:t>
            </w:r>
            <w:r w:rsidRPr="007456AA">
              <w:t xml:space="preserve"> construction</w:t>
            </w:r>
            <w:r>
              <w:t xml:space="preserve"> (in subsequent years). Service</w:t>
            </w:r>
            <w:r w:rsidRPr="007456AA">
              <w:t xml:space="preserve"> industries were also a source of new labour.</w:t>
            </w:r>
          </w:p>
          <w:p w14:paraId="76128560" w14:textId="715D99CA" w:rsidR="00811952" w:rsidRPr="007456AA" w:rsidRDefault="00811952" w:rsidP="00811952">
            <w:pPr>
              <w:pStyle w:val="BoxListBullet"/>
            </w:pPr>
            <w:r w:rsidRPr="007456AA">
              <w:t xml:space="preserve">The </w:t>
            </w:r>
            <w:r>
              <w:t xml:space="preserve">natural resources </w:t>
            </w:r>
            <w:r w:rsidRPr="007456AA">
              <w:t>sector has</w:t>
            </w:r>
            <w:r>
              <w:t xml:space="preserve"> </w:t>
            </w:r>
            <w:r w:rsidR="00050844">
              <w:t>increasingly made use of a ‘Fly</w:t>
            </w:r>
            <w:r w:rsidR="00050844">
              <w:noBreakHyphen/>
            </w:r>
            <w:r w:rsidRPr="007456AA">
              <w:t>in, Fly</w:t>
            </w:r>
            <w:r>
              <w:noBreakHyphen/>
            </w:r>
            <w:r w:rsidRPr="007456AA">
              <w:t>out</w:t>
            </w:r>
            <w:r>
              <w:t>’</w:t>
            </w:r>
            <w:r w:rsidRPr="007456AA">
              <w:t xml:space="preserve"> (FIFO) workforce. In 2011, there were at least 34</w:t>
            </w:r>
            <w:r>
              <w:t> </w:t>
            </w:r>
            <w:r w:rsidRPr="007456AA">
              <w:t xml:space="preserve">000 resources and construction FIFO workers </w:t>
            </w:r>
            <w:r>
              <w:t xml:space="preserve">employed </w:t>
            </w:r>
            <w:r w:rsidRPr="007456AA">
              <w:t xml:space="preserve">in Australia’s main mining regions. </w:t>
            </w:r>
          </w:p>
          <w:p w14:paraId="3F93AAF0" w14:textId="77777777" w:rsidR="00811952" w:rsidRPr="007456AA" w:rsidRDefault="00811952" w:rsidP="00811952">
            <w:pPr>
              <w:pStyle w:val="BoxListBullet"/>
            </w:pPr>
            <w:r w:rsidRPr="007456AA">
              <w:t xml:space="preserve">The rising prevalence of FIFO </w:t>
            </w:r>
            <w:r>
              <w:t>workers</w:t>
            </w:r>
            <w:r w:rsidRPr="007456AA">
              <w:t xml:space="preserve"> can be attributed to </w:t>
            </w:r>
            <w:r>
              <w:t xml:space="preserve">multiple factors affecting the costs and benefits of this work arrangement, including: </w:t>
            </w:r>
            <w:r w:rsidRPr="007456AA">
              <w:t>the shrinking population and housing shortages of remote towns</w:t>
            </w:r>
            <w:r>
              <w:t>;</w:t>
            </w:r>
            <w:r w:rsidRPr="007456AA">
              <w:t xml:space="preserve"> technological advances </w:t>
            </w:r>
            <w:r>
              <w:t>shortening</w:t>
            </w:r>
            <w:r w:rsidRPr="007456AA">
              <w:t xml:space="preserve"> the time taken to comp</w:t>
            </w:r>
            <w:r>
              <w:t>lete resources projects;</w:t>
            </w:r>
            <w:r w:rsidRPr="007456AA">
              <w:t xml:space="preserve"> </w:t>
            </w:r>
            <w:r>
              <w:t>the short</w:t>
            </w:r>
            <w:r>
              <w:noBreakHyphen/>
            </w:r>
            <w:r w:rsidRPr="007456AA">
              <w:t>term nature of the constructio</w:t>
            </w:r>
            <w:r>
              <w:t xml:space="preserve">n component of resources projects; the </w:t>
            </w:r>
            <w:r w:rsidRPr="007456AA">
              <w:t>greater availability of reg</w:t>
            </w:r>
            <w:r>
              <w:t xml:space="preserve">ional flights; and </w:t>
            </w:r>
            <w:r w:rsidRPr="007456AA">
              <w:t xml:space="preserve">tax </w:t>
            </w:r>
            <w:r>
              <w:t xml:space="preserve">changes </w:t>
            </w:r>
            <w:r w:rsidRPr="007456AA">
              <w:t xml:space="preserve">that </w:t>
            </w:r>
            <w:r>
              <w:t>have made</w:t>
            </w:r>
            <w:r w:rsidRPr="007456AA">
              <w:t xml:space="preserve"> it more cost effective for employers to provide their staff temporary accommodation rather than permanent residence onsite.</w:t>
            </w:r>
          </w:p>
          <w:p w14:paraId="10B721DB" w14:textId="1F1184CB" w:rsidR="00811952" w:rsidRDefault="00811952" w:rsidP="00811952">
            <w:pPr>
              <w:pStyle w:val="BoxListBullet"/>
            </w:pPr>
            <w:r w:rsidRPr="007456AA">
              <w:t xml:space="preserve">The </w:t>
            </w:r>
            <w:r>
              <w:t xml:space="preserve">natural </w:t>
            </w:r>
            <w:r w:rsidRPr="007456AA">
              <w:t>resources sector has</w:t>
            </w:r>
            <w:r>
              <w:t xml:space="preserve"> also</w:t>
            </w:r>
            <w:r w:rsidRPr="007456AA">
              <w:t xml:space="preserve"> </w:t>
            </w:r>
            <w:r>
              <w:t>relied</w:t>
            </w:r>
            <w:r w:rsidRPr="007456AA">
              <w:t xml:space="preserve"> on migrants </w:t>
            </w:r>
            <w:r>
              <w:t xml:space="preserve">to address skilled labour shortages, more so </w:t>
            </w:r>
            <w:r w:rsidRPr="007456AA">
              <w:t xml:space="preserve">than most industries. Yet, some </w:t>
            </w:r>
            <w:r>
              <w:t>skill shortages are still reported</w:t>
            </w:r>
            <w:r w:rsidRPr="007456AA">
              <w:t>.</w:t>
            </w:r>
          </w:p>
        </w:tc>
      </w:tr>
      <w:tr w:rsidR="00811952" w14:paraId="7D8C6D48" w14:textId="77777777">
        <w:trPr>
          <w:cantSplit/>
        </w:trPr>
        <w:tc>
          <w:tcPr>
            <w:tcW w:w="8771" w:type="dxa"/>
            <w:tcBorders>
              <w:top w:val="nil"/>
              <w:left w:val="single" w:sz="6" w:space="0" w:color="auto"/>
              <w:bottom w:val="single" w:sz="6" w:space="0" w:color="auto"/>
              <w:right w:val="single" w:sz="6" w:space="0" w:color="auto"/>
            </w:tcBorders>
          </w:tcPr>
          <w:p w14:paraId="6E102C9D" w14:textId="77777777" w:rsidR="00811952" w:rsidRDefault="00811952">
            <w:pPr>
              <w:pStyle w:val="Box"/>
              <w:spacing w:before="0" w:line="120" w:lineRule="exact"/>
            </w:pPr>
          </w:p>
        </w:tc>
      </w:tr>
      <w:tr w:rsidR="00811952" w:rsidRPr="000863A5" w14:paraId="0AF76EE2" w14:textId="77777777">
        <w:tc>
          <w:tcPr>
            <w:tcW w:w="8771" w:type="dxa"/>
            <w:tcBorders>
              <w:top w:val="nil"/>
              <w:left w:val="nil"/>
              <w:bottom w:val="nil"/>
              <w:right w:val="nil"/>
            </w:tcBorders>
          </w:tcPr>
          <w:p w14:paraId="0F4952BA" w14:textId="53499554" w:rsidR="00811952" w:rsidRPr="00626D32" w:rsidRDefault="00811952" w:rsidP="0088463E">
            <w:pPr>
              <w:pStyle w:val="BoxSpaceBelow"/>
            </w:pPr>
          </w:p>
        </w:tc>
      </w:tr>
    </w:tbl>
    <w:p w14:paraId="086569B3" w14:textId="77777777" w:rsidR="00AD7E1B" w:rsidRDefault="00AD7E1B" w:rsidP="00811952">
      <w:pPr>
        <w:pStyle w:val="BodyText"/>
      </w:pPr>
    </w:p>
    <w:p w14:paraId="586D9782" w14:textId="2C88455D" w:rsidR="00AD7E1B" w:rsidRDefault="00AD7E1B" w:rsidP="00AD7E1B">
      <w:pPr>
        <w:pStyle w:val="BodyText"/>
      </w:pPr>
      <w:r>
        <w:lastRenderedPageBreak/>
        <w:t xml:space="preserve">Australia’s </w:t>
      </w:r>
      <w:r w:rsidR="00EF7CA0">
        <w:t xml:space="preserve">natural </w:t>
      </w:r>
      <w:r>
        <w:t xml:space="preserve">resources </w:t>
      </w:r>
      <w:r w:rsidR="00EF7CA0">
        <w:t xml:space="preserve">(minerals and energy) </w:t>
      </w:r>
      <w:r>
        <w:t>sector</w:t>
      </w:r>
      <w:r w:rsidR="00EF7CA0">
        <w:rPr>
          <w:rStyle w:val="FootnoteReference"/>
        </w:rPr>
        <w:footnoteReference w:id="1"/>
      </w:r>
      <w:r>
        <w:t xml:space="preserve"> faced significant </w:t>
      </w:r>
      <w:r w:rsidR="00C5076F">
        <w:t xml:space="preserve">adjustment </w:t>
      </w:r>
      <w:r>
        <w:t>pressures during the decade from the early 2000s. The economic growth of Asia in general, and China in particular, increased world demand for mineral</w:t>
      </w:r>
      <w:r w:rsidR="005769AE">
        <w:t>s</w:t>
      </w:r>
      <w:r>
        <w:t xml:space="preserve"> </w:t>
      </w:r>
      <w:r w:rsidR="00EF7CA0">
        <w:t xml:space="preserve">and energy </w:t>
      </w:r>
      <w:r w:rsidR="001C3C77">
        <w:t>which</w:t>
      </w:r>
      <w:r>
        <w:t xml:space="preserve">, in turn, increased </w:t>
      </w:r>
      <w:r w:rsidR="003D0B97">
        <w:t xml:space="preserve">prices for </w:t>
      </w:r>
      <w:r w:rsidR="00F15E71">
        <w:t xml:space="preserve">those </w:t>
      </w:r>
      <w:r>
        <w:t>resource</w:t>
      </w:r>
      <w:r w:rsidR="00F15E71">
        <w:t>s</w:t>
      </w:r>
      <w:r>
        <w:t xml:space="preserve"> and Australia’s terms of trade to historically high levels (chapters 1 and 2). Beginning in 2008, the </w:t>
      </w:r>
      <w:r w:rsidR="00A5333A">
        <w:t xml:space="preserve">Global Financial Crisis </w:t>
      </w:r>
      <w:r>
        <w:t xml:space="preserve">(GFC) dampened the demand for, and prices of, many </w:t>
      </w:r>
      <w:r w:rsidR="00F15E71">
        <w:t>commodities</w:t>
      </w:r>
      <w:r>
        <w:t xml:space="preserve">. </w:t>
      </w:r>
      <w:r w:rsidR="00C5076F">
        <w:t>B</w:t>
      </w:r>
      <w:r>
        <w:t>y the end of 2011</w:t>
      </w:r>
      <w:r>
        <w:noBreakHyphen/>
        <w:t xml:space="preserve">12, many export prices </w:t>
      </w:r>
      <w:r w:rsidR="00C5076F">
        <w:t>had risen</w:t>
      </w:r>
      <w:r>
        <w:t xml:space="preserve"> again </w:t>
      </w:r>
      <w:r w:rsidR="00464195">
        <w:t>to</w:t>
      </w:r>
      <w:r>
        <w:t xml:space="preserve"> levels observed before the GFC</w:t>
      </w:r>
      <w:r w:rsidR="00CB60C6">
        <w:t xml:space="preserve">, although </w:t>
      </w:r>
      <w:r w:rsidR="00C5076F">
        <w:t>some have fallen back significantly</w:t>
      </w:r>
      <w:r w:rsidR="00CB60C6">
        <w:t xml:space="preserve"> </w:t>
      </w:r>
      <w:r w:rsidR="006C16A7">
        <w:t xml:space="preserve">since </w:t>
      </w:r>
      <w:r w:rsidR="00F15E71">
        <w:t xml:space="preserve">then </w:t>
      </w:r>
      <w:r>
        <w:t xml:space="preserve">(chapter 2). </w:t>
      </w:r>
    </w:p>
    <w:p w14:paraId="7F5A30F6" w14:textId="18A11A96" w:rsidR="00AD7E1B" w:rsidRDefault="00AD7E1B" w:rsidP="00AD7E1B">
      <w:pPr>
        <w:pStyle w:val="BodyText"/>
      </w:pPr>
      <w:r>
        <w:t>The</w:t>
      </w:r>
      <w:r w:rsidR="003B2086">
        <w:t xml:space="preserve"> pattern of </w:t>
      </w:r>
      <w:r w:rsidR="00EF7CA0">
        <w:t xml:space="preserve">natural </w:t>
      </w:r>
      <w:r w:rsidR="003B2086">
        <w:t>resource price</w:t>
      </w:r>
      <w:r>
        <w:t xml:space="preserve"> rise</w:t>
      </w:r>
      <w:r w:rsidR="003B2086">
        <w:t>s</w:t>
      </w:r>
      <w:r>
        <w:t xml:space="preserve"> </w:t>
      </w:r>
      <w:r w:rsidR="00900542">
        <w:t xml:space="preserve">and </w:t>
      </w:r>
      <w:r>
        <w:t>decline</w:t>
      </w:r>
      <w:r w:rsidR="003B2086">
        <w:t xml:space="preserve">s </w:t>
      </w:r>
      <w:r>
        <w:t>provide</w:t>
      </w:r>
      <w:r w:rsidR="00C5076F">
        <w:t>s</w:t>
      </w:r>
      <w:r>
        <w:t xml:space="preserve"> an opportunity to examine how resource businesses and their workforces have adjusted to </w:t>
      </w:r>
      <w:r w:rsidR="00C5076F">
        <w:t xml:space="preserve">the </w:t>
      </w:r>
      <w:r>
        <w:t>pressures</w:t>
      </w:r>
      <w:r w:rsidR="00C5076F">
        <w:t xml:space="preserve"> placed upon them</w:t>
      </w:r>
      <w:r>
        <w:t xml:space="preserve">. </w:t>
      </w:r>
    </w:p>
    <w:p w14:paraId="42154C4C" w14:textId="0D7EB506" w:rsidR="00AD7E1B" w:rsidRDefault="00AD7E1B" w:rsidP="00AD7E1B">
      <w:pPr>
        <w:pStyle w:val="BodyText"/>
      </w:pPr>
      <w:r>
        <w:t>Section 6.1 describes the main drivers of structural change facing the resources sector in recent years. Section</w:t>
      </w:r>
      <w:r w:rsidR="00400858">
        <w:t> </w:t>
      </w:r>
      <w:r>
        <w:t xml:space="preserve">6.2 analyses the effect of these factors on the sector’s </w:t>
      </w:r>
      <w:r w:rsidR="00FE5C63">
        <w:t>output</w:t>
      </w:r>
      <w:r>
        <w:t xml:space="preserve">. Section 6.3 describes some of the implications for </w:t>
      </w:r>
      <w:r w:rsidR="00CB60C6">
        <w:t xml:space="preserve">the sector’s </w:t>
      </w:r>
      <w:r>
        <w:t xml:space="preserve">capital and productivity. </w:t>
      </w:r>
      <w:r w:rsidR="00181039">
        <w:t>Finally, section </w:t>
      </w:r>
      <w:r>
        <w:t xml:space="preserve">6.4 considers </w:t>
      </w:r>
      <w:r w:rsidR="00D90251">
        <w:t xml:space="preserve">some of the implications </w:t>
      </w:r>
      <w:r w:rsidR="00900542">
        <w:t xml:space="preserve">for the sector’s workforce </w:t>
      </w:r>
      <w:r w:rsidR="00D90251">
        <w:t xml:space="preserve">of the </w:t>
      </w:r>
      <w:r w:rsidR="00354EE3">
        <w:t xml:space="preserve">recent </w:t>
      </w:r>
      <w:r w:rsidR="00900542">
        <w:t xml:space="preserve">rapid </w:t>
      </w:r>
      <w:r w:rsidR="00D90251">
        <w:t xml:space="preserve">growth </w:t>
      </w:r>
      <w:r w:rsidR="00900542">
        <w:t>in its</w:t>
      </w:r>
      <w:r w:rsidR="00D90251">
        <w:t xml:space="preserve"> activity</w:t>
      </w:r>
      <w:r>
        <w:t>.</w:t>
      </w:r>
    </w:p>
    <w:p w14:paraId="461CCDE9" w14:textId="56C81852" w:rsidR="00AD7E1B" w:rsidRDefault="00FC6557" w:rsidP="00AD7E1B">
      <w:pPr>
        <w:pStyle w:val="Heading2"/>
      </w:pPr>
      <w:r>
        <w:t>6.</w:t>
      </w:r>
      <w:r w:rsidR="00A30461">
        <w:rPr>
          <w:noProof/>
        </w:rPr>
        <w:t>1</w:t>
      </w:r>
      <w:r w:rsidR="00AD7E1B">
        <w:tab/>
        <w:t>Recent drivers of change facing the resources sector</w:t>
      </w:r>
    </w:p>
    <w:p w14:paraId="5A14365D" w14:textId="3B0E12B4" w:rsidR="00AD7E1B" w:rsidRDefault="00AD7E1B" w:rsidP="00AD7E1B">
      <w:pPr>
        <w:pStyle w:val="BodyText"/>
      </w:pPr>
      <w:r>
        <w:t xml:space="preserve">The most important driver of structural change affecting the </w:t>
      </w:r>
      <w:r w:rsidR="00EF7CA0">
        <w:t xml:space="preserve">natural </w:t>
      </w:r>
      <w:r>
        <w:t>resources sector in recent years has been the sharp rise in resource prices (</w:t>
      </w:r>
      <w:r w:rsidR="007E5FEE">
        <w:t>figure 6.1</w:t>
      </w:r>
      <w:r>
        <w:t xml:space="preserve">). This rise marked the first phase of the resources boom, during which </w:t>
      </w:r>
      <w:r w:rsidR="00CB60C6">
        <w:t xml:space="preserve">the </w:t>
      </w:r>
      <w:r w:rsidR="003B2086">
        <w:t xml:space="preserve">growth in </w:t>
      </w:r>
      <w:r>
        <w:t xml:space="preserve">demand for minerals and energy exceeded </w:t>
      </w:r>
      <w:r w:rsidR="00CB60C6">
        <w:t xml:space="preserve">the </w:t>
      </w:r>
      <w:r w:rsidR="00FE5C63">
        <w:t xml:space="preserve">growth in </w:t>
      </w:r>
      <w:r>
        <w:t>supply in world markets</w:t>
      </w:r>
      <w:r w:rsidR="007E5FEE">
        <w:t>. This led</w:t>
      </w:r>
      <w:r>
        <w:t xml:space="preserve"> </w:t>
      </w:r>
      <w:r w:rsidR="00900542">
        <w:t xml:space="preserve">directly </w:t>
      </w:r>
      <w:r>
        <w:t>to the observed rise in</w:t>
      </w:r>
      <w:r w:rsidR="003B2086">
        <w:t xml:space="preserve"> prices and </w:t>
      </w:r>
      <w:r w:rsidR="002D4086">
        <w:t>ensuing</w:t>
      </w:r>
      <w:r w:rsidR="007E5FEE">
        <w:t xml:space="preserve"> increase in </w:t>
      </w:r>
      <w:r w:rsidR="003B2086">
        <w:t>the terms of trade and</w:t>
      </w:r>
      <w:r>
        <w:t xml:space="preserve"> the exchange rate. </w:t>
      </w:r>
    </w:p>
    <w:p w14:paraId="6080139E" w14:textId="5D34CEEB" w:rsidR="00AD7E1B" w:rsidRDefault="00AD7E1B" w:rsidP="00AD7E1B">
      <w:pPr>
        <w:pStyle w:val="FigureTitle"/>
      </w:pPr>
      <w:r>
        <w:rPr>
          <w:b w:val="0"/>
        </w:rPr>
        <w:lastRenderedPageBreak/>
        <w:t xml:space="preserve">Figure </w:t>
      </w:r>
      <w:r w:rsidR="00FC6557">
        <w:rPr>
          <w:b w:val="0"/>
        </w:rPr>
        <w:t>6.</w:t>
      </w:r>
      <w:r w:rsidR="00A30461">
        <w:rPr>
          <w:b w:val="0"/>
          <w:noProof/>
        </w:rPr>
        <w:t>1</w:t>
      </w:r>
      <w:r>
        <w:tab/>
        <w:t xml:space="preserve">Selected </w:t>
      </w:r>
      <w:r w:rsidR="00DB1CBC">
        <w:t xml:space="preserve">resource (minerals </w:t>
      </w:r>
      <w:r>
        <w:t>and energy</w:t>
      </w:r>
      <w:r w:rsidR="00DB1CBC">
        <w:t>)</w:t>
      </w:r>
      <w:r>
        <w:t xml:space="preserve"> prices, September 1988 to December 2011</w:t>
      </w:r>
      <w:r w:rsidRPr="001666EA">
        <w:rPr>
          <w:rStyle w:val="NoteLabel"/>
          <w:b/>
        </w:rPr>
        <w:t>a,</w:t>
      </w:r>
      <w:r w:rsidR="009668DB">
        <w:rPr>
          <w:rStyle w:val="NoteLabel"/>
          <w:b/>
        </w:rPr>
        <w:t> </w:t>
      </w:r>
      <w:r w:rsidRPr="001666EA">
        <w:rPr>
          <w:rStyle w:val="NoteLabel"/>
          <w:b/>
        </w:rPr>
        <w:t>b,</w:t>
      </w:r>
      <w:r w:rsidR="009668DB">
        <w:rPr>
          <w:rStyle w:val="NoteLabel"/>
          <w:b/>
        </w:rPr>
        <w:t> </w:t>
      </w:r>
      <w:r w:rsidRPr="001666EA">
        <w:rPr>
          <w:rStyle w:val="NoteLabel"/>
          <w:b/>
        </w:rPr>
        <w:t>c</w:t>
      </w:r>
      <w:r w:rsidR="007B5624">
        <w:rPr>
          <w:rStyle w:val="NoteLabel"/>
          <w:b/>
        </w:rPr>
        <w:t>,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AD7E1B" w14:paraId="07951CB2" w14:textId="77777777" w:rsidTr="00AD7E1B">
        <w:trPr>
          <w:trHeight w:val="163"/>
        </w:trPr>
        <w:tc>
          <w:tcPr>
            <w:tcW w:w="4388" w:type="dxa"/>
          </w:tcPr>
          <w:p w14:paraId="2C7D8BC3" w14:textId="0293F74B" w:rsidR="00AD7E1B" w:rsidRDefault="00AD7E1B">
            <w:pPr>
              <w:pStyle w:val="Figure"/>
            </w:pPr>
            <w:r>
              <w:rPr>
                <w:noProof/>
              </w:rPr>
              <w:drawing>
                <wp:inline distT="0" distB="0" distL="0" distR="0" wp14:anchorId="2BB4CEAF" wp14:editId="7C59E496">
                  <wp:extent cx="2708694" cy="1794295"/>
                  <wp:effectExtent l="0" t="0" r="0" b="0"/>
                  <wp:docPr id="11" name="Chart 11" descr="This figure provides a description of the trends in the prices of iron ore and uranium oxide between September 1988 and December 2011. Data are quarterly and have been indexed to 100 in June 2003." title="Selected metal and energy prices - iron ore and uranium oxid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389" w:type="dxa"/>
          </w:tcPr>
          <w:p w14:paraId="676778E0" w14:textId="0182A535" w:rsidR="00AD7E1B" w:rsidRDefault="00AD7E1B">
            <w:pPr>
              <w:pStyle w:val="Figure"/>
            </w:pPr>
            <w:r>
              <w:rPr>
                <w:noProof/>
              </w:rPr>
              <w:drawing>
                <wp:inline distT="0" distB="0" distL="0" distR="0" wp14:anchorId="61420D5A" wp14:editId="1FA352E5">
                  <wp:extent cx="2717321" cy="1794295"/>
                  <wp:effectExtent l="0" t="0" r="6985" b="0"/>
                  <wp:docPr id="14" name="Chart 14" descr="This figure provides a description of the trends in the prices of thermal and metallurgical coal between September 1988 and December 2011. Data are quarterly and have been indexed to 100 in June 2003." title="Selected metal and energy prices - thermal and metallurgical coal"/>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AD7E1B" w14:paraId="0248C8B2" w14:textId="77777777" w:rsidTr="00AD7E1B">
        <w:trPr>
          <w:trHeight w:val="163"/>
        </w:trPr>
        <w:tc>
          <w:tcPr>
            <w:tcW w:w="4388" w:type="dxa"/>
          </w:tcPr>
          <w:p w14:paraId="7E7A7AAE" w14:textId="0C089523" w:rsidR="00AD7E1B" w:rsidRDefault="00AD7E1B">
            <w:pPr>
              <w:pStyle w:val="Figure"/>
            </w:pPr>
            <w:r>
              <w:rPr>
                <w:noProof/>
              </w:rPr>
              <w:drawing>
                <wp:inline distT="0" distB="0" distL="0" distR="0" wp14:anchorId="1307CABE" wp14:editId="57AFCD2B">
                  <wp:extent cx="2708694" cy="1768415"/>
                  <wp:effectExtent l="0" t="0" r="0" b="3810"/>
                  <wp:docPr id="15" name="Chart 15" descr="This figure provides a description of the trends in the prices of gold and silver between September 1988 and December 2011. Data are quarterly and have been indexed to 100 in June 2003." title="Selected metal and energy prices - gold and silve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4389" w:type="dxa"/>
          </w:tcPr>
          <w:p w14:paraId="3BC150E2" w14:textId="404E10A3" w:rsidR="00AD7E1B" w:rsidRDefault="00AD7E1B">
            <w:pPr>
              <w:pStyle w:val="Figure"/>
            </w:pPr>
            <w:r>
              <w:rPr>
                <w:noProof/>
              </w:rPr>
              <w:drawing>
                <wp:inline distT="0" distB="0" distL="0" distR="0" wp14:anchorId="086531BC" wp14:editId="2FD62C00">
                  <wp:extent cx="2717321" cy="1768415"/>
                  <wp:effectExtent l="0" t="0" r="6985" b="3810"/>
                  <wp:docPr id="16" name="Chart 16" descr="This figure provides a description of the trends in the prices of crude oil and copper between September 1988 and December 2011. Data are quarterly and have been indexed to 100 in June 2003." title="Selected metal and energy prices - crude oil and coppe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AD7E1B" w14:paraId="766BA456" w14:textId="77777777" w:rsidTr="00AD7E1B">
        <w:trPr>
          <w:trHeight w:val="163"/>
        </w:trPr>
        <w:tc>
          <w:tcPr>
            <w:tcW w:w="4388" w:type="dxa"/>
          </w:tcPr>
          <w:p w14:paraId="3D47F8EE" w14:textId="0DE11B62" w:rsidR="00AD7E1B" w:rsidRDefault="00AD7E1B">
            <w:pPr>
              <w:pStyle w:val="Figure"/>
            </w:pPr>
            <w:r>
              <w:rPr>
                <w:noProof/>
              </w:rPr>
              <w:drawing>
                <wp:inline distT="0" distB="0" distL="0" distR="0" wp14:anchorId="2AE75914" wp14:editId="4662DADC">
                  <wp:extent cx="2708694" cy="1794294"/>
                  <wp:effectExtent l="0" t="0" r="0" b="0"/>
                  <wp:docPr id="17" name="Chart 17" descr="This figure provides a description of the trends in the prices of zinc and nickel between September 1988 and December 2011. Data are quarterly and have been indexed to 100 in June 2003" title="Selected metal and energy prices - zinc and nickel"/>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4389" w:type="dxa"/>
          </w:tcPr>
          <w:p w14:paraId="0D259902" w14:textId="0FE44650" w:rsidR="00AD7E1B" w:rsidRDefault="00AD7E1B">
            <w:pPr>
              <w:pStyle w:val="Figure"/>
            </w:pPr>
            <w:r>
              <w:rPr>
                <w:noProof/>
              </w:rPr>
              <w:drawing>
                <wp:inline distT="0" distB="0" distL="0" distR="0" wp14:anchorId="10B7F3C6" wp14:editId="5973021C">
                  <wp:extent cx="2717321" cy="1794295"/>
                  <wp:effectExtent l="0" t="0" r="6985" b="0"/>
                  <wp:docPr id="18" name="Chart 18" descr="This figure provides a description of the trends in the prices of alumina and liquefied natural gas between September 1988 and December 2011. Data are quarterly and have been indexed to 100 in June 200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14:paraId="1A8C6371" w14:textId="3770C4FA" w:rsidR="00AD7E1B" w:rsidRDefault="00AD7E1B" w:rsidP="00AD7E1B">
      <w:pPr>
        <w:pStyle w:val="Note"/>
      </w:pPr>
      <w:r>
        <w:rPr>
          <w:rStyle w:val="NoteLabel"/>
        </w:rPr>
        <w:t>a</w:t>
      </w:r>
      <w:r>
        <w:t> </w:t>
      </w:r>
      <w:r w:rsidR="007B5624">
        <w:t xml:space="preserve">Quarterly data </w:t>
      </w:r>
      <w:r>
        <w:t>are from ABARES (2011). Updated crude oil prices are from OPEC (2013). Exchange rate data are from RBA (2012</w:t>
      </w:r>
      <w:r w:rsidR="00155DEE">
        <w:t>).</w:t>
      </w:r>
      <w:r w:rsidR="00155DEE" w:rsidRPr="00155DEE">
        <w:t xml:space="preserve">  </w:t>
      </w:r>
      <w:r>
        <w:rPr>
          <w:rStyle w:val="NoteLabel"/>
        </w:rPr>
        <w:t>b</w:t>
      </w:r>
      <w:r>
        <w:t xml:space="preserve"> Indexed to 100 at June quarter 2002</w:t>
      </w:r>
      <w:r w:rsidR="00400858">
        <w:noBreakHyphen/>
      </w:r>
      <w:r w:rsidR="007E5FEE">
        <w:t>0</w:t>
      </w:r>
      <w:r>
        <w:t>3 based on US dollar prices, except liquid natural gas which is indexed to 100 at June quarter 1997</w:t>
      </w:r>
      <w:r w:rsidR="00400858">
        <w:noBreakHyphen/>
      </w:r>
      <w:r>
        <w:t xml:space="preserve">98. </w:t>
      </w:r>
      <w:r w:rsidR="00155DEE">
        <w:t xml:space="preserve"> </w:t>
      </w:r>
      <w:r>
        <w:rPr>
          <w:rStyle w:val="NoteLabel"/>
        </w:rPr>
        <w:t>c</w:t>
      </w:r>
      <w:r>
        <w:t> Alumina, iron ore, thermal and metallurgical coal and liquid natural gas prices based on average export values.</w:t>
      </w:r>
      <w:r>
        <w:rPr>
          <w:rStyle w:val="NoteLabel"/>
        </w:rPr>
        <w:t xml:space="preserve"> </w:t>
      </w:r>
      <w:r>
        <w:t>Nickel and zinc prices based on London Metal Exchange cash price.</w:t>
      </w:r>
      <w:r>
        <w:rPr>
          <w:rStyle w:val="NoteLabel"/>
        </w:rPr>
        <w:t xml:space="preserve"> </w:t>
      </w:r>
      <w:r>
        <w:t>Uranium price based on the industry’s spot price.</w:t>
      </w:r>
      <w:r>
        <w:rPr>
          <w:rStyle w:val="NoteLabel"/>
        </w:rPr>
        <w:t xml:space="preserve"> </w:t>
      </w:r>
      <w:r>
        <w:t xml:space="preserve">Crude oil price based on world trade (OPEC) </w:t>
      </w:r>
      <w:r w:rsidR="007B5624">
        <w:t xml:space="preserve">basket price which is a </w:t>
      </w:r>
      <w:r>
        <w:t xml:space="preserve">weighted average </w:t>
      </w:r>
      <w:r w:rsidR="007B5624">
        <w:t>of OPEC oil prices</w:t>
      </w:r>
      <w:r>
        <w:t>.</w:t>
      </w:r>
      <w:r w:rsidR="00155DEE">
        <w:t xml:space="preserve"> </w:t>
      </w:r>
      <w:r>
        <w:t xml:space="preserve"> </w:t>
      </w:r>
      <w:r w:rsidR="007B5624" w:rsidRPr="007B5624">
        <w:rPr>
          <w:rStyle w:val="NoteLabel"/>
        </w:rPr>
        <w:t>d</w:t>
      </w:r>
      <w:r w:rsidR="007B5624">
        <w:t xml:space="preserve"> </w:t>
      </w:r>
      <w:r w:rsidR="007B5624" w:rsidRPr="007B5624">
        <w:t xml:space="preserve">The </w:t>
      </w:r>
      <w:r w:rsidR="00F028E6">
        <w:t xml:space="preserve">correspondence between the commodities appearing in the figures above and </w:t>
      </w:r>
      <w:r w:rsidR="00F15E71">
        <w:t>the</w:t>
      </w:r>
      <w:r w:rsidR="00F028E6">
        <w:t xml:space="preserve"> industries</w:t>
      </w:r>
      <w:r w:rsidR="00F15E71">
        <w:t xml:space="preserve"> they belong to</w:t>
      </w:r>
      <w:r w:rsidR="00F028E6">
        <w:t xml:space="preserve"> is given</w:t>
      </w:r>
      <w:r w:rsidR="007B5624" w:rsidRPr="007B5624">
        <w:t xml:space="preserve"> in appendix A.</w:t>
      </w:r>
    </w:p>
    <w:p w14:paraId="16CFA49E" w14:textId="7C416E8D" w:rsidR="00AD7E1B" w:rsidRDefault="00AD7E1B" w:rsidP="00AD7E1B">
      <w:pPr>
        <w:pStyle w:val="Source"/>
      </w:pPr>
      <w:r>
        <w:rPr>
          <w:i/>
        </w:rPr>
        <w:t>Sources</w:t>
      </w:r>
      <w:r>
        <w:t>: ABARES (2011); RBA (2012); OPEC (2013).</w:t>
      </w:r>
    </w:p>
    <w:p w14:paraId="72029A31" w14:textId="77777777" w:rsidR="00050844" w:rsidRDefault="00050844">
      <w:pPr>
        <w:rPr>
          <w:szCs w:val="20"/>
        </w:rPr>
      </w:pPr>
      <w:r>
        <w:br w:type="page"/>
      </w:r>
    </w:p>
    <w:p w14:paraId="66FFD93A" w14:textId="67A64DC6" w:rsidR="007E5FEE" w:rsidRDefault="007E5FEE" w:rsidP="00AD7E1B">
      <w:pPr>
        <w:pStyle w:val="BodyText"/>
      </w:pPr>
      <w:r>
        <w:lastRenderedPageBreak/>
        <w:t xml:space="preserve">Price increases, however, were not uniform across </w:t>
      </w:r>
      <w:r w:rsidR="00483F27">
        <w:t>commodities</w:t>
      </w:r>
      <w:r>
        <w:t>. Furthermore, the prices of many commodities fell sharply after the GFC of 2008. Although some prices subsequently recovered to match or exceed their levels of 2007</w:t>
      </w:r>
      <w:r>
        <w:noBreakHyphen/>
        <w:t xml:space="preserve">08 by 2011, others did not. For example, </w:t>
      </w:r>
      <w:r w:rsidR="00C67355">
        <w:t>by December 2011</w:t>
      </w:r>
      <w:r>
        <w:t>, the</w:t>
      </w:r>
      <w:r w:rsidR="006C16A7">
        <w:t xml:space="preserve"> price(s)</w:t>
      </w:r>
      <w:r w:rsidR="00920A34">
        <w:t xml:space="preserve"> of</w:t>
      </w:r>
      <w:r>
        <w:t>:</w:t>
      </w:r>
    </w:p>
    <w:p w14:paraId="06D4E6BD" w14:textId="27EF1EE9" w:rsidR="007E5FEE" w:rsidRDefault="00C67355" w:rsidP="00AF7982">
      <w:pPr>
        <w:pStyle w:val="ListBullet"/>
      </w:pPr>
      <w:r>
        <w:t>silver was seven times higher than in 2002</w:t>
      </w:r>
      <w:r>
        <w:noBreakHyphen/>
        <w:t>03</w:t>
      </w:r>
    </w:p>
    <w:p w14:paraId="710BCBD4" w14:textId="3AD3D4E5" w:rsidR="007E5FEE" w:rsidRDefault="00C67355" w:rsidP="00AF7982">
      <w:pPr>
        <w:pStyle w:val="ListBullet"/>
      </w:pPr>
      <w:r>
        <w:t>iron ore and metallurgical coal were six times higher</w:t>
      </w:r>
    </w:p>
    <w:p w14:paraId="09CD822B" w14:textId="43410076" w:rsidR="007E5FEE" w:rsidRDefault="00C67355" w:rsidP="00AF7982">
      <w:pPr>
        <w:pStyle w:val="ListBullet"/>
      </w:pPr>
      <w:r>
        <w:t>gold was five times higher</w:t>
      </w:r>
    </w:p>
    <w:p w14:paraId="144DEA2D" w14:textId="40830E7F" w:rsidR="007E5FEE" w:rsidRDefault="00C67355" w:rsidP="00AF7982">
      <w:pPr>
        <w:pStyle w:val="ListBullet"/>
      </w:pPr>
      <w:r>
        <w:t>thermal coal, copper and crude oil were over four times higher</w:t>
      </w:r>
    </w:p>
    <w:p w14:paraId="651E8737" w14:textId="0CB0B4C1" w:rsidR="007E5FEE" w:rsidRDefault="00C67355" w:rsidP="00AF7982">
      <w:pPr>
        <w:pStyle w:val="ListBullet"/>
      </w:pPr>
      <w:r>
        <w:t xml:space="preserve">alumina, zinc and nickel were about twice as high (figure 6.1). </w:t>
      </w:r>
    </w:p>
    <w:p w14:paraId="2685A961" w14:textId="782974E4" w:rsidR="00C67355" w:rsidRDefault="00C67355" w:rsidP="00AD7E1B">
      <w:pPr>
        <w:pStyle w:val="BodyText"/>
      </w:pPr>
      <w:r>
        <w:t>One year on, by the end of 2012, many of these commodity prices had fallen from their previous peaks (data not shown).</w:t>
      </w:r>
    </w:p>
    <w:p w14:paraId="729AFAAF" w14:textId="33466A58" w:rsidR="00AD7E1B" w:rsidRDefault="00CB60C6" w:rsidP="00AD7E1B">
      <w:pPr>
        <w:pStyle w:val="BodyText"/>
      </w:pPr>
      <w:r>
        <w:t xml:space="preserve">Along with </w:t>
      </w:r>
      <w:r w:rsidR="00ED592E">
        <w:t xml:space="preserve">the change in </w:t>
      </w:r>
      <w:r w:rsidR="00FE5C63">
        <w:t xml:space="preserve">commodity </w:t>
      </w:r>
      <w:r w:rsidR="00ED592E">
        <w:t xml:space="preserve">prices, </w:t>
      </w:r>
      <w:r w:rsidR="00AD7E1B">
        <w:t xml:space="preserve">the prices of </w:t>
      </w:r>
      <w:r>
        <w:t xml:space="preserve">many </w:t>
      </w:r>
      <w:r w:rsidR="00AD7E1B">
        <w:t>capital inputs used by the resources sector</w:t>
      </w:r>
      <w:r>
        <w:t xml:space="preserve"> also changed</w:t>
      </w:r>
      <w:r w:rsidR="00AD7E1B">
        <w:t>.</w:t>
      </w:r>
      <w:r w:rsidR="00AD7E1B">
        <w:rPr>
          <w:rStyle w:val="FootnoteReference"/>
        </w:rPr>
        <w:footnoteReference w:id="2"/>
      </w:r>
      <w:r w:rsidR="00AD7E1B">
        <w:t xml:space="preserve"> Some key </w:t>
      </w:r>
      <w:r w:rsidR="00DF4724">
        <w:t>assets</w:t>
      </w:r>
      <w:r w:rsidR="00AD7E1B">
        <w:t xml:space="preserve">, such as </w:t>
      </w:r>
      <w:r w:rsidR="008125B2">
        <w:t>Non</w:t>
      </w:r>
      <w:r>
        <w:noBreakHyphen/>
      </w:r>
      <w:r w:rsidR="008125B2">
        <w:t xml:space="preserve">dwelling construction, </w:t>
      </w:r>
      <w:r w:rsidR="00AD7E1B">
        <w:t>Industrial machinery and equipment, Other plant and equipment and Road vehicles recorded price increases after 2002</w:t>
      </w:r>
      <w:r w:rsidR="00400858">
        <w:noBreakHyphen/>
      </w:r>
      <w:r w:rsidR="00AD7E1B">
        <w:t>03. By 2010</w:t>
      </w:r>
      <w:r w:rsidR="00400858">
        <w:noBreakHyphen/>
      </w:r>
      <w:r w:rsidR="00AD7E1B">
        <w:t>11, the quality</w:t>
      </w:r>
      <w:r w:rsidR="00AD7E1B">
        <w:noBreakHyphen/>
        <w:t xml:space="preserve">adjusted prices of these inputs were between </w:t>
      </w:r>
      <w:r w:rsidR="007E5FEE">
        <w:t>25</w:t>
      </w:r>
      <w:r w:rsidR="008125B2">
        <w:t> </w:t>
      </w:r>
      <w:r w:rsidR="00AD7E1B">
        <w:t xml:space="preserve">and </w:t>
      </w:r>
      <w:r w:rsidR="007E5FEE">
        <w:t xml:space="preserve">200 per cent </w:t>
      </w:r>
      <w:r w:rsidR="00DF4724">
        <w:t>higher than</w:t>
      </w:r>
      <w:r w:rsidR="008125B2">
        <w:t xml:space="preserve"> </w:t>
      </w:r>
      <w:r w:rsidR="00AD7E1B">
        <w:t>they were in 2002</w:t>
      </w:r>
      <w:r w:rsidR="00400858">
        <w:noBreakHyphen/>
      </w:r>
      <w:r w:rsidR="00AD7E1B">
        <w:t>03.</w:t>
      </w:r>
      <w:r w:rsidR="00AD7E1B">
        <w:rPr>
          <w:rStyle w:val="FootnoteReference"/>
        </w:rPr>
        <w:footnoteReference w:id="3"/>
      </w:r>
      <w:r w:rsidR="00AD7E1B">
        <w:t xml:space="preserve"> Topp</w:t>
      </w:r>
      <w:r w:rsidR="007E5FEE">
        <w:t xml:space="preserve"> et al.</w:t>
      </w:r>
      <w:r w:rsidR="00AD7E1B">
        <w:t> (2008</w:t>
      </w:r>
      <w:r w:rsidR="005730A8">
        <w:t xml:space="preserve">) attributed the price increases to </w:t>
      </w:r>
      <w:r w:rsidR="00AD7E1B">
        <w:t>the resources boom</w:t>
      </w:r>
      <w:r w:rsidR="005730A8">
        <w:t>, which</w:t>
      </w:r>
      <w:r w:rsidR="00AD7E1B">
        <w:t xml:space="preserve"> increased the demand for </w:t>
      </w:r>
      <w:r w:rsidR="001D6603">
        <w:t xml:space="preserve">these </w:t>
      </w:r>
      <w:r w:rsidR="00AD7E1B">
        <w:t xml:space="preserve">inputs </w:t>
      </w:r>
      <w:r w:rsidR="005730A8">
        <w:t xml:space="preserve">and </w:t>
      </w:r>
      <w:r w:rsidR="00AD7E1B">
        <w:t>led to shortages and delays in obtaining key capital equipment, despite the appreciation of the Australian dollar.</w:t>
      </w:r>
      <w:r w:rsidR="001D6603">
        <w:t xml:space="preserve"> In a further illustration</w:t>
      </w:r>
      <w:r w:rsidR="00B046CF">
        <w:t xml:space="preserve"> of rising input prices</w:t>
      </w:r>
      <w:r w:rsidR="001D6603">
        <w:t>, Connolly and Orsmond (2011) report that, from the mid</w:t>
      </w:r>
      <w:r w:rsidR="001D6603">
        <w:noBreakHyphen/>
        <w:t>2000s onward, the price index for materials and services used in coal mining grew at twice the rate of prices in the broader domestic economy.</w:t>
      </w:r>
    </w:p>
    <w:p w14:paraId="3E90113F" w14:textId="36F19C11" w:rsidR="00AD7E1B" w:rsidRDefault="00AD7E1B" w:rsidP="00AD7E1B">
      <w:pPr>
        <w:pStyle w:val="BodyText"/>
      </w:pPr>
      <w:r>
        <w:t>Conversely, the quality</w:t>
      </w:r>
      <w:r w:rsidR="00400858">
        <w:noBreakHyphen/>
      </w:r>
      <w:r>
        <w:t xml:space="preserve">adjusted prices of </w:t>
      </w:r>
      <w:r w:rsidR="007E5FEE">
        <w:t>C</w:t>
      </w:r>
      <w:r>
        <w:t>omputer equipment</w:t>
      </w:r>
      <w:r w:rsidR="007E5FEE">
        <w:t>, Computer</w:t>
      </w:r>
      <w:r>
        <w:t xml:space="preserve"> software and </w:t>
      </w:r>
      <w:r w:rsidR="007E5FEE">
        <w:t xml:space="preserve">Electrical </w:t>
      </w:r>
      <w:r>
        <w:t>and electronic equipment declined substantially</w:t>
      </w:r>
      <w:r w:rsidR="00ED592E">
        <w:t>,</w:t>
      </w:r>
      <w:r>
        <w:t xml:space="preserve"> at least </w:t>
      </w:r>
      <w:r w:rsidR="00ED592E">
        <w:t xml:space="preserve">from </w:t>
      </w:r>
      <w:r>
        <w:t>1989</w:t>
      </w:r>
      <w:r w:rsidR="00400858">
        <w:noBreakHyphen/>
      </w:r>
      <w:r>
        <w:t>90</w:t>
      </w:r>
      <w:r w:rsidR="007E5FEE">
        <w:t xml:space="preserve">, and </w:t>
      </w:r>
      <w:r>
        <w:t xml:space="preserve">were about 20, 90 and 70 per cent respectively, of their </w:t>
      </w:r>
      <w:r w:rsidR="00050844">
        <w:t>2002</w:t>
      </w:r>
      <w:r w:rsidR="00050844">
        <w:noBreakHyphen/>
      </w:r>
      <w:r w:rsidR="007E5FEE">
        <w:t xml:space="preserve">03 </w:t>
      </w:r>
      <w:r>
        <w:t xml:space="preserve">prices </w:t>
      </w:r>
      <w:r w:rsidR="007E5FEE">
        <w:t xml:space="preserve">in 2011-12 </w:t>
      </w:r>
      <w:r>
        <w:t xml:space="preserve">(figure 6.2). </w:t>
      </w:r>
      <w:r w:rsidR="004B643C">
        <w:t xml:space="preserve">While some of the </w:t>
      </w:r>
      <w:r w:rsidR="00920A34">
        <w:t xml:space="preserve">falls </w:t>
      </w:r>
      <w:r w:rsidR="004B643C">
        <w:t>in quality</w:t>
      </w:r>
      <w:r w:rsidR="003C7978">
        <w:noBreakHyphen/>
      </w:r>
      <w:r w:rsidR="004B643C">
        <w:t xml:space="preserve">adjusted prices can be attributed to declines in nominal prices, much of </w:t>
      </w:r>
      <w:r w:rsidR="00920A34">
        <w:t xml:space="preserve">those falls </w:t>
      </w:r>
      <w:r w:rsidR="004B643C">
        <w:t xml:space="preserve">was the result of substantial increases in the </w:t>
      </w:r>
      <w:r w:rsidR="005730A8">
        <w:t>capabilities</w:t>
      </w:r>
      <w:r w:rsidR="004B643C">
        <w:t xml:space="preserve"> of </w:t>
      </w:r>
      <w:r w:rsidR="005730A8">
        <w:t xml:space="preserve">the </w:t>
      </w:r>
      <w:r w:rsidR="004B643C">
        <w:t xml:space="preserve">inputs, </w:t>
      </w:r>
      <w:r w:rsidR="005730A8">
        <w:t xml:space="preserve">such as the processing power of </w:t>
      </w:r>
      <w:r w:rsidR="004B643C">
        <w:t>Computer equipment.</w:t>
      </w:r>
    </w:p>
    <w:p w14:paraId="3D91EBD5" w14:textId="4C05F457" w:rsidR="00920A34" w:rsidRDefault="008125B2" w:rsidP="00AD7E1B">
      <w:pPr>
        <w:pStyle w:val="BodyText"/>
      </w:pPr>
      <w:r>
        <w:lastRenderedPageBreak/>
        <w:t>The</w:t>
      </w:r>
      <w:r w:rsidR="00CB60C6">
        <w:t xml:space="preserve"> </w:t>
      </w:r>
      <w:r>
        <w:t xml:space="preserve">two trends in input prices have had </w:t>
      </w:r>
      <w:r w:rsidR="00755DFD">
        <w:t>opposing</w:t>
      </w:r>
      <w:r>
        <w:t xml:space="preserve"> implications for resource businesses. First, the increases in the prices of capital </w:t>
      </w:r>
      <w:r w:rsidR="001D6603">
        <w:t xml:space="preserve">and intermediate </w:t>
      </w:r>
      <w:r>
        <w:t>inputs</w:t>
      </w:r>
      <w:r w:rsidR="005730A8">
        <w:t xml:space="preserve"> </w:t>
      </w:r>
      <w:r>
        <w:t>increased the cost base of resource businesses</w:t>
      </w:r>
      <w:r w:rsidR="00CB60C6">
        <w:t>.</w:t>
      </w:r>
    </w:p>
    <w:p w14:paraId="37F27986" w14:textId="6EE7FC7C" w:rsidR="00AD7E1B" w:rsidRDefault="00CB60C6" w:rsidP="00AD7E1B">
      <w:pPr>
        <w:pStyle w:val="BodyText"/>
      </w:pPr>
      <w:r>
        <w:t>Second, the rapid reduction in the quality</w:t>
      </w:r>
      <w:r w:rsidR="003C7978">
        <w:noBreakHyphen/>
      </w:r>
      <w:r>
        <w:t xml:space="preserve">adjusted prices of </w:t>
      </w:r>
      <w:r w:rsidR="00335C46">
        <w:t>information and communi</w:t>
      </w:r>
      <w:r w:rsidR="006E261A">
        <w:t>ca</w:t>
      </w:r>
      <w:r w:rsidR="00335C46">
        <w:t>tion technologies (</w:t>
      </w:r>
      <w:r>
        <w:t>ICT</w:t>
      </w:r>
      <w:r w:rsidR="00335C46">
        <w:t>)</w:t>
      </w:r>
      <w:r>
        <w:t xml:space="preserve"> contributed to a surge of ICT investment (Topp et al. 2008) that has led to technological change in the </w:t>
      </w:r>
      <w:r w:rsidR="00A1584D">
        <w:t xml:space="preserve">natural </w:t>
      </w:r>
      <w:r>
        <w:t xml:space="preserve">resources sector. </w:t>
      </w:r>
      <w:r w:rsidR="004B643C">
        <w:t xml:space="preserve">For example, </w:t>
      </w:r>
      <w:r w:rsidR="001B5CD0">
        <w:t>for</w:t>
      </w:r>
      <w:r w:rsidR="00AD7E1B">
        <w:t xml:space="preserve"> Exploration and services to mining, the new assets allowed the use of three</w:t>
      </w:r>
      <w:r w:rsidR="00400858">
        <w:noBreakHyphen/>
      </w:r>
      <w:r w:rsidR="00AD7E1B">
        <w:t>dimensional seismic surveys and global positioning systems to target ore bodies</w:t>
      </w:r>
      <w:r w:rsidR="003663FE" w:rsidRPr="003663FE">
        <w:t xml:space="preserve"> </w:t>
      </w:r>
      <w:r w:rsidR="003663FE">
        <w:t>more accurately</w:t>
      </w:r>
      <w:r w:rsidR="00AD7E1B">
        <w:t xml:space="preserve">. </w:t>
      </w:r>
      <w:r w:rsidR="004B643C">
        <w:t xml:space="preserve">In many businesses, </w:t>
      </w:r>
      <w:r w:rsidR="00755DFD">
        <w:t xml:space="preserve">ICT </w:t>
      </w:r>
      <w:r w:rsidR="00AD7E1B">
        <w:t>allowed stages of the mining and resource</w:t>
      </w:r>
      <w:r w:rsidR="00400858">
        <w:noBreakHyphen/>
      </w:r>
      <w:r w:rsidR="00AD7E1B">
        <w:t xml:space="preserve">extraction processes to be automated (Topp et al. 2008; CSIRO 2013). </w:t>
      </w:r>
      <w:r w:rsidR="00755DFD">
        <w:t xml:space="preserve">For example, technology </w:t>
      </w:r>
      <w:r w:rsidR="00AD7E1B">
        <w:t xml:space="preserve">has </w:t>
      </w:r>
      <w:r w:rsidR="00ED592E">
        <w:t xml:space="preserve">enabled </w:t>
      </w:r>
      <w:r w:rsidR="00AD7E1B">
        <w:t xml:space="preserve">Rio Tinto to manage some of its resources operations remotely to overcome the difficulties </w:t>
      </w:r>
      <w:r w:rsidR="00ED592E">
        <w:t xml:space="preserve">in </w:t>
      </w:r>
      <w:r w:rsidR="00AD7E1B">
        <w:t>recruiting staff with the necessary expertise (Rio Tinto 2013).</w:t>
      </w:r>
    </w:p>
    <w:p w14:paraId="6C2CE923" w14:textId="0CC54754" w:rsidR="00AD7E1B" w:rsidRDefault="00AD7E1B" w:rsidP="00AD7E1B">
      <w:pPr>
        <w:pStyle w:val="FigureTitle"/>
      </w:pPr>
      <w:r>
        <w:rPr>
          <w:b w:val="0"/>
        </w:rPr>
        <w:t xml:space="preserve">Figure </w:t>
      </w:r>
      <w:r w:rsidR="00FC6557">
        <w:rPr>
          <w:b w:val="0"/>
        </w:rPr>
        <w:t>6.</w:t>
      </w:r>
      <w:r w:rsidR="00A30461">
        <w:rPr>
          <w:b w:val="0"/>
          <w:noProof/>
        </w:rPr>
        <w:t>2</w:t>
      </w:r>
      <w:r>
        <w:tab/>
        <w:t>Quality</w:t>
      </w:r>
      <w:r w:rsidR="00400858">
        <w:noBreakHyphen/>
      </w:r>
      <w:r>
        <w:t>adjusted prices of selected capital items used by incorporated resource businesses, 1989</w:t>
      </w:r>
      <w:r w:rsidR="00400858">
        <w:noBreakHyphen/>
      </w:r>
      <w:r>
        <w:t>90 to 2011</w:t>
      </w:r>
      <w:r w:rsidR="00400858">
        <w:noBreakHyphen/>
      </w:r>
      <w:r>
        <w:t>12</w:t>
      </w:r>
      <w:r w:rsidRPr="00614D44">
        <w:rPr>
          <w:rStyle w:val="NoteLabel"/>
          <w:b/>
        </w:rPr>
        <w:t>a,</w:t>
      </w:r>
      <w:r w:rsidR="009668DB">
        <w:rPr>
          <w:rStyle w:val="NoteLabel"/>
          <w:b/>
        </w:rPr>
        <w:t xml:space="preserve"> </w:t>
      </w:r>
      <w:r w:rsidRPr="00614D44">
        <w:rPr>
          <w:rStyle w:val="NoteLabel"/>
          <w:b/>
        </w:rPr>
        <w:t>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AD7E1B" w14:paraId="3ECAF447" w14:textId="77777777" w:rsidTr="00432173">
        <w:trPr>
          <w:trHeight w:val="245"/>
        </w:trPr>
        <w:tc>
          <w:tcPr>
            <w:tcW w:w="4388" w:type="dxa"/>
          </w:tcPr>
          <w:p w14:paraId="11F8CD4B" w14:textId="21D79243" w:rsidR="00AD7E1B" w:rsidRDefault="00432173">
            <w:pPr>
              <w:pStyle w:val="Figure"/>
            </w:pPr>
            <w:r>
              <w:rPr>
                <w:noProof/>
              </w:rPr>
              <w:drawing>
                <wp:inline distT="0" distB="0" distL="0" distR="0" wp14:anchorId="13059AC5" wp14:editId="2C24E45C">
                  <wp:extent cx="2734574" cy="1716657"/>
                  <wp:effectExtent l="0" t="0" r="8890" b="0"/>
                  <wp:docPr id="19" name="Chart 19" descr="This figure provides  a description of the trends in the prices of computer equipment and computer software, used by incorporated resources businesses, between 1989-90 and 2011-12. Prices are adjusted for the change in the quality of the items." title="Quality-adjusted prices of computer equipment and computer software, for incorported resource business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4389" w:type="dxa"/>
          </w:tcPr>
          <w:p w14:paraId="10E8672D" w14:textId="6612D5E6" w:rsidR="00AD7E1B" w:rsidRDefault="00432173">
            <w:pPr>
              <w:pStyle w:val="Figure"/>
            </w:pPr>
            <w:r>
              <w:rPr>
                <w:noProof/>
              </w:rPr>
              <w:drawing>
                <wp:inline distT="0" distB="0" distL="0" distR="0" wp14:anchorId="1A224445" wp14:editId="1E595E63">
                  <wp:extent cx="2736850" cy="1771650"/>
                  <wp:effectExtent l="0" t="0" r="6350" b="0"/>
                  <wp:docPr id="20" name="Chart 20" descr="This figure provides  a description of the trends in the prices of  exploration intellectual property and electrical and electronic equipment used by incorporated resources businesses, between 1989-90 and 2011-12. Prices are adjusted for the change in the quality of the items." title="Quality-adjusted prices of exploration intellectual property and electrical and electronic equipment, for incorported resource business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AD7E1B" w14:paraId="7ADF732F" w14:textId="77777777" w:rsidTr="00432173">
        <w:trPr>
          <w:trHeight w:val="244"/>
        </w:trPr>
        <w:tc>
          <w:tcPr>
            <w:tcW w:w="4388" w:type="dxa"/>
          </w:tcPr>
          <w:p w14:paraId="0B0A13D9" w14:textId="7BA4D648" w:rsidR="00AD7E1B" w:rsidRDefault="00432173">
            <w:pPr>
              <w:pStyle w:val="Figure"/>
            </w:pPr>
            <w:r>
              <w:rPr>
                <w:noProof/>
              </w:rPr>
              <w:drawing>
                <wp:inline distT="0" distB="0" distL="0" distR="0" wp14:anchorId="46CAE1B9" wp14:editId="6586C1F2">
                  <wp:extent cx="2734574" cy="1759789"/>
                  <wp:effectExtent l="0" t="0" r="8890" b="0"/>
                  <wp:docPr id="21" name="Chart 21" descr="This figure provides  a description of the trends in the prices of  industrial machinery and equipment, other plant and equipment and non-dwelling construction , used by incorporated resources businesses, between 1989-90 and 2011-12. Prices are adjusted for the change in the quality of the items.&#10;" title="Quality-adjusted prices of industrial machinery and equipment, other plant and equipment and non-dwelling construction, for incorported resource business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4389" w:type="dxa"/>
          </w:tcPr>
          <w:p w14:paraId="1CA82D52" w14:textId="7DBD806A" w:rsidR="00AD7E1B" w:rsidRDefault="00432173">
            <w:pPr>
              <w:pStyle w:val="Figure"/>
            </w:pPr>
            <w:r>
              <w:rPr>
                <w:noProof/>
              </w:rPr>
              <w:drawing>
                <wp:inline distT="0" distB="0" distL="0" distR="0" wp14:anchorId="48971AC3" wp14:editId="7DCB53C7">
                  <wp:extent cx="2734574" cy="1759789"/>
                  <wp:effectExtent l="0" t="0" r="8890" b="0"/>
                  <wp:docPr id="26" name="Chart 26" descr="This figure provides  a description of the trends in the prices of  Research and development intellectual property, Other transport equipment, and Road vehicles, used by incorporated resources businesses, between 1989-90 and 2011-12. Prices are adjusted for the change in the quality of the items.&#10;" title="Quality-adjusted prices of R&amp;D intellectual property, Other transport equipment, and road vehicles, for incorported resource business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14:paraId="6952CE74" w14:textId="7D7CB96C" w:rsidR="00AD7E1B" w:rsidRDefault="00AD7E1B" w:rsidP="00AD7E1B">
      <w:pPr>
        <w:pStyle w:val="Note"/>
      </w:pPr>
      <w:r>
        <w:rPr>
          <w:rStyle w:val="NoteLabel"/>
        </w:rPr>
        <w:t>a</w:t>
      </w:r>
      <w:r>
        <w:t xml:space="preserve"> Year ending 30 June. </w:t>
      </w:r>
      <w:r w:rsidR="00155DEE">
        <w:t xml:space="preserve"> </w:t>
      </w:r>
      <w:r>
        <w:rPr>
          <w:rStyle w:val="NoteLabel"/>
        </w:rPr>
        <w:t>b</w:t>
      </w:r>
      <w:r>
        <w:t xml:space="preserve"> Capital rental price, in terms of dollars per unit of 2009</w:t>
      </w:r>
      <w:r w:rsidR="00400858">
        <w:noBreakHyphen/>
      </w:r>
      <w:r>
        <w:t>10 capital, indexed to 100 in 2002</w:t>
      </w:r>
      <w:r w:rsidR="00400858">
        <w:noBreakHyphen/>
      </w:r>
      <w:r>
        <w:t>03.</w:t>
      </w:r>
    </w:p>
    <w:p w14:paraId="28C72610" w14:textId="77777777" w:rsidR="00AD7E1B" w:rsidRDefault="00AD7E1B" w:rsidP="00AD7E1B">
      <w:pPr>
        <w:pStyle w:val="Source"/>
      </w:pPr>
      <w:r>
        <w:rPr>
          <w:i/>
        </w:rPr>
        <w:t>Source</w:t>
      </w:r>
      <w:r>
        <w:t>: ABS (</w:t>
      </w:r>
      <w:r w:rsidRPr="000F133C">
        <w:rPr>
          <w:i/>
        </w:rPr>
        <w:t xml:space="preserve">Estimates of </w:t>
      </w:r>
      <w:r>
        <w:rPr>
          <w:i/>
        </w:rPr>
        <w:t>I</w:t>
      </w:r>
      <w:r w:rsidRPr="000F133C">
        <w:rPr>
          <w:i/>
        </w:rPr>
        <w:t xml:space="preserve">ndustry </w:t>
      </w:r>
      <w:r>
        <w:rPr>
          <w:i/>
        </w:rPr>
        <w:t>M</w:t>
      </w:r>
      <w:r w:rsidRPr="000F133C">
        <w:rPr>
          <w:i/>
        </w:rPr>
        <w:t xml:space="preserve">ultifactor </w:t>
      </w:r>
      <w:r>
        <w:rPr>
          <w:i/>
        </w:rPr>
        <w:t>P</w:t>
      </w:r>
      <w:r w:rsidRPr="000F133C">
        <w:rPr>
          <w:i/>
        </w:rPr>
        <w:t>roductivity</w:t>
      </w:r>
      <w:r>
        <w:t>, Cat. no. 5260.0.55.002).</w:t>
      </w:r>
    </w:p>
    <w:p w14:paraId="7B0BF931" w14:textId="1F6B1470" w:rsidR="00AD7E1B" w:rsidRDefault="00880AE5" w:rsidP="00AD7E1B">
      <w:pPr>
        <w:pStyle w:val="BodyText"/>
      </w:pPr>
      <w:r>
        <w:t>Although the technological change in favour of ICT</w:t>
      </w:r>
      <w:r w:rsidR="003C7978">
        <w:noBreakHyphen/>
      </w:r>
      <w:r>
        <w:t>enabled production pre</w:t>
      </w:r>
      <w:r w:rsidR="003C7978">
        <w:noBreakHyphen/>
      </w:r>
      <w:r>
        <w:t>dated the recent boom, the increase in commodity prices</w:t>
      </w:r>
      <w:r w:rsidR="00755DFD">
        <w:t xml:space="preserve"> gave it added impetus</w:t>
      </w:r>
      <w:r>
        <w:t xml:space="preserve">. </w:t>
      </w:r>
      <w:r>
        <w:lastRenderedPageBreak/>
        <w:t>Moreover, the adoption of ICT</w:t>
      </w:r>
      <w:r w:rsidR="003C7978">
        <w:noBreakHyphen/>
      </w:r>
      <w:r>
        <w:t>enabled production</w:t>
      </w:r>
      <w:r w:rsidR="00755DFD">
        <w:t xml:space="preserve"> processes</w:t>
      </w:r>
      <w:r>
        <w:t xml:space="preserve"> is </w:t>
      </w:r>
      <w:r w:rsidR="00755DFD">
        <w:t>part of a</w:t>
      </w:r>
      <w:r>
        <w:t xml:space="preserve"> longer</w:t>
      </w:r>
      <w:r w:rsidR="003C7978">
        <w:noBreakHyphen/>
      </w:r>
      <w:r>
        <w:t xml:space="preserve">term </w:t>
      </w:r>
      <w:r w:rsidR="00755DFD">
        <w:t>trend in favour of innovation</w:t>
      </w:r>
      <w:r>
        <w:t xml:space="preserve"> in the </w:t>
      </w:r>
      <w:r w:rsidR="00A1584D">
        <w:t xml:space="preserve">natural </w:t>
      </w:r>
      <w:r>
        <w:t>resources sector</w:t>
      </w:r>
      <w:r w:rsidR="00AD7E1B">
        <w:t>, such as the substitution towards open</w:t>
      </w:r>
      <w:r w:rsidR="00400858">
        <w:noBreakHyphen/>
      </w:r>
      <w:r w:rsidR="00AD7E1B">
        <w:t>cut mining instead of underground mining, the use of draglines instead of trucks and shovels and the use of deep</w:t>
      </w:r>
      <w:r w:rsidR="00400858">
        <w:noBreakHyphen/>
      </w:r>
      <w:r w:rsidR="00AD7E1B">
        <w:t>water drilling and slant</w:t>
      </w:r>
      <w:r w:rsidR="00AD7E1B">
        <w:noBreakHyphen/>
        <w:t>drilling offshore (Topp et al. 2008). More</w:t>
      </w:r>
      <w:r>
        <w:t xml:space="preserve"> recent research </w:t>
      </w:r>
      <w:r w:rsidR="0017649E">
        <w:t xml:space="preserve">and development </w:t>
      </w:r>
      <w:r>
        <w:t>efforts have focused on identifying low</w:t>
      </w:r>
      <w:r>
        <w:noBreakHyphen/>
        <w:t xml:space="preserve">energy cost mining methods, exploring </w:t>
      </w:r>
      <w:r w:rsidR="00AD7E1B">
        <w:t>advanced underground mining techniques (such as block caving) as an alternative to open</w:t>
      </w:r>
      <w:r w:rsidR="00400858">
        <w:noBreakHyphen/>
      </w:r>
      <w:r w:rsidR="00AD7E1B">
        <w:t xml:space="preserve">cut mining, and removing minerals from ore </w:t>
      </w:r>
      <w:r w:rsidR="00AD7E1B" w:rsidRPr="00335C46">
        <w:rPr>
          <w:i/>
        </w:rPr>
        <w:t>in situ</w:t>
      </w:r>
      <w:r w:rsidR="00AD7E1B">
        <w:t xml:space="preserve"> as an alternative to moving the ore first (Rio Tinto 2013).</w:t>
      </w:r>
    </w:p>
    <w:p w14:paraId="1563D4A6" w14:textId="0C49C114" w:rsidR="00AD7E1B" w:rsidRDefault="00FC6557" w:rsidP="00AD7E1B">
      <w:pPr>
        <w:pStyle w:val="Heading2"/>
      </w:pPr>
      <w:r>
        <w:t>6.</w:t>
      </w:r>
      <w:r w:rsidR="00A30461">
        <w:rPr>
          <w:noProof/>
        </w:rPr>
        <w:t>2</w:t>
      </w:r>
      <w:r w:rsidR="00AD7E1B">
        <w:tab/>
        <w:t xml:space="preserve">What </w:t>
      </w:r>
      <w:r w:rsidR="00724EA3">
        <w:t>were the effects on output</w:t>
      </w:r>
      <w:r w:rsidR="00AD7E1B">
        <w:t>?</w:t>
      </w:r>
    </w:p>
    <w:p w14:paraId="308427C3" w14:textId="27FDD6C8" w:rsidR="00375066" w:rsidRDefault="00272BF3" w:rsidP="00AD7E1B">
      <w:pPr>
        <w:pStyle w:val="BodyText"/>
      </w:pPr>
      <w:r>
        <w:t xml:space="preserve">In terms of the resources sector as a whole, despite </w:t>
      </w:r>
      <w:r w:rsidR="00A3607C">
        <w:t xml:space="preserve">high </w:t>
      </w:r>
      <w:r>
        <w:t xml:space="preserve">prices, the rate of real output growth was lower during the </w:t>
      </w:r>
      <w:r w:rsidR="00800AAE">
        <w:t xml:space="preserve">resources </w:t>
      </w:r>
      <w:r>
        <w:t xml:space="preserve">boom than before it (as discussed in chapter 3). </w:t>
      </w:r>
      <w:r w:rsidR="00AD7E1B">
        <w:t xml:space="preserve">To what extent have </w:t>
      </w:r>
      <w:r>
        <w:t xml:space="preserve">individual </w:t>
      </w:r>
      <w:r w:rsidR="006C323C">
        <w:t xml:space="preserve">industries </w:t>
      </w:r>
      <w:r>
        <w:t>within</w:t>
      </w:r>
      <w:r w:rsidR="006C323C">
        <w:t xml:space="preserve"> the natural resources sector</w:t>
      </w:r>
      <w:r w:rsidR="00AD7E1B">
        <w:t xml:space="preserve"> increased their output since 2002</w:t>
      </w:r>
      <w:r w:rsidR="00400858">
        <w:noBreakHyphen/>
      </w:r>
      <w:r w:rsidR="00AD7E1B">
        <w:t>03</w:t>
      </w:r>
      <w:r w:rsidR="006C323C">
        <w:t>,</w:t>
      </w:r>
      <w:r w:rsidR="00AD7E1B">
        <w:t xml:space="preserve"> in response to </w:t>
      </w:r>
      <w:r w:rsidR="00724EA3">
        <w:t>improved commodity prices</w:t>
      </w:r>
      <w:r w:rsidR="00AD7E1B">
        <w:t>? What other factors may have influenced</w:t>
      </w:r>
      <w:r>
        <w:t xml:space="preserve"> the decision of</w:t>
      </w:r>
      <w:r w:rsidR="00AD7E1B">
        <w:t xml:space="preserve"> business</w:t>
      </w:r>
      <w:r w:rsidR="006C323C">
        <w:t>es in those industries to increase their</w:t>
      </w:r>
      <w:r w:rsidR="00AD7E1B">
        <w:t xml:space="preserve"> output during the boom</w:t>
      </w:r>
      <w:r w:rsidR="00EC5F5B">
        <w:t xml:space="preserve"> years</w:t>
      </w:r>
      <w:r w:rsidR="00AD7E1B">
        <w:t xml:space="preserve">? </w:t>
      </w:r>
    </w:p>
    <w:p w14:paraId="64C8C918" w14:textId="3A6AF0F6" w:rsidR="00724EA3" w:rsidRDefault="00724EA3" w:rsidP="00724EA3">
      <w:pPr>
        <w:pStyle w:val="BodyText"/>
      </w:pPr>
      <w:r>
        <w:t>There were</w:t>
      </w:r>
      <w:r w:rsidR="00800AAE">
        <w:t xml:space="preserve"> </w:t>
      </w:r>
      <w:r>
        <w:t xml:space="preserve">significant differences across </w:t>
      </w:r>
      <w:r w:rsidR="006C323C">
        <w:t>industries within th</w:t>
      </w:r>
      <w:r w:rsidR="00800AAE">
        <w:t>e resources</w:t>
      </w:r>
      <w:r w:rsidR="006C323C">
        <w:t xml:space="preserve"> sector</w:t>
      </w:r>
      <w:r>
        <w:t>. The output of some commodities (such as iron ore, liquefied natural gas (LNG)) and</w:t>
      </w:r>
      <w:r w:rsidR="00880AE5">
        <w:t xml:space="preserve"> </w:t>
      </w:r>
      <w:r w:rsidR="00753DE5">
        <w:t xml:space="preserve">Exploration </w:t>
      </w:r>
      <w:r>
        <w:t>and services to mining grew more quickly after 2002</w:t>
      </w:r>
      <w:r>
        <w:noBreakHyphen/>
        <w:t xml:space="preserve">03 than </w:t>
      </w:r>
      <w:r w:rsidR="00800AAE">
        <w:t xml:space="preserve">it did </w:t>
      </w:r>
      <w:r>
        <w:t>earlier. For example, iron ore production grew by 12.1 per cent per year after 2002</w:t>
      </w:r>
      <w:r>
        <w:noBreakHyphen/>
        <w:t xml:space="preserve">03, compared with 7.1 per cent per year </w:t>
      </w:r>
      <w:r w:rsidR="00335C46">
        <w:t>prior to this</w:t>
      </w:r>
      <w:r>
        <w:t xml:space="preserve"> (figure 6.</w:t>
      </w:r>
      <w:r w:rsidR="00880AE5">
        <w:t>3</w:t>
      </w:r>
      <w:r>
        <w:t>). In contrast,</w:t>
      </w:r>
      <w:r w:rsidR="00800AAE" w:rsidDel="00800AAE">
        <w:t xml:space="preserve"> </w:t>
      </w:r>
      <w:r>
        <w:t xml:space="preserve">coal </w:t>
      </w:r>
      <w:r w:rsidR="00753DE5">
        <w:t xml:space="preserve">production </w:t>
      </w:r>
      <w:r>
        <w:t>grew by 1.6 per cent per year after 2002</w:t>
      </w:r>
      <w:r>
        <w:noBreakHyphen/>
        <w:t xml:space="preserve">03, compared with 5.7 per cent per year </w:t>
      </w:r>
      <w:r w:rsidR="00A571DE">
        <w:t>in the preceding period</w:t>
      </w:r>
      <w:r>
        <w:t xml:space="preserve">, </w:t>
      </w:r>
      <w:r w:rsidR="003C0FB3">
        <w:t xml:space="preserve">while </w:t>
      </w:r>
      <w:r>
        <w:t>the output of crude oil and naturally occurring liquid petroleum gas (LPG) declined after 2002</w:t>
      </w:r>
      <w:r>
        <w:noBreakHyphen/>
        <w:t xml:space="preserve">03. </w:t>
      </w:r>
    </w:p>
    <w:p w14:paraId="05D788DF" w14:textId="6DD93F63" w:rsidR="00724EA3" w:rsidRDefault="00724EA3" w:rsidP="00724EA3">
      <w:pPr>
        <w:pStyle w:val="BodyText"/>
      </w:pPr>
      <w:r>
        <w:t>There are three main reasons why output</w:t>
      </w:r>
      <w:r w:rsidR="00753DE5">
        <w:t xml:space="preserve"> expanded</w:t>
      </w:r>
      <w:r>
        <w:t xml:space="preserve"> more</w:t>
      </w:r>
      <w:r w:rsidR="00753DE5">
        <w:t xml:space="preserve"> for some commodities</w:t>
      </w:r>
      <w:r>
        <w:t xml:space="preserve"> than </w:t>
      </w:r>
      <w:r w:rsidR="00800AAE">
        <w:t xml:space="preserve">for </w:t>
      </w:r>
      <w:r>
        <w:t xml:space="preserve">others during the 2000s. First, some </w:t>
      </w:r>
      <w:r w:rsidR="00753DE5">
        <w:t>commodities</w:t>
      </w:r>
      <w:r>
        <w:t>, such as iron ore, experienced relatively large increases in prices that provided a strong incentive to increase</w:t>
      </w:r>
      <w:r w:rsidR="00335C46">
        <w:t xml:space="preserve"> </w:t>
      </w:r>
      <w:r>
        <w:t>output. Conversely, the prices of a number of non</w:t>
      </w:r>
      <w:r>
        <w:noBreakHyphen/>
        <w:t>ferrous metals (such as aluminium) grew more slowly after 2002</w:t>
      </w:r>
      <w:r>
        <w:noBreakHyphen/>
        <w:t>03 and were not sufficient to induce new investment and, in some cases, to offset higher energy costs (Barber et al. 2012).</w:t>
      </w:r>
    </w:p>
    <w:p w14:paraId="58F63BA8" w14:textId="7AEEF4D2" w:rsidR="00375066" w:rsidRPr="001C2476" w:rsidRDefault="00375066" w:rsidP="00375066">
      <w:pPr>
        <w:pStyle w:val="FigureTitle"/>
      </w:pPr>
      <w:r>
        <w:rPr>
          <w:b w:val="0"/>
        </w:rPr>
        <w:lastRenderedPageBreak/>
        <w:t xml:space="preserve">Figure </w:t>
      </w:r>
      <w:r w:rsidR="00FC6557">
        <w:rPr>
          <w:b w:val="0"/>
        </w:rPr>
        <w:t>6.</w:t>
      </w:r>
      <w:r w:rsidR="00A30461">
        <w:rPr>
          <w:b w:val="0"/>
          <w:noProof/>
        </w:rPr>
        <w:t>3</w:t>
      </w:r>
      <w:r>
        <w:tab/>
        <w:t>Production indexes of selected resources and industries</w:t>
      </w:r>
      <w:r w:rsidRPr="00614D44">
        <w:rPr>
          <w:rStyle w:val="NoteLabel"/>
          <w:b/>
        </w:rPr>
        <w:t>a,</w:t>
      </w:r>
      <w:r>
        <w:rPr>
          <w:rStyle w:val="NoteLabel"/>
          <w:b/>
        </w:rPr>
        <w:t xml:space="preserve"> </w:t>
      </w:r>
      <w:r w:rsidRPr="00614D44">
        <w:rPr>
          <w:rStyle w:val="NoteLabel"/>
          <w:b/>
        </w:rPr>
        <w:t>b</w:t>
      </w:r>
      <w:r w:rsidR="004E2E67">
        <w:rPr>
          <w:rStyle w:val="NoteLabel"/>
          <w:b/>
        </w:rPr>
        <w:t>,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375066" w14:paraId="1889EA87" w14:textId="77777777" w:rsidTr="004E2E67">
        <w:trPr>
          <w:trHeight w:val="123"/>
        </w:trPr>
        <w:tc>
          <w:tcPr>
            <w:tcW w:w="4388" w:type="dxa"/>
          </w:tcPr>
          <w:p w14:paraId="795B715F" w14:textId="33C19680" w:rsidR="00375066" w:rsidRDefault="00375066" w:rsidP="00155ADE">
            <w:pPr>
              <w:pStyle w:val="Figure"/>
            </w:pPr>
            <w:r>
              <w:rPr>
                <w:noProof/>
              </w:rPr>
              <w:drawing>
                <wp:inline distT="0" distB="0" distL="0" distR="0" wp14:anchorId="456AA09D" wp14:editId="5E77AA89">
                  <wp:extent cx="2709949" cy="1512917"/>
                  <wp:effectExtent l="0" t="0" r="0" b="0"/>
                  <wp:docPr id="29" name="Chart 29" descr="This figure presents data on the trends of production (output) of the Exploration and services to mining industry and the Mining industry (Resources sector) between 1985-86 and 2011-12. Annual data are indexed to 100 in 2002-03." title="Production indexes of industries."/>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4389" w:type="dxa"/>
          </w:tcPr>
          <w:p w14:paraId="44194571" w14:textId="24B77927" w:rsidR="00375066" w:rsidRDefault="00375066" w:rsidP="00155ADE">
            <w:pPr>
              <w:pStyle w:val="Figure"/>
            </w:pPr>
            <w:r>
              <w:rPr>
                <w:noProof/>
              </w:rPr>
              <w:drawing>
                <wp:inline distT="0" distB="0" distL="0" distR="0" wp14:anchorId="59C36996" wp14:editId="390A62A8">
                  <wp:extent cx="2709949" cy="1512917"/>
                  <wp:effectExtent l="0" t="0" r="0" b="0"/>
                  <wp:docPr id="30" name="Chart 30" descr="This figure presents data on the trends of production (output) of iron ore and saleable black coal between August 1988 and September 2012. Quarterly data are indexed to 100 in June 2003." title="Production indexes of resources. "/>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375066" w14:paraId="26322A25" w14:textId="77777777" w:rsidTr="00155ADE">
        <w:trPr>
          <w:trHeight w:val="122"/>
        </w:trPr>
        <w:tc>
          <w:tcPr>
            <w:tcW w:w="4388" w:type="dxa"/>
          </w:tcPr>
          <w:p w14:paraId="7DF6F4C9" w14:textId="2DAFA00A" w:rsidR="00375066" w:rsidRDefault="00375066" w:rsidP="00155ADE">
            <w:pPr>
              <w:pStyle w:val="Figure"/>
            </w:pPr>
            <w:r>
              <w:rPr>
                <w:noProof/>
              </w:rPr>
              <w:drawing>
                <wp:inline distT="0" distB="0" distL="0" distR="0" wp14:anchorId="5799EEAD" wp14:editId="466F5B32">
                  <wp:extent cx="2709949" cy="1670858"/>
                  <wp:effectExtent l="0" t="0" r="0" b="5715"/>
                  <wp:docPr id="31" name="Chart 31" descr="This figure presents data on the trends of production (output) of manganese and uranium dioxide between August 1988 and September 2012. Quarterly data are indexed to 100 in June 2003." title="Production indexes of resources. "/>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4389" w:type="dxa"/>
          </w:tcPr>
          <w:p w14:paraId="0619C89F" w14:textId="459B756D" w:rsidR="00375066" w:rsidRDefault="00375066" w:rsidP="00155ADE">
            <w:pPr>
              <w:pStyle w:val="Figure"/>
            </w:pPr>
            <w:r>
              <w:rPr>
                <w:noProof/>
              </w:rPr>
              <w:drawing>
                <wp:inline distT="0" distB="0" distL="0" distR="0" wp14:anchorId="341CD757" wp14:editId="42475AB3">
                  <wp:extent cx="2718262" cy="1670858"/>
                  <wp:effectExtent l="0" t="0" r="6350" b="5715"/>
                  <wp:docPr id="32" name="Chart 32" descr="This figure presents data on the trends of production (output) of titanium (rutile concentrate) and alumina between August 1988 and September 2012. Quarterly data are indexed to 100 in June 2003." title="Production indexes of resources. "/>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375066" w14:paraId="35118214" w14:textId="77777777" w:rsidTr="00155ADE">
        <w:trPr>
          <w:trHeight w:val="122"/>
        </w:trPr>
        <w:tc>
          <w:tcPr>
            <w:tcW w:w="4388" w:type="dxa"/>
          </w:tcPr>
          <w:p w14:paraId="6D8791A0" w14:textId="77F4AF9C" w:rsidR="00375066" w:rsidRDefault="00375066" w:rsidP="00155ADE">
            <w:pPr>
              <w:pStyle w:val="Figure"/>
            </w:pPr>
            <w:r>
              <w:rPr>
                <w:noProof/>
              </w:rPr>
              <w:drawing>
                <wp:inline distT="0" distB="0" distL="0" distR="0" wp14:anchorId="0D038EAB" wp14:editId="7A7E6EC0">
                  <wp:extent cx="2709949" cy="1554480"/>
                  <wp:effectExtent l="0" t="0" r="0" b="7620"/>
                  <wp:docPr id="33" name="Chart 33" descr="This figure presents data on the trends of production (output) of crude oil and condensate, naturally occurring liquefied petroleum gas, and liquefied natural gas between August 1988 and September 2012. Quarterly data are indexed to 100 in June 2003." title="Production indexes of resources. "/>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4389" w:type="dxa"/>
          </w:tcPr>
          <w:p w14:paraId="04EA8C35" w14:textId="0101EBC9" w:rsidR="00375066" w:rsidRDefault="00375066" w:rsidP="00155ADE">
            <w:pPr>
              <w:pStyle w:val="Figure"/>
            </w:pPr>
            <w:r>
              <w:rPr>
                <w:noProof/>
              </w:rPr>
              <w:drawing>
                <wp:inline distT="0" distB="0" distL="0" distR="0" wp14:anchorId="56ED1F5D" wp14:editId="5F6BB68E">
                  <wp:extent cx="2718262" cy="1554480"/>
                  <wp:effectExtent l="0" t="0" r="6350" b="7620"/>
                  <wp:docPr id="42" name="Chart 42" descr="This figure presents data on the trends of production (output) of nickel and copper between August 1988 and September 2012. Quarterly data are indexed to 100 in June 2003." title="Production indexes of resources."/>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375066" w14:paraId="25957AFB" w14:textId="77777777" w:rsidTr="00155ADE">
        <w:trPr>
          <w:trHeight w:val="122"/>
        </w:trPr>
        <w:tc>
          <w:tcPr>
            <w:tcW w:w="4388" w:type="dxa"/>
          </w:tcPr>
          <w:p w14:paraId="7BB81546" w14:textId="41BF3817" w:rsidR="00375066" w:rsidRDefault="00375066" w:rsidP="00155ADE">
            <w:pPr>
              <w:pStyle w:val="Figure"/>
            </w:pPr>
            <w:r>
              <w:rPr>
                <w:noProof/>
              </w:rPr>
              <w:drawing>
                <wp:inline distT="0" distB="0" distL="0" distR="0" wp14:anchorId="7CF07F3E" wp14:editId="39FB587C">
                  <wp:extent cx="2784763" cy="1620982"/>
                  <wp:effectExtent l="0" t="0" r="0" b="0"/>
                  <wp:docPr id="43" name="Chart 43" descr="This figure presents data on the trends of production (output) of lead and silver between August 1988 and September 2012. Quarterly data are indexed to 100 in June 2003." title="Production indexes of resources. "/>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4389" w:type="dxa"/>
          </w:tcPr>
          <w:p w14:paraId="601520BA" w14:textId="5FD79B6D" w:rsidR="00375066" w:rsidRDefault="00375066" w:rsidP="00155ADE">
            <w:pPr>
              <w:pStyle w:val="Figure"/>
            </w:pPr>
            <w:r>
              <w:rPr>
                <w:noProof/>
              </w:rPr>
              <w:drawing>
                <wp:inline distT="0" distB="0" distL="0" distR="0" wp14:anchorId="6D5D3C9D" wp14:editId="30A80CAF">
                  <wp:extent cx="2718262" cy="1579418"/>
                  <wp:effectExtent l="0" t="0" r="6350" b="1905"/>
                  <wp:docPr id="44" name="Chart 44" descr="This figure presents data on the trends of production (output) of gold and zinc between August 1988 and September 2012. Quarterly data are indexed to 100 in June 2003." title="Production indexes of resources."/>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bl>
    <w:p w14:paraId="729BA8E0" w14:textId="0E908A94" w:rsidR="00375066" w:rsidRDefault="00375066" w:rsidP="00375066">
      <w:pPr>
        <w:pStyle w:val="Note"/>
      </w:pPr>
      <w:r>
        <w:rPr>
          <w:rStyle w:val="NoteLabel"/>
        </w:rPr>
        <w:t>a</w:t>
      </w:r>
      <w:r>
        <w:t xml:space="preserve"> Output for ‘Exploration and services to mining’ and ‘All mining’ </w:t>
      </w:r>
      <w:r w:rsidR="00335C46">
        <w:t xml:space="preserve">are financial year data and are </w:t>
      </w:r>
      <w:r>
        <w:t>based on a chain volume measure of gross value added as reported in ABS (2012</w:t>
      </w:r>
      <w:r w:rsidR="00335C46">
        <w:t>a</w:t>
      </w:r>
      <w:r>
        <w:t xml:space="preserve">). The annual data series were indexed to 100 </w:t>
      </w:r>
      <w:r w:rsidR="00096ACF">
        <w:t xml:space="preserve">relative to </w:t>
      </w:r>
      <w:r>
        <w:t>2002</w:t>
      </w:r>
      <w:r w:rsidR="00400858">
        <w:noBreakHyphen/>
      </w:r>
      <w:r>
        <w:t xml:space="preserve">03. </w:t>
      </w:r>
      <w:r w:rsidR="00155DEE">
        <w:t xml:space="preserve"> </w:t>
      </w:r>
      <w:r>
        <w:rPr>
          <w:rStyle w:val="NoteLabel"/>
        </w:rPr>
        <w:t>b</w:t>
      </w:r>
      <w:r>
        <w:t xml:space="preserve"> All other output data were drawn from quarterly mine production (tonnages or volume) data reported by </w:t>
      </w:r>
      <w:r w:rsidR="006C16A7">
        <w:t xml:space="preserve">ABARES (2011) and </w:t>
      </w:r>
      <w:r>
        <w:t>BREE (</w:t>
      </w:r>
      <w:r w:rsidR="005A1932">
        <w:t>2012b</w:t>
      </w:r>
      <w:r>
        <w:t>)</w:t>
      </w:r>
      <w:r w:rsidR="006C16A7">
        <w:t>,</w:t>
      </w:r>
      <w:r w:rsidR="00096ACF">
        <w:t xml:space="preserve"> and </w:t>
      </w:r>
      <w:r>
        <w:t xml:space="preserve">were indexed to 100 </w:t>
      </w:r>
      <w:r w:rsidR="00096ACF">
        <w:t xml:space="preserve">relative to the </w:t>
      </w:r>
      <w:r>
        <w:t>June quarter 2003.</w:t>
      </w:r>
      <w:r w:rsidR="004E2E67">
        <w:t xml:space="preserve"> </w:t>
      </w:r>
      <w:r w:rsidR="00117FFB">
        <w:t xml:space="preserve">There are breaks in the data for oil and gas between September 2006 and June 2009. </w:t>
      </w:r>
      <w:r w:rsidR="00155DEE">
        <w:t xml:space="preserve"> </w:t>
      </w:r>
      <w:r w:rsidR="004E2E67" w:rsidRPr="004E2E67">
        <w:rPr>
          <w:rStyle w:val="NoteLabel"/>
        </w:rPr>
        <w:t>c</w:t>
      </w:r>
      <w:r w:rsidR="004E2E67">
        <w:t xml:space="preserve"> </w:t>
      </w:r>
      <w:r w:rsidR="00A549F9" w:rsidRPr="007B5624">
        <w:t xml:space="preserve">The </w:t>
      </w:r>
      <w:r w:rsidR="00A549F9">
        <w:t>correspondence between the commodities appearing in the figures above and the industries</w:t>
      </w:r>
      <w:r w:rsidR="00020868">
        <w:t xml:space="preserve"> they belong to</w:t>
      </w:r>
      <w:r w:rsidR="00A549F9">
        <w:t xml:space="preserve"> is given</w:t>
      </w:r>
      <w:r w:rsidR="00A549F9" w:rsidRPr="007B5624">
        <w:t xml:space="preserve"> in appendix A.</w:t>
      </w:r>
    </w:p>
    <w:p w14:paraId="58AA9455" w14:textId="3FDC2F11" w:rsidR="00375066" w:rsidRDefault="00375066" w:rsidP="00375066">
      <w:pPr>
        <w:pStyle w:val="Source"/>
      </w:pPr>
      <w:r>
        <w:rPr>
          <w:i/>
        </w:rPr>
        <w:t>Sources</w:t>
      </w:r>
      <w:r>
        <w:t xml:space="preserve">: </w:t>
      </w:r>
      <w:r w:rsidR="000F47C2">
        <w:t>ABARES (2011);</w:t>
      </w:r>
      <w:r w:rsidR="006C16A7">
        <w:t xml:space="preserve"> </w:t>
      </w:r>
      <w:r>
        <w:t>BREE (</w:t>
      </w:r>
      <w:r w:rsidR="005A1932">
        <w:t>2012b</w:t>
      </w:r>
      <w:r>
        <w:t>); ABS (</w:t>
      </w:r>
      <w:r w:rsidRPr="00295D6F">
        <w:rPr>
          <w:i/>
        </w:rPr>
        <w:t>Australian System of National Accounts</w:t>
      </w:r>
      <w:r>
        <w:t>, Cat. no. 5204.0).</w:t>
      </w:r>
    </w:p>
    <w:p w14:paraId="280A51BF" w14:textId="32740FB0" w:rsidR="00335C46" w:rsidRDefault="00335C46" w:rsidP="00335C46">
      <w:pPr>
        <w:pStyle w:val="BodyText"/>
      </w:pPr>
      <w:r>
        <w:lastRenderedPageBreak/>
        <w:t xml:space="preserve">Second, </w:t>
      </w:r>
      <w:r w:rsidR="00A549F9">
        <w:t xml:space="preserve">for </w:t>
      </w:r>
      <w:r>
        <w:t xml:space="preserve">some </w:t>
      </w:r>
      <w:r w:rsidR="00A549F9">
        <w:t>commodities, output</w:t>
      </w:r>
      <w:r>
        <w:t xml:space="preserve"> expand</w:t>
      </w:r>
      <w:r w:rsidR="00A549F9">
        <w:t>ed</w:t>
      </w:r>
      <w:r>
        <w:t xml:space="preserve"> relatively quickly because </w:t>
      </w:r>
      <w:r w:rsidR="00A549F9">
        <w:t>of</w:t>
      </w:r>
      <w:r>
        <w:t xml:space="preserve"> access to known high</w:t>
      </w:r>
      <w:r>
        <w:noBreakHyphen/>
        <w:t xml:space="preserve">quality deposits and </w:t>
      </w:r>
      <w:r w:rsidR="00A549F9">
        <w:t>the ability of producers</w:t>
      </w:r>
      <w:r>
        <w:t xml:space="preserve"> to expand the capacity of their existing projects at relatively low cost. For example, the rapid growth in iron ore output after 2002</w:t>
      </w:r>
      <w:r>
        <w:noBreakHyphen/>
        <w:t xml:space="preserve">03 was partly the result of a relative abundance of iron ore reserves that could be readily accessed by expanding </w:t>
      </w:r>
      <w:r w:rsidRPr="003544B2">
        <w:t>existing</w:t>
      </w:r>
      <w:r>
        <w:t xml:space="preserve"> operations (Geoscience Australia 2012; Barber et al. 2012).</w:t>
      </w:r>
    </w:p>
    <w:p w14:paraId="3DD59299" w14:textId="52F064E7" w:rsidR="008F6382" w:rsidRDefault="005827A2" w:rsidP="007E79A6">
      <w:pPr>
        <w:pStyle w:val="BodyText"/>
      </w:pPr>
      <w:r>
        <w:t xml:space="preserve">Finally, </w:t>
      </w:r>
      <w:r w:rsidR="008F6382">
        <w:t xml:space="preserve">the ability of </w:t>
      </w:r>
      <w:r>
        <w:t xml:space="preserve">some </w:t>
      </w:r>
      <w:r w:rsidR="008F6382">
        <w:t>industries to increase output was limited by</w:t>
      </w:r>
      <w:r>
        <w:t xml:space="preserve"> diminishing reserves or grades</w:t>
      </w:r>
      <w:r w:rsidR="00486A42">
        <w:t xml:space="preserve"> of </w:t>
      </w:r>
      <w:r w:rsidR="00A549F9">
        <w:t xml:space="preserve">natural </w:t>
      </w:r>
      <w:r w:rsidR="006E261A">
        <w:t>resources</w:t>
      </w:r>
      <w:r>
        <w:t xml:space="preserve">. </w:t>
      </w:r>
      <w:r w:rsidR="008F6382">
        <w:t>For example, the output of crude oil and LPG declined after 2002</w:t>
      </w:r>
      <w:r w:rsidR="008F6382">
        <w:noBreakHyphen/>
        <w:t>03 because of diminishing economically demonstrated reserves (BREE 2012a; Barber et al. 2012; figure 6.3).</w:t>
      </w:r>
      <w:r w:rsidR="008F6382" w:rsidRPr="00C61509">
        <w:t xml:space="preserve"> </w:t>
      </w:r>
      <w:r w:rsidR="008F6382">
        <w:t>Similarly, gold production declined after 2002</w:t>
      </w:r>
      <w:r w:rsidR="008F6382">
        <w:noBreakHyphen/>
        <w:t>03 because of declining ore grades.</w:t>
      </w:r>
      <w:r w:rsidR="008F6382">
        <w:rPr>
          <w:rStyle w:val="FootnoteReference"/>
        </w:rPr>
        <w:footnoteReference w:id="4"/>
      </w:r>
      <w:r w:rsidR="008F6382" w:rsidRPr="008F6382">
        <w:t xml:space="preserve"> </w:t>
      </w:r>
      <w:r w:rsidR="008F6382">
        <w:t xml:space="preserve">The role of reserves as an enabler of output expansion underlines the importance of natural resources endowments for structural change (chapter 1). Such endowments are only partly a function of the total amount of minerals in the ground. They are more directly influenced by the </w:t>
      </w:r>
      <w:r w:rsidR="008F6382">
        <w:rPr>
          <w:i/>
        </w:rPr>
        <w:t>known</w:t>
      </w:r>
      <w:r w:rsidR="008F6382">
        <w:t xml:space="preserve"> amount of resources, which are a function of exploration activity. </w:t>
      </w:r>
    </w:p>
    <w:p w14:paraId="4BE1FFCB" w14:textId="3AA4CEA9" w:rsidR="00AD7E1B" w:rsidRDefault="008F6382" w:rsidP="00CD7555">
      <w:pPr>
        <w:pStyle w:val="BodyText"/>
      </w:pPr>
      <w:r>
        <w:t xml:space="preserve">In the short run, extraction </w:t>
      </w:r>
      <w:r w:rsidR="005827A2">
        <w:t xml:space="preserve">of </w:t>
      </w:r>
      <w:r w:rsidR="00CD58D8">
        <w:t>marginal deposits</w:t>
      </w:r>
      <w:r w:rsidR="005827A2">
        <w:t xml:space="preserve"> </w:t>
      </w:r>
      <w:r>
        <w:t>required</w:t>
      </w:r>
      <w:r w:rsidR="005827A2">
        <w:t xml:space="preserve"> substantia</w:t>
      </w:r>
      <w:r>
        <w:t>l</w:t>
      </w:r>
      <w:r w:rsidR="005827A2">
        <w:t xml:space="preserve"> </w:t>
      </w:r>
      <w:r>
        <w:t xml:space="preserve">expansion in </w:t>
      </w:r>
      <w:r w:rsidR="00A3607C">
        <w:t xml:space="preserve">the use of </w:t>
      </w:r>
      <w:r w:rsidR="005827A2">
        <w:t>variable input</w:t>
      </w:r>
      <w:r w:rsidR="00A3607C">
        <w:t>s</w:t>
      </w:r>
      <w:r w:rsidR="005827A2">
        <w:t xml:space="preserve"> (such as labour)</w:t>
      </w:r>
      <w:r>
        <w:t>. In the medium term,</w:t>
      </w:r>
      <w:r w:rsidR="005827A2">
        <w:t xml:space="preserve"> </w:t>
      </w:r>
      <w:r w:rsidR="00CD58D8">
        <w:t>undertaking</w:t>
      </w:r>
      <w:r w:rsidR="005827A2">
        <w:t xml:space="preserve"> additional on</w:t>
      </w:r>
      <w:r w:rsidR="003C7978">
        <w:noBreakHyphen/>
      </w:r>
      <w:r w:rsidR="005827A2">
        <w:t>site</w:t>
      </w:r>
      <w:r>
        <w:t xml:space="preserve"> or off-site</w:t>
      </w:r>
      <w:r w:rsidR="005827A2">
        <w:t xml:space="preserve"> investment</w:t>
      </w:r>
      <w:r>
        <w:t xml:space="preserve"> </w:t>
      </w:r>
      <w:r w:rsidR="00CD7555">
        <w:t xml:space="preserve">became </w:t>
      </w:r>
      <w:r w:rsidR="00C50938">
        <w:t>necessary</w:t>
      </w:r>
      <w:r w:rsidR="005827A2">
        <w:t xml:space="preserve">. </w:t>
      </w:r>
      <w:r w:rsidR="00CD7555">
        <w:t>M</w:t>
      </w:r>
      <w:r w:rsidR="00B83E8A">
        <w:t>any producers</w:t>
      </w:r>
      <w:r w:rsidR="00CD7555">
        <w:t xml:space="preserve"> thus undertook</w:t>
      </w:r>
      <w:r w:rsidR="007E79A6">
        <w:t xml:space="preserve"> large infrastructure investments </w:t>
      </w:r>
      <w:r w:rsidR="00B83E8A">
        <w:t>and</w:t>
      </w:r>
      <w:r w:rsidR="007E79A6">
        <w:t xml:space="preserve"> </w:t>
      </w:r>
      <w:r w:rsidR="00C50938">
        <w:t xml:space="preserve">consequent </w:t>
      </w:r>
      <w:r w:rsidR="007E79A6">
        <w:t>increases in output</w:t>
      </w:r>
      <w:r w:rsidR="00B83E8A">
        <w:t xml:space="preserve"> have yet to materialise</w:t>
      </w:r>
      <w:r w:rsidR="00AD7E1B">
        <w:t xml:space="preserve">. </w:t>
      </w:r>
      <w:r w:rsidR="005E679E">
        <w:t xml:space="preserve">Overall, </w:t>
      </w:r>
      <w:r w:rsidR="00E26848">
        <w:t>45</w:t>
      </w:r>
      <w:r w:rsidR="00AD7E1B">
        <w:t xml:space="preserve"> resource and resource</w:t>
      </w:r>
      <w:r w:rsidR="00517C92">
        <w:noBreakHyphen/>
      </w:r>
      <w:r w:rsidR="00AD7E1B">
        <w:t>related projects were completed between April</w:t>
      </w:r>
      <w:r w:rsidR="0018541B">
        <w:t xml:space="preserve"> </w:t>
      </w:r>
      <w:r w:rsidR="00AD7E1B">
        <w:t xml:space="preserve">2012 and </w:t>
      </w:r>
      <w:r w:rsidR="00E26848">
        <w:t xml:space="preserve">April 2013 </w:t>
      </w:r>
      <w:r w:rsidR="00AD7E1B">
        <w:t xml:space="preserve">(table 6.1). </w:t>
      </w:r>
      <w:r w:rsidR="00E26848">
        <w:t xml:space="preserve">While some </w:t>
      </w:r>
      <w:r w:rsidR="00920A34">
        <w:t xml:space="preserve">of these </w:t>
      </w:r>
      <w:r w:rsidR="00E26848">
        <w:t xml:space="preserve">projects are likely to be producing </w:t>
      </w:r>
      <w:r w:rsidR="00486A42">
        <w:t xml:space="preserve">at </w:t>
      </w:r>
      <w:r w:rsidR="00E26848">
        <w:t>full capacity</w:t>
      </w:r>
      <w:r w:rsidR="001C2476">
        <w:t xml:space="preserve"> already</w:t>
      </w:r>
      <w:r w:rsidR="00E26848">
        <w:t xml:space="preserve">, others </w:t>
      </w:r>
      <w:r w:rsidR="00920A34">
        <w:t xml:space="preserve">are </w:t>
      </w:r>
      <w:r w:rsidR="00E26848">
        <w:t>not</w:t>
      </w:r>
      <w:r w:rsidR="005E679E">
        <w:t xml:space="preserve">, suggesting that </w:t>
      </w:r>
      <w:r w:rsidR="00B379E8">
        <w:t xml:space="preserve">there is a prospect of </w:t>
      </w:r>
      <w:r w:rsidR="005E679E">
        <w:t>output increases</w:t>
      </w:r>
      <w:r w:rsidR="00486A42">
        <w:t xml:space="preserve"> after April 2013</w:t>
      </w:r>
      <w:r w:rsidR="00AD7E1B">
        <w:t xml:space="preserve">. Another </w:t>
      </w:r>
      <w:r w:rsidR="001C2476">
        <w:t>73 </w:t>
      </w:r>
      <w:r w:rsidR="00AD7E1B">
        <w:t xml:space="preserve">projects (as at </w:t>
      </w:r>
      <w:r w:rsidR="00E26848">
        <w:t>April 2013</w:t>
      </w:r>
      <w:r w:rsidR="00AD7E1B">
        <w:t xml:space="preserve">) have received a final investment decision and are about to start </w:t>
      </w:r>
      <w:r w:rsidR="00E26848">
        <w:t xml:space="preserve">or have started </w:t>
      </w:r>
      <w:r w:rsidR="00AD7E1B">
        <w:t>construction (table 6.1).</w:t>
      </w:r>
      <w:r w:rsidR="00AD7E1B">
        <w:rPr>
          <w:rStyle w:val="FootnoteReference"/>
        </w:rPr>
        <w:footnoteReference w:id="5"/>
      </w:r>
    </w:p>
    <w:p w14:paraId="5A29BC5A" w14:textId="404D55BC" w:rsidR="00AD7E1B" w:rsidRDefault="00C50938" w:rsidP="00AD7E1B">
      <w:pPr>
        <w:pStyle w:val="BodyText"/>
      </w:pPr>
      <w:r>
        <w:t>Recently-</w:t>
      </w:r>
      <w:r w:rsidR="007B1BBA">
        <w:t>completed investments have tended to be in non</w:t>
      </w:r>
      <w:r w:rsidR="00400858">
        <w:noBreakHyphen/>
      </w:r>
      <w:r w:rsidR="007B1BBA">
        <w:t>energy</w:t>
      </w:r>
      <w:r w:rsidR="00B83E8A">
        <w:t xml:space="preserve"> mineral</w:t>
      </w:r>
      <w:r w:rsidR="007B1BBA">
        <w:t xml:space="preserve"> commodities</w:t>
      </w:r>
      <w:r w:rsidR="00B83E8A">
        <w:t xml:space="preserve"> (such as copper and gold)</w:t>
      </w:r>
      <w:r w:rsidR="007B1BBA">
        <w:t>, whereas committed projects are dominated by energy commodities, in particular LNG, LPG and petroleum</w:t>
      </w:r>
      <w:r w:rsidR="00B83E8A">
        <w:t>, and infrastructure</w:t>
      </w:r>
      <w:r w:rsidR="00CD7555">
        <w:t xml:space="preserve"> facilities</w:t>
      </w:r>
      <w:r w:rsidR="007B1BBA">
        <w:t xml:space="preserve"> (</w:t>
      </w:r>
      <w:r w:rsidR="006C4EC7">
        <w:t>Barber et al. 2012</w:t>
      </w:r>
      <w:r w:rsidR="007B1BBA">
        <w:t>).</w:t>
      </w:r>
    </w:p>
    <w:p w14:paraId="381EEA16" w14:textId="00F98E5B" w:rsidR="00AD7E1B" w:rsidRDefault="00AD7E1B" w:rsidP="00AD7E1B">
      <w:pPr>
        <w:pStyle w:val="TableTitle"/>
      </w:pPr>
      <w:r>
        <w:rPr>
          <w:b w:val="0"/>
        </w:rPr>
        <w:lastRenderedPageBreak/>
        <w:t xml:space="preserve">Table </w:t>
      </w:r>
      <w:r w:rsidR="00FC6557" w:rsidRPr="00FC6557">
        <w:rPr>
          <w:b w:val="0"/>
        </w:rPr>
        <w:t>6.</w:t>
      </w:r>
      <w:r w:rsidR="00A30461">
        <w:rPr>
          <w:b w:val="0"/>
          <w:noProof/>
        </w:rPr>
        <w:t>1</w:t>
      </w:r>
      <w:r>
        <w:tab/>
      </w:r>
      <w:r w:rsidR="00FC3A27">
        <w:t>R</w:t>
      </w:r>
      <w:r>
        <w:t>ecently completed and committed natural resource projects</w:t>
      </w:r>
    </w:p>
    <w:tbl>
      <w:tblPr>
        <w:tblW w:w="5000" w:type="pct"/>
        <w:tblCellMar>
          <w:left w:w="0" w:type="dxa"/>
          <w:right w:w="0" w:type="dxa"/>
        </w:tblCellMar>
        <w:tblLook w:val="00A0" w:firstRow="1" w:lastRow="0" w:firstColumn="1" w:lastColumn="0" w:noHBand="0" w:noVBand="0"/>
      </w:tblPr>
      <w:tblGrid>
        <w:gridCol w:w="2835"/>
        <w:gridCol w:w="1489"/>
        <w:gridCol w:w="1489"/>
        <w:gridCol w:w="285"/>
        <w:gridCol w:w="1345"/>
        <w:gridCol w:w="1346"/>
      </w:tblGrid>
      <w:tr w:rsidR="00E95867" w14:paraId="53755E8A" w14:textId="77777777" w:rsidTr="00A468D6">
        <w:tc>
          <w:tcPr>
            <w:tcW w:w="1613" w:type="pct"/>
            <w:tcBorders>
              <w:top w:val="single" w:sz="6" w:space="0" w:color="auto"/>
              <w:left w:val="nil"/>
              <w:bottom w:val="nil"/>
              <w:right w:val="nil"/>
            </w:tcBorders>
          </w:tcPr>
          <w:p w14:paraId="15071195" w14:textId="77777777" w:rsidR="00E95867" w:rsidRDefault="00E95867" w:rsidP="00BB205E">
            <w:pPr>
              <w:pStyle w:val="TableColumnHeading"/>
              <w:jc w:val="left"/>
            </w:pPr>
          </w:p>
        </w:tc>
        <w:tc>
          <w:tcPr>
            <w:tcW w:w="1694" w:type="pct"/>
            <w:gridSpan w:val="2"/>
            <w:tcBorders>
              <w:top w:val="single" w:sz="6" w:space="0" w:color="auto"/>
              <w:left w:val="nil"/>
              <w:bottom w:val="single" w:sz="4" w:space="0" w:color="auto"/>
              <w:right w:val="nil"/>
            </w:tcBorders>
          </w:tcPr>
          <w:p w14:paraId="4B3A2E76" w14:textId="77777777" w:rsidR="00E95867" w:rsidRDefault="00E95867" w:rsidP="00486A42">
            <w:pPr>
              <w:pStyle w:val="TableColumnHeading"/>
              <w:jc w:val="center"/>
            </w:pPr>
            <w:r>
              <w:t>Recently completed</w:t>
            </w:r>
            <w:r>
              <w:rPr>
                <w:rStyle w:val="NoteLabel"/>
                <w:i w:val="0"/>
              </w:rPr>
              <w:t>a</w:t>
            </w:r>
          </w:p>
        </w:tc>
        <w:tc>
          <w:tcPr>
            <w:tcW w:w="162" w:type="pct"/>
            <w:tcBorders>
              <w:top w:val="single" w:sz="6" w:space="0" w:color="auto"/>
              <w:left w:val="nil"/>
              <w:bottom w:val="nil"/>
              <w:right w:val="nil"/>
            </w:tcBorders>
          </w:tcPr>
          <w:p w14:paraId="2DCD645E" w14:textId="77777777" w:rsidR="00E95867" w:rsidRDefault="00E95867" w:rsidP="00BB205E">
            <w:pPr>
              <w:pStyle w:val="TableColumnHeading"/>
              <w:ind w:right="28"/>
              <w:jc w:val="center"/>
            </w:pPr>
          </w:p>
        </w:tc>
        <w:tc>
          <w:tcPr>
            <w:tcW w:w="1531" w:type="pct"/>
            <w:gridSpan w:val="2"/>
            <w:tcBorders>
              <w:top w:val="single" w:sz="6" w:space="0" w:color="auto"/>
              <w:left w:val="nil"/>
              <w:bottom w:val="single" w:sz="4" w:space="0" w:color="auto"/>
              <w:right w:val="nil"/>
            </w:tcBorders>
          </w:tcPr>
          <w:p w14:paraId="12153A97" w14:textId="4A72B66E" w:rsidR="00E95867" w:rsidRDefault="00E95867" w:rsidP="00BB205E">
            <w:pPr>
              <w:pStyle w:val="TableColumnHeading"/>
              <w:ind w:right="28"/>
              <w:jc w:val="center"/>
            </w:pPr>
            <w:r>
              <w:t>Committed</w:t>
            </w:r>
            <w:r>
              <w:rPr>
                <w:rStyle w:val="NoteLabel"/>
                <w:i w:val="0"/>
              </w:rPr>
              <w:t>b</w:t>
            </w:r>
          </w:p>
        </w:tc>
      </w:tr>
      <w:tr w:rsidR="00E95867" w14:paraId="1B2A067C" w14:textId="77777777" w:rsidTr="00A468D6">
        <w:tc>
          <w:tcPr>
            <w:tcW w:w="1613" w:type="pct"/>
            <w:tcBorders>
              <w:top w:val="nil"/>
              <w:left w:val="nil"/>
              <w:bottom w:val="single" w:sz="6" w:space="0" w:color="auto"/>
              <w:right w:val="nil"/>
            </w:tcBorders>
          </w:tcPr>
          <w:p w14:paraId="58B8AA00" w14:textId="77777777" w:rsidR="00E95867" w:rsidRDefault="00E95867" w:rsidP="00BB205E">
            <w:pPr>
              <w:pStyle w:val="TableColumnHeading"/>
              <w:jc w:val="left"/>
            </w:pPr>
            <w:r>
              <w:t>Resource</w:t>
            </w:r>
          </w:p>
        </w:tc>
        <w:tc>
          <w:tcPr>
            <w:tcW w:w="847" w:type="pct"/>
            <w:tcBorders>
              <w:top w:val="single" w:sz="4" w:space="0" w:color="auto"/>
              <w:left w:val="nil"/>
              <w:bottom w:val="single" w:sz="6" w:space="0" w:color="auto"/>
              <w:right w:val="nil"/>
            </w:tcBorders>
          </w:tcPr>
          <w:p w14:paraId="3F5EA1FC" w14:textId="520298E7" w:rsidR="00E95867" w:rsidRDefault="00E95867" w:rsidP="00BB205E">
            <w:pPr>
              <w:pStyle w:val="TableColumnHeading"/>
            </w:pPr>
            <w:r>
              <w:t xml:space="preserve">No. of </w:t>
            </w:r>
            <w:r>
              <w:br/>
              <w:t>projects</w:t>
            </w:r>
          </w:p>
        </w:tc>
        <w:tc>
          <w:tcPr>
            <w:tcW w:w="847" w:type="pct"/>
            <w:tcBorders>
              <w:top w:val="single" w:sz="4" w:space="0" w:color="auto"/>
              <w:left w:val="nil"/>
              <w:bottom w:val="single" w:sz="6" w:space="0" w:color="auto"/>
              <w:right w:val="nil"/>
            </w:tcBorders>
          </w:tcPr>
          <w:p w14:paraId="2C790E2D" w14:textId="77777777" w:rsidR="00E95867" w:rsidRDefault="00E95867" w:rsidP="00BB205E">
            <w:pPr>
              <w:pStyle w:val="TableColumnHeading"/>
            </w:pPr>
            <w:r>
              <w:t>Investment value</w:t>
            </w:r>
          </w:p>
        </w:tc>
        <w:tc>
          <w:tcPr>
            <w:tcW w:w="162" w:type="pct"/>
            <w:tcBorders>
              <w:top w:val="nil"/>
              <w:left w:val="nil"/>
              <w:bottom w:val="single" w:sz="6" w:space="0" w:color="auto"/>
              <w:right w:val="nil"/>
            </w:tcBorders>
          </w:tcPr>
          <w:p w14:paraId="24EC9C5B" w14:textId="77777777" w:rsidR="00E95867" w:rsidRDefault="00E95867" w:rsidP="00BB205E">
            <w:pPr>
              <w:pStyle w:val="TableColumnHeading"/>
            </w:pPr>
          </w:p>
        </w:tc>
        <w:tc>
          <w:tcPr>
            <w:tcW w:w="765" w:type="pct"/>
            <w:tcBorders>
              <w:top w:val="single" w:sz="4" w:space="0" w:color="auto"/>
              <w:left w:val="nil"/>
              <w:bottom w:val="single" w:sz="6" w:space="0" w:color="auto"/>
              <w:right w:val="nil"/>
            </w:tcBorders>
          </w:tcPr>
          <w:p w14:paraId="3B218EB8" w14:textId="3B902BC9" w:rsidR="00E95867" w:rsidRDefault="00E95867" w:rsidP="00BB205E">
            <w:pPr>
              <w:pStyle w:val="TableColumnHeading"/>
            </w:pPr>
            <w:r>
              <w:t xml:space="preserve">No. of </w:t>
            </w:r>
            <w:r>
              <w:br/>
              <w:t>projects</w:t>
            </w:r>
          </w:p>
        </w:tc>
        <w:tc>
          <w:tcPr>
            <w:tcW w:w="766" w:type="pct"/>
            <w:tcBorders>
              <w:top w:val="single" w:sz="4" w:space="0" w:color="auto"/>
              <w:left w:val="nil"/>
              <w:bottom w:val="single" w:sz="6" w:space="0" w:color="auto"/>
              <w:right w:val="nil"/>
            </w:tcBorders>
          </w:tcPr>
          <w:p w14:paraId="116CEF6E" w14:textId="77777777" w:rsidR="00E95867" w:rsidRDefault="00E95867" w:rsidP="00BB205E">
            <w:pPr>
              <w:pStyle w:val="TableColumnHeading"/>
              <w:ind w:right="28"/>
            </w:pPr>
            <w:r>
              <w:t>Investment value</w:t>
            </w:r>
          </w:p>
        </w:tc>
      </w:tr>
      <w:tr w:rsidR="00E95867" w14:paraId="6F78CD85" w14:textId="77777777" w:rsidTr="00A468D6">
        <w:tc>
          <w:tcPr>
            <w:tcW w:w="1613" w:type="pct"/>
            <w:tcBorders>
              <w:top w:val="single" w:sz="6" w:space="0" w:color="auto"/>
              <w:left w:val="nil"/>
              <w:bottom w:val="nil"/>
              <w:right w:val="nil"/>
            </w:tcBorders>
          </w:tcPr>
          <w:p w14:paraId="36478D60" w14:textId="77777777" w:rsidR="00E95867" w:rsidRDefault="00E95867" w:rsidP="00BB205E">
            <w:pPr>
              <w:pStyle w:val="TableUnitsRow"/>
              <w:jc w:val="left"/>
            </w:pPr>
          </w:p>
        </w:tc>
        <w:tc>
          <w:tcPr>
            <w:tcW w:w="847" w:type="pct"/>
            <w:tcBorders>
              <w:top w:val="single" w:sz="6" w:space="0" w:color="auto"/>
              <w:left w:val="nil"/>
              <w:bottom w:val="nil"/>
              <w:right w:val="nil"/>
            </w:tcBorders>
          </w:tcPr>
          <w:p w14:paraId="72077CE8" w14:textId="77777777" w:rsidR="00E95867" w:rsidRDefault="00E95867" w:rsidP="00BB205E">
            <w:pPr>
              <w:pStyle w:val="TableUnitsRow"/>
            </w:pPr>
          </w:p>
        </w:tc>
        <w:tc>
          <w:tcPr>
            <w:tcW w:w="847" w:type="pct"/>
            <w:tcBorders>
              <w:top w:val="single" w:sz="6" w:space="0" w:color="auto"/>
              <w:left w:val="nil"/>
              <w:bottom w:val="nil"/>
              <w:right w:val="nil"/>
            </w:tcBorders>
          </w:tcPr>
          <w:p w14:paraId="244FB2BD" w14:textId="77777777" w:rsidR="00E95867" w:rsidRDefault="00E95867" w:rsidP="00BB205E">
            <w:pPr>
              <w:pStyle w:val="TableUnitsRow"/>
            </w:pPr>
            <w:r>
              <w:t>$m</w:t>
            </w:r>
          </w:p>
        </w:tc>
        <w:tc>
          <w:tcPr>
            <w:tcW w:w="162" w:type="pct"/>
            <w:tcBorders>
              <w:top w:val="single" w:sz="6" w:space="0" w:color="auto"/>
              <w:left w:val="nil"/>
              <w:bottom w:val="nil"/>
              <w:right w:val="nil"/>
            </w:tcBorders>
          </w:tcPr>
          <w:p w14:paraId="715A060C" w14:textId="77777777" w:rsidR="00E95867" w:rsidRDefault="00E95867" w:rsidP="00BB205E">
            <w:pPr>
              <w:pStyle w:val="TableUnitsRow"/>
            </w:pPr>
          </w:p>
        </w:tc>
        <w:tc>
          <w:tcPr>
            <w:tcW w:w="765" w:type="pct"/>
            <w:tcBorders>
              <w:top w:val="single" w:sz="6" w:space="0" w:color="auto"/>
              <w:left w:val="nil"/>
              <w:bottom w:val="nil"/>
              <w:right w:val="nil"/>
            </w:tcBorders>
          </w:tcPr>
          <w:p w14:paraId="2088CA10" w14:textId="24371CD6" w:rsidR="00E95867" w:rsidRDefault="00E95867" w:rsidP="00BB205E">
            <w:pPr>
              <w:pStyle w:val="TableUnitsRow"/>
            </w:pPr>
          </w:p>
        </w:tc>
        <w:tc>
          <w:tcPr>
            <w:tcW w:w="766" w:type="pct"/>
            <w:tcBorders>
              <w:top w:val="single" w:sz="6" w:space="0" w:color="auto"/>
              <w:left w:val="nil"/>
              <w:bottom w:val="nil"/>
              <w:right w:val="nil"/>
            </w:tcBorders>
          </w:tcPr>
          <w:p w14:paraId="3ABC93A4" w14:textId="77777777" w:rsidR="00E95867" w:rsidRDefault="00E95867" w:rsidP="00BB205E">
            <w:pPr>
              <w:pStyle w:val="TableUnitsRow"/>
              <w:ind w:right="28"/>
            </w:pPr>
            <w:r>
              <w:t>$m</w:t>
            </w:r>
          </w:p>
        </w:tc>
      </w:tr>
      <w:tr w:rsidR="00E95867" w14:paraId="22CB20C9" w14:textId="77777777" w:rsidTr="00A468D6">
        <w:tc>
          <w:tcPr>
            <w:tcW w:w="1613" w:type="pct"/>
          </w:tcPr>
          <w:p w14:paraId="08716A72" w14:textId="77777777" w:rsidR="00E95867" w:rsidRDefault="00E95867" w:rsidP="00BB205E">
            <w:pPr>
              <w:pStyle w:val="TableBodyText"/>
              <w:ind w:left="0"/>
              <w:jc w:val="left"/>
            </w:pPr>
            <w:r>
              <w:t xml:space="preserve">Bauxite, alumina, aluminium </w:t>
            </w:r>
          </w:p>
        </w:tc>
        <w:tc>
          <w:tcPr>
            <w:tcW w:w="847" w:type="pct"/>
          </w:tcPr>
          <w:p w14:paraId="020D45F3" w14:textId="77777777" w:rsidR="00E95867" w:rsidRDefault="00E95867" w:rsidP="00BB205E">
            <w:pPr>
              <w:pStyle w:val="TableBodyText"/>
            </w:pPr>
            <w:r>
              <w:t>2</w:t>
            </w:r>
          </w:p>
        </w:tc>
        <w:tc>
          <w:tcPr>
            <w:tcW w:w="847" w:type="pct"/>
          </w:tcPr>
          <w:p w14:paraId="52412709" w14:textId="77777777" w:rsidR="00E95867" w:rsidRDefault="00E95867" w:rsidP="00BB205E">
            <w:pPr>
              <w:pStyle w:val="TableBodyText"/>
            </w:pPr>
            <w:r>
              <w:t>3 185</w:t>
            </w:r>
          </w:p>
        </w:tc>
        <w:tc>
          <w:tcPr>
            <w:tcW w:w="162" w:type="pct"/>
          </w:tcPr>
          <w:p w14:paraId="0DC84773" w14:textId="77777777" w:rsidR="00E95867" w:rsidRDefault="00E95867" w:rsidP="00BB205E">
            <w:pPr>
              <w:pStyle w:val="TableBodyText"/>
            </w:pPr>
          </w:p>
        </w:tc>
        <w:tc>
          <w:tcPr>
            <w:tcW w:w="765" w:type="pct"/>
          </w:tcPr>
          <w:p w14:paraId="2883611C" w14:textId="25A6DF11" w:rsidR="00E95867" w:rsidRDefault="00E95867" w:rsidP="00BB205E">
            <w:pPr>
              <w:pStyle w:val="TableBodyText"/>
            </w:pPr>
            <w:r>
              <w:t>–</w:t>
            </w:r>
          </w:p>
        </w:tc>
        <w:tc>
          <w:tcPr>
            <w:tcW w:w="766" w:type="pct"/>
          </w:tcPr>
          <w:p w14:paraId="53313BAC" w14:textId="77777777" w:rsidR="00E95867" w:rsidRDefault="00E95867" w:rsidP="00BB205E">
            <w:pPr>
              <w:pStyle w:val="TableBodyText"/>
              <w:ind w:right="28"/>
            </w:pPr>
            <w:r>
              <w:t>–</w:t>
            </w:r>
          </w:p>
        </w:tc>
      </w:tr>
      <w:tr w:rsidR="00E95867" w14:paraId="1C63453C" w14:textId="77777777" w:rsidTr="00A468D6">
        <w:tc>
          <w:tcPr>
            <w:tcW w:w="1613" w:type="pct"/>
          </w:tcPr>
          <w:p w14:paraId="65B576B0" w14:textId="77777777" w:rsidR="00E95867" w:rsidRDefault="00E95867" w:rsidP="00BB205E">
            <w:pPr>
              <w:pStyle w:val="TableBodyText"/>
              <w:ind w:left="0"/>
              <w:jc w:val="left"/>
            </w:pPr>
            <w:r>
              <w:t>Coal</w:t>
            </w:r>
            <w:r>
              <w:tab/>
            </w:r>
          </w:p>
        </w:tc>
        <w:tc>
          <w:tcPr>
            <w:tcW w:w="847" w:type="pct"/>
          </w:tcPr>
          <w:p w14:paraId="7D973C90" w14:textId="57106AA3" w:rsidR="00E95867" w:rsidRDefault="00E95867" w:rsidP="00BB205E">
            <w:pPr>
              <w:pStyle w:val="TableBodyText"/>
            </w:pPr>
            <w:r>
              <w:t>11</w:t>
            </w:r>
          </w:p>
        </w:tc>
        <w:tc>
          <w:tcPr>
            <w:tcW w:w="847" w:type="pct"/>
          </w:tcPr>
          <w:p w14:paraId="2DFB5F78" w14:textId="2BD7D3FF" w:rsidR="00E95867" w:rsidRDefault="00E95867" w:rsidP="00BB205E">
            <w:pPr>
              <w:pStyle w:val="TableBodyText"/>
            </w:pPr>
            <w:r>
              <w:t>4 258</w:t>
            </w:r>
          </w:p>
        </w:tc>
        <w:tc>
          <w:tcPr>
            <w:tcW w:w="162" w:type="pct"/>
          </w:tcPr>
          <w:p w14:paraId="1079A600" w14:textId="77777777" w:rsidR="00E95867" w:rsidRDefault="00E95867" w:rsidP="00BB205E">
            <w:pPr>
              <w:pStyle w:val="TableBodyText"/>
            </w:pPr>
          </w:p>
        </w:tc>
        <w:tc>
          <w:tcPr>
            <w:tcW w:w="765" w:type="pct"/>
          </w:tcPr>
          <w:p w14:paraId="1F8A3B83" w14:textId="5769CA10" w:rsidR="00E95867" w:rsidRDefault="00E95867" w:rsidP="00BB205E">
            <w:pPr>
              <w:pStyle w:val="TableBodyText"/>
            </w:pPr>
            <w:r>
              <w:t>16</w:t>
            </w:r>
          </w:p>
        </w:tc>
        <w:tc>
          <w:tcPr>
            <w:tcW w:w="766" w:type="pct"/>
          </w:tcPr>
          <w:p w14:paraId="1519DDEB" w14:textId="3D4B22E7" w:rsidR="00E95867" w:rsidRDefault="00E95867" w:rsidP="00BB205E">
            <w:pPr>
              <w:pStyle w:val="TableBodyText"/>
              <w:ind w:right="28"/>
            </w:pPr>
            <w:r>
              <w:t>14 194</w:t>
            </w:r>
          </w:p>
        </w:tc>
      </w:tr>
      <w:tr w:rsidR="00E95867" w14:paraId="722E8C45" w14:textId="77777777" w:rsidTr="00A468D6">
        <w:tc>
          <w:tcPr>
            <w:tcW w:w="1613" w:type="pct"/>
          </w:tcPr>
          <w:p w14:paraId="2763BF81" w14:textId="0686D67B" w:rsidR="00E95867" w:rsidRDefault="00E95867" w:rsidP="00BB205E">
            <w:pPr>
              <w:pStyle w:val="TableBodyText"/>
              <w:ind w:left="0"/>
              <w:jc w:val="left"/>
            </w:pPr>
            <w:r>
              <w:t>Copper, gold</w:t>
            </w:r>
            <w:r w:rsidRPr="00186C4C">
              <w:rPr>
                <w:rStyle w:val="NoteLabel"/>
              </w:rPr>
              <w:t>c</w:t>
            </w:r>
          </w:p>
        </w:tc>
        <w:tc>
          <w:tcPr>
            <w:tcW w:w="847" w:type="pct"/>
          </w:tcPr>
          <w:p w14:paraId="38B66DE3" w14:textId="7DDEE8FF" w:rsidR="00E95867" w:rsidRDefault="00E95867" w:rsidP="00BB205E">
            <w:pPr>
              <w:pStyle w:val="TableBodyText"/>
            </w:pPr>
            <w:r>
              <w:t>13</w:t>
            </w:r>
          </w:p>
        </w:tc>
        <w:tc>
          <w:tcPr>
            <w:tcW w:w="847" w:type="pct"/>
          </w:tcPr>
          <w:p w14:paraId="49A275E1" w14:textId="6B9D874E" w:rsidR="00E95867" w:rsidRDefault="00E95867" w:rsidP="00BB205E">
            <w:pPr>
              <w:pStyle w:val="TableBodyText"/>
            </w:pPr>
            <w:r>
              <w:t>3 816</w:t>
            </w:r>
          </w:p>
        </w:tc>
        <w:tc>
          <w:tcPr>
            <w:tcW w:w="162" w:type="pct"/>
          </w:tcPr>
          <w:p w14:paraId="6C39C1A7" w14:textId="77777777" w:rsidR="00E95867" w:rsidRDefault="00E95867" w:rsidP="00BB205E">
            <w:pPr>
              <w:pStyle w:val="TableBodyText"/>
            </w:pPr>
          </w:p>
        </w:tc>
        <w:tc>
          <w:tcPr>
            <w:tcW w:w="765" w:type="pct"/>
          </w:tcPr>
          <w:p w14:paraId="78911F76" w14:textId="25E20DD7" w:rsidR="00E95867" w:rsidRDefault="00E95867" w:rsidP="00BB205E">
            <w:pPr>
              <w:pStyle w:val="TableBodyText"/>
            </w:pPr>
            <w:r>
              <w:t>8</w:t>
            </w:r>
          </w:p>
        </w:tc>
        <w:tc>
          <w:tcPr>
            <w:tcW w:w="766" w:type="pct"/>
          </w:tcPr>
          <w:p w14:paraId="7270F331" w14:textId="1D9F9C68" w:rsidR="00E95867" w:rsidRDefault="00E95867" w:rsidP="00BB205E">
            <w:pPr>
              <w:pStyle w:val="TableBodyText"/>
              <w:ind w:right="28"/>
            </w:pPr>
            <w:r>
              <w:t>1 759</w:t>
            </w:r>
          </w:p>
        </w:tc>
      </w:tr>
      <w:tr w:rsidR="00E95867" w14:paraId="3B262335" w14:textId="77777777" w:rsidTr="00A468D6">
        <w:tc>
          <w:tcPr>
            <w:tcW w:w="1613" w:type="pct"/>
          </w:tcPr>
          <w:p w14:paraId="7EC81B70" w14:textId="285FC626" w:rsidR="00E95867" w:rsidRDefault="00E95867" w:rsidP="00BB205E">
            <w:pPr>
              <w:pStyle w:val="TableBodyText"/>
              <w:ind w:left="0"/>
              <w:jc w:val="left"/>
            </w:pPr>
            <w:r>
              <w:t>Infrastructure</w:t>
            </w:r>
            <w:r w:rsidR="00CD7555">
              <w:rPr>
                <w:rStyle w:val="NoteLabel"/>
              </w:rPr>
              <w:t>d</w:t>
            </w:r>
          </w:p>
        </w:tc>
        <w:tc>
          <w:tcPr>
            <w:tcW w:w="847" w:type="pct"/>
          </w:tcPr>
          <w:p w14:paraId="5DD198F0" w14:textId="0F3FF496" w:rsidR="00E95867" w:rsidRDefault="00E95867" w:rsidP="00BB205E">
            <w:pPr>
              <w:pStyle w:val="TableBodyText"/>
            </w:pPr>
            <w:r>
              <w:t>na</w:t>
            </w:r>
          </w:p>
        </w:tc>
        <w:tc>
          <w:tcPr>
            <w:tcW w:w="847" w:type="pct"/>
          </w:tcPr>
          <w:p w14:paraId="4CE515C4" w14:textId="2396D7D0" w:rsidR="00E95867" w:rsidRDefault="00E95867" w:rsidP="00BB205E">
            <w:pPr>
              <w:pStyle w:val="TableBodyText"/>
            </w:pPr>
            <w:r>
              <w:t>na</w:t>
            </w:r>
          </w:p>
        </w:tc>
        <w:tc>
          <w:tcPr>
            <w:tcW w:w="162" w:type="pct"/>
          </w:tcPr>
          <w:p w14:paraId="347C4471" w14:textId="77777777" w:rsidR="00E95867" w:rsidRDefault="00E95867" w:rsidP="00BB205E">
            <w:pPr>
              <w:pStyle w:val="TableBodyText"/>
            </w:pPr>
          </w:p>
        </w:tc>
        <w:tc>
          <w:tcPr>
            <w:tcW w:w="765" w:type="pct"/>
          </w:tcPr>
          <w:p w14:paraId="0B80CD3C" w14:textId="7EC7079E" w:rsidR="00E95867" w:rsidRDefault="00E95867" w:rsidP="00BB205E">
            <w:pPr>
              <w:pStyle w:val="TableBodyText"/>
            </w:pPr>
            <w:r>
              <w:t>15</w:t>
            </w:r>
          </w:p>
        </w:tc>
        <w:tc>
          <w:tcPr>
            <w:tcW w:w="766" w:type="pct"/>
          </w:tcPr>
          <w:p w14:paraId="674E1FC8" w14:textId="39BFC411" w:rsidR="00E95867" w:rsidRDefault="00E95867" w:rsidP="00BB205E">
            <w:pPr>
              <w:pStyle w:val="TableBodyText"/>
              <w:ind w:right="28"/>
            </w:pPr>
            <w:r>
              <w:t>21 067</w:t>
            </w:r>
          </w:p>
        </w:tc>
      </w:tr>
      <w:tr w:rsidR="00E95867" w14:paraId="3ED2ADEA" w14:textId="77777777" w:rsidTr="00A468D6">
        <w:tc>
          <w:tcPr>
            <w:tcW w:w="1613" w:type="pct"/>
          </w:tcPr>
          <w:p w14:paraId="41218324" w14:textId="5F98F200" w:rsidR="00E95867" w:rsidRDefault="00E95867" w:rsidP="00CD7555">
            <w:pPr>
              <w:pStyle w:val="TableBodyText"/>
              <w:ind w:left="0"/>
              <w:jc w:val="left"/>
            </w:pPr>
            <w:r>
              <w:t xml:space="preserve">Iron </w:t>
            </w:r>
            <w:r w:rsidR="00CD7555">
              <w:t>ore</w:t>
            </w:r>
          </w:p>
        </w:tc>
        <w:tc>
          <w:tcPr>
            <w:tcW w:w="847" w:type="pct"/>
          </w:tcPr>
          <w:p w14:paraId="3DB0E295" w14:textId="5CF500D1" w:rsidR="00E95867" w:rsidRDefault="00E95867" w:rsidP="00BB205E">
            <w:pPr>
              <w:pStyle w:val="TableBodyText"/>
            </w:pPr>
            <w:r>
              <w:t>10</w:t>
            </w:r>
          </w:p>
        </w:tc>
        <w:tc>
          <w:tcPr>
            <w:tcW w:w="847" w:type="pct"/>
          </w:tcPr>
          <w:p w14:paraId="45F13430" w14:textId="3E2D4431" w:rsidR="00E95867" w:rsidRDefault="00E95867" w:rsidP="00BB205E">
            <w:pPr>
              <w:pStyle w:val="TableBodyText"/>
            </w:pPr>
            <w:r>
              <w:t>9 832</w:t>
            </w:r>
          </w:p>
        </w:tc>
        <w:tc>
          <w:tcPr>
            <w:tcW w:w="162" w:type="pct"/>
          </w:tcPr>
          <w:p w14:paraId="0D84EA63" w14:textId="77777777" w:rsidR="00E95867" w:rsidRDefault="00E95867" w:rsidP="00BB205E">
            <w:pPr>
              <w:pStyle w:val="TableBodyText"/>
            </w:pPr>
          </w:p>
        </w:tc>
        <w:tc>
          <w:tcPr>
            <w:tcW w:w="765" w:type="pct"/>
          </w:tcPr>
          <w:p w14:paraId="516BE8E8" w14:textId="1E5A6943" w:rsidR="00E95867" w:rsidRDefault="00E95867" w:rsidP="00BB205E">
            <w:pPr>
              <w:pStyle w:val="TableBodyText"/>
            </w:pPr>
            <w:r>
              <w:t>8</w:t>
            </w:r>
          </w:p>
        </w:tc>
        <w:tc>
          <w:tcPr>
            <w:tcW w:w="766" w:type="pct"/>
          </w:tcPr>
          <w:p w14:paraId="33D2F375" w14:textId="6982761E" w:rsidR="00E95867" w:rsidRDefault="00E95867" w:rsidP="00BB205E">
            <w:pPr>
              <w:pStyle w:val="TableBodyText"/>
              <w:ind w:right="28"/>
            </w:pPr>
            <w:r>
              <w:t>22 022</w:t>
            </w:r>
          </w:p>
        </w:tc>
      </w:tr>
      <w:tr w:rsidR="00E95867" w14:paraId="66A6DB42" w14:textId="77777777" w:rsidTr="00A468D6">
        <w:tc>
          <w:tcPr>
            <w:tcW w:w="1613" w:type="pct"/>
          </w:tcPr>
          <w:p w14:paraId="3366BEC1" w14:textId="77777777" w:rsidR="00E95867" w:rsidRDefault="00E95867" w:rsidP="00BB205E">
            <w:pPr>
              <w:pStyle w:val="TableBodyText"/>
              <w:ind w:left="0"/>
              <w:jc w:val="left"/>
            </w:pPr>
            <w:r>
              <w:t>Lead, zinc, silver</w:t>
            </w:r>
          </w:p>
        </w:tc>
        <w:tc>
          <w:tcPr>
            <w:tcW w:w="847" w:type="pct"/>
          </w:tcPr>
          <w:p w14:paraId="07B0B64D" w14:textId="77777777" w:rsidR="00E95867" w:rsidRDefault="00E95867" w:rsidP="00BB205E">
            <w:pPr>
              <w:pStyle w:val="TableBodyText"/>
            </w:pPr>
            <w:r>
              <w:t>1</w:t>
            </w:r>
          </w:p>
        </w:tc>
        <w:tc>
          <w:tcPr>
            <w:tcW w:w="847" w:type="pct"/>
          </w:tcPr>
          <w:p w14:paraId="214E66B1" w14:textId="77777777" w:rsidR="00E95867" w:rsidRDefault="00E95867" w:rsidP="00BB205E">
            <w:pPr>
              <w:pStyle w:val="TableBodyText"/>
            </w:pPr>
            <w:r>
              <w:t>303</w:t>
            </w:r>
          </w:p>
        </w:tc>
        <w:tc>
          <w:tcPr>
            <w:tcW w:w="162" w:type="pct"/>
          </w:tcPr>
          <w:p w14:paraId="5F55B6ED" w14:textId="77777777" w:rsidR="00E95867" w:rsidRDefault="00E95867" w:rsidP="00BB205E">
            <w:pPr>
              <w:pStyle w:val="TableBodyText"/>
            </w:pPr>
          </w:p>
        </w:tc>
        <w:tc>
          <w:tcPr>
            <w:tcW w:w="765" w:type="pct"/>
          </w:tcPr>
          <w:p w14:paraId="57C6490D" w14:textId="3F209089" w:rsidR="00E95867" w:rsidRDefault="00E95867" w:rsidP="00BB205E">
            <w:pPr>
              <w:pStyle w:val="TableBodyText"/>
            </w:pPr>
            <w:r>
              <w:t>4</w:t>
            </w:r>
          </w:p>
        </w:tc>
        <w:tc>
          <w:tcPr>
            <w:tcW w:w="766" w:type="pct"/>
          </w:tcPr>
          <w:p w14:paraId="6CED4CC4" w14:textId="3B232802" w:rsidR="00E95867" w:rsidRDefault="00E95867" w:rsidP="00BB205E">
            <w:pPr>
              <w:pStyle w:val="TableBodyText"/>
              <w:ind w:right="28"/>
            </w:pPr>
            <w:r>
              <w:t>1 933</w:t>
            </w:r>
          </w:p>
        </w:tc>
      </w:tr>
      <w:tr w:rsidR="00E95867" w14:paraId="19A81324" w14:textId="77777777" w:rsidTr="00A468D6">
        <w:tc>
          <w:tcPr>
            <w:tcW w:w="1613" w:type="pct"/>
          </w:tcPr>
          <w:p w14:paraId="2A366DEF" w14:textId="77777777" w:rsidR="00E95867" w:rsidRDefault="00E95867" w:rsidP="00BB205E">
            <w:pPr>
              <w:pStyle w:val="TableBodyText"/>
              <w:ind w:left="0"/>
              <w:jc w:val="left"/>
            </w:pPr>
            <w:r>
              <w:t>LNG, LPG, petroleum</w:t>
            </w:r>
          </w:p>
        </w:tc>
        <w:tc>
          <w:tcPr>
            <w:tcW w:w="847" w:type="pct"/>
          </w:tcPr>
          <w:p w14:paraId="05244671" w14:textId="4EC29CF5" w:rsidR="00E95867" w:rsidRDefault="00E95867" w:rsidP="00BB205E">
            <w:pPr>
              <w:pStyle w:val="TableBodyText"/>
            </w:pPr>
            <w:r>
              <w:t>3</w:t>
            </w:r>
          </w:p>
        </w:tc>
        <w:tc>
          <w:tcPr>
            <w:tcW w:w="847" w:type="pct"/>
          </w:tcPr>
          <w:p w14:paraId="5BAEFDA5" w14:textId="1B0C40BE" w:rsidR="00E95867" w:rsidRDefault="00E95867" w:rsidP="00BB205E">
            <w:pPr>
              <w:pStyle w:val="TableBodyText"/>
            </w:pPr>
            <w:r>
              <w:t>2 240</w:t>
            </w:r>
          </w:p>
        </w:tc>
        <w:tc>
          <w:tcPr>
            <w:tcW w:w="162" w:type="pct"/>
          </w:tcPr>
          <w:p w14:paraId="19288A99" w14:textId="77777777" w:rsidR="00E95867" w:rsidRDefault="00E95867" w:rsidP="00BB205E">
            <w:pPr>
              <w:pStyle w:val="TableBodyText"/>
            </w:pPr>
          </w:p>
        </w:tc>
        <w:tc>
          <w:tcPr>
            <w:tcW w:w="765" w:type="pct"/>
          </w:tcPr>
          <w:p w14:paraId="63457D4E" w14:textId="76579629" w:rsidR="00E95867" w:rsidRDefault="00E95867" w:rsidP="00BB205E">
            <w:pPr>
              <w:pStyle w:val="TableBodyText"/>
            </w:pPr>
            <w:r>
              <w:t>18</w:t>
            </w:r>
          </w:p>
        </w:tc>
        <w:tc>
          <w:tcPr>
            <w:tcW w:w="766" w:type="pct"/>
          </w:tcPr>
          <w:p w14:paraId="7BE4F56B" w14:textId="401C756A" w:rsidR="00E95867" w:rsidRDefault="00E95867" w:rsidP="00BB205E">
            <w:pPr>
              <w:pStyle w:val="TableBodyText"/>
              <w:ind w:right="28"/>
            </w:pPr>
            <w:r>
              <w:t>204 912</w:t>
            </w:r>
          </w:p>
        </w:tc>
      </w:tr>
      <w:tr w:rsidR="00E95867" w14:paraId="2E9AF152" w14:textId="77777777" w:rsidTr="00A468D6">
        <w:tc>
          <w:tcPr>
            <w:tcW w:w="1613" w:type="pct"/>
          </w:tcPr>
          <w:p w14:paraId="5EBD99A9" w14:textId="77777777" w:rsidR="00E95867" w:rsidRDefault="00E95867" w:rsidP="00BB205E">
            <w:pPr>
              <w:pStyle w:val="TableBodyText"/>
              <w:ind w:left="0"/>
              <w:jc w:val="left"/>
            </w:pPr>
            <w:r>
              <w:t>Other commodities</w:t>
            </w:r>
          </w:p>
        </w:tc>
        <w:tc>
          <w:tcPr>
            <w:tcW w:w="847" w:type="pct"/>
          </w:tcPr>
          <w:p w14:paraId="2ABCBFEA" w14:textId="1ED14CC9" w:rsidR="00E95867" w:rsidRDefault="00E95867" w:rsidP="00BB205E">
            <w:pPr>
              <w:pStyle w:val="TableBodyText"/>
            </w:pPr>
            <w:r>
              <w:t>5</w:t>
            </w:r>
          </w:p>
        </w:tc>
        <w:tc>
          <w:tcPr>
            <w:tcW w:w="847" w:type="pct"/>
          </w:tcPr>
          <w:p w14:paraId="261B2D7B" w14:textId="5E7B765C" w:rsidR="00E95867" w:rsidRDefault="00E95867" w:rsidP="00BB205E">
            <w:pPr>
              <w:pStyle w:val="TableBodyText"/>
            </w:pPr>
            <w:r>
              <w:t>3 582</w:t>
            </w:r>
          </w:p>
        </w:tc>
        <w:tc>
          <w:tcPr>
            <w:tcW w:w="162" w:type="pct"/>
          </w:tcPr>
          <w:p w14:paraId="67DBCE41" w14:textId="77777777" w:rsidR="00E95867" w:rsidRDefault="00E95867" w:rsidP="00BB205E">
            <w:pPr>
              <w:pStyle w:val="TableBodyText"/>
            </w:pPr>
          </w:p>
        </w:tc>
        <w:tc>
          <w:tcPr>
            <w:tcW w:w="765" w:type="pct"/>
          </w:tcPr>
          <w:p w14:paraId="7BAC875F" w14:textId="4359D20B" w:rsidR="00E95867" w:rsidRDefault="00E95867" w:rsidP="00BB205E">
            <w:pPr>
              <w:pStyle w:val="TableBodyText"/>
            </w:pPr>
            <w:r>
              <w:t>3</w:t>
            </w:r>
          </w:p>
        </w:tc>
        <w:tc>
          <w:tcPr>
            <w:tcW w:w="766" w:type="pct"/>
          </w:tcPr>
          <w:p w14:paraId="24D2307D" w14:textId="4BF4801C" w:rsidR="00E95867" w:rsidRDefault="00E95867" w:rsidP="00BB205E">
            <w:pPr>
              <w:pStyle w:val="TableBodyText"/>
              <w:ind w:right="28"/>
            </w:pPr>
            <w:r>
              <w:t>1 595</w:t>
            </w:r>
          </w:p>
        </w:tc>
      </w:tr>
      <w:tr w:rsidR="00E95867" w14:paraId="03EAE26A" w14:textId="77777777" w:rsidTr="00A468D6">
        <w:tc>
          <w:tcPr>
            <w:tcW w:w="1613" w:type="pct"/>
          </w:tcPr>
          <w:p w14:paraId="09289C54" w14:textId="77777777" w:rsidR="00E95867" w:rsidRDefault="00E95867" w:rsidP="00BB205E">
            <w:pPr>
              <w:pStyle w:val="TableBodyText"/>
              <w:ind w:left="0"/>
              <w:jc w:val="left"/>
            </w:pPr>
            <w:r>
              <w:t>Uranium</w:t>
            </w:r>
          </w:p>
        </w:tc>
        <w:tc>
          <w:tcPr>
            <w:tcW w:w="847" w:type="pct"/>
          </w:tcPr>
          <w:p w14:paraId="7601E534" w14:textId="77777777" w:rsidR="00E95867" w:rsidRDefault="00E95867" w:rsidP="00BB205E">
            <w:pPr>
              <w:pStyle w:val="TableBodyText"/>
            </w:pPr>
            <w:r>
              <w:t>–</w:t>
            </w:r>
          </w:p>
        </w:tc>
        <w:tc>
          <w:tcPr>
            <w:tcW w:w="847" w:type="pct"/>
          </w:tcPr>
          <w:p w14:paraId="41C2FFEA" w14:textId="77777777" w:rsidR="00E95867" w:rsidRDefault="00E95867" w:rsidP="00BB205E">
            <w:pPr>
              <w:pStyle w:val="TableBodyText"/>
            </w:pPr>
            <w:r>
              <w:t>–</w:t>
            </w:r>
          </w:p>
        </w:tc>
        <w:tc>
          <w:tcPr>
            <w:tcW w:w="162" w:type="pct"/>
          </w:tcPr>
          <w:p w14:paraId="544D6B72" w14:textId="77777777" w:rsidR="00E95867" w:rsidRDefault="00E95867" w:rsidP="00BB205E">
            <w:pPr>
              <w:pStyle w:val="TableBodyText"/>
            </w:pPr>
          </w:p>
        </w:tc>
        <w:tc>
          <w:tcPr>
            <w:tcW w:w="765" w:type="pct"/>
          </w:tcPr>
          <w:p w14:paraId="70E08FCB" w14:textId="768480C8" w:rsidR="00E95867" w:rsidRDefault="00E95867" w:rsidP="00BB205E">
            <w:pPr>
              <w:pStyle w:val="TableBodyText"/>
            </w:pPr>
            <w:r>
              <w:t>1</w:t>
            </w:r>
          </w:p>
        </w:tc>
        <w:tc>
          <w:tcPr>
            <w:tcW w:w="766" w:type="pct"/>
          </w:tcPr>
          <w:p w14:paraId="71F94C24" w14:textId="77777777" w:rsidR="00E95867" w:rsidRDefault="00E95867" w:rsidP="00BB205E">
            <w:pPr>
              <w:pStyle w:val="TableBodyText"/>
              <w:ind w:right="28"/>
            </w:pPr>
            <w:r>
              <w:t>98</w:t>
            </w:r>
          </w:p>
        </w:tc>
      </w:tr>
      <w:tr w:rsidR="00E95867" w14:paraId="3C39AB8C" w14:textId="77777777" w:rsidTr="00A468D6">
        <w:tc>
          <w:tcPr>
            <w:tcW w:w="1613" w:type="pct"/>
            <w:tcBorders>
              <w:top w:val="nil"/>
              <w:left w:val="nil"/>
              <w:bottom w:val="single" w:sz="6" w:space="0" w:color="auto"/>
              <w:right w:val="nil"/>
            </w:tcBorders>
          </w:tcPr>
          <w:p w14:paraId="64FCAE2F" w14:textId="77777777" w:rsidR="00E95867" w:rsidRDefault="00E95867" w:rsidP="00BB205E">
            <w:pPr>
              <w:pStyle w:val="TableBodyText"/>
              <w:spacing w:before="80"/>
              <w:jc w:val="left"/>
            </w:pPr>
            <w:r>
              <w:t>Total</w:t>
            </w:r>
          </w:p>
        </w:tc>
        <w:tc>
          <w:tcPr>
            <w:tcW w:w="847" w:type="pct"/>
            <w:tcBorders>
              <w:top w:val="nil"/>
              <w:left w:val="nil"/>
              <w:bottom w:val="single" w:sz="6" w:space="0" w:color="auto"/>
              <w:right w:val="nil"/>
            </w:tcBorders>
          </w:tcPr>
          <w:p w14:paraId="4CB32B52" w14:textId="7DE3815E" w:rsidR="00E95867" w:rsidRDefault="00E95867" w:rsidP="00BB205E">
            <w:pPr>
              <w:pStyle w:val="TableBodyText"/>
              <w:spacing w:before="80"/>
            </w:pPr>
            <w:r>
              <w:t>45</w:t>
            </w:r>
          </w:p>
        </w:tc>
        <w:tc>
          <w:tcPr>
            <w:tcW w:w="847" w:type="pct"/>
            <w:tcBorders>
              <w:top w:val="nil"/>
              <w:left w:val="nil"/>
              <w:bottom w:val="single" w:sz="6" w:space="0" w:color="auto"/>
              <w:right w:val="nil"/>
            </w:tcBorders>
          </w:tcPr>
          <w:p w14:paraId="1091D85C" w14:textId="1BE6F321" w:rsidR="00E95867" w:rsidRDefault="00E95867" w:rsidP="00BB205E">
            <w:pPr>
              <w:pStyle w:val="TableBodyText"/>
              <w:spacing w:before="80"/>
            </w:pPr>
            <w:r>
              <w:t>27 216</w:t>
            </w:r>
          </w:p>
        </w:tc>
        <w:tc>
          <w:tcPr>
            <w:tcW w:w="162" w:type="pct"/>
            <w:tcBorders>
              <w:top w:val="nil"/>
              <w:left w:val="nil"/>
              <w:bottom w:val="single" w:sz="6" w:space="0" w:color="auto"/>
              <w:right w:val="nil"/>
            </w:tcBorders>
          </w:tcPr>
          <w:p w14:paraId="15CAD32F" w14:textId="77777777" w:rsidR="00E95867" w:rsidRDefault="00E95867" w:rsidP="00BB205E">
            <w:pPr>
              <w:pStyle w:val="TableBodyText"/>
              <w:spacing w:before="80"/>
            </w:pPr>
          </w:p>
        </w:tc>
        <w:tc>
          <w:tcPr>
            <w:tcW w:w="765" w:type="pct"/>
            <w:tcBorders>
              <w:top w:val="nil"/>
              <w:left w:val="nil"/>
              <w:bottom w:val="single" w:sz="6" w:space="0" w:color="auto"/>
              <w:right w:val="nil"/>
            </w:tcBorders>
          </w:tcPr>
          <w:p w14:paraId="462606A8" w14:textId="391FD8BE" w:rsidR="00E95867" w:rsidRDefault="00E95867" w:rsidP="00BB205E">
            <w:pPr>
              <w:pStyle w:val="TableBodyText"/>
              <w:spacing w:before="80"/>
            </w:pPr>
            <w:r>
              <w:t>73</w:t>
            </w:r>
          </w:p>
        </w:tc>
        <w:tc>
          <w:tcPr>
            <w:tcW w:w="766" w:type="pct"/>
            <w:tcBorders>
              <w:top w:val="nil"/>
              <w:left w:val="nil"/>
              <w:bottom w:val="single" w:sz="6" w:space="0" w:color="auto"/>
              <w:right w:val="nil"/>
            </w:tcBorders>
          </w:tcPr>
          <w:p w14:paraId="3BDA2E94" w14:textId="4725D2DE" w:rsidR="00E95867" w:rsidRDefault="00E95867" w:rsidP="00BB205E">
            <w:pPr>
              <w:pStyle w:val="TableBodyText"/>
              <w:spacing w:before="80"/>
              <w:ind w:right="28"/>
            </w:pPr>
            <w:r>
              <w:t>267 579</w:t>
            </w:r>
          </w:p>
        </w:tc>
      </w:tr>
    </w:tbl>
    <w:p w14:paraId="0B76F427" w14:textId="4B6A35F4" w:rsidR="00AD7E1B" w:rsidRDefault="00AD7E1B" w:rsidP="00AD7E1B">
      <w:pPr>
        <w:pStyle w:val="Note"/>
      </w:pPr>
      <w:r>
        <w:rPr>
          <w:rStyle w:val="NoteLabel"/>
        </w:rPr>
        <w:t>a </w:t>
      </w:r>
      <w:r>
        <w:t xml:space="preserve">Completed between April </w:t>
      </w:r>
      <w:r w:rsidR="00E26848">
        <w:t xml:space="preserve">2012 </w:t>
      </w:r>
      <w:r>
        <w:t xml:space="preserve">and </w:t>
      </w:r>
      <w:r w:rsidR="00E26848">
        <w:t>April 2013</w:t>
      </w:r>
      <w:r>
        <w:t>.</w:t>
      </w:r>
      <w:r w:rsidR="00E26848">
        <w:t xml:space="preserve"> Data not separately available for infrastructure projects in April 2013.</w:t>
      </w:r>
      <w:r w:rsidR="00155DEE">
        <w:t xml:space="preserve">  </w:t>
      </w:r>
      <w:r>
        <w:rPr>
          <w:rStyle w:val="NoteLabel"/>
        </w:rPr>
        <w:t>b</w:t>
      </w:r>
      <w:r>
        <w:t xml:space="preserve"> Final investment decision issued as at </w:t>
      </w:r>
      <w:r w:rsidR="00E26848">
        <w:t>April 2013</w:t>
      </w:r>
      <w:r>
        <w:t xml:space="preserve">. </w:t>
      </w:r>
      <w:r w:rsidR="005A32B0">
        <w:t xml:space="preserve"> </w:t>
      </w:r>
      <w:r w:rsidR="00D77992" w:rsidRPr="00D77992">
        <w:rPr>
          <w:rStyle w:val="NoteLabel"/>
        </w:rPr>
        <w:t>c</w:t>
      </w:r>
      <w:r w:rsidR="00D77992">
        <w:t xml:space="preserve"> Includes silver from the Mt. Carlton (Silver Hill) project. </w:t>
      </w:r>
      <w:r w:rsidR="00155DEE">
        <w:t xml:space="preserve"> </w:t>
      </w:r>
      <w:r w:rsidR="00CD7555">
        <w:rPr>
          <w:rStyle w:val="NoteLabel"/>
        </w:rPr>
        <w:t>d</w:t>
      </w:r>
      <w:r w:rsidR="00CD7555" w:rsidRPr="00D77992">
        <w:t xml:space="preserve"> In</w:t>
      </w:r>
      <w:r w:rsidR="00CD7555">
        <w:t>frastructure projects include investment</w:t>
      </w:r>
      <w:r w:rsidR="007D66A1">
        <w:t>s</w:t>
      </w:r>
      <w:r w:rsidR="00CD7555">
        <w:t xml:space="preserve"> in road, rail and port facilities</w:t>
      </w:r>
      <w:r w:rsidR="00155DEE">
        <w:t>.</w:t>
      </w:r>
      <w:r w:rsidR="001C2476">
        <w:t xml:space="preserve">  </w:t>
      </w:r>
      <w:r>
        <w:t>– Nil.</w:t>
      </w:r>
    </w:p>
    <w:p w14:paraId="6D812AEC" w14:textId="05762794" w:rsidR="00AD7E1B" w:rsidRDefault="00AD7E1B" w:rsidP="00AD7E1B">
      <w:pPr>
        <w:pStyle w:val="Source"/>
      </w:pPr>
      <w:r>
        <w:rPr>
          <w:i/>
        </w:rPr>
        <w:t>Source</w:t>
      </w:r>
      <w:r w:rsidR="003C7978">
        <w:rPr>
          <w:i/>
        </w:rPr>
        <w:t>s</w:t>
      </w:r>
      <w:r>
        <w:t xml:space="preserve">: </w:t>
      </w:r>
      <w:r w:rsidR="004539A9">
        <w:t xml:space="preserve">Barber et al. </w:t>
      </w:r>
      <w:r>
        <w:t>(</w:t>
      </w:r>
      <w:r w:rsidR="006C4EC7">
        <w:t xml:space="preserve">2012, </w:t>
      </w:r>
      <w:r>
        <w:t>tables</w:t>
      </w:r>
      <w:r w:rsidR="00400858">
        <w:t> </w:t>
      </w:r>
      <w:r>
        <w:t>5 and 7</w:t>
      </w:r>
      <w:r w:rsidR="0077416E">
        <w:t>) and Barber et al. (</w:t>
      </w:r>
      <w:r w:rsidR="006C4EC7">
        <w:t>2013, tables</w:t>
      </w:r>
      <w:r w:rsidR="00400858">
        <w:t> </w:t>
      </w:r>
      <w:r w:rsidR="006C4EC7">
        <w:t>5 and 6</w:t>
      </w:r>
      <w:r>
        <w:t>).</w:t>
      </w:r>
    </w:p>
    <w:p w14:paraId="5236B763" w14:textId="2F867F12" w:rsidR="00AD7E1B" w:rsidRDefault="00B379E8" w:rsidP="00AD7E1B">
      <w:pPr>
        <w:pStyle w:val="BodyText"/>
      </w:pPr>
      <w:r>
        <w:t xml:space="preserve">Only one new </w:t>
      </w:r>
      <w:r w:rsidR="00AD7E1B">
        <w:t xml:space="preserve">resource </w:t>
      </w:r>
      <w:r>
        <w:t>project received</w:t>
      </w:r>
      <w:r w:rsidR="00C979B4">
        <w:t xml:space="preserve"> </w:t>
      </w:r>
      <w:r w:rsidR="00AD7E1B">
        <w:t xml:space="preserve">a </w:t>
      </w:r>
      <w:r>
        <w:t>final</w:t>
      </w:r>
      <w:r w:rsidR="00AD7E1B">
        <w:t xml:space="preserve"> investment </w:t>
      </w:r>
      <w:r>
        <w:t>decision b</w:t>
      </w:r>
      <w:r w:rsidR="007B1BBA">
        <w:t>etween October 2012</w:t>
      </w:r>
      <w:r w:rsidR="00AD7E1B">
        <w:t xml:space="preserve"> and </w:t>
      </w:r>
      <w:r w:rsidR="007B1BBA">
        <w:t>April 2013</w:t>
      </w:r>
      <w:r w:rsidR="00970800">
        <w:t xml:space="preserve"> </w:t>
      </w:r>
      <w:r w:rsidR="007B1BBA">
        <w:t>(</w:t>
      </w:r>
      <w:r w:rsidR="006C4EC7">
        <w:t>Barber et al. 2012</w:t>
      </w:r>
      <w:r w:rsidR="007B1BBA">
        <w:t xml:space="preserve"> and 2013). </w:t>
      </w:r>
      <w:r w:rsidR="008A1F13">
        <w:t xml:space="preserve">The authors attributed the decline in </w:t>
      </w:r>
      <w:r w:rsidR="00AD7E1B">
        <w:t xml:space="preserve">the </w:t>
      </w:r>
      <w:r w:rsidR="008A1F13">
        <w:t>number</w:t>
      </w:r>
      <w:r w:rsidR="00AD7E1B">
        <w:t xml:space="preserve"> of </w:t>
      </w:r>
      <w:r w:rsidR="003923B2">
        <w:t>committed projects to an emerging trend</w:t>
      </w:r>
      <w:r w:rsidR="00AD7E1B">
        <w:t xml:space="preserve"> of </w:t>
      </w:r>
      <w:r w:rsidR="008A1F13">
        <w:t>project delays and cancellations, with about $150 billion of projects having been delayed, cancelled or re</w:t>
      </w:r>
      <w:r w:rsidR="00400858">
        <w:noBreakHyphen/>
      </w:r>
      <w:r w:rsidR="008A1F13">
        <w:t>assessed in the preceding 12 months. They forecast the total value of committed investment to drop slightly to $256 billion by the end of 2013 and then to about $70 billion in 2017.</w:t>
      </w:r>
      <w:r w:rsidR="007B1BBA">
        <w:t xml:space="preserve"> This suggests t</w:t>
      </w:r>
      <w:r w:rsidR="00AD7E1B">
        <w:t xml:space="preserve">hat </w:t>
      </w:r>
      <w:r w:rsidR="006568BF">
        <w:t xml:space="preserve">investment has peaked in the ‘second phase’ of the current </w:t>
      </w:r>
      <w:r w:rsidR="007B1BBA">
        <w:t xml:space="preserve">resources </w:t>
      </w:r>
      <w:r w:rsidR="006568BF">
        <w:t>boom</w:t>
      </w:r>
      <w:r w:rsidR="003923B2">
        <w:t>, and that</w:t>
      </w:r>
      <w:r w:rsidR="00AD7E1B">
        <w:t xml:space="preserve"> the third ‘production’ phase of the boom has started in some industries such as iron ore</w:t>
      </w:r>
      <w:r w:rsidR="008A1F13">
        <w:t xml:space="preserve"> </w:t>
      </w:r>
      <w:r w:rsidR="00AD7E1B">
        <w:t>(Plumb, Kent and Bishop 2012; Sheehan and Gregory 2012; Stevens 2012).</w:t>
      </w:r>
      <w:r w:rsidR="008A1F13">
        <w:t xml:space="preserve"> </w:t>
      </w:r>
      <w:r w:rsidR="00AD7E1B">
        <w:t>Following the</w:t>
      </w:r>
      <w:r w:rsidR="008A1F13">
        <w:t>se</w:t>
      </w:r>
      <w:r w:rsidR="00AD7E1B">
        <w:t xml:space="preserve"> large investments, resource exports are estimated to at least double in volume between 2010</w:t>
      </w:r>
      <w:r w:rsidR="00400858">
        <w:noBreakHyphen/>
      </w:r>
      <w:r w:rsidR="00AD7E1B">
        <w:t>11 and 2020</w:t>
      </w:r>
      <w:r w:rsidR="00400858">
        <w:noBreakHyphen/>
      </w:r>
      <w:r w:rsidR="00AD7E1B">
        <w:t xml:space="preserve">21 (Sheehan and Gregory 2012). </w:t>
      </w:r>
    </w:p>
    <w:p w14:paraId="182634EC" w14:textId="01919794" w:rsidR="00AD7E1B" w:rsidRDefault="00FC6557" w:rsidP="00AD7E1B">
      <w:pPr>
        <w:pStyle w:val="Heading2"/>
      </w:pPr>
      <w:r>
        <w:t>6.</w:t>
      </w:r>
      <w:r w:rsidR="00A30461">
        <w:rPr>
          <w:noProof/>
        </w:rPr>
        <w:t>3</w:t>
      </w:r>
      <w:r w:rsidR="00AD7E1B">
        <w:tab/>
      </w:r>
      <w:r w:rsidR="00B83038">
        <w:t>Some</w:t>
      </w:r>
      <w:r w:rsidR="00AD7E1B">
        <w:t xml:space="preserve"> implications for capital use</w:t>
      </w:r>
    </w:p>
    <w:p w14:paraId="41B56468" w14:textId="78BBA231" w:rsidR="00A3607C" w:rsidRDefault="00AD7E1B" w:rsidP="00AD7E1B">
      <w:pPr>
        <w:pStyle w:val="BodyText"/>
      </w:pPr>
      <w:r>
        <w:t>As well as varying</w:t>
      </w:r>
      <w:r w:rsidR="00502C44">
        <w:t xml:space="preserve"> their</w:t>
      </w:r>
      <w:r>
        <w:t xml:space="preserve"> output, resource businesses can also adjust to the pressures </w:t>
      </w:r>
      <w:r w:rsidR="00063FFC">
        <w:t xml:space="preserve">of </w:t>
      </w:r>
      <w:r>
        <w:t xml:space="preserve">structural change by varying their use of </w:t>
      </w:r>
      <w:r w:rsidR="00AE41C5">
        <w:t xml:space="preserve">factors of production </w:t>
      </w:r>
      <w:r>
        <w:t xml:space="preserve">such as </w:t>
      </w:r>
      <w:r w:rsidR="00E01FFE">
        <w:t xml:space="preserve">capital </w:t>
      </w:r>
      <w:r>
        <w:t xml:space="preserve">and </w:t>
      </w:r>
      <w:r w:rsidR="00E01FFE">
        <w:t xml:space="preserve">labour </w:t>
      </w:r>
      <w:r>
        <w:t>(</w:t>
      </w:r>
      <w:r w:rsidR="00AE41C5">
        <w:t xml:space="preserve">investment and employment are discussed extensively in </w:t>
      </w:r>
      <w:r>
        <w:t xml:space="preserve">chapters 3 and 4). </w:t>
      </w:r>
      <w:r w:rsidR="00A3607C">
        <w:t>As mentioned, labour usage tends to vary in the short term, while changes in capital use take longer to implement.</w:t>
      </w:r>
    </w:p>
    <w:p w14:paraId="0CC9010D" w14:textId="69BDD2E8" w:rsidR="00AD7E1B" w:rsidRDefault="00AD7E1B" w:rsidP="00AD7E1B">
      <w:pPr>
        <w:pStyle w:val="BodyText"/>
      </w:pPr>
      <w:r>
        <w:lastRenderedPageBreak/>
        <w:t>There is clear evidence that capital stock</w:t>
      </w:r>
      <w:r w:rsidR="00CA522F">
        <w:t>s</w:t>
      </w:r>
      <w:r w:rsidR="00AE41C5">
        <w:t xml:space="preserve"> in the resources sector</w:t>
      </w:r>
      <w:r>
        <w:t xml:space="preserve"> </w:t>
      </w:r>
      <w:r w:rsidR="006139B2">
        <w:t xml:space="preserve">have </w:t>
      </w:r>
      <w:r w:rsidR="00880AE5">
        <w:t xml:space="preserve">increased </w:t>
      </w:r>
      <w:r>
        <w:t>in recent years (figure 6.</w:t>
      </w:r>
      <w:r w:rsidR="00A86F18">
        <w:t>4</w:t>
      </w:r>
      <w:r>
        <w:t xml:space="preserve">). </w:t>
      </w:r>
      <w:r w:rsidR="00CA522F">
        <w:t>S</w:t>
      </w:r>
      <w:r>
        <w:t xml:space="preserve">tocks </w:t>
      </w:r>
      <w:r w:rsidR="00063FFC">
        <w:t xml:space="preserve">increased most rapidly </w:t>
      </w:r>
      <w:r>
        <w:t xml:space="preserve">for Computer equipment, Computer software, Electrical and electronic equipment, Research and development intellectual property, Other plant and equipment and Other transport equipment. </w:t>
      </w:r>
      <w:r w:rsidR="001D36AC">
        <w:t>T</w:t>
      </w:r>
      <w:r>
        <w:t>hese assets grew more quickly than the sector’s output. For example, Computer equipment grew by 28 per cent per year and Computer software by 18 per cent per year between 1994</w:t>
      </w:r>
      <w:r w:rsidR="00400858">
        <w:noBreakHyphen/>
      </w:r>
      <w:r>
        <w:t>95 and 2011</w:t>
      </w:r>
      <w:r w:rsidR="00400858">
        <w:noBreakHyphen/>
      </w:r>
      <w:r>
        <w:t>12 (figure 6.</w:t>
      </w:r>
      <w:r w:rsidR="00477B09">
        <w:t>4</w:t>
      </w:r>
      <w:r>
        <w:t xml:space="preserve">). </w:t>
      </w:r>
    </w:p>
    <w:p w14:paraId="163A15DC" w14:textId="175F0D1F" w:rsidR="00AD7E1B" w:rsidRDefault="00AD7E1B" w:rsidP="00AD7E1B">
      <w:pPr>
        <w:pStyle w:val="BodyText"/>
      </w:pPr>
      <w:r>
        <w:t xml:space="preserve">The three key determinants of how much capital is used by an industry are the: </w:t>
      </w:r>
    </w:p>
    <w:p w14:paraId="4D654CFF" w14:textId="3D196D53" w:rsidR="00AD7E1B" w:rsidRDefault="00AD7E1B" w:rsidP="00AD7E1B">
      <w:pPr>
        <w:pStyle w:val="ListBullet"/>
      </w:pPr>
      <w:r>
        <w:t>technology of production</w:t>
      </w:r>
      <w:r w:rsidR="003B2086">
        <w:t>, which refers to the method by which resources are extracted</w:t>
      </w:r>
    </w:p>
    <w:p w14:paraId="4247B5B1" w14:textId="3AC99938" w:rsidR="00AD7E1B" w:rsidRDefault="00AD7E1B" w:rsidP="00AD7E1B">
      <w:pPr>
        <w:pStyle w:val="ListBullet"/>
      </w:pPr>
      <w:r>
        <w:t>price of capital relative to other inputs</w:t>
      </w:r>
    </w:p>
    <w:p w14:paraId="54122616" w14:textId="535A575A" w:rsidR="00AD7E1B" w:rsidRDefault="00AD7E1B" w:rsidP="00AD7E1B">
      <w:pPr>
        <w:pStyle w:val="ListBullet"/>
      </w:pPr>
      <w:r>
        <w:t xml:space="preserve">output level of the </w:t>
      </w:r>
      <w:r w:rsidR="00A90A05">
        <w:t>industry</w:t>
      </w:r>
      <w:r w:rsidR="00502C44">
        <w:t>,</w:t>
      </w:r>
      <w:r w:rsidR="005269BA">
        <w:t xml:space="preserve"> including </w:t>
      </w:r>
      <w:r w:rsidR="00A90A05">
        <w:t>any</w:t>
      </w:r>
      <w:r w:rsidR="005269BA">
        <w:t xml:space="preserve"> </w:t>
      </w:r>
      <w:r w:rsidR="00CD7CDC">
        <w:t>returns to scale</w:t>
      </w:r>
      <w:r>
        <w:t>.</w:t>
      </w:r>
    </w:p>
    <w:p w14:paraId="7EC4AEAF" w14:textId="235ED202" w:rsidR="00DF6EA3" w:rsidRDefault="00AD7E1B" w:rsidP="00DF6EA3">
      <w:pPr>
        <w:pStyle w:val="FigureTitle"/>
      </w:pPr>
      <w:r>
        <w:rPr>
          <w:b w:val="0"/>
        </w:rPr>
        <w:t xml:space="preserve">Figure </w:t>
      </w:r>
      <w:r w:rsidR="00FF0AA4">
        <w:rPr>
          <w:b w:val="0"/>
        </w:rPr>
        <w:t>6.</w:t>
      </w:r>
      <w:r w:rsidR="00FF0AA4">
        <w:rPr>
          <w:b w:val="0"/>
          <w:noProof/>
        </w:rPr>
        <w:t>4</w:t>
      </w:r>
      <w:r>
        <w:tab/>
      </w:r>
      <w:r w:rsidR="00DF6EA3">
        <w:t>Resource sector capital stocks and overall output,</w:t>
      </w:r>
      <w:r w:rsidR="00A93E54">
        <w:br/>
        <w:t>1986 to 2012</w:t>
      </w:r>
      <w:r w:rsidR="00A93E54" w:rsidRPr="00614D44">
        <w:rPr>
          <w:rStyle w:val="NoteLabel"/>
          <w:b/>
        </w:rPr>
        <w:t>a</w:t>
      </w:r>
      <w:r w:rsidR="00DF6EA3" w:rsidRPr="00614D44">
        <w:rPr>
          <w:rStyle w:val="NoteLabel"/>
          <w:b/>
        </w:rPr>
        <w:t>,</w:t>
      </w:r>
      <w:r w:rsidR="009668DB">
        <w:rPr>
          <w:rStyle w:val="NoteLabel"/>
          <w:b/>
        </w:rPr>
        <w:t> </w:t>
      </w:r>
      <w:r w:rsidR="00DF6EA3" w:rsidRPr="00614D44">
        <w:rPr>
          <w:rStyle w:val="NoteLabel"/>
          <w:b/>
        </w:rPr>
        <w:t>b,</w:t>
      </w:r>
      <w:r w:rsidR="009668DB">
        <w:rPr>
          <w:rStyle w:val="NoteLabel"/>
          <w:b/>
        </w:rPr>
        <w:t> </w:t>
      </w:r>
      <w:r w:rsidR="00DF6EA3" w:rsidRPr="00614D44">
        <w:rPr>
          <w:rStyle w:val="NoteLabel"/>
          <w:b/>
        </w:rPr>
        <w:t>c</w:t>
      </w:r>
      <w:r w:rsidR="00AB4FDA">
        <w:rPr>
          <w:rStyle w:val="NoteLabel"/>
          <w:b/>
        </w:rPr>
        <w:t>, d</w:t>
      </w:r>
    </w:p>
    <w:p w14:paraId="4A3A3409" w14:textId="35EB27D2" w:rsidR="00A93E54" w:rsidRPr="00A93E54" w:rsidRDefault="00A93E54" w:rsidP="00A93E54">
      <w:pPr>
        <w:pStyle w:val="Subtitle"/>
      </w:pPr>
      <w:r>
        <w:t>Index value, 1985-86=100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DF6EA3" w14:paraId="3F95EED4" w14:textId="77777777" w:rsidTr="00DF6EA3">
        <w:trPr>
          <w:trHeight w:val="245"/>
        </w:trPr>
        <w:tc>
          <w:tcPr>
            <w:tcW w:w="4388" w:type="dxa"/>
          </w:tcPr>
          <w:p w14:paraId="5A6E5F71" w14:textId="047C07C1" w:rsidR="00DF6EA3" w:rsidRDefault="00DF6EA3">
            <w:pPr>
              <w:pStyle w:val="Figure"/>
            </w:pPr>
            <w:r>
              <w:rPr>
                <w:noProof/>
              </w:rPr>
              <w:drawing>
                <wp:inline distT="0" distB="0" distL="0" distR="0" wp14:anchorId="205E1B2C" wp14:editId="50FDB8D1">
                  <wp:extent cx="2708694" cy="1759789"/>
                  <wp:effectExtent l="0" t="0" r="0" b="0"/>
                  <wp:docPr id="45" name="Chart 45" descr="This figure shows the trends of the capital stocks of computer software and computer equipment in incorporated mining businesses between 1985-86 and 2011-12. These are compared to the level of output of the same businesses.&#10;" title="Resource sector capital stocks and overall output index."/>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4389" w:type="dxa"/>
          </w:tcPr>
          <w:p w14:paraId="5750533B" w14:textId="25421FA7" w:rsidR="00DF6EA3" w:rsidRDefault="00DF6EA3">
            <w:pPr>
              <w:pStyle w:val="Figure"/>
            </w:pPr>
            <w:r>
              <w:rPr>
                <w:noProof/>
              </w:rPr>
              <w:drawing>
                <wp:inline distT="0" distB="0" distL="0" distR="0" wp14:anchorId="3B70848F" wp14:editId="6917CC19">
                  <wp:extent cx="2708694" cy="1759789"/>
                  <wp:effectExtent l="0" t="0" r="0" b="0"/>
                  <wp:docPr id="46" name="Chart 46" descr="This figure shows the trends of the capital stocks of R&amp;D intellectual property and Electrical and electronic equipment in incorporated mining businesses between 1985-86 and 2011 12. These are compared to the level of output of the same businesses.&#10;" title="Resource sector capital stocks and overall output index."/>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DF6EA3" w14:paraId="0F7D7201" w14:textId="77777777" w:rsidTr="00DF6EA3">
        <w:trPr>
          <w:trHeight w:val="244"/>
        </w:trPr>
        <w:tc>
          <w:tcPr>
            <w:tcW w:w="4388" w:type="dxa"/>
          </w:tcPr>
          <w:p w14:paraId="75F8002C" w14:textId="74C50768" w:rsidR="00DF6EA3" w:rsidRDefault="00DF6EA3">
            <w:pPr>
              <w:pStyle w:val="Figure"/>
            </w:pPr>
            <w:r>
              <w:rPr>
                <w:noProof/>
              </w:rPr>
              <w:drawing>
                <wp:inline distT="0" distB="0" distL="0" distR="0" wp14:anchorId="13FF4DE5" wp14:editId="6FD56886">
                  <wp:extent cx="2708694" cy="1794295"/>
                  <wp:effectExtent l="0" t="0" r="0" b="0"/>
                  <wp:docPr id="47" name="Chart 47" descr="This figure shows the trends of the capital stocks of Industrial machinery and equipment, Road vehicles, and Non-dwelling construction in incorporated mining businesses between 1985-86 and 2011-12. These are compared to the level of output of the same businesses.&#10;" title="Resource sector capital stocks and overall output index."/>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4389" w:type="dxa"/>
          </w:tcPr>
          <w:p w14:paraId="462B8AED" w14:textId="45BA1465" w:rsidR="00DF6EA3" w:rsidRDefault="00DF6EA3">
            <w:pPr>
              <w:pStyle w:val="Figure"/>
            </w:pPr>
            <w:r>
              <w:rPr>
                <w:noProof/>
              </w:rPr>
              <w:drawing>
                <wp:inline distT="0" distB="0" distL="0" distR="0" wp14:anchorId="2B06CD35" wp14:editId="73F74315">
                  <wp:extent cx="2708694" cy="1794294"/>
                  <wp:effectExtent l="0" t="0" r="0" b="0"/>
                  <wp:docPr id="48" name="Chart 48" descr="This figure shows the trends of the capital stocks of Other plant and equipment and Other transport equipment in incorporated mining businesses between 1985-86 and 2011 12. These are compared to the level of output of the same businesses.&#10;" title="Resource sector capital stocks and overall output index."/>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bl>
    <w:p w14:paraId="399CB5CD" w14:textId="44A4C21C" w:rsidR="004B7737" w:rsidRDefault="00EF0388" w:rsidP="004B7737">
      <w:pPr>
        <w:pStyle w:val="Note"/>
      </w:pPr>
      <w:r>
        <w:rPr>
          <w:rStyle w:val="NoteLabel"/>
        </w:rPr>
        <w:t>a</w:t>
      </w:r>
      <w:r>
        <w:t xml:space="preserve"> </w:t>
      </w:r>
      <w:r w:rsidR="00C97D30">
        <w:t>Incorporated mining businesses.</w:t>
      </w:r>
      <w:r w:rsidR="00155DEE">
        <w:t xml:space="preserve"> </w:t>
      </w:r>
      <w:r w:rsidR="00C97D30">
        <w:t xml:space="preserve"> </w:t>
      </w:r>
      <w:r w:rsidR="00C97D30" w:rsidRPr="00C97D30">
        <w:rPr>
          <w:rStyle w:val="NoteLabel"/>
        </w:rPr>
        <w:t>b</w:t>
      </w:r>
      <w:r w:rsidR="00C97D30">
        <w:t> </w:t>
      </w:r>
      <w:r>
        <w:t>Capital stock</w:t>
      </w:r>
      <w:r w:rsidR="004B7737">
        <w:t xml:space="preserve"> and output are chain volume measures with 1985</w:t>
      </w:r>
      <w:r w:rsidR="004B7737">
        <w:noBreakHyphen/>
        <w:t xml:space="preserve">86 as their reference year. </w:t>
      </w:r>
      <w:r w:rsidR="005A32B0">
        <w:t xml:space="preserve"> </w:t>
      </w:r>
      <w:r w:rsidR="004B7737">
        <w:rPr>
          <w:rStyle w:val="NoteLabel"/>
        </w:rPr>
        <w:t>c</w:t>
      </w:r>
      <w:r w:rsidR="004B7737">
        <w:t> Year end</w:t>
      </w:r>
      <w:r w:rsidR="00920A34">
        <w:t>ed</w:t>
      </w:r>
      <w:r w:rsidR="004B7737">
        <w:t xml:space="preserve"> June.</w:t>
      </w:r>
      <w:r w:rsidR="00AB4FDA">
        <w:t xml:space="preserve">  </w:t>
      </w:r>
      <w:r w:rsidR="00AB4FDA">
        <w:rPr>
          <w:rStyle w:val="NoteLabel"/>
        </w:rPr>
        <w:t>d</w:t>
      </w:r>
      <w:r w:rsidR="00AB4FDA">
        <w:t> </w:t>
      </w:r>
      <w:r w:rsidR="00AB4FDA" w:rsidRPr="007B5624">
        <w:t xml:space="preserve">The </w:t>
      </w:r>
      <w:r w:rsidR="00AB4FDA">
        <w:t>resources sector is as defined</w:t>
      </w:r>
      <w:r w:rsidR="00AB4FDA" w:rsidRPr="007B5624">
        <w:t xml:space="preserve"> in appendix A.</w:t>
      </w:r>
    </w:p>
    <w:p w14:paraId="2BB940A6" w14:textId="77777777" w:rsidR="00EF0388" w:rsidRDefault="00EF0388" w:rsidP="004B7737">
      <w:pPr>
        <w:pStyle w:val="Note"/>
      </w:pPr>
      <w:r>
        <w:rPr>
          <w:i/>
        </w:rPr>
        <w:t>Sources</w:t>
      </w:r>
      <w:r>
        <w:t>: ABS (</w:t>
      </w:r>
      <w:r w:rsidRPr="000F133C">
        <w:rPr>
          <w:i/>
        </w:rPr>
        <w:t xml:space="preserve">Estimates of </w:t>
      </w:r>
      <w:r>
        <w:rPr>
          <w:i/>
        </w:rPr>
        <w:t>I</w:t>
      </w:r>
      <w:r w:rsidRPr="000F133C">
        <w:rPr>
          <w:i/>
        </w:rPr>
        <w:t xml:space="preserve">ndustry </w:t>
      </w:r>
      <w:r>
        <w:rPr>
          <w:i/>
        </w:rPr>
        <w:t>M</w:t>
      </w:r>
      <w:r w:rsidRPr="000F133C">
        <w:rPr>
          <w:i/>
        </w:rPr>
        <w:t xml:space="preserve">ultifactor </w:t>
      </w:r>
      <w:r>
        <w:rPr>
          <w:i/>
        </w:rPr>
        <w:t>P</w:t>
      </w:r>
      <w:r w:rsidRPr="000F133C">
        <w:rPr>
          <w:i/>
        </w:rPr>
        <w:t>roductivity</w:t>
      </w:r>
      <w:r>
        <w:t>, Cat. no. 5260.0.55.002;</w:t>
      </w:r>
      <w:r w:rsidRPr="0004206A">
        <w:rPr>
          <w:i/>
        </w:rPr>
        <w:t xml:space="preserve"> </w:t>
      </w:r>
      <w:r w:rsidRPr="00295D6F">
        <w:rPr>
          <w:i/>
        </w:rPr>
        <w:t>Australian System of National Accounts</w:t>
      </w:r>
      <w:r>
        <w:t>, Cat. no. 5204.0).</w:t>
      </w:r>
    </w:p>
    <w:p w14:paraId="6E0AC159" w14:textId="77777777" w:rsidR="00D56B13" w:rsidRDefault="00D56B13" w:rsidP="00D56B13">
      <w:pPr>
        <w:pStyle w:val="BodyText"/>
      </w:pPr>
      <w:r>
        <w:lastRenderedPageBreak/>
        <w:t>As mentioned, resource projects employ a variety of technologies to extract minerals and energy. Access and geological considerations play a large part in determining the type of technology used. Some technologies are inherently more capital</w:t>
      </w:r>
      <w:r>
        <w:noBreakHyphen/>
        <w:t>intensive than others. For example, ‘longwall’ and ‘room and pillar’ mining are two commonly used underground mining methods. Longwall mining is more capital intensive and is better suited for coal deposits that follow a long and even stratum. The older room and pillar technique, although more labour</w:t>
      </w:r>
      <w:r>
        <w:noBreakHyphen/>
        <w:t>intensive, can be more flexibly configured to accommodate a variety of coal deposit formations.</w:t>
      </w:r>
    </w:p>
    <w:p w14:paraId="0CE807AF" w14:textId="2933FD8C" w:rsidR="00880AE5" w:rsidRDefault="00880AE5" w:rsidP="00880AE5">
      <w:pPr>
        <w:pStyle w:val="BodyText"/>
      </w:pPr>
      <w:r>
        <w:t xml:space="preserve">Changes in the relative prices of </w:t>
      </w:r>
      <w:r w:rsidR="00AB4FDA">
        <w:t xml:space="preserve">factors of production </w:t>
      </w:r>
      <w:r>
        <w:t xml:space="preserve">influence how a business uses </w:t>
      </w:r>
      <w:r w:rsidR="00AB4FDA">
        <w:t>those factors</w:t>
      </w:r>
      <w:r>
        <w:t xml:space="preserve">. Businesses attempt to economise on </w:t>
      </w:r>
      <w:r w:rsidR="00AB4FDA">
        <w:t xml:space="preserve">factors </w:t>
      </w:r>
      <w:r>
        <w:t xml:space="preserve">that are relatively costly in favour of less expensive </w:t>
      </w:r>
      <w:r w:rsidR="00AB4FDA">
        <w:t>ones</w:t>
      </w:r>
      <w:r>
        <w:t xml:space="preserve">, within the constraints imposed by the technology of production. For example, mines are often located in remote locations, making it costly to attract and retain skilled labour. Mining work is also very hazardous, making occupational health and safety an important consideration for mine </w:t>
      </w:r>
      <w:r w:rsidR="00A60097">
        <w:t xml:space="preserve">management </w:t>
      </w:r>
      <w:r>
        <w:t xml:space="preserve">(Fisher and Schnittger 2012). Both </w:t>
      </w:r>
      <w:r w:rsidR="00AB4FDA">
        <w:t xml:space="preserve">characteristics </w:t>
      </w:r>
      <w:r>
        <w:t xml:space="preserve">contribute to </w:t>
      </w:r>
      <w:r w:rsidR="00A60097">
        <w:t xml:space="preserve">the cost of </w:t>
      </w:r>
      <w:r>
        <w:t>labour. The price of ICT and Electrical and electronic equipment, as noted, declined dramatically from about 1989</w:t>
      </w:r>
      <w:r>
        <w:noBreakHyphen/>
        <w:t>90 onward, especially in comparison with the cost of labour (figure 6.2). These price declines influenced the decision of resource businesses to invest more heavily in ICT, not only to increase the productivity of capital</w:t>
      </w:r>
      <w:r w:rsidR="004B7737">
        <w:t>,</w:t>
      </w:r>
      <w:r>
        <w:t xml:space="preserve"> but also to reduce labour</w:t>
      </w:r>
      <w:r w:rsidR="003C7978">
        <w:noBreakHyphen/>
      </w:r>
      <w:r>
        <w:t xml:space="preserve">related costs </w:t>
      </w:r>
      <w:r w:rsidR="004B7737">
        <w:t xml:space="preserve">(such as </w:t>
      </w:r>
      <w:r>
        <w:t>those associated with workplace accidents</w:t>
      </w:r>
      <w:r w:rsidR="004B7737">
        <w:t>)</w:t>
      </w:r>
      <w:r>
        <w:t xml:space="preserve">. </w:t>
      </w:r>
    </w:p>
    <w:p w14:paraId="7CF1F592" w14:textId="0FA3F71B" w:rsidR="00EF0388" w:rsidRDefault="00EF0388" w:rsidP="00EF0388">
      <w:pPr>
        <w:pStyle w:val="BodyText"/>
      </w:pPr>
      <w:r>
        <w:t>Finally, the use of capital also depends on whether a project is experiencing increasing, constant or diminishing returns</w:t>
      </w:r>
      <w:r w:rsidR="00CD7CDC">
        <w:t xml:space="preserve"> to scale</w:t>
      </w:r>
      <w:r>
        <w:t xml:space="preserve">. A resource project will tend to exhibit increasing returns if </w:t>
      </w:r>
      <w:r w:rsidR="00A60097">
        <w:t>it</w:t>
      </w:r>
      <w:r>
        <w:t xml:space="preserve"> is operating below capacity and it has ready access to proven and economic reserves. Such </w:t>
      </w:r>
      <w:r w:rsidR="004B7737">
        <w:t xml:space="preserve">a </w:t>
      </w:r>
      <w:r>
        <w:t xml:space="preserve">project will be able to expand its production at relatively little cost. Conversely, a project will experience diminishing returns to scale if it is constrained by either capacity utilisation or diminishing </w:t>
      </w:r>
      <w:r w:rsidR="003166D9">
        <w:t xml:space="preserve">resource </w:t>
      </w:r>
      <w:r>
        <w:t>reserves and grades. In such cases, a project will only be able to expand its output in the short term by employing more variable inputs</w:t>
      </w:r>
      <w:r w:rsidR="003166D9">
        <w:t>,</w:t>
      </w:r>
      <w:r>
        <w:t xml:space="preserve"> such as labour, whose marginal contribution to production would gradually diminish. In the longer term, such </w:t>
      </w:r>
      <w:r w:rsidR="003B2086">
        <w:t xml:space="preserve">a </w:t>
      </w:r>
      <w:r>
        <w:t xml:space="preserve">project would need to invest in additional capacity, discover new </w:t>
      </w:r>
      <w:r w:rsidR="003166D9">
        <w:t xml:space="preserve">deposits </w:t>
      </w:r>
      <w:r>
        <w:t xml:space="preserve">or identify new methods to better extract existing reserves. </w:t>
      </w:r>
    </w:p>
    <w:p w14:paraId="6966D700" w14:textId="77777777" w:rsidR="00181039" w:rsidRDefault="00181039" w:rsidP="006C49BC">
      <w:pPr>
        <w:pStyle w:val="Heading3"/>
      </w:pPr>
      <w:r>
        <w:t>Implications for productivity</w:t>
      </w:r>
    </w:p>
    <w:p w14:paraId="295309AC" w14:textId="7075BF6B" w:rsidR="00EF0388" w:rsidRDefault="00EF0388" w:rsidP="00EF0388">
      <w:pPr>
        <w:pStyle w:val="BodyText"/>
      </w:pPr>
      <w:r>
        <w:t>Each of the factors</w:t>
      </w:r>
      <w:r w:rsidR="00CD7CDC">
        <w:t xml:space="preserve"> reviewed above</w:t>
      </w:r>
      <w:r>
        <w:t xml:space="preserve"> contributed to</w:t>
      </w:r>
      <w:r w:rsidR="00E75A6F">
        <w:t xml:space="preserve"> </w:t>
      </w:r>
      <w:r>
        <w:t>the observed change</w:t>
      </w:r>
      <w:r w:rsidR="00835803">
        <w:t>s</w:t>
      </w:r>
      <w:r>
        <w:t xml:space="preserve"> in the capital stocks of the resources sector</w:t>
      </w:r>
      <w:r w:rsidR="00835803">
        <w:t xml:space="preserve">. As a result, they </w:t>
      </w:r>
      <w:r w:rsidR="00502C44">
        <w:t xml:space="preserve">also </w:t>
      </w:r>
      <w:r w:rsidR="00835803">
        <w:t>contributed to changes in the sector’s</w:t>
      </w:r>
      <w:r>
        <w:t xml:space="preserve"> capital</w:t>
      </w:r>
      <w:r w:rsidR="006E01BF">
        <w:t>–</w:t>
      </w:r>
      <w:r>
        <w:t>labour ratio and multifactor productivity</w:t>
      </w:r>
      <w:r w:rsidR="00181039">
        <w:t xml:space="preserve">. Like many industries in the Australian economy, the resources sector experienced </w:t>
      </w:r>
      <w:r w:rsidR="00373632">
        <w:t xml:space="preserve">strong </w:t>
      </w:r>
      <w:r w:rsidR="00181039">
        <w:lastRenderedPageBreak/>
        <w:t>multifactor productivity (MFP) growth in the 1990s</w:t>
      </w:r>
      <w:r w:rsidR="004952D3">
        <w:t xml:space="preserve"> (Zhao 2012)</w:t>
      </w:r>
      <w:r w:rsidR="00181039">
        <w:t xml:space="preserve">. </w:t>
      </w:r>
      <w:r w:rsidR="00382EB5">
        <w:t xml:space="preserve">ABS data show that in </w:t>
      </w:r>
      <w:r w:rsidR="00181039">
        <w:t>the years leading up to 2001</w:t>
      </w:r>
      <w:r w:rsidR="00400858">
        <w:noBreakHyphen/>
      </w:r>
      <w:r w:rsidR="00181039">
        <w:t>02, output grew more quickly than labour and capital use jointly, and capital use grew more quickly than labour use</w:t>
      </w:r>
      <w:r w:rsidR="00EA0BDC">
        <w:t>. Since 2001</w:t>
      </w:r>
      <w:r w:rsidR="00EA0BDC">
        <w:noBreakHyphen/>
        <w:t xml:space="preserve">02, however, employment has increased faster than capital use, and both employment and capital use have increased faster than output </w:t>
      </w:r>
      <w:r w:rsidR="00382EB5">
        <w:t>(ABS </w:t>
      </w:r>
      <w:r w:rsidR="008C30E5">
        <w:t>2012k</w:t>
      </w:r>
      <w:r w:rsidR="00382EB5">
        <w:t>)</w:t>
      </w:r>
      <w:r w:rsidR="00181039">
        <w:t xml:space="preserve">. </w:t>
      </w:r>
      <w:r w:rsidR="00EA0BDC">
        <w:t xml:space="preserve">These trends suggest that both </w:t>
      </w:r>
      <w:r w:rsidR="00181039">
        <w:t xml:space="preserve">MFP </w:t>
      </w:r>
      <w:r w:rsidR="00EA0BDC">
        <w:t xml:space="preserve">and the </w:t>
      </w:r>
      <w:r w:rsidR="00181039">
        <w:t>capital</w:t>
      </w:r>
      <w:r w:rsidR="006E01BF">
        <w:t>–</w:t>
      </w:r>
      <w:r w:rsidR="00181039">
        <w:t>labour</w:t>
      </w:r>
      <w:r w:rsidR="00EA0BDC">
        <w:t xml:space="preserve"> ratio increased before 2001</w:t>
      </w:r>
      <w:r w:rsidR="00EA0BDC">
        <w:noBreakHyphen/>
        <w:t>02 and decreased afterwards</w:t>
      </w:r>
      <w:r w:rsidR="003B2086">
        <w:t xml:space="preserve">, in part </w:t>
      </w:r>
      <w:r w:rsidR="006E01BF">
        <w:t>due to the fact that</w:t>
      </w:r>
      <w:r w:rsidR="003B2086">
        <w:t xml:space="preserve"> the construction phases of a mine are more labour</w:t>
      </w:r>
      <w:r w:rsidR="003C7978">
        <w:noBreakHyphen/>
      </w:r>
      <w:r w:rsidR="003B2086">
        <w:t>intensive than the production phases</w:t>
      </w:r>
      <w:r w:rsidR="00181039">
        <w:t>.</w:t>
      </w:r>
    </w:p>
    <w:p w14:paraId="71A6C9D2" w14:textId="703D6A46" w:rsidR="00181039" w:rsidRDefault="00181039" w:rsidP="00EF0388">
      <w:pPr>
        <w:pStyle w:val="BodyText"/>
      </w:pPr>
      <w:r>
        <w:t>Topp et al. (2008) reported that the decline in productivity and capital</w:t>
      </w:r>
      <w:r w:rsidR="00317377">
        <w:t>–</w:t>
      </w:r>
      <w:r>
        <w:t xml:space="preserve">labour ratio was the result of diminishing returns </w:t>
      </w:r>
      <w:r w:rsidR="003166D9">
        <w:t xml:space="preserve">to scale </w:t>
      </w:r>
      <w:r>
        <w:t xml:space="preserve">among </w:t>
      </w:r>
      <w:r w:rsidRPr="00181039">
        <w:t xml:space="preserve">resource businesses. Many projects experienced declines </w:t>
      </w:r>
      <w:r w:rsidR="00373632">
        <w:t>in</w:t>
      </w:r>
      <w:r w:rsidRPr="00181039">
        <w:t xml:space="preserve"> ore grade (metal per tonne of ore), ore quality (impurities), reservoir pressure, or experienced increases in the overburden ratio (the proportion of overburden to ore).</w:t>
      </w:r>
      <w:r w:rsidR="00317377">
        <w:rPr>
          <w:rStyle w:val="FootnoteReference"/>
        </w:rPr>
        <w:footnoteReference w:id="6"/>
      </w:r>
      <w:r w:rsidRPr="00181039">
        <w:t xml:space="preserve"> Other projects experienced increased mine or well depth and increased complexity in the terrain or mine geology. This meant that </w:t>
      </w:r>
      <w:r w:rsidR="005230AA">
        <w:t>production</w:t>
      </w:r>
      <w:r w:rsidRPr="00181039">
        <w:t xml:space="preserve"> could only be </w:t>
      </w:r>
      <w:r w:rsidR="005230AA">
        <w:t>maintained</w:t>
      </w:r>
      <w:r w:rsidR="00AC6612">
        <w:t xml:space="preserve">, in the short </w:t>
      </w:r>
      <w:r w:rsidR="003166D9">
        <w:t>run</w:t>
      </w:r>
      <w:r w:rsidR="00AC6612">
        <w:t>,</w:t>
      </w:r>
      <w:r w:rsidRPr="00181039">
        <w:t xml:space="preserve"> </w:t>
      </w:r>
      <w:r w:rsidR="005230AA">
        <w:t>through</w:t>
      </w:r>
      <w:r w:rsidR="00552C97">
        <w:t xml:space="preserve"> incurring</w:t>
      </w:r>
      <w:r w:rsidR="005230AA">
        <w:t xml:space="preserve"> higher unit costs</w:t>
      </w:r>
      <w:r w:rsidRPr="00181039">
        <w:t xml:space="preserve">. </w:t>
      </w:r>
      <w:r w:rsidR="005230AA">
        <w:t>Nonetheless, t</w:t>
      </w:r>
      <w:r w:rsidR="005230AA" w:rsidRPr="00181039">
        <w:t xml:space="preserve">he </w:t>
      </w:r>
      <w:r w:rsidRPr="00181039">
        <w:t>large increase in resource prices offset</w:t>
      </w:r>
      <w:r w:rsidR="009B2B42">
        <w:t xml:space="preserve"> those</w:t>
      </w:r>
      <w:r w:rsidRPr="00181039">
        <w:t xml:space="preserve"> rising costs</w:t>
      </w:r>
      <w:r w:rsidR="00B35C27">
        <w:t>,</w:t>
      </w:r>
      <w:r w:rsidRPr="00181039">
        <w:t xml:space="preserve"> thereby allow</w:t>
      </w:r>
      <w:r w:rsidR="00B274D1">
        <w:t>ing</w:t>
      </w:r>
      <w:r w:rsidRPr="00181039">
        <w:t xml:space="preserve"> many lower</w:t>
      </w:r>
      <w:r w:rsidR="00400858">
        <w:noBreakHyphen/>
      </w:r>
      <w:r w:rsidRPr="00181039">
        <w:t xml:space="preserve">productivity mines to continue operating. In addition, </w:t>
      </w:r>
      <w:r w:rsidR="00373632">
        <w:t>prices</w:t>
      </w:r>
      <w:r w:rsidRPr="00181039">
        <w:t xml:space="preserve"> also made it worthwhile for miners to exploit lower</w:t>
      </w:r>
      <w:r w:rsidR="00400858">
        <w:noBreakHyphen/>
      </w:r>
      <w:r w:rsidRPr="00181039">
        <w:t>quality ore grades.</w:t>
      </w:r>
    </w:p>
    <w:p w14:paraId="2699824A" w14:textId="3A51F817" w:rsidR="00E75A6F" w:rsidRDefault="00B35C27" w:rsidP="00E75A6F">
      <w:pPr>
        <w:pStyle w:val="BodyText"/>
      </w:pPr>
      <w:r>
        <w:t>Adding to this</w:t>
      </w:r>
      <w:r w:rsidR="00E75A6F">
        <w:t xml:space="preserve">, the </w:t>
      </w:r>
      <w:r>
        <w:t>substantial</w:t>
      </w:r>
      <w:r w:rsidR="00E75A6F">
        <w:t xml:space="preserve"> investment program for many resources (table 6.1) has not yet led to a substantial increase in output. As a result, </w:t>
      </w:r>
      <w:r w:rsidR="00896E2C">
        <w:t xml:space="preserve">the long lead times of these investment projects is contributing to the lack of growth in MFP. </w:t>
      </w:r>
      <w:r w:rsidR="00E75A6F">
        <w:t xml:space="preserve">In coming years, it is </w:t>
      </w:r>
      <w:r w:rsidR="00A60097">
        <w:t xml:space="preserve">generally </w:t>
      </w:r>
      <w:r w:rsidR="00E75A6F">
        <w:t>expected that this new capital base will generate sizable increases in resource outpu</w:t>
      </w:r>
      <w:r w:rsidR="00896E2C">
        <w:t>t</w:t>
      </w:r>
      <w:r w:rsidR="00E75A6F">
        <w:t xml:space="preserve"> that should eventually lead to increases </w:t>
      </w:r>
      <w:r w:rsidR="00353AD0">
        <w:t>in</w:t>
      </w:r>
      <w:r w:rsidR="00E75A6F">
        <w:t xml:space="preserve"> MFP.</w:t>
      </w:r>
    </w:p>
    <w:p w14:paraId="44F4EEC0" w14:textId="46BCD1CC" w:rsidR="00E57E9E" w:rsidRDefault="00FC6557" w:rsidP="00E57E9E">
      <w:pPr>
        <w:pStyle w:val="Heading2"/>
      </w:pPr>
      <w:r>
        <w:t>6.</w:t>
      </w:r>
      <w:r w:rsidR="00A30461">
        <w:rPr>
          <w:noProof/>
        </w:rPr>
        <w:t>4</w:t>
      </w:r>
      <w:r w:rsidR="00E57E9E" w:rsidRPr="00B671F8">
        <w:tab/>
      </w:r>
      <w:r w:rsidR="00E57E9E">
        <w:t xml:space="preserve">What </w:t>
      </w:r>
      <w:r w:rsidR="004D21F5">
        <w:t>were</w:t>
      </w:r>
      <w:r w:rsidR="00E57E9E">
        <w:t xml:space="preserve"> the implications for labour?</w:t>
      </w:r>
    </w:p>
    <w:p w14:paraId="03781931" w14:textId="7763146F" w:rsidR="00E57E9E" w:rsidRDefault="00E57E9E" w:rsidP="00E57E9E">
      <w:pPr>
        <w:pStyle w:val="BodyText"/>
      </w:pPr>
      <w:r>
        <w:t xml:space="preserve">Alongside the recent boom in demand for its </w:t>
      </w:r>
      <w:r w:rsidR="00713008">
        <w:t>products</w:t>
      </w:r>
      <w:r>
        <w:t xml:space="preserve">, the </w:t>
      </w:r>
      <w:r w:rsidR="00713008">
        <w:t xml:space="preserve">natural </w:t>
      </w:r>
      <w:r>
        <w:t xml:space="preserve">resources sector has recorded a rapid </w:t>
      </w:r>
      <w:r w:rsidR="00884179">
        <w:t xml:space="preserve">increase </w:t>
      </w:r>
      <w:r>
        <w:t xml:space="preserve">in its workforce. </w:t>
      </w:r>
      <w:r w:rsidR="004B7737">
        <w:t>W</w:t>
      </w:r>
      <w:r>
        <w:t xml:space="preserve">hile Australia’s total workforce grew by just under </w:t>
      </w:r>
      <w:r w:rsidR="00884179">
        <w:t>25 </w:t>
      </w:r>
      <w:r>
        <w:t>per cent</w:t>
      </w:r>
      <w:r w:rsidR="004B7737">
        <w:t xml:space="preserve"> between </w:t>
      </w:r>
      <w:r w:rsidR="00C51797">
        <w:t xml:space="preserve">2002 </w:t>
      </w:r>
      <w:r w:rsidR="004B7737">
        <w:t>and 2012</w:t>
      </w:r>
      <w:r>
        <w:t xml:space="preserve">, the resources workforce more than </w:t>
      </w:r>
      <w:r w:rsidR="00880AE5">
        <w:t>trebled</w:t>
      </w:r>
      <w:r w:rsidR="00005904">
        <w:t xml:space="preserve"> in th</w:t>
      </w:r>
      <w:r w:rsidR="001D36AC">
        <w:t>at</w:t>
      </w:r>
      <w:r w:rsidR="00005904">
        <w:t xml:space="preserve"> time</w:t>
      </w:r>
      <w:r>
        <w:t xml:space="preserve">. Rising from around </w:t>
      </w:r>
      <w:r w:rsidR="00884179">
        <w:t>80 </w:t>
      </w:r>
      <w:r>
        <w:t xml:space="preserve">000 to </w:t>
      </w:r>
      <w:r w:rsidR="00884179">
        <w:t>260 </w:t>
      </w:r>
      <w:r>
        <w:t>000 workers, the resources sector was the fastest</w:t>
      </w:r>
      <w:r w:rsidR="00920A34">
        <w:t>-</w:t>
      </w:r>
      <w:r>
        <w:t xml:space="preserve">growing of all 19 industry divisions during this period. </w:t>
      </w:r>
      <w:r w:rsidRPr="00803DE7">
        <w:t xml:space="preserve">This section describes the </w:t>
      </w:r>
      <w:r w:rsidR="004B7737">
        <w:t>expansion</w:t>
      </w:r>
      <w:r w:rsidR="004B7737" w:rsidRPr="00803DE7">
        <w:t xml:space="preserve"> </w:t>
      </w:r>
      <w:r w:rsidRPr="00803DE7">
        <w:t>of the resources workforce</w:t>
      </w:r>
      <w:r w:rsidR="004B7737">
        <w:t xml:space="preserve"> </w:t>
      </w:r>
      <w:r w:rsidRPr="00803DE7">
        <w:t xml:space="preserve">and analyses how the sector was able to source additional labour to meet </w:t>
      </w:r>
      <w:r w:rsidR="004B3507">
        <w:t>the</w:t>
      </w:r>
      <w:r w:rsidR="004B3507" w:rsidRPr="00803DE7">
        <w:t xml:space="preserve"> </w:t>
      </w:r>
      <w:r w:rsidR="006C16A7">
        <w:t>increasing</w:t>
      </w:r>
      <w:r w:rsidR="004B7737" w:rsidRPr="00803DE7">
        <w:t xml:space="preserve"> </w:t>
      </w:r>
      <w:r w:rsidRPr="00803DE7">
        <w:t>demand for</w:t>
      </w:r>
      <w:r w:rsidR="004B3507">
        <w:t xml:space="preserve"> its</w:t>
      </w:r>
      <w:r w:rsidRPr="00803DE7">
        <w:t xml:space="preserve"> output.</w:t>
      </w:r>
    </w:p>
    <w:p w14:paraId="316B0D52" w14:textId="77777777" w:rsidR="00E57E9E" w:rsidRPr="006C49BC" w:rsidRDefault="00E57E9E" w:rsidP="006C49BC">
      <w:pPr>
        <w:pStyle w:val="Heading3"/>
      </w:pPr>
      <w:r w:rsidRPr="006C49BC">
        <w:lastRenderedPageBreak/>
        <w:t>Where has the growth of the resources workforce occurred?</w:t>
      </w:r>
    </w:p>
    <w:p w14:paraId="41D44BBE" w14:textId="4863BBB7" w:rsidR="00E57E9E" w:rsidRDefault="00E57E9E" w:rsidP="00E57E9E">
      <w:pPr>
        <w:pStyle w:val="BodyText"/>
      </w:pPr>
      <w:r>
        <w:t xml:space="preserve">The rapid expansion of the resource sector workforce during the recent </w:t>
      </w:r>
      <w:r w:rsidR="00884179">
        <w:t xml:space="preserve">natural resources </w:t>
      </w:r>
      <w:r>
        <w:t>boom is illustrated in figure</w:t>
      </w:r>
      <w:r w:rsidR="00400858">
        <w:t> </w:t>
      </w:r>
      <w:r>
        <w:t>6.</w:t>
      </w:r>
      <w:r w:rsidR="00A86F18">
        <w:t>5</w:t>
      </w:r>
      <w:r>
        <w:t>, by industry subdivision. From 2000 onwards, the largest increase in employment, in absolute terms, occurred in Metal ore mining. This industry subdivision has long been, and continues to be, the largest component of the resources workforce, with most of these workers involved in Iron ore or Gold ore mining (ABS 2011</w:t>
      </w:r>
      <w:r w:rsidR="009B51CF">
        <w:t>b</w:t>
      </w:r>
      <w:r>
        <w:t>).</w:t>
      </w:r>
      <w:r>
        <w:rPr>
          <w:rStyle w:val="FootnoteReference"/>
        </w:rPr>
        <w:footnoteReference w:id="7"/>
      </w:r>
      <w:r>
        <w:t xml:space="preserve"> The fastest rates of employment growth from 2000 onwards, however, occurred in Coal mining and Exploration and other mining support services.</w:t>
      </w:r>
      <w:r>
        <w:rPr>
          <w:rStyle w:val="FootnoteReference"/>
        </w:rPr>
        <w:footnoteReference w:id="8"/>
      </w:r>
      <w:r>
        <w:t xml:space="preserve"> Employment in Oil and gas extraction also expanded rapidly, although from a relatively small base. Figure</w:t>
      </w:r>
      <w:r w:rsidR="00400858">
        <w:t> </w:t>
      </w:r>
      <w:r>
        <w:t>6.</w:t>
      </w:r>
      <w:r w:rsidR="00A86F18">
        <w:t>5</w:t>
      </w:r>
      <w:r>
        <w:t xml:space="preserve"> illustrates that the recent surge in </w:t>
      </w:r>
      <w:r w:rsidR="004B7737">
        <w:t xml:space="preserve">resources </w:t>
      </w:r>
      <w:r>
        <w:t xml:space="preserve">employment was unprecedented, compared to the preceding </w:t>
      </w:r>
      <w:r w:rsidR="00FE7E5E">
        <w:t>15 </w:t>
      </w:r>
      <w:r>
        <w:t>years. Moreover, during the 1990s, employment numbers in some subdivisions within the sector actually fell.</w:t>
      </w:r>
    </w:p>
    <w:p w14:paraId="121D6A79" w14:textId="352538FE" w:rsidR="009646C5" w:rsidRDefault="004B7737" w:rsidP="009646C5">
      <w:pPr>
        <w:spacing w:before="240" w:line="320" w:lineRule="atLeast"/>
        <w:jc w:val="both"/>
        <w:rPr>
          <w:szCs w:val="20"/>
        </w:rPr>
      </w:pPr>
      <w:r>
        <w:rPr>
          <w:szCs w:val="20"/>
        </w:rPr>
        <w:t>A</w:t>
      </w:r>
      <w:r w:rsidR="009646C5" w:rsidRPr="00E57E9E">
        <w:rPr>
          <w:szCs w:val="20"/>
        </w:rPr>
        <w:t xml:space="preserve">round 40 per cent of Australia’s resources workforce </w:t>
      </w:r>
      <w:r w:rsidR="00880AE5">
        <w:rPr>
          <w:szCs w:val="20"/>
        </w:rPr>
        <w:t>is</w:t>
      </w:r>
      <w:r w:rsidR="00880AE5" w:rsidRPr="00E57E9E">
        <w:rPr>
          <w:szCs w:val="20"/>
        </w:rPr>
        <w:t xml:space="preserve"> </w:t>
      </w:r>
      <w:r w:rsidR="009646C5" w:rsidRPr="00E57E9E">
        <w:rPr>
          <w:szCs w:val="20"/>
        </w:rPr>
        <w:t xml:space="preserve">currently located in Western Australia, with the next largest shares </w:t>
      </w:r>
      <w:r>
        <w:rPr>
          <w:szCs w:val="20"/>
        </w:rPr>
        <w:t xml:space="preserve">found </w:t>
      </w:r>
      <w:r w:rsidR="009646C5" w:rsidRPr="00E57E9E">
        <w:rPr>
          <w:szCs w:val="20"/>
        </w:rPr>
        <w:t>in Queensland (almost 30 per cent) and New South Wales (almost 20 per cent) (ABS </w:t>
      </w:r>
      <w:r w:rsidR="00FE7E5E" w:rsidRPr="00E57E9E">
        <w:rPr>
          <w:szCs w:val="20"/>
        </w:rPr>
        <w:t>2012</w:t>
      </w:r>
      <w:r w:rsidR="00FE7E5E">
        <w:rPr>
          <w:szCs w:val="20"/>
        </w:rPr>
        <w:t>h</w:t>
      </w:r>
      <w:r w:rsidR="009646C5" w:rsidRPr="00E57E9E">
        <w:rPr>
          <w:szCs w:val="20"/>
        </w:rPr>
        <w:t>). Western Australia’s position as the largest employer of resource workers only emerged from around 2000 onwards (figure 6.</w:t>
      </w:r>
      <w:r w:rsidR="00A86F18">
        <w:rPr>
          <w:szCs w:val="20"/>
        </w:rPr>
        <w:t>6</w:t>
      </w:r>
      <w:r w:rsidR="009646C5" w:rsidRPr="00E57E9E">
        <w:rPr>
          <w:szCs w:val="20"/>
        </w:rPr>
        <w:t>). In the preceding 15 years, its resources workforce was not much larger than that of New South Wales or Queensland.</w:t>
      </w:r>
    </w:p>
    <w:p w14:paraId="19641B29" w14:textId="77777777" w:rsidR="00B72009" w:rsidRPr="00E57E9E" w:rsidRDefault="00B72009" w:rsidP="00B72009">
      <w:pPr>
        <w:spacing w:before="240" w:line="320" w:lineRule="atLeast"/>
        <w:jc w:val="both"/>
        <w:rPr>
          <w:szCs w:val="20"/>
        </w:rPr>
      </w:pPr>
      <w:r w:rsidRPr="00E57E9E">
        <w:rPr>
          <w:szCs w:val="20"/>
        </w:rPr>
        <w:t>To give a sense of the rapid expansion of the regional workforces within the resource</w:t>
      </w:r>
      <w:r w:rsidRPr="00E57E9E">
        <w:rPr>
          <w:szCs w:val="20"/>
        </w:rPr>
        <w:noBreakHyphen/>
        <w:t>rich states, the total number of people employed in regional Western Australia almost doubled between 2008 and 2012, while the number employed in the Mackay</w:t>
      </w:r>
      <w:r w:rsidRPr="00E57E9E">
        <w:rPr>
          <w:szCs w:val="20"/>
        </w:rPr>
        <w:noBreakHyphen/>
        <w:t>Fitzroy</w:t>
      </w:r>
      <w:r w:rsidRPr="00E57E9E">
        <w:rPr>
          <w:szCs w:val="20"/>
        </w:rPr>
        <w:noBreakHyphen/>
        <w:t>Central West region of Queensland swelled by 40 per cent (ABS</w:t>
      </w:r>
      <w:r>
        <w:rPr>
          <w:szCs w:val="20"/>
        </w:rPr>
        <w:t xml:space="preserve"> </w:t>
      </w:r>
      <w:r w:rsidRPr="00E57E9E">
        <w:rPr>
          <w:szCs w:val="20"/>
        </w:rPr>
        <w:t>2012</w:t>
      </w:r>
      <w:r>
        <w:rPr>
          <w:szCs w:val="20"/>
        </w:rPr>
        <w:t>h</w:t>
      </w:r>
      <w:r w:rsidRPr="00E57E9E">
        <w:rPr>
          <w:szCs w:val="20"/>
        </w:rPr>
        <w:t>).</w:t>
      </w:r>
      <w:r w:rsidRPr="00E57E9E">
        <w:rPr>
          <w:position w:val="6"/>
          <w:sz w:val="22"/>
          <w:szCs w:val="20"/>
        </w:rPr>
        <w:footnoteReference w:id="9"/>
      </w:r>
      <w:r w:rsidRPr="00E57E9E">
        <w:rPr>
          <w:szCs w:val="20"/>
        </w:rPr>
        <w:t xml:space="preserve"> In 2011, the Western Australian Outback region recorded an employment</w:t>
      </w:r>
      <w:r>
        <w:rPr>
          <w:szCs w:val="20"/>
        </w:rPr>
        <w:noBreakHyphen/>
      </w:r>
      <w:r w:rsidRPr="00E57E9E">
        <w:rPr>
          <w:szCs w:val="20"/>
        </w:rPr>
        <w:t>to</w:t>
      </w:r>
      <w:r>
        <w:rPr>
          <w:szCs w:val="20"/>
        </w:rPr>
        <w:noBreakHyphen/>
      </w:r>
      <w:r w:rsidRPr="00E57E9E">
        <w:rPr>
          <w:szCs w:val="20"/>
        </w:rPr>
        <w:t>population rate of around 70</w:t>
      </w:r>
      <w:r>
        <w:rPr>
          <w:szCs w:val="20"/>
        </w:rPr>
        <w:t> </w:t>
      </w:r>
      <w:r w:rsidRPr="00E57E9E">
        <w:rPr>
          <w:szCs w:val="20"/>
        </w:rPr>
        <w:t>per</w:t>
      </w:r>
      <w:r>
        <w:rPr>
          <w:szCs w:val="20"/>
        </w:rPr>
        <w:t> </w:t>
      </w:r>
      <w:r w:rsidRPr="00E57E9E">
        <w:rPr>
          <w:szCs w:val="20"/>
        </w:rPr>
        <w:t>cent, which was around 9 percentage points higher than that for Australia overall. In the Pilbara</w:t>
      </w:r>
      <w:r>
        <w:rPr>
          <w:szCs w:val="20"/>
        </w:rPr>
        <w:t>, a part of this region</w:t>
      </w:r>
      <w:r w:rsidRPr="00E57E9E">
        <w:rPr>
          <w:szCs w:val="20"/>
        </w:rPr>
        <w:t>, that rate reached 84 per cent (ABS 2011</w:t>
      </w:r>
      <w:r>
        <w:rPr>
          <w:szCs w:val="20"/>
        </w:rPr>
        <w:t>b</w:t>
      </w:r>
      <w:r w:rsidRPr="00E57E9E">
        <w:rPr>
          <w:szCs w:val="20"/>
        </w:rPr>
        <w:t xml:space="preserve">). </w:t>
      </w:r>
    </w:p>
    <w:p w14:paraId="420708C5" w14:textId="2CAB54F2" w:rsidR="00B72009" w:rsidRPr="009646C5" w:rsidRDefault="00B72009" w:rsidP="009646C5">
      <w:pPr>
        <w:spacing w:before="240" w:line="320" w:lineRule="atLeast"/>
        <w:jc w:val="both"/>
        <w:rPr>
          <w:szCs w:val="20"/>
        </w:rPr>
      </w:pPr>
      <w:r w:rsidRPr="00E57E9E">
        <w:rPr>
          <w:szCs w:val="20"/>
        </w:rPr>
        <w:t xml:space="preserve">Machinery operators and drivers currently make up the largest </w:t>
      </w:r>
      <w:r>
        <w:rPr>
          <w:szCs w:val="20"/>
        </w:rPr>
        <w:t xml:space="preserve">occupational </w:t>
      </w:r>
      <w:r w:rsidRPr="00E57E9E">
        <w:rPr>
          <w:szCs w:val="20"/>
        </w:rPr>
        <w:t>share (around one</w:t>
      </w:r>
      <w:r>
        <w:rPr>
          <w:szCs w:val="20"/>
        </w:rPr>
        <w:noBreakHyphen/>
      </w:r>
      <w:r w:rsidRPr="00E57E9E">
        <w:rPr>
          <w:szCs w:val="20"/>
        </w:rPr>
        <w:t xml:space="preserve">third) </w:t>
      </w:r>
      <w:r>
        <w:rPr>
          <w:szCs w:val="20"/>
        </w:rPr>
        <w:t xml:space="preserve">in the resources sector </w:t>
      </w:r>
      <w:r w:rsidRPr="00E57E9E">
        <w:rPr>
          <w:szCs w:val="20"/>
        </w:rPr>
        <w:t>(figure 6.</w:t>
      </w:r>
      <w:r>
        <w:rPr>
          <w:szCs w:val="20"/>
        </w:rPr>
        <w:t>7</w:t>
      </w:r>
      <w:r w:rsidRPr="00E57E9E">
        <w:rPr>
          <w:szCs w:val="20"/>
        </w:rPr>
        <w:t>). Of these workers, most are employed as Drillers, miners or shot firers</w:t>
      </w:r>
      <w:r>
        <w:rPr>
          <w:szCs w:val="20"/>
        </w:rPr>
        <w:t xml:space="preserve"> </w:t>
      </w:r>
      <w:r w:rsidRPr="00E57E9E">
        <w:rPr>
          <w:szCs w:val="20"/>
        </w:rPr>
        <w:t>(ABS 2011</w:t>
      </w:r>
      <w:r>
        <w:rPr>
          <w:szCs w:val="20"/>
        </w:rPr>
        <w:t>b</w:t>
      </w:r>
      <w:r w:rsidRPr="00E57E9E">
        <w:rPr>
          <w:szCs w:val="20"/>
        </w:rPr>
        <w:t xml:space="preserve">). Technicians and trades </w:t>
      </w:r>
      <w:r w:rsidRPr="00E57E9E">
        <w:rPr>
          <w:szCs w:val="20"/>
        </w:rPr>
        <w:lastRenderedPageBreak/>
        <w:t>workers and Professionals constitute the next largest occupational categories within the sector. Employers in the resources sector report</w:t>
      </w:r>
      <w:r>
        <w:rPr>
          <w:szCs w:val="20"/>
        </w:rPr>
        <w:t>ed</w:t>
      </w:r>
      <w:r w:rsidRPr="00E57E9E">
        <w:rPr>
          <w:szCs w:val="20"/>
        </w:rPr>
        <w:t xml:space="preserve"> that, in recent years, the most difficult occupation to fill </w:t>
      </w:r>
      <w:r>
        <w:rPr>
          <w:szCs w:val="20"/>
        </w:rPr>
        <w:t>was</w:t>
      </w:r>
      <w:r w:rsidRPr="00E57E9E">
        <w:rPr>
          <w:szCs w:val="20"/>
        </w:rPr>
        <w:t xml:space="preserve"> the Professional occupation of Mining engineers (DEEWR 2012</w:t>
      </w:r>
      <w:r>
        <w:rPr>
          <w:szCs w:val="20"/>
        </w:rPr>
        <w:t>b</w:t>
      </w:r>
      <w:r w:rsidRPr="00E57E9E">
        <w:rPr>
          <w:szCs w:val="20"/>
        </w:rPr>
        <w:t>).</w:t>
      </w:r>
    </w:p>
    <w:p w14:paraId="0D152D43" w14:textId="51F8C6F2" w:rsidR="00884179" w:rsidRPr="00884179" w:rsidRDefault="006C49BC" w:rsidP="009E3659">
      <w:pPr>
        <w:pStyle w:val="FigureTitle"/>
      </w:pPr>
      <w:r w:rsidRPr="006C49BC">
        <w:rPr>
          <w:b w:val="0"/>
        </w:rPr>
        <w:t xml:space="preserve">Figure </w:t>
      </w:r>
      <w:r w:rsidR="00FF0AA4">
        <w:rPr>
          <w:b w:val="0"/>
        </w:rPr>
        <w:t>6.</w:t>
      </w:r>
      <w:r w:rsidR="00FF0AA4">
        <w:rPr>
          <w:b w:val="0"/>
          <w:noProof/>
        </w:rPr>
        <w:t>5</w:t>
      </w:r>
      <w:r w:rsidRPr="006C49BC">
        <w:tab/>
        <w:t xml:space="preserve">Employment in </w:t>
      </w:r>
      <w:r w:rsidR="00920A34">
        <w:t xml:space="preserve">the </w:t>
      </w:r>
      <w:r w:rsidRPr="006C49BC">
        <w:t xml:space="preserve">resources sector, </w:t>
      </w:r>
      <w:r w:rsidR="009E3659">
        <w:t>by subdivision,</w:t>
      </w:r>
      <w:r w:rsidR="009E3659">
        <w:br/>
      </w:r>
      <w:r w:rsidRPr="006C49BC">
        <w:t>1985</w:t>
      </w:r>
      <w:r w:rsidR="001679AF">
        <w:t xml:space="preserve"> to </w:t>
      </w:r>
      <w:r w:rsidRPr="006C49BC">
        <w:t>2012</w:t>
      </w:r>
      <w:r w:rsidRPr="009646C5">
        <w:rPr>
          <w:rStyle w:val="NoteLabel"/>
          <w:b/>
        </w:rPr>
        <w:t>a</w:t>
      </w:r>
      <w:r w:rsidR="00884179">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C49BC" w14:paraId="05E498CB" w14:textId="77777777">
        <w:tc>
          <w:tcPr>
            <w:tcW w:w="8777" w:type="dxa"/>
          </w:tcPr>
          <w:p w14:paraId="04D8A2A7" w14:textId="2FF5CEF8" w:rsidR="006C49BC" w:rsidRDefault="006C49BC">
            <w:pPr>
              <w:pStyle w:val="Figure"/>
            </w:pPr>
            <w:r w:rsidRPr="00E57E9E">
              <w:rPr>
                <w:noProof/>
              </w:rPr>
              <w:drawing>
                <wp:inline distT="0" distB="0" distL="0" distR="0" wp14:anchorId="0411CF5F" wp14:editId="2206A511">
                  <wp:extent cx="5410200" cy="3225800"/>
                  <wp:effectExtent l="0" t="0" r="0" b="0"/>
                  <wp:docPr id="22" name="Chart 22" descr="This figure shows the number of persons employed in the resources sector subdivisions, for each year from 1985 to 2012. The subdivision categories are metal ore mining, coal mining, exploration and other mining support services, non-metallic mineral mining and quarrying, oil and gas extraction, and mining not further defined. The data series at the top is metal ore mining." title="Employment in resources sector, by subdivis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bl>
    <w:p w14:paraId="646D67D2" w14:textId="796E615C" w:rsidR="00E57E9E" w:rsidRPr="00E57E9E" w:rsidRDefault="00E57E9E" w:rsidP="006C49BC">
      <w:pPr>
        <w:pStyle w:val="Note"/>
      </w:pPr>
      <w:r w:rsidRPr="006C49BC">
        <w:rPr>
          <w:rStyle w:val="NoteLabel"/>
        </w:rPr>
        <w:t>a</w:t>
      </w:r>
      <w:r w:rsidRPr="00E57E9E">
        <w:t xml:space="preserve"> Annual count of persons employed for each year based on averaged original quarterly data. See </w:t>
      </w:r>
      <w:r w:rsidR="00400858">
        <w:t>a</w:t>
      </w:r>
      <w:r w:rsidRPr="00E57E9E">
        <w:t>ppendix A.2 for explanation of mining industry subdivisions.</w:t>
      </w:r>
      <w:r w:rsidR="00884179">
        <w:t xml:space="preserve">  </w:t>
      </w:r>
      <w:r w:rsidR="00884179">
        <w:rPr>
          <w:rStyle w:val="NoteLabel"/>
        </w:rPr>
        <w:t>b</w:t>
      </w:r>
      <w:r w:rsidR="00884179" w:rsidRPr="00E57E9E">
        <w:t xml:space="preserve"> </w:t>
      </w:r>
      <w:r w:rsidR="00884179">
        <w:t xml:space="preserve">The </w:t>
      </w:r>
      <w:r w:rsidR="001D172B">
        <w:t xml:space="preserve">commodities produced and services delivered by the resource sector subdivisions </w:t>
      </w:r>
      <w:r w:rsidR="00F1071B">
        <w:t>listed</w:t>
      </w:r>
      <w:r w:rsidR="001D172B">
        <w:t xml:space="preserve"> in the figure above are detailed in appendix A.</w:t>
      </w:r>
    </w:p>
    <w:p w14:paraId="5434BD5A" w14:textId="77777777" w:rsidR="00E57E9E" w:rsidRDefault="00E57E9E" w:rsidP="006C49BC">
      <w:pPr>
        <w:pStyle w:val="Source"/>
      </w:pPr>
      <w:r w:rsidRPr="006C49BC">
        <w:rPr>
          <w:i/>
        </w:rPr>
        <w:t>Source</w:t>
      </w:r>
      <w:r w:rsidRPr="00E57E9E">
        <w:t>: ABS (</w:t>
      </w:r>
      <w:r w:rsidRPr="006C49BC">
        <w:rPr>
          <w:i/>
        </w:rPr>
        <w:t>Labour Force, Australia, Detailed, Quarterly</w:t>
      </w:r>
      <w:r w:rsidRPr="00E57E9E">
        <w:t>, Cat. no. 6291.0.55.003).</w:t>
      </w:r>
    </w:p>
    <w:p w14:paraId="27F4526C" w14:textId="43E6941E" w:rsidR="00B72009" w:rsidRPr="00E5768C" w:rsidRDefault="00B72009" w:rsidP="00E5768C">
      <w:pPr>
        <w:pStyle w:val="BodyText"/>
      </w:pPr>
      <w:r w:rsidRPr="00E57E9E">
        <w:t>The profile of occupations required by a firm in the</w:t>
      </w:r>
      <w:r>
        <w:t xml:space="preserve"> natural</w:t>
      </w:r>
      <w:r w:rsidRPr="00E57E9E">
        <w:t xml:space="preserve"> resources sector are partly determined by </w:t>
      </w:r>
      <w:r>
        <w:t>the</w:t>
      </w:r>
      <w:r w:rsidRPr="00E57E9E">
        <w:t xml:space="preserve"> phase </w:t>
      </w:r>
      <w:r>
        <w:t>in which</w:t>
      </w:r>
      <w:r w:rsidRPr="00E57E9E">
        <w:t xml:space="preserve"> the resources project is engaged. During the exploration and early ‘planning’ phases of a project, the skills of Professionals (such as Geologists, Surveyors and Mining and mechanical engineers) are generally in high demand. During the construction and operational phases, the skills of Technicians and trades workers and Machinery operators and drivers (such as Engineering technicians, Machinists and Truck drivers) are more in demand. Overall demand for labour generally peaks during the construction phase, although workers employed during this phase are typically employed on a short</w:t>
      </w:r>
      <w:r w:rsidRPr="00E57E9E">
        <w:noBreakHyphen/>
        <w:t>term, rather than ongoing, basis (CMEWA 2011a; MCA, CMEWA and QRC 2010; Western Australian Regional Cities Alliance 2011). These patterns, however, are not clearly visible in the aggregated data in figure</w:t>
      </w:r>
      <w:r>
        <w:t> </w:t>
      </w:r>
      <w:r w:rsidRPr="00E57E9E">
        <w:t>6.</w:t>
      </w:r>
      <w:r>
        <w:t>7</w:t>
      </w:r>
      <w:r w:rsidRPr="00E57E9E">
        <w:t xml:space="preserve">, because the </w:t>
      </w:r>
      <w:r>
        <w:t>many</w:t>
      </w:r>
      <w:r w:rsidRPr="00E57E9E">
        <w:t xml:space="preserve"> projects </w:t>
      </w:r>
      <w:r>
        <w:t>currently underway are at different stages of their life cycle</w:t>
      </w:r>
      <w:r w:rsidRPr="00E57E9E">
        <w:t>.</w:t>
      </w:r>
    </w:p>
    <w:p w14:paraId="6E50A674" w14:textId="54023F10" w:rsidR="00E57E9E" w:rsidRDefault="00E57E9E" w:rsidP="006C49BC">
      <w:pPr>
        <w:pStyle w:val="FigureTitle"/>
      </w:pPr>
      <w:r w:rsidRPr="006C49BC">
        <w:rPr>
          <w:b w:val="0"/>
        </w:rPr>
        <w:lastRenderedPageBreak/>
        <w:t xml:space="preserve">Figure </w:t>
      </w:r>
      <w:r w:rsidR="00FF0AA4">
        <w:rPr>
          <w:b w:val="0"/>
        </w:rPr>
        <w:t>6.</w:t>
      </w:r>
      <w:r w:rsidR="00FF0AA4">
        <w:rPr>
          <w:b w:val="0"/>
          <w:noProof/>
        </w:rPr>
        <w:t>6</w:t>
      </w:r>
      <w:r w:rsidRPr="00E57E9E">
        <w:tab/>
      </w:r>
      <w:r w:rsidR="001679AF">
        <w:t>R</w:t>
      </w:r>
      <w:r w:rsidRPr="00E57E9E">
        <w:t>esource sector</w:t>
      </w:r>
      <w:r w:rsidR="001679AF">
        <w:t xml:space="preserve"> employment</w:t>
      </w:r>
      <w:r w:rsidRPr="00E57E9E">
        <w:t xml:space="preserve">, </w:t>
      </w:r>
      <w:r w:rsidR="009E3659">
        <w:t>by jurisdiction,</w:t>
      </w:r>
      <w:r w:rsidR="009E3659">
        <w:br/>
      </w:r>
      <w:r w:rsidRPr="00E57E9E">
        <w:t>1985</w:t>
      </w:r>
      <w:r w:rsidR="001679AF">
        <w:t xml:space="preserve"> to </w:t>
      </w:r>
      <w:r w:rsidRPr="00E57E9E">
        <w:t>2012</w:t>
      </w:r>
      <w:r w:rsidRPr="006C49BC">
        <w:rPr>
          <w:position w:val="6"/>
          <w:sz w:val="18"/>
        </w:rPr>
        <w:t>a, b</w:t>
      </w:r>
      <w:r w:rsidR="00F1071B">
        <w:rPr>
          <w:position w:val="6"/>
          <w:sz w:val="18"/>
        </w:rPr>
        <w:t>,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57E9E" w:rsidRPr="00E57E9E" w14:paraId="77FD83D1" w14:textId="77777777" w:rsidTr="00E57E9E">
        <w:tc>
          <w:tcPr>
            <w:tcW w:w="8777" w:type="dxa"/>
          </w:tcPr>
          <w:p w14:paraId="270EA5DB" w14:textId="77777777" w:rsidR="00E57E9E" w:rsidRPr="00E57E9E" w:rsidRDefault="00E57E9E" w:rsidP="006C49BC">
            <w:pPr>
              <w:keepNext/>
              <w:spacing w:before="120" w:after="120" w:line="240" w:lineRule="atLeast"/>
              <w:jc w:val="center"/>
              <w:rPr>
                <w:szCs w:val="20"/>
              </w:rPr>
            </w:pPr>
            <w:r w:rsidRPr="00E57E9E">
              <w:rPr>
                <w:noProof/>
                <w:szCs w:val="20"/>
              </w:rPr>
              <w:drawing>
                <wp:inline distT="0" distB="0" distL="0" distR="0" wp14:anchorId="11D3E13B" wp14:editId="1385D59A">
                  <wp:extent cx="5367867" cy="2692400"/>
                  <wp:effectExtent l="0" t="0" r="4445" b="0"/>
                  <wp:docPr id="3" name="Chart 3" descr="This figure shows the number of persons employed in the resources sector in each jurisdiction, for each year from 1985 to 2012. The data series at the top is Western Australia. " title="Employment in resources sector, by jurisdic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bl>
    <w:p w14:paraId="53B6F125" w14:textId="7CAEBBA5" w:rsidR="00E57E9E" w:rsidRPr="00E57E9E" w:rsidRDefault="00E57E9E" w:rsidP="006C49BC">
      <w:pPr>
        <w:pStyle w:val="Note"/>
        <w:rPr>
          <w:i/>
        </w:rPr>
      </w:pPr>
      <w:r w:rsidRPr="006C49BC">
        <w:rPr>
          <w:rStyle w:val="NoteLabel"/>
        </w:rPr>
        <w:t>a</w:t>
      </w:r>
      <w:r w:rsidRPr="00E57E9E">
        <w:t xml:space="preserve"> Annual count of persons employed for each year based on averaged original quarterly data.</w:t>
      </w:r>
      <w:r w:rsidRPr="00155DEE">
        <w:t xml:space="preserve"> </w:t>
      </w:r>
      <w:r w:rsidR="00155DEE" w:rsidRPr="00155DEE">
        <w:t xml:space="preserve"> </w:t>
      </w:r>
      <w:r w:rsidRPr="006C49BC">
        <w:rPr>
          <w:rStyle w:val="NoteLabel"/>
        </w:rPr>
        <w:t>b</w:t>
      </w:r>
      <w:r w:rsidRPr="00E57E9E">
        <w:t> Estimates for the ACT have been excluded due to the low sample count and high sampling variability for this jurisdiction. Some estimates for Victoria for 1996 to 2001 were subject to high sampling variability.</w:t>
      </w:r>
      <w:r w:rsidR="00F1071B">
        <w:t xml:space="preserve">  </w:t>
      </w:r>
      <w:r w:rsidR="00F1071B">
        <w:rPr>
          <w:rStyle w:val="NoteLabel"/>
        </w:rPr>
        <w:t>c</w:t>
      </w:r>
      <w:r w:rsidR="00F1071B" w:rsidRPr="00E57E9E">
        <w:t xml:space="preserve"> </w:t>
      </w:r>
      <w:r w:rsidR="00F1071B">
        <w:t>The scope of the resources sector is defined in appendix A.</w:t>
      </w:r>
    </w:p>
    <w:p w14:paraId="2C4DFAD3" w14:textId="77777777" w:rsidR="00E57E9E" w:rsidRPr="00E57E9E" w:rsidRDefault="00E57E9E" w:rsidP="006C49BC">
      <w:pPr>
        <w:pStyle w:val="Source"/>
      </w:pPr>
      <w:r w:rsidRPr="006C49BC">
        <w:rPr>
          <w:i/>
        </w:rPr>
        <w:t>Source</w:t>
      </w:r>
      <w:r w:rsidRPr="00E57E9E">
        <w:t>: ABS (</w:t>
      </w:r>
      <w:r w:rsidRPr="006C49BC">
        <w:rPr>
          <w:i/>
        </w:rPr>
        <w:t>Labour Force, Australia, Detailed, Quarterly</w:t>
      </w:r>
      <w:r w:rsidRPr="00E57E9E">
        <w:t>, Cat. no. 6291.0.55.003).</w:t>
      </w:r>
    </w:p>
    <w:p w14:paraId="224EEE20" w14:textId="3B5C5365" w:rsidR="00E57E9E" w:rsidRPr="006C49BC" w:rsidRDefault="00E57E9E" w:rsidP="006C49BC">
      <w:pPr>
        <w:pStyle w:val="FigureTitle"/>
        <w:rPr>
          <w:rFonts w:ascii="Times New Roman" w:hAnsi="Times New Roman"/>
          <w:sz w:val="26"/>
          <w:szCs w:val="20"/>
        </w:rPr>
      </w:pPr>
      <w:r w:rsidRPr="006C49BC">
        <w:rPr>
          <w:b w:val="0"/>
        </w:rPr>
        <w:t xml:space="preserve">Figure </w:t>
      </w:r>
      <w:r w:rsidR="00FF0AA4">
        <w:rPr>
          <w:b w:val="0"/>
        </w:rPr>
        <w:t>6.</w:t>
      </w:r>
      <w:r w:rsidR="00FF0AA4">
        <w:rPr>
          <w:b w:val="0"/>
          <w:noProof/>
        </w:rPr>
        <w:t>7</w:t>
      </w:r>
      <w:r w:rsidRPr="00E57E9E">
        <w:tab/>
      </w:r>
      <w:r w:rsidR="000B2BAA">
        <w:t>R</w:t>
      </w:r>
      <w:r w:rsidRPr="00E57E9E">
        <w:t>esource sector</w:t>
      </w:r>
      <w:r w:rsidR="000B2BAA">
        <w:t xml:space="preserve"> employment</w:t>
      </w:r>
      <w:r w:rsidRPr="00E57E9E">
        <w:t>, by occupation, 1998</w:t>
      </w:r>
      <w:r w:rsidR="000B2BAA">
        <w:t xml:space="preserve"> to </w:t>
      </w:r>
      <w:r w:rsidRPr="00E57E9E">
        <w:t>2012</w:t>
      </w:r>
      <w:r w:rsidRPr="006C49BC">
        <w:rPr>
          <w:position w:val="6"/>
          <w:sz w:val="18"/>
        </w:rPr>
        <w:t>a</w:t>
      </w:r>
      <w:r w:rsidR="00766A3B">
        <w:rPr>
          <w:position w:val="6"/>
          <w:sz w:val="18"/>
        </w:rPr>
        <w:t>,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57E9E" w:rsidRPr="00E57E9E" w14:paraId="51EBECFF" w14:textId="77777777" w:rsidTr="00E57E9E">
        <w:tc>
          <w:tcPr>
            <w:tcW w:w="8777" w:type="dxa"/>
          </w:tcPr>
          <w:p w14:paraId="4911FB8B" w14:textId="77777777" w:rsidR="00E57E9E" w:rsidRPr="00E57E9E" w:rsidRDefault="00E57E9E" w:rsidP="006C49BC">
            <w:pPr>
              <w:keepNext/>
              <w:spacing w:before="120" w:after="120" w:line="240" w:lineRule="atLeast"/>
              <w:jc w:val="center"/>
              <w:rPr>
                <w:szCs w:val="20"/>
              </w:rPr>
            </w:pPr>
            <w:r w:rsidRPr="00E57E9E">
              <w:rPr>
                <w:noProof/>
                <w:szCs w:val="20"/>
              </w:rPr>
              <w:drawing>
                <wp:inline distT="0" distB="0" distL="0" distR="0" wp14:anchorId="727B6A58" wp14:editId="161C4897">
                  <wp:extent cx="5400000" cy="2880000"/>
                  <wp:effectExtent l="0" t="0" r="0" b="0"/>
                  <wp:docPr id="4" name="Chart 4" descr="This figure shoes the number of person employed in the resources sector in each occupation, for each year from 1998 to 2012. The six occupational categories are managers, professionals, technicians and trades workers, clerical and administrative workers, machinery operators and drivers, and labourers. The category at the top is machinery operators and drivers." title="Employment in resources sector, by occupa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c>
      </w:tr>
    </w:tbl>
    <w:p w14:paraId="62EFC2E2" w14:textId="5DD1DD83" w:rsidR="00E57E9E" w:rsidRPr="003D0B97" w:rsidRDefault="00E57E9E" w:rsidP="00E57E9E">
      <w:pPr>
        <w:keepLines/>
        <w:spacing w:before="80" w:after="120" w:line="220" w:lineRule="exact"/>
        <w:jc w:val="both"/>
        <w:rPr>
          <w:rFonts w:ascii="Arial" w:hAnsi="Arial"/>
          <w:sz w:val="18"/>
          <w:szCs w:val="20"/>
        </w:rPr>
      </w:pPr>
      <w:r w:rsidRPr="00E57E9E">
        <w:rPr>
          <w:rFonts w:ascii="Arial" w:hAnsi="Arial"/>
          <w:b/>
          <w:position w:val="6"/>
          <w:sz w:val="18"/>
          <w:szCs w:val="20"/>
        </w:rPr>
        <w:t>a</w:t>
      </w:r>
      <w:r w:rsidRPr="00E57E9E">
        <w:rPr>
          <w:rFonts w:ascii="Arial" w:hAnsi="Arial"/>
          <w:sz w:val="18"/>
          <w:szCs w:val="20"/>
        </w:rPr>
        <w:t xml:space="preserve"> Annual count of persons employed for each year based on averaged original quarterly data. Figure excludes Community and personal services workers and Sales workers, due to the low and inconsistent count.</w:t>
      </w:r>
      <w:r w:rsidR="00155DEE">
        <w:rPr>
          <w:rFonts w:ascii="Arial" w:hAnsi="Arial"/>
          <w:sz w:val="18"/>
          <w:szCs w:val="20"/>
        </w:rPr>
        <w:t xml:space="preserve">  </w:t>
      </w:r>
      <w:r w:rsidR="003F6E77">
        <w:rPr>
          <w:rStyle w:val="NoteLabel"/>
        </w:rPr>
        <w:t>b</w:t>
      </w:r>
      <w:r w:rsidR="00766A3B" w:rsidRPr="00E57E9E">
        <w:t xml:space="preserve"> </w:t>
      </w:r>
      <w:r w:rsidR="00766A3B" w:rsidRPr="003D0B97">
        <w:rPr>
          <w:rFonts w:ascii="Arial" w:hAnsi="Arial"/>
          <w:sz w:val="18"/>
          <w:szCs w:val="20"/>
        </w:rPr>
        <w:t>The scope of the resources sector is defined in appendix A.</w:t>
      </w:r>
      <w:r w:rsidRPr="00E57E9E">
        <w:rPr>
          <w:rFonts w:ascii="Arial" w:hAnsi="Arial"/>
          <w:sz w:val="18"/>
          <w:szCs w:val="20"/>
        </w:rPr>
        <w:t xml:space="preserve"> </w:t>
      </w:r>
    </w:p>
    <w:p w14:paraId="2314468C" w14:textId="77777777" w:rsidR="00E57E9E" w:rsidRPr="00E57E9E" w:rsidRDefault="00E57E9E" w:rsidP="006C49BC">
      <w:pPr>
        <w:pStyle w:val="Source"/>
      </w:pPr>
      <w:r w:rsidRPr="006C49BC">
        <w:rPr>
          <w:i/>
        </w:rPr>
        <w:t>Source</w:t>
      </w:r>
      <w:r w:rsidRPr="00E57E9E">
        <w:t>: ABS (</w:t>
      </w:r>
      <w:r w:rsidRPr="006C49BC">
        <w:rPr>
          <w:i/>
        </w:rPr>
        <w:t>Labour Force, Australia, Detailed, Quarterly</w:t>
      </w:r>
      <w:r w:rsidRPr="00E57E9E">
        <w:t>, Cat. no. 6291.0.55.003).</w:t>
      </w:r>
    </w:p>
    <w:p w14:paraId="37017008" w14:textId="23B0BD6F" w:rsidR="00E57E9E" w:rsidRPr="00E57E9E" w:rsidRDefault="00B108B9" w:rsidP="006C49BC">
      <w:pPr>
        <w:pStyle w:val="Heading3"/>
      </w:pPr>
      <w:r>
        <w:lastRenderedPageBreak/>
        <w:t>Nominal w</w:t>
      </w:r>
      <w:r w:rsidRPr="00E57E9E">
        <w:t xml:space="preserve">age </w:t>
      </w:r>
      <w:r w:rsidR="00E57E9E" w:rsidRPr="00E57E9E">
        <w:t>growth in the resources sector</w:t>
      </w:r>
    </w:p>
    <w:p w14:paraId="4D33A511" w14:textId="5DC0B023" w:rsidR="00E57E9E" w:rsidRPr="00E57E9E" w:rsidRDefault="00E57E9E" w:rsidP="006C49BC">
      <w:pPr>
        <w:pStyle w:val="BodyText"/>
      </w:pPr>
      <w:r w:rsidRPr="00E57E9E">
        <w:t xml:space="preserve">The growing demand for resource workers has translated into strong growth in their </w:t>
      </w:r>
      <w:r w:rsidR="00B108B9">
        <w:t xml:space="preserve">nominal </w:t>
      </w:r>
      <w:r w:rsidRPr="00E57E9E">
        <w:t>wages.</w:t>
      </w:r>
      <w:r w:rsidR="00C406F6">
        <w:rPr>
          <w:rStyle w:val="FootnoteReference"/>
        </w:rPr>
        <w:footnoteReference w:id="10"/>
      </w:r>
      <w:r w:rsidRPr="00E57E9E">
        <w:t xml:space="preserve"> While earnings in the resources sector have long exceeded earnings in the rest of the workforce due to the hazardous and remote nature of this work, the gap has widened in recent years (figure 6.</w:t>
      </w:r>
      <w:r w:rsidR="00A86F18">
        <w:t>8</w:t>
      </w:r>
      <w:r w:rsidRPr="00E57E9E">
        <w:t>). Between 2006 and 2010, average weekly earnings across the whole of the workforce plateaued, while earnings in the resources sector continued to climb. Even after accounting for differences in hours worked (by measuring average hourly wage), this industry differential persists.</w:t>
      </w:r>
    </w:p>
    <w:p w14:paraId="515065ED" w14:textId="33D576CF" w:rsidR="00E57E9E" w:rsidRPr="00E57E9E" w:rsidRDefault="00E57E9E" w:rsidP="006C49BC">
      <w:pPr>
        <w:pStyle w:val="FigureTitle"/>
      </w:pPr>
      <w:r w:rsidRPr="006C49BC">
        <w:rPr>
          <w:b w:val="0"/>
        </w:rPr>
        <w:t xml:space="preserve">Figure </w:t>
      </w:r>
      <w:r w:rsidR="00FF0AA4">
        <w:rPr>
          <w:b w:val="0"/>
        </w:rPr>
        <w:t>6.</w:t>
      </w:r>
      <w:r w:rsidR="00FF0AA4">
        <w:rPr>
          <w:b w:val="0"/>
          <w:noProof/>
        </w:rPr>
        <w:t>8</w:t>
      </w:r>
      <w:r w:rsidRPr="006C49BC">
        <w:rPr>
          <w:b w:val="0"/>
        </w:rPr>
        <w:tab/>
      </w:r>
      <w:r w:rsidRPr="00E57E9E">
        <w:t>Average weekly earnings and hourly wage, resources sector and all industries, 2000</w:t>
      </w:r>
      <w:r w:rsidR="006D1874">
        <w:t xml:space="preserve"> to </w:t>
      </w:r>
      <w:r w:rsidRPr="00E57E9E">
        <w:t>2012</w:t>
      </w:r>
      <w:r w:rsidRPr="00E57E9E">
        <w:rPr>
          <w:position w:val="6"/>
          <w:sz w:val="18"/>
        </w:rPr>
        <w:t>a</w:t>
      </w:r>
      <w:r w:rsidR="002D0CB9">
        <w:rPr>
          <w:position w:val="6"/>
          <w:sz w:val="18"/>
        </w:rPr>
        <w:t>, b</w:t>
      </w:r>
      <w:r w:rsidR="003F6E77">
        <w:rPr>
          <w:position w:val="6"/>
          <w:sz w:val="18"/>
        </w:rPr>
        <w:t>,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2"/>
        <w:gridCol w:w="4383"/>
      </w:tblGrid>
      <w:tr w:rsidR="00E57E9E" w:rsidRPr="00E57E9E" w14:paraId="3F755F65" w14:textId="77777777" w:rsidTr="00E57E9E">
        <w:trPr>
          <w:trHeight w:val="3088"/>
        </w:trPr>
        <w:tc>
          <w:tcPr>
            <w:tcW w:w="4382" w:type="dxa"/>
          </w:tcPr>
          <w:p w14:paraId="14630C64" w14:textId="77777777" w:rsidR="00E57E9E" w:rsidRPr="00E57E9E" w:rsidRDefault="00E57E9E" w:rsidP="006C49BC">
            <w:pPr>
              <w:keepNext/>
              <w:spacing w:before="120" w:line="180" w:lineRule="atLeast"/>
              <w:jc w:val="center"/>
              <w:rPr>
                <w:noProof/>
                <w:sz w:val="16"/>
                <w:szCs w:val="16"/>
                <w:lang w:val="en-US" w:eastAsia="en-US"/>
              </w:rPr>
            </w:pPr>
            <w:r w:rsidRPr="00E57E9E">
              <w:rPr>
                <w:noProof/>
                <w:szCs w:val="20"/>
              </w:rPr>
              <w:drawing>
                <wp:inline distT="0" distB="0" distL="0" distR="0" wp14:anchorId="6C71D8A5" wp14:editId="5E818B4F">
                  <wp:extent cx="2779059" cy="2026023"/>
                  <wp:effectExtent l="0" t="0" r="2540" b="0"/>
                  <wp:docPr id="5" name="Chart 5" descr="The left-hand graph in this figure shows the average weekly earnings of workers in the resources sector, for each year from 2000 to 2012, compared to the average for workers across all industries. The resources sectors is the data series on the top." title="Average weekly earnings and hourly wage of resources sectors and all industires"/>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36DF2342" w14:textId="77777777" w:rsidR="00E57E9E" w:rsidRPr="00E57E9E" w:rsidRDefault="00E57E9E" w:rsidP="006C49BC">
            <w:pPr>
              <w:keepNext/>
              <w:spacing w:before="120" w:line="180" w:lineRule="atLeast"/>
              <w:jc w:val="center"/>
              <w:rPr>
                <w:noProof/>
                <w:sz w:val="16"/>
                <w:szCs w:val="16"/>
                <w:lang w:val="en-US" w:eastAsia="en-US"/>
              </w:rPr>
            </w:pPr>
          </w:p>
        </w:tc>
        <w:tc>
          <w:tcPr>
            <w:tcW w:w="4383" w:type="dxa"/>
          </w:tcPr>
          <w:p w14:paraId="29586708" w14:textId="77777777" w:rsidR="00E57E9E" w:rsidRPr="00E57E9E" w:rsidRDefault="00E57E9E" w:rsidP="006C49BC">
            <w:pPr>
              <w:keepNext/>
              <w:spacing w:before="120" w:line="180" w:lineRule="atLeast"/>
              <w:jc w:val="center"/>
              <w:rPr>
                <w:noProof/>
                <w:sz w:val="16"/>
                <w:szCs w:val="16"/>
                <w:lang w:val="en-US" w:eastAsia="en-US"/>
              </w:rPr>
            </w:pPr>
            <w:r w:rsidRPr="00E57E9E">
              <w:rPr>
                <w:noProof/>
                <w:szCs w:val="20"/>
              </w:rPr>
              <w:drawing>
                <wp:inline distT="0" distB="0" distL="0" distR="0" wp14:anchorId="66F098A5" wp14:editId="4CE73FA5">
                  <wp:extent cx="2644588" cy="2026023"/>
                  <wp:effectExtent l="0" t="0" r="3810" b="0"/>
                  <wp:docPr id="6" name="Chart 6" descr="The right-hand graph in this figure shows the average hourly wage of workers in the resources sector, compared to the average for workers across all industries. The resources sector is the data series on the top.&#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tc>
      </w:tr>
    </w:tbl>
    <w:p w14:paraId="14D97618" w14:textId="49FB0981" w:rsidR="00E57E9E" w:rsidRPr="00E57E9E" w:rsidRDefault="00E57E9E" w:rsidP="006C49BC">
      <w:pPr>
        <w:pStyle w:val="Note"/>
      </w:pPr>
      <w:r w:rsidRPr="006C49BC">
        <w:rPr>
          <w:rStyle w:val="NoteLabel"/>
        </w:rPr>
        <w:t>a</w:t>
      </w:r>
      <w:r w:rsidRPr="00E57E9E">
        <w:t xml:space="preserve"> Nominal earnings and wages, including overtime, of full</w:t>
      </w:r>
      <w:r w:rsidR="00400858">
        <w:noBreakHyphen/>
      </w:r>
      <w:r w:rsidRPr="00E57E9E">
        <w:t>time non</w:t>
      </w:r>
      <w:r w:rsidR="00400858">
        <w:noBreakHyphen/>
      </w:r>
      <w:r w:rsidRPr="00E57E9E">
        <w:t xml:space="preserve">managerial employees. </w:t>
      </w:r>
      <w:r w:rsidR="00155DEE">
        <w:t xml:space="preserve"> </w:t>
      </w:r>
      <w:r w:rsidR="003F6E77">
        <w:rPr>
          <w:rStyle w:val="NoteLabel"/>
        </w:rPr>
        <w:t>b</w:t>
      </w:r>
      <w:r w:rsidR="003F6E77" w:rsidRPr="00E57E9E">
        <w:t xml:space="preserve"> </w:t>
      </w:r>
      <w:r w:rsidRPr="00E57E9E">
        <w:t>‘All industries’ includes the resources sector.</w:t>
      </w:r>
      <w:r w:rsidR="002D0CB9">
        <w:t xml:space="preserve"> </w:t>
      </w:r>
      <w:r w:rsidR="00155DEE">
        <w:t xml:space="preserve"> </w:t>
      </w:r>
      <w:r w:rsidR="003F6E77">
        <w:rPr>
          <w:rStyle w:val="NoteLabel"/>
        </w:rPr>
        <w:t>c</w:t>
      </w:r>
      <w:r w:rsidR="002D0CB9" w:rsidRPr="00E57E9E">
        <w:t xml:space="preserve"> </w:t>
      </w:r>
      <w:r w:rsidR="002D0CB9">
        <w:t>The scope of the resources sector is defined in appendix A.</w:t>
      </w:r>
    </w:p>
    <w:p w14:paraId="7594265F" w14:textId="77777777" w:rsidR="00E57E9E" w:rsidRPr="00E57E9E" w:rsidRDefault="00E57E9E" w:rsidP="006C49BC">
      <w:pPr>
        <w:pStyle w:val="Source"/>
      </w:pPr>
      <w:r w:rsidRPr="006C49BC">
        <w:rPr>
          <w:i/>
        </w:rPr>
        <w:t>Source</w:t>
      </w:r>
      <w:r w:rsidRPr="00E57E9E">
        <w:t>: ABS (</w:t>
      </w:r>
      <w:r w:rsidRPr="006C49BC">
        <w:rPr>
          <w:i/>
        </w:rPr>
        <w:t>Employee Earnings and Hours, Australia</w:t>
      </w:r>
      <w:r w:rsidRPr="00E57E9E">
        <w:t xml:space="preserve">, Cat. no. 6306.0). </w:t>
      </w:r>
    </w:p>
    <w:p w14:paraId="4F90F86E" w14:textId="44320DB9" w:rsidR="00E57E9E" w:rsidRPr="00E57E9E" w:rsidRDefault="00E57E9E" w:rsidP="006C49BC">
      <w:pPr>
        <w:pStyle w:val="BodyText"/>
      </w:pPr>
      <w:r w:rsidRPr="00E57E9E">
        <w:t xml:space="preserve">Within the </w:t>
      </w:r>
      <w:r w:rsidR="0099513D">
        <w:t xml:space="preserve">natural </w:t>
      </w:r>
      <w:r w:rsidRPr="00E57E9E">
        <w:t>resources sector, earnings have generally been highest in Coal mining and Oil and gas extraction (figure 6.</w:t>
      </w:r>
      <w:r w:rsidR="00A86F18">
        <w:t>9</w:t>
      </w:r>
      <w:r w:rsidRPr="00E57E9E">
        <w:t>)</w:t>
      </w:r>
      <w:r w:rsidR="00C406F6" w:rsidRPr="00E57E9E">
        <w:t>.</w:t>
      </w:r>
      <w:r w:rsidR="00C406F6">
        <w:t xml:space="preserve"> The</w:t>
      </w:r>
      <w:r w:rsidR="00C406F6" w:rsidRPr="00E57E9E">
        <w:t xml:space="preserve"> average earnings </w:t>
      </w:r>
      <w:r w:rsidR="00C406F6">
        <w:t>of the lowest</w:t>
      </w:r>
      <w:r w:rsidR="003C7978">
        <w:noBreakHyphen/>
      </w:r>
      <w:r w:rsidR="00C406F6">
        <w:t xml:space="preserve">paid subdivision in the resources sector </w:t>
      </w:r>
      <w:r w:rsidR="004E429B">
        <w:t>are</w:t>
      </w:r>
      <w:r w:rsidR="00C406F6">
        <w:t xml:space="preserve"> </w:t>
      </w:r>
      <w:r w:rsidR="00C406F6" w:rsidRPr="00E57E9E">
        <w:t xml:space="preserve">still significantly higher than </w:t>
      </w:r>
      <w:r w:rsidR="00C406F6">
        <w:t xml:space="preserve">in </w:t>
      </w:r>
      <w:r w:rsidRPr="00E57E9E">
        <w:t>other industries. Looking at growth in earnings within the resources sector, from 2004 to 2012, the fastest rate of increase occurred in Oil and gas extraction. In 2006, Oil and gas extraction overtook Coal mining as the highest</w:t>
      </w:r>
      <w:r w:rsidR="00400858">
        <w:noBreakHyphen/>
      </w:r>
      <w:r w:rsidRPr="00E57E9E">
        <w:t>paying one within the resources sector. As noted earlier, Oil and gas extraction also experienced one of the highest rates of employment growth of all the resource sector subdivisions during this time.</w:t>
      </w:r>
    </w:p>
    <w:p w14:paraId="07977FC9" w14:textId="28E3E3CB" w:rsidR="00E57E9E" w:rsidRPr="00E57E9E" w:rsidRDefault="00E57E9E" w:rsidP="006C49BC">
      <w:pPr>
        <w:pStyle w:val="FigureTitle"/>
      </w:pPr>
      <w:r w:rsidRPr="006C49BC">
        <w:rPr>
          <w:b w:val="0"/>
        </w:rPr>
        <w:lastRenderedPageBreak/>
        <w:t xml:space="preserve">Figure </w:t>
      </w:r>
      <w:r w:rsidR="00FF0AA4">
        <w:rPr>
          <w:b w:val="0"/>
        </w:rPr>
        <w:t>6.</w:t>
      </w:r>
      <w:r w:rsidR="00FF0AA4">
        <w:rPr>
          <w:b w:val="0"/>
          <w:noProof/>
        </w:rPr>
        <w:t>9</w:t>
      </w:r>
      <w:r w:rsidRPr="00E57E9E">
        <w:tab/>
        <w:t>Average weekly earnings in resources sector, by subdivision, 2004</w:t>
      </w:r>
      <w:r w:rsidR="006D1874">
        <w:t xml:space="preserve"> to </w:t>
      </w:r>
      <w:r w:rsidRPr="00E57E9E">
        <w:t>2012</w:t>
      </w:r>
      <w:r w:rsidRPr="00E57E9E">
        <w:rPr>
          <w:position w:val="6"/>
          <w:sz w:val="18"/>
        </w:rPr>
        <w:t>a</w:t>
      </w:r>
      <w:r w:rsidR="00C64150">
        <w:rPr>
          <w:position w:val="6"/>
          <w:sz w:val="18"/>
        </w:rPr>
        <w:t>, b</w:t>
      </w:r>
      <w:r w:rsidR="0099513D">
        <w:rPr>
          <w:position w:val="6"/>
          <w:sz w:val="18"/>
        </w:rPr>
        <w:t>,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57E9E" w:rsidRPr="00E57E9E" w14:paraId="66C06197" w14:textId="77777777" w:rsidTr="00E57E9E">
        <w:tc>
          <w:tcPr>
            <w:tcW w:w="8777" w:type="dxa"/>
          </w:tcPr>
          <w:p w14:paraId="5A0E041B" w14:textId="77777777" w:rsidR="00E57E9E" w:rsidRPr="00E57E9E" w:rsidRDefault="00E57E9E" w:rsidP="006C49BC">
            <w:pPr>
              <w:keepNext/>
              <w:spacing w:before="120" w:after="120" w:line="240" w:lineRule="atLeast"/>
              <w:jc w:val="center"/>
              <w:rPr>
                <w:szCs w:val="20"/>
              </w:rPr>
            </w:pPr>
            <w:r w:rsidRPr="00E57E9E">
              <w:rPr>
                <w:noProof/>
                <w:szCs w:val="20"/>
              </w:rPr>
              <w:drawing>
                <wp:inline distT="0" distB="0" distL="0" distR="0" wp14:anchorId="678320A9" wp14:editId="1FB3B9AF">
                  <wp:extent cx="5401733" cy="2827866"/>
                  <wp:effectExtent l="0" t="0" r="8890" b="0"/>
                  <wp:docPr id="8" name="Chart 8" descr="This figure shows the average weekly earnings of workers in the resources sector, broken down by each subdivions. For each subdivision, data for five years are presented. The top horizontal bar represents 2004, followed in descending order by 2006, 2008, 2010 and 2012. The five subdivsions are coal mining, oil and gas extraction, metal ore mining, non-metallic mineral mining and quarrying, and exploration and other mining support services." title="Average weekly earnings in resources sector, by subdivis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tc>
      </w:tr>
    </w:tbl>
    <w:p w14:paraId="7D6CB944" w14:textId="03ECC095" w:rsidR="00E57E9E" w:rsidRPr="00E57E9E" w:rsidRDefault="00E57E9E" w:rsidP="006C49BC">
      <w:pPr>
        <w:pStyle w:val="Note"/>
      </w:pPr>
      <w:r w:rsidRPr="006C49BC">
        <w:rPr>
          <w:rStyle w:val="NoteLabel"/>
        </w:rPr>
        <w:t>a</w:t>
      </w:r>
      <w:r w:rsidRPr="00E57E9E">
        <w:t xml:space="preserve"> Nominal weekly earnings, including overtime, of full</w:t>
      </w:r>
      <w:r w:rsidR="00400858">
        <w:noBreakHyphen/>
      </w:r>
      <w:r w:rsidRPr="00E57E9E">
        <w:t>time non</w:t>
      </w:r>
      <w:r w:rsidR="00400858">
        <w:noBreakHyphen/>
      </w:r>
      <w:r w:rsidRPr="00E57E9E">
        <w:t>managerial employees for May of the respective year (except for 2008 which, due to data availability, is for August).</w:t>
      </w:r>
      <w:r w:rsidR="00155DEE">
        <w:t xml:space="preserve"> </w:t>
      </w:r>
      <w:r w:rsidRPr="00E57E9E">
        <w:t xml:space="preserve"> </w:t>
      </w:r>
      <w:r w:rsidR="00C64150" w:rsidRPr="006D1874">
        <w:rPr>
          <w:rStyle w:val="NoteLabel"/>
        </w:rPr>
        <w:t>b</w:t>
      </w:r>
      <w:r w:rsidR="00C64150">
        <w:t xml:space="preserve"> </w:t>
      </w:r>
      <w:r w:rsidRPr="00E57E9E">
        <w:t xml:space="preserve">The large jump in earnings for </w:t>
      </w:r>
      <w:r w:rsidR="00B0448A">
        <w:t>‘</w:t>
      </w:r>
      <w:r w:rsidRPr="00E57E9E">
        <w:t>Non</w:t>
      </w:r>
      <w:r w:rsidR="00400858">
        <w:noBreakHyphen/>
      </w:r>
      <w:r w:rsidRPr="00E57E9E">
        <w:t>metallic mineral mining and quarrying</w:t>
      </w:r>
      <w:r w:rsidR="00B0448A">
        <w:t>’</w:t>
      </w:r>
      <w:r w:rsidRPr="00E57E9E">
        <w:t xml:space="preserve"> from 2010 and 2012 could be due to the large standard errors associated with the overtime component of these measurements and</w:t>
      </w:r>
      <w:r w:rsidR="00C64150" w:rsidRPr="00E57E9E">
        <w:t xml:space="preserve"> </w:t>
      </w:r>
      <w:r w:rsidR="00C64150">
        <w:t xml:space="preserve">to </w:t>
      </w:r>
      <w:r w:rsidR="00C64150" w:rsidRPr="00E57E9E">
        <w:t xml:space="preserve">changes in </w:t>
      </w:r>
      <w:r w:rsidR="00C64150">
        <w:t xml:space="preserve">the </w:t>
      </w:r>
      <w:r w:rsidR="00C64150" w:rsidRPr="00E57E9E">
        <w:t xml:space="preserve">approach </w:t>
      </w:r>
      <w:r w:rsidR="00C64150">
        <w:t xml:space="preserve">used by the ABS </w:t>
      </w:r>
      <w:r w:rsidR="00C64150" w:rsidRPr="00E57E9E">
        <w:t>to measur</w:t>
      </w:r>
      <w:r w:rsidR="00C64150">
        <w:t xml:space="preserve">e </w:t>
      </w:r>
      <w:r w:rsidRPr="00E57E9E">
        <w:t>these data.</w:t>
      </w:r>
      <w:r w:rsidR="0099513D">
        <w:t xml:space="preserve">  </w:t>
      </w:r>
      <w:r w:rsidR="0099513D">
        <w:rPr>
          <w:rStyle w:val="NoteLabel"/>
        </w:rPr>
        <w:t>c</w:t>
      </w:r>
      <w:r w:rsidR="0099513D" w:rsidRPr="00E57E9E">
        <w:t xml:space="preserve"> </w:t>
      </w:r>
      <w:r w:rsidR="0099513D">
        <w:t>The commodities produced and services delivered by the resource sector subdivisions listed in the figure above are detailed in appendix A.</w:t>
      </w:r>
    </w:p>
    <w:p w14:paraId="4F0C569F" w14:textId="77777777" w:rsidR="00E57E9E" w:rsidRPr="00E57E9E" w:rsidRDefault="00E57E9E" w:rsidP="006C49BC">
      <w:pPr>
        <w:pStyle w:val="Source"/>
      </w:pPr>
      <w:r w:rsidRPr="006C49BC">
        <w:rPr>
          <w:i/>
        </w:rPr>
        <w:t>Source</w:t>
      </w:r>
      <w:r w:rsidRPr="00E57E9E">
        <w:t>: ABS (</w:t>
      </w:r>
      <w:r w:rsidRPr="006C49BC">
        <w:rPr>
          <w:i/>
        </w:rPr>
        <w:t>Employee Earnings and Hours, Australia</w:t>
      </w:r>
      <w:r w:rsidRPr="00E57E9E">
        <w:t xml:space="preserve">, Cat. no. 6306.0). </w:t>
      </w:r>
    </w:p>
    <w:p w14:paraId="2763E16A" w14:textId="77777777" w:rsidR="00E57E9E" w:rsidRPr="00E57E9E" w:rsidRDefault="00E57E9E" w:rsidP="006C49BC">
      <w:pPr>
        <w:pStyle w:val="Heading3"/>
      </w:pPr>
      <w:bookmarkStart w:id="4" w:name="OLE_LINK4"/>
      <w:r w:rsidRPr="00E57E9E">
        <w:t>Where has the additional labour come from?</w:t>
      </w:r>
    </w:p>
    <w:p w14:paraId="3DCB5635" w14:textId="77777777" w:rsidR="00E57E9E" w:rsidRPr="00E57E9E" w:rsidRDefault="00E57E9E" w:rsidP="006C49BC">
      <w:pPr>
        <w:pStyle w:val="BodyText"/>
        <w:rPr>
          <w:i/>
        </w:rPr>
      </w:pPr>
      <w:r w:rsidRPr="00E57E9E">
        <w:t>Given the unprecedented rate of expansion of the resources workforce in the past decade, analysing the way in which the sector was able to satisfy its booming demand for labour can shed light on some of the labour dynamics of structural adjustment occurring within Australia’s economy.</w:t>
      </w:r>
    </w:p>
    <w:p w14:paraId="3CB6F9A9" w14:textId="77777777" w:rsidR="00E57E9E" w:rsidRPr="00E57E9E" w:rsidRDefault="00E57E9E" w:rsidP="006C49BC">
      <w:pPr>
        <w:pStyle w:val="Heading4"/>
      </w:pPr>
      <w:r w:rsidRPr="00E57E9E">
        <w:t>Workers from other industries</w:t>
      </w:r>
    </w:p>
    <w:bookmarkEnd w:id="4"/>
    <w:p w14:paraId="52948A08" w14:textId="4A80AE25" w:rsidR="00E57E9E" w:rsidRPr="00E57E9E" w:rsidRDefault="00E57E9E" w:rsidP="006C49BC">
      <w:pPr>
        <w:pStyle w:val="BodyText"/>
      </w:pPr>
      <w:r w:rsidRPr="00E57E9E">
        <w:t xml:space="preserve">In the course of its expansion, the resources sector drew some of its new workers from other industries. </w:t>
      </w:r>
      <w:r w:rsidR="004E05F2">
        <w:t>D’</w:t>
      </w:r>
      <w:r w:rsidR="004746A8">
        <w:t>A</w:t>
      </w:r>
      <w:r w:rsidR="004E05F2">
        <w:t xml:space="preserve">rcy et al. (2012) estimate that, in the five years to 2010, the number of workers moving to the resources sector from other </w:t>
      </w:r>
      <w:r w:rsidR="004769F1">
        <w:t>parts of the economy</w:t>
      </w:r>
      <w:r w:rsidR="004E05F2">
        <w:t xml:space="preserve"> more than doubled.</w:t>
      </w:r>
    </w:p>
    <w:p w14:paraId="2780333E" w14:textId="03F012B9" w:rsidR="00E57E9E" w:rsidRPr="00E57E9E" w:rsidRDefault="00E57E9E" w:rsidP="006C49BC">
      <w:pPr>
        <w:pStyle w:val="BodyText"/>
      </w:pPr>
      <w:r w:rsidRPr="00E57E9E">
        <w:t xml:space="preserve">Although it is difficult to track </w:t>
      </w:r>
      <w:r w:rsidR="00A539A6" w:rsidRPr="00E57E9E">
        <w:t xml:space="preserve">precisely </w:t>
      </w:r>
      <w:r w:rsidRPr="00E57E9E">
        <w:t xml:space="preserve">the movements of workers into the resources sector from other industries, due to the small size of </w:t>
      </w:r>
      <w:r w:rsidR="006139B2">
        <w:t>the destination</w:t>
      </w:r>
      <w:r w:rsidR="00C64150">
        <w:t xml:space="preserve"> </w:t>
      </w:r>
      <w:r w:rsidRPr="00E57E9E">
        <w:t xml:space="preserve">workforce, it is possible to produce some indicative estimates </w:t>
      </w:r>
      <w:r w:rsidR="00973721">
        <w:t>using</w:t>
      </w:r>
      <w:r w:rsidR="00973721" w:rsidRPr="00E57E9E">
        <w:t xml:space="preserve"> </w:t>
      </w:r>
      <w:r w:rsidRPr="00E57E9E">
        <w:t xml:space="preserve">several sources. </w:t>
      </w:r>
      <w:r w:rsidR="004F2D74">
        <w:lastRenderedPageBreak/>
        <w:t>T</w:t>
      </w:r>
      <w:r w:rsidRPr="00E57E9E">
        <w:t xml:space="preserve">hese estimates should be interpreted with care, </w:t>
      </w:r>
      <w:r w:rsidR="004F2D74">
        <w:t xml:space="preserve">but </w:t>
      </w:r>
      <w:r w:rsidRPr="00E57E9E">
        <w:t>the fact that</w:t>
      </w:r>
      <w:r w:rsidR="00A539A6">
        <w:t xml:space="preserve"> various data sources</w:t>
      </w:r>
      <w:r w:rsidRPr="00E57E9E">
        <w:t xml:space="preserve"> generate a </w:t>
      </w:r>
      <w:r w:rsidR="00A539A6">
        <w:t>consistent</w:t>
      </w:r>
      <w:r w:rsidR="00A539A6" w:rsidRPr="00E57E9E">
        <w:t xml:space="preserve"> </w:t>
      </w:r>
      <w:r w:rsidRPr="00E57E9E">
        <w:t xml:space="preserve">picture lends weight to their </w:t>
      </w:r>
      <w:r w:rsidR="00A539A6">
        <w:t>robustness</w:t>
      </w:r>
      <w:r w:rsidRPr="00E57E9E">
        <w:t>.</w:t>
      </w:r>
    </w:p>
    <w:p w14:paraId="7C3A9F4C" w14:textId="7EC75D31" w:rsidR="00E57E9E" w:rsidRPr="00E57E9E" w:rsidRDefault="00E57E9E" w:rsidP="006C49BC">
      <w:pPr>
        <w:pStyle w:val="BodyText"/>
      </w:pPr>
      <w:r w:rsidRPr="00E57E9E">
        <w:t xml:space="preserve">Estimates drawn from the Household, Income and Labour Dynamics in Australia (HILDA) Survey suggest that, during the early years of the 2000s, most workers moving into the resources sector were coming from manufacturing. In later years of the decade, proportionally more came from construction. Estimates drawn </w:t>
      </w:r>
      <w:r w:rsidR="00920A34">
        <w:t>from</w:t>
      </w:r>
      <w:r w:rsidR="00920A34" w:rsidRPr="00E57E9E">
        <w:t xml:space="preserve"> </w:t>
      </w:r>
      <w:r w:rsidRPr="00E57E9E">
        <w:t>the ABS Labour Mobility Survey generate a similar picture</w:t>
      </w:r>
      <w:r w:rsidR="00C406F6">
        <w:t>:</w:t>
      </w:r>
      <w:r w:rsidR="00C406F6" w:rsidRPr="00E57E9E">
        <w:t xml:space="preserve"> </w:t>
      </w:r>
      <w:r w:rsidRPr="00E57E9E">
        <w:t xml:space="preserve">workers </w:t>
      </w:r>
      <w:r w:rsidR="00C406F6">
        <w:t xml:space="preserve">that </w:t>
      </w:r>
      <w:r w:rsidR="00C406F6" w:rsidRPr="00E57E9E">
        <w:t>mov</w:t>
      </w:r>
      <w:r w:rsidR="00C406F6">
        <w:t>ed</w:t>
      </w:r>
      <w:r w:rsidR="00C406F6" w:rsidRPr="00E57E9E">
        <w:t xml:space="preserve"> </w:t>
      </w:r>
      <w:r w:rsidRPr="00E57E9E">
        <w:t xml:space="preserve">into the resources sector between 2009 and 2010 were found to </w:t>
      </w:r>
      <w:r w:rsidR="00C406F6">
        <w:t xml:space="preserve">have </w:t>
      </w:r>
      <w:r w:rsidRPr="00E57E9E">
        <w:t xml:space="preserve">mainly </w:t>
      </w:r>
      <w:r w:rsidR="00C406F6" w:rsidRPr="00E57E9E">
        <w:t>mov</w:t>
      </w:r>
      <w:r w:rsidR="00C406F6">
        <w:t xml:space="preserve">ed from </w:t>
      </w:r>
      <w:r w:rsidRPr="00E57E9E">
        <w:t xml:space="preserve">construction </w:t>
      </w:r>
      <w:r w:rsidR="00C406F6">
        <w:t>and</w:t>
      </w:r>
      <w:r w:rsidRPr="00E57E9E">
        <w:t xml:space="preserve">, to a lesser degree, manufacturing (ABS 2010b). </w:t>
      </w:r>
      <w:r w:rsidR="00C64150">
        <w:t xml:space="preserve">The HILDA Survey data also indicate </w:t>
      </w:r>
      <w:r w:rsidR="004436D8">
        <w:t xml:space="preserve">that </w:t>
      </w:r>
      <w:r w:rsidRPr="00E57E9E">
        <w:t>various services industries — including Wholesale trade, Transport, postal and warehousing and Professional, scientific and technical services —provided sources of new labour for the resource</w:t>
      </w:r>
      <w:r w:rsidR="00CB6194">
        <w:t>s sector throughout the 2000s</w:t>
      </w:r>
      <w:r w:rsidR="00C64150">
        <w:t xml:space="preserve"> </w:t>
      </w:r>
      <w:r w:rsidRPr="00E57E9E">
        <w:t>(see appendix</w:t>
      </w:r>
      <w:r w:rsidR="00400858">
        <w:t> </w:t>
      </w:r>
      <w:r w:rsidR="0031337A">
        <w:t>C</w:t>
      </w:r>
      <w:r w:rsidRPr="00E57E9E">
        <w:t xml:space="preserve"> for more details)</w:t>
      </w:r>
      <w:r w:rsidR="00CB6194">
        <w:t>.</w:t>
      </w:r>
      <w:r w:rsidRPr="00E57E9E">
        <w:t xml:space="preserve"> Observations from </w:t>
      </w:r>
      <w:r w:rsidR="004436D8">
        <w:t xml:space="preserve">some </w:t>
      </w:r>
      <w:r w:rsidRPr="00E57E9E">
        <w:t xml:space="preserve">resource </w:t>
      </w:r>
      <w:r w:rsidR="004769F1">
        <w:t>businesses</w:t>
      </w:r>
      <w:r w:rsidR="004769F1" w:rsidRPr="00E57E9E">
        <w:t xml:space="preserve"> </w:t>
      </w:r>
      <w:r w:rsidR="004436D8">
        <w:t>further</w:t>
      </w:r>
      <w:r w:rsidR="004436D8" w:rsidRPr="00E57E9E">
        <w:t xml:space="preserve"> </w:t>
      </w:r>
      <w:r w:rsidR="00B409D9">
        <w:t>confirm</w:t>
      </w:r>
      <w:r w:rsidRPr="00E57E9E">
        <w:t xml:space="preserve"> these general </w:t>
      </w:r>
      <w:r w:rsidR="004436D8">
        <w:t>findings</w:t>
      </w:r>
      <w:r w:rsidRPr="00E57E9E">
        <w:t xml:space="preserve">: </w:t>
      </w:r>
      <w:r w:rsidR="0059491B">
        <w:t xml:space="preserve">for example, </w:t>
      </w:r>
      <w:r w:rsidRPr="00E57E9E">
        <w:t>Waratah Coal noted that manufacturing tends to be the main industry from which the sector’s workers were being drawn throughout the 2000s (Waratah Coal 2011, cited in Denniss and Grudnoff 2012).</w:t>
      </w:r>
    </w:p>
    <w:p w14:paraId="6FFE1547" w14:textId="2A838DF2" w:rsidR="00E57E9E" w:rsidRPr="00E57E9E" w:rsidRDefault="00E57E9E" w:rsidP="006C49BC">
      <w:pPr>
        <w:pStyle w:val="BodyText"/>
      </w:pPr>
      <w:r w:rsidRPr="00E57E9E">
        <w:t xml:space="preserve">The relative prominence of manufacturing workers as a </w:t>
      </w:r>
      <w:r w:rsidR="00C406F6">
        <w:t>source</w:t>
      </w:r>
      <w:r w:rsidR="00C406F6" w:rsidRPr="00E57E9E">
        <w:t xml:space="preserve"> </w:t>
      </w:r>
      <w:r w:rsidRPr="00E57E9E">
        <w:t>of resource</w:t>
      </w:r>
      <w:r w:rsidR="00C406F6">
        <w:t xml:space="preserve"> sector</w:t>
      </w:r>
      <w:r w:rsidRPr="00E57E9E">
        <w:t xml:space="preserve"> workers is attributable, in part, to the similarity</w:t>
      </w:r>
      <w:r w:rsidR="00C406F6">
        <w:t xml:space="preserve">, </w:t>
      </w:r>
      <w:r w:rsidRPr="00E57E9E">
        <w:t>and</w:t>
      </w:r>
      <w:r w:rsidR="00C406F6">
        <w:t xml:space="preserve"> </w:t>
      </w:r>
      <w:r w:rsidRPr="00E57E9E">
        <w:t>hence</w:t>
      </w:r>
      <w:r w:rsidR="00C406F6">
        <w:t xml:space="preserve"> </w:t>
      </w:r>
      <w:r w:rsidRPr="00E57E9E">
        <w:t>transferability</w:t>
      </w:r>
      <w:r w:rsidR="00C406F6">
        <w:t xml:space="preserve">, </w:t>
      </w:r>
      <w:r w:rsidRPr="00E57E9E">
        <w:t xml:space="preserve">of their skills set (Waratah Coal 2011, cited in Denniss and Grudnoff 2012). It can also be explained by the fact that, at the same time that the </w:t>
      </w:r>
      <w:r w:rsidR="004769F1">
        <w:t>resources</w:t>
      </w:r>
      <w:r w:rsidR="004769F1" w:rsidRPr="00E57E9E">
        <w:t xml:space="preserve"> </w:t>
      </w:r>
      <w:r w:rsidRPr="00E57E9E">
        <w:t xml:space="preserve">sector was seeking new workers, manufacturing was shedding workers. These observations illustrate that, </w:t>
      </w:r>
      <w:r w:rsidR="00A62BAA">
        <w:t>even though</w:t>
      </w:r>
      <w:r w:rsidRPr="00E57E9E">
        <w:t xml:space="preserve"> the resources price boom and resultant exchange rate appreciation displaced some workers in trade</w:t>
      </w:r>
      <w:r w:rsidRPr="00E57E9E">
        <w:noBreakHyphen/>
        <w:t xml:space="preserve">exposed industries, it also opened up potential job opportunities for them elsewhere in the economy. </w:t>
      </w:r>
    </w:p>
    <w:p w14:paraId="01832993" w14:textId="7144A24A" w:rsidR="00E57E9E" w:rsidRPr="00E57E9E" w:rsidRDefault="00E57E9E" w:rsidP="006C49BC">
      <w:pPr>
        <w:pStyle w:val="BodyText"/>
      </w:pPr>
      <w:r w:rsidRPr="00E57E9E">
        <w:t>Insofar as socio</w:t>
      </w:r>
      <w:r w:rsidRPr="00E57E9E">
        <w:noBreakHyphen/>
        <w:t>demographic factors can partly explain employment patterns (Salma et al. 2008), it is expected that workers are more likely to move between industries that have similar socio</w:t>
      </w:r>
      <w:r w:rsidR="00400858">
        <w:noBreakHyphen/>
      </w:r>
      <w:r w:rsidRPr="00E57E9E">
        <w:t>demographic profiles. Of all 19 industry divisions, mining has the smallest shares of part</w:t>
      </w:r>
      <w:r w:rsidR="00400858">
        <w:noBreakHyphen/>
      </w:r>
      <w:r w:rsidRPr="00E57E9E">
        <w:t>time workers and female workers (DEEWR</w:t>
      </w:r>
      <w:r w:rsidR="005A6596">
        <w:t> </w:t>
      </w:r>
      <w:r w:rsidRPr="00E57E9E">
        <w:t>2012a). This helps to explain why industries with similarly low shares of female or part</w:t>
      </w:r>
      <w:r w:rsidRPr="00E57E9E">
        <w:noBreakHyphen/>
        <w:t>time workers — namely Manufacturing, Construction, Transport, postal and warehousing and Wholesale trade — have been sources of new workers for the resources sector.</w:t>
      </w:r>
    </w:p>
    <w:p w14:paraId="1FDEABB8" w14:textId="29F3D286" w:rsidR="00E57E9E" w:rsidRPr="00E57E9E" w:rsidRDefault="00E57E9E" w:rsidP="006C49BC">
      <w:pPr>
        <w:pStyle w:val="BodyText"/>
      </w:pPr>
      <w:r w:rsidRPr="00E57E9E">
        <w:t>Another factor influencing workers’ capacity to sw</w:t>
      </w:r>
      <w:r w:rsidR="00050844">
        <w:t>itch industries into resources ― </w:t>
      </w:r>
      <w:r w:rsidRPr="00E57E9E">
        <w:t xml:space="preserve">given the remote location of most mining jobs — is their capacity to move </w:t>
      </w:r>
      <w:r w:rsidR="00E8041C">
        <w:t>geographic</w:t>
      </w:r>
      <w:r w:rsidRPr="00E57E9E">
        <w:t xml:space="preserve"> location. Although it was </w:t>
      </w:r>
      <w:r w:rsidR="004769F1">
        <w:t xml:space="preserve">previously </w:t>
      </w:r>
      <w:r w:rsidRPr="00E57E9E">
        <w:t xml:space="preserve">observed that </w:t>
      </w:r>
      <w:r w:rsidR="00973721">
        <w:t>relatively few workers changing residence for work purposes move</w:t>
      </w:r>
      <w:r w:rsidR="00EC1682">
        <w:t>d</w:t>
      </w:r>
      <w:r w:rsidR="00973721">
        <w:t xml:space="preserve"> further than 50 kilometres, </w:t>
      </w:r>
      <w:r w:rsidRPr="00E57E9E">
        <w:t xml:space="preserve">it </w:t>
      </w:r>
      <w:r w:rsidRPr="00E57E9E">
        <w:lastRenderedPageBreak/>
        <w:t xml:space="preserve">was also </w:t>
      </w:r>
      <w:r w:rsidR="00A93E54">
        <w:t>noted</w:t>
      </w:r>
      <w:r w:rsidR="00A93E54" w:rsidRPr="00E57E9E">
        <w:t xml:space="preserve"> </w:t>
      </w:r>
      <w:r w:rsidRPr="00E57E9E">
        <w:t xml:space="preserve">that </w:t>
      </w:r>
      <w:r w:rsidR="00973721">
        <w:t>the</w:t>
      </w:r>
      <w:r w:rsidRPr="00E57E9E">
        <w:t xml:space="preserve"> propensity </w:t>
      </w:r>
      <w:r w:rsidR="00967B82">
        <w:t xml:space="preserve">of workers </w:t>
      </w:r>
      <w:r w:rsidRPr="00E57E9E">
        <w:t xml:space="preserve">to move location </w:t>
      </w:r>
      <w:r w:rsidR="00973721">
        <w:t xml:space="preserve">is higher </w:t>
      </w:r>
      <w:r w:rsidRPr="00E57E9E">
        <w:t xml:space="preserve">if it is to take up a job in the </w:t>
      </w:r>
      <w:r w:rsidR="004769F1">
        <w:t>resources</w:t>
      </w:r>
      <w:r w:rsidR="004769F1" w:rsidRPr="00E57E9E">
        <w:t xml:space="preserve"> </w:t>
      </w:r>
      <w:r w:rsidRPr="00E57E9E">
        <w:t>sector</w:t>
      </w:r>
      <w:r w:rsidR="004769F1">
        <w:t xml:space="preserve"> (chapter 5)</w:t>
      </w:r>
      <w:r w:rsidRPr="00E57E9E">
        <w:t>.</w:t>
      </w:r>
    </w:p>
    <w:p w14:paraId="3C6E77FA" w14:textId="77777777" w:rsidR="00E57E9E" w:rsidRPr="00E57E9E" w:rsidRDefault="00E57E9E" w:rsidP="006C49BC">
      <w:pPr>
        <w:pStyle w:val="Heading4"/>
      </w:pPr>
      <w:r w:rsidRPr="00E57E9E">
        <w:t>Indigenous population</w:t>
      </w:r>
    </w:p>
    <w:p w14:paraId="74FD97C2" w14:textId="30344DF2" w:rsidR="00E57E9E" w:rsidRPr="00E57E9E" w:rsidRDefault="00E57E9E" w:rsidP="006C49BC">
      <w:pPr>
        <w:pStyle w:val="BodyText"/>
      </w:pPr>
      <w:r w:rsidRPr="00E57E9E">
        <w:t>Given the remote geographic location of most mining</w:t>
      </w:r>
      <w:r w:rsidR="00A163F0">
        <w:t xml:space="preserve"> and gas extraction</w:t>
      </w:r>
      <w:r w:rsidRPr="00E57E9E">
        <w:t xml:space="preserve"> sites, and the high representation of the Indigenous population in the remote, resource</w:t>
      </w:r>
      <w:r w:rsidRPr="00E57E9E">
        <w:noBreakHyphen/>
        <w:t>rich regions</w:t>
      </w:r>
      <w:r w:rsidR="005C126A">
        <w:t>,</w:t>
      </w:r>
      <w:r w:rsidRPr="00E57E9E">
        <w:rPr>
          <w:position w:val="6"/>
          <w:sz w:val="22"/>
        </w:rPr>
        <w:footnoteReference w:id="11"/>
      </w:r>
      <w:r w:rsidRPr="00E57E9E">
        <w:t xml:space="preserve"> it might be expected that the rapid expansion of the resources sector provided a large number of job opportunities </w:t>
      </w:r>
      <w:r w:rsidR="00C406F6">
        <w:t>for</w:t>
      </w:r>
      <w:r w:rsidR="00C406F6" w:rsidRPr="00E57E9E">
        <w:t xml:space="preserve"> </w:t>
      </w:r>
      <w:r w:rsidRPr="00E57E9E">
        <w:t xml:space="preserve">the Indigenous population. </w:t>
      </w:r>
    </w:p>
    <w:p w14:paraId="0CB5910A" w14:textId="26D34583" w:rsidR="00107BE9" w:rsidRDefault="00E57E9E" w:rsidP="006C49BC">
      <w:pPr>
        <w:pStyle w:val="BodyText"/>
      </w:pPr>
      <w:r w:rsidRPr="00E57E9E">
        <w:t>There are indications that, to some extent, the resources sector did draw upon the Indigenous population as a source of new workers during its expansion. Between 2006 and 2011, the number of Indigenous persons employed in the resources sector roughly doubled, from 3150 to 6170 workers (ABS </w:t>
      </w:r>
      <w:r w:rsidR="00C64150" w:rsidRPr="00E57E9E">
        <w:t>2011</w:t>
      </w:r>
      <w:r w:rsidR="00C64150">
        <w:t>b</w:t>
      </w:r>
      <w:r w:rsidRPr="00E57E9E">
        <w:t xml:space="preserve">). </w:t>
      </w:r>
      <w:r w:rsidR="0027512C" w:rsidRPr="00E57E9E">
        <w:t xml:space="preserve">Furthermore, the resources sector’s share of the total Indigenous workforce grew considerably during the 2000s, </w:t>
      </w:r>
      <w:r w:rsidR="00FC7444">
        <w:t>rising</w:t>
      </w:r>
      <w:r w:rsidR="0027512C" w:rsidRPr="00E57E9E">
        <w:t xml:space="preserve"> from 1.8</w:t>
      </w:r>
      <w:r w:rsidR="0027512C">
        <w:t> </w:t>
      </w:r>
      <w:r w:rsidR="0027512C" w:rsidRPr="00E57E9E">
        <w:t>per</w:t>
      </w:r>
      <w:r w:rsidR="0027512C">
        <w:t> </w:t>
      </w:r>
      <w:r w:rsidR="0027512C" w:rsidRPr="00E57E9E">
        <w:t>cent to 3.1</w:t>
      </w:r>
      <w:r w:rsidR="0027512C">
        <w:t> </w:t>
      </w:r>
      <w:r w:rsidR="0027512C" w:rsidRPr="00E57E9E">
        <w:t>per</w:t>
      </w:r>
      <w:r w:rsidR="0027512C">
        <w:t> </w:t>
      </w:r>
      <w:r w:rsidR="0027512C" w:rsidRPr="00E57E9E">
        <w:t>cent between 2006 and 2011 (ABS 2006</w:t>
      </w:r>
      <w:r w:rsidR="0027512C">
        <w:t>c and</w:t>
      </w:r>
      <w:r w:rsidR="0027512C" w:rsidRPr="00E57E9E">
        <w:t xml:space="preserve"> 2011</w:t>
      </w:r>
      <w:r w:rsidR="0027512C">
        <w:t>b</w:t>
      </w:r>
      <w:r w:rsidR="0027512C" w:rsidRPr="00E57E9E">
        <w:t>).</w:t>
      </w:r>
      <w:r w:rsidR="0027512C">
        <w:t xml:space="preserve"> However</w:t>
      </w:r>
      <w:r w:rsidR="00107BE9" w:rsidRPr="00E57E9E">
        <w:t>, th</w:t>
      </w:r>
      <w:r w:rsidR="0027512C">
        <w:t>e</w:t>
      </w:r>
      <w:r w:rsidR="00107BE9" w:rsidRPr="00E57E9E">
        <w:t xml:space="preserve"> </w:t>
      </w:r>
      <w:r w:rsidR="0027512C">
        <w:t xml:space="preserve">proportional </w:t>
      </w:r>
      <w:r w:rsidR="00107BE9" w:rsidRPr="00E57E9E">
        <w:t xml:space="preserve">increase </w:t>
      </w:r>
      <w:r w:rsidR="0027512C">
        <w:t xml:space="preserve">in Indigenous employment numbers in the resources sector </w:t>
      </w:r>
      <w:r w:rsidR="00107BE9" w:rsidRPr="00E57E9E">
        <w:t xml:space="preserve">was </w:t>
      </w:r>
      <w:r w:rsidR="0027512C">
        <w:t>similar</w:t>
      </w:r>
      <w:r w:rsidR="00107BE9" w:rsidRPr="00E57E9E">
        <w:t xml:space="preserve"> to the growth of the sector’s workforce size overall. </w:t>
      </w:r>
      <w:r w:rsidR="00107BE9">
        <w:t>Consequently</w:t>
      </w:r>
      <w:r w:rsidR="00107BE9" w:rsidRPr="00E57E9E">
        <w:t>, Indigenous workers’ share of the total resources sector’s workforce remained unchanged between 2006 and 2011, at around 3 per cent (ABS 2006</w:t>
      </w:r>
      <w:r w:rsidR="00107BE9">
        <w:t>c and</w:t>
      </w:r>
      <w:r w:rsidR="00107BE9" w:rsidRPr="00E57E9E">
        <w:t xml:space="preserve"> 2011</w:t>
      </w:r>
      <w:r w:rsidR="00107BE9">
        <w:t>b</w:t>
      </w:r>
      <w:r w:rsidR="00107BE9" w:rsidRPr="00E57E9E">
        <w:t>).</w:t>
      </w:r>
      <w:r w:rsidR="0027512C" w:rsidRPr="00E57E9E">
        <w:rPr>
          <w:position w:val="6"/>
          <w:sz w:val="22"/>
        </w:rPr>
        <w:footnoteReference w:id="12"/>
      </w:r>
    </w:p>
    <w:p w14:paraId="2B4220D2" w14:textId="37AA00C0" w:rsidR="004436D8" w:rsidRDefault="00E57E9E" w:rsidP="00107BE9">
      <w:pPr>
        <w:pStyle w:val="BodyText"/>
      </w:pPr>
      <w:r w:rsidRPr="00E57E9E">
        <w:t>Around half of all Indigenous workers who were employed</w:t>
      </w:r>
      <w:r w:rsidR="000B0BE4">
        <w:t xml:space="preserve"> in</w:t>
      </w:r>
      <w:r w:rsidRPr="00E57E9E">
        <w:t xml:space="preserve"> the sector in 2011 were employed in Metal ore mining, which was the fastest</w:t>
      </w:r>
      <w:r w:rsidRPr="00E57E9E">
        <w:noBreakHyphen/>
        <w:t xml:space="preserve">growing </w:t>
      </w:r>
      <w:r w:rsidR="0027512C">
        <w:t xml:space="preserve">of the resource sector </w:t>
      </w:r>
      <w:r w:rsidRPr="00E57E9E">
        <w:t>subdivision</w:t>
      </w:r>
      <w:r w:rsidR="0027512C">
        <w:t>s</w:t>
      </w:r>
      <w:r w:rsidRPr="00E57E9E">
        <w:t>. Th</w:t>
      </w:r>
      <w:r w:rsidR="0027512C">
        <w:t>is industry specialisation underpinned strong</w:t>
      </w:r>
      <w:r w:rsidRPr="00E57E9E">
        <w:t xml:space="preserve"> </w:t>
      </w:r>
      <w:r w:rsidR="0027512C">
        <w:t xml:space="preserve">local Indigenous </w:t>
      </w:r>
      <w:r w:rsidR="00107BE9">
        <w:t xml:space="preserve">employment </w:t>
      </w:r>
      <w:r w:rsidR="0027512C">
        <w:t>growth</w:t>
      </w:r>
      <w:r w:rsidR="00107BE9">
        <w:t xml:space="preserve"> </w:t>
      </w:r>
      <w:r w:rsidR="0027512C">
        <w:t>in some</w:t>
      </w:r>
      <w:r w:rsidR="00107BE9">
        <w:t xml:space="preserve"> resource</w:t>
      </w:r>
      <w:r w:rsidR="0027512C">
        <w:noBreakHyphen/>
      </w:r>
      <w:r w:rsidR="00107BE9">
        <w:t>rich regions</w:t>
      </w:r>
      <w:r w:rsidRPr="00E57E9E">
        <w:t xml:space="preserve">. </w:t>
      </w:r>
      <w:r w:rsidR="0027512C">
        <w:t>For example, i</w:t>
      </w:r>
      <w:r w:rsidRPr="00E57E9E">
        <w:t>n the Pilbara region, the employment rate of the working</w:t>
      </w:r>
      <w:r w:rsidRPr="00E57E9E">
        <w:noBreakHyphen/>
        <w:t>age Indigenous population rose from 45 </w:t>
      </w:r>
      <w:r w:rsidR="00F5343C">
        <w:t xml:space="preserve">per cent </w:t>
      </w:r>
      <w:r w:rsidRPr="00E57E9E">
        <w:t>to 51 per cent between 2006 and 2011. The 2011 figure was five percentage points higher than the Indigenous employment rate nationwide (ABS </w:t>
      </w:r>
      <w:r w:rsidR="00C64150" w:rsidRPr="00E57E9E">
        <w:t>2006</w:t>
      </w:r>
      <w:r w:rsidR="00C64150">
        <w:t xml:space="preserve">c </w:t>
      </w:r>
      <w:r w:rsidR="005A6596">
        <w:t>and</w:t>
      </w:r>
      <w:r w:rsidR="005A6596" w:rsidRPr="00E57E9E">
        <w:t xml:space="preserve"> </w:t>
      </w:r>
      <w:r w:rsidR="00C64150" w:rsidRPr="00E57E9E">
        <w:t>2011</w:t>
      </w:r>
      <w:r w:rsidR="00C64150">
        <w:t>b</w:t>
      </w:r>
      <w:r w:rsidRPr="00E57E9E">
        <w:t>).</w:t>
      </w:r>
      <w:r w:rsidR="00107BE9">
        <w:t xml:space="preserve"> By contrast, in</w:t>
      </w:r>
      <w:r w:rsidR="004436D8">
        <w:t xml:space="preserve"> the Goldfields, Kimberley and Mid</w:t>
      </w:r>
      <w:r w:rsidR="004436D8">
        <w:noBreakHyphen/>
        <w:t>West regions of Western Australia’s outback, the Indigenous employment rate in 2011 was lower than the employment rate of the Indigenous population for Australia overall.</w:t>
      </w:r>
    </w:p>
    <w:p w14:paraId="6457FD89" w14:textId="77777777" w:rsidR="00E57E9E" w:rsidRPr="00E57E9E" w:rsidRDefault="00E57E9E" w:rsidP="006C49BC">
      <w:pPr>
        <w:pStyle w:val="Heading4"/>
      </w:pPr>
      <w:r w:rsidRPr="00E57E9E">
        <w:lastRenderedPageBreak/>
        <w:t>Skilled migrants</w:t>
      </w:r>
    </w:p>
    <w:p w14:paraId="1EA65626" w14:textId="18D35A0D" w:rsidR="00E57E9E" w:rsidRPr="00E57E9E" w:rsidRDefault="00E57E9E" w:rsidP="006C49BC">
      <w:pPr>
        <w:pStyle w:val="BodyText"/>
      </w:pPr>
      <w:r w:rsidRPr="00E57E9E">
        <w:t xml:space="preserve">In circumstances where employers cannot find suitably skilled workers who are Australian citizens or permanent residents, </w:t>
      </w:r>
      <w:r w:rsidR="00AD19E2">
        <w:t>‘</w:t>
      </w:r>
      <w:r w:rsidR="0028018C">
        <w:t>T</w:t>
      </w:r>
      <w:r w:rsidR="0028018C" w:rsidRPr="00E57E9E">
        <w:t xml:space="preserve">emporary </w:t>
      </w:r>
      <w:r w:rsidR="0028018C">
        <w:t>Work (Skilled)</w:t>
      </w:r>
      <w:r w:rsidR="00EA70C7">
        <w:t xml:space="preserve"> (subclass 457)</w:t>
      </w:r>
      <w:r w:rsidR="00AD19E2">
        <w:t>’</w:t>
      </w:r>
      <w:r w:rsidR="0028018C">
        <w:t xml:space="preserve"> visas </w:t>
      </w:r>
      <w:r w:rsidRPr="00E57E9E">
        <w:t>(</w:t>
      </w:r>
      <w:r w:rsidR="0028018C">
        <w:t>formerly</w:t>
      </w:r>
      <w:r w:rsidR="00917142">
        <w:t xml:space="preserve"> ‘Temporary Business (Long Stay) (</w:t>
      </w:r>
      <w:r w:rsidRPr="00E57E9E">
        <w:t>subclass 457</w:t>
      </w:r>
      <w:r w:rsidR="00917142">
        <w:t>)’</w:t>
      </w:r>
      <w:r w:rsidR="0028018C">
        <w:t xml:space="preserve"> visas</w:t>
      </w:r>
      <w:r w:rsidR="00920A34">
        <w:t>)</w:t>
      </w:r>
      <w:r w:rsidR="00050844">
        <w:t> ― </w:t>
      </w:r>
      <w:r w:rsidR="00AD19E2">
        <w:t xml:space="preserve">referred </w:t>
      </w:r>
      <w:r w:rsidR="00C67B28">
        <w:t xml:space="preserve">to </w:t>
      </w:r>
      <w:r w:rsidR="00AD19E2">
        <w:t xml:space="preserve">here as </w:t>
      </w:r>
      <w:r w:rsidR="0028018C">
        <w:t>‘temporary work’ visas</w:t>
      </w:r>
      <w:r w:rsidR="00920A34">
        <w:t xml:space="preserve"> — </w:t>
      </w:r>
      <w:r w:rsidRPr="00E57E9E">
        <w:t>can be granted to skilled workers from outside Australia who have been sponsored and nominated by a business to work in Australia on a temporary basis.</w:t>
      </w:r>
      <w:r w:rsidRPr="00E57E9E">
        <w:rPr>
          <w:position w:val="6"/>
          <w:sz w:val="22"/>
        </w:rPr>
        <w:footnoteReference w:id="13"/>
      </w:r>
    </w:p>
    <w:p w14:paraId="6E43C06D" w14:textId="49209624" w:rsidR="00E57E9E" w:rsidRDefault="00E57E9E" w:rsidP="006C49BC">
      <w:pPr>
        <w:pStyle w:val="BodyText"/>
      </w:pPr>
      <w:r w:rsidRPr="00E57E9E">
        <w:t xml:space="preserve">Around </w:t>
      </w:r>
      <w:r w:rsidR="00917142">
        <w:t>9</w:t>
      </w:r>
      <w:r w:rsidR="00917142" w:rsidRPr="00E57E9E">
        <w:t> </w:t>
      </w:r>
      <w:r w:rsidRPr="00E57E9E">
        <w:t xml:space="preserve">per cent of all </w:t>
      </w:r>
      <w:r w:rsidR="00917142">
        <w:t>primary</w:t>
      </w:r>
      <w:r w:rsidR="008C697B">
        <w:t xml:space="preserve"> </w:t>
      </w:r>
      <w:r w:rsidRPr="00E57E9E">
        <w:t xml:space="preserve">temporary </w:t>
      </w:r>
      <w:r w:rsidR="0028018C">
        <w:t xml:space="preserve">work </w:t>
      </w:r>
      <w:r w:rsidR="00917142" w:rsidRPr="00E57E9E">
        <w:t>visa</w:t>
      </w:r>
      <w:r w:rsidR="00917142">
        <w:t xml:space="preserve"> holders</w:t>
      </w:r>
      <w:r w:rsidR="00917142" w:rsidRPr="00E57E9E">
        <w:t xml:space="preserve"> </w:t>
      </w:r>
      <w:r w:rsidR="00917142">
        <w:t>at June 2012</w:t>
      </w:r>
      <w:r w:rsidRPr="00E57E9E">
        <w:t xml:space="preserve"> </w:t>
      </w:r>
      <w:r w:rsidR="00917142">
        <w:t>worked</w:t>
      </w:r>
      <w:r w:rsidRPr="00E57E9E">
        <w:t xml:space="preserve"> in the resources sector, and another 13 per cent </w:t>
      </w:r>
      <w:r w:rsidR="00917142">
        <w:t>worked</w:t>
      </w:r>
      <w:r w:rsidRPr="00E57E9E">
        <w:t xml:space="preserve"> in construction (</w:t>
      </w:r>
      <w:r w:rsidR="005B3C49" w:rsidRPr="00E57E9E">
        <w:t>DIAC</w:t>
      </w:r>
      <w:r w:rsidR="00917142">
        <w:t> </w:t>
      </w:r>
      <w:r w:rsidR="00AD19E2" w:rsidRPr="00E57E9E">
        <w:t>2012</w:t>
      </w:r>
      <w:r w:rsidR="00AD19E2">
        <w:t>b</w:t>
      </w:r>
      <w:r w:rsidRPr="00E57E9E">
        <w:t>).</w:t>
      </w:r>
      <w:r w:rsidR="00AD19E2">
        <w:t xml:space="preserve"> </w:t>
      </w:r>
      <w:r w:rsidR="008756F3">
        <w:t>T</w:t>
      </w:r>
      <w:r w:rsidRPr="00E57E9E">
        <w:t>hese industries</w:t>
      </w:r>
      <w:r w:rsidR="008756F3">
        <w:t xml:space="preserve"> appear to</w:t>
      </w:r>
      <w:r w:rsidRPr="00E57E9E">
        <w:t xml:space="preserve"> have been </w:t>
      </w:r>
      <w:r w:rsidR="0050130E">
        <w:t xml:space="preserve">relatively </w:t>
      </w:r>
      <w:r w:rsidRPr="00E57E9E">
        <w:t>more reliant</w:t>
      </w:r>
      <w:r w:rsidR="00917142">
        <w:t xml:space="preserve"> than others</w:t>
      </w:r>
      <w:r w:rsidRPr="00E57E9E">
        <w:t xml:space="preserve"> on this visa program as a source of labour</w:t>
      </w:r>
      <w:r w:rsidR="00676B07">
        <w:t xml:space="preserve"> </w:t>
      </w:r>
      <w:r w:rsidR="00AD19E2">
        <w:t>(</w:t>
      </w:r>
      <w:r w:rsidRPr="00E57E9E">
        <w:t>bo</w:t>
      </w:r>
      <w:r w:rsidR="00EC04F2">
        <w:t>x 6.1</w:t>
      </w:r>
      <w:r w:rsidR="00AD19E2">
        <w:t>)</w:t>
      </w:r>
      <w:r w:rsidRPr="00E57E9E">
        <w:t>.</w:t>
      </w:r>
      <w:r w:rsidR="0050130E">
        <w:t xml:space="preserve"> Nonetheless, almost as many temporary work visa holders work in the Health care and social assistance industry as work in construction.</w:t>
      </w:r>
    </w:p>
    <w:p w14:paraId="247D245F" w14:textId="1619BC58" w:rsidR="00D56B13" w:rsidRDefault="00D56B1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6B13" w14:paraId="5D75429A" w14:textId="77777777">
        <w:tc>
          <w:tcPr>
            <w:tcW w:w="8771" w:type="dxa"/>
            <w:tcBorders>
              <w:top w:val="single" w:sz="6" w:space="0" w:color="auto"/>
              <w:bottom w:val="nil"/>
            </w:tcBorders>
          </w:tcPr>
          <w:p w14:paraId="6FE91FC9" w14:textId="4224AA77" w:rsidR="00D56B13" w:rsidRDefault="00D56B13" w:rsidP="00D56B13">
            <w:pPr>
              <w:pStyle w:val="BoxTitle"/>
            </w:pPr>
            <w:r>
              <w:rPr>
                <w:b w:val="0"/>
              </w:rPr>
              <w:t xml:space="preserve">Box </w:t>
            </w:r>
            <w:r w:rsidR="00FF0AA4">
              <w:rPr>
                <w:b w:val="0"/>
              </w:rPr>
              <w:t>6.</w:t>
            </w:r>
            <w:r>
              <w:rPr>
                <w:b w:val="0"/>
              </w:rPr>
              <w:t>1</w:t>
            </w:r>
            <w:r>
              <w:tab/>
            </w:r>
            <w:r w:rsidRPr="00E57E9E">
              <w:t xml:space="preserve">Use of </w:t>
            </w:r>
            <w:r>
              <w:t>T</w:t>
            </w:r>
            <w:r w:rsidRPr="00E57E9E">
              <w:t xml:space="preserve">emporary </w:t>
            </w:r>
            <w:r>
              <w:t xml:space="preserve">Work (Skilled) </w:t>
            </w:r>
            <w:r w:rsidRPr="00E57E9E">
              <w:t>visas in resources</w:t>
            </w:r>
          </w:p>
        </w:tc>
      </w:tr>
      <w:tr w:rsidR="00D56B13" w14:paraId="7DFA12A3" w14:textId="77777777">
        <w:trPr>
          <w:cantSplit/>
        </w:trPr>
        <w:tc>
          <w:tcPr>
            <w:tcW w:w="8771" w:type="dxa"/>
            <w:tcBorders>
              <w:top w:val="nil"/>
              <w:left w:val="single" w:sz="6" w:space="0" w:color="auto"/>
              <w:bottom w:val="nil"/>
              <w:right w:val="single" w:sz="6" w:space="0" w:color="auto"/>
            </w:tcBorders>
          </w:tcPr>
          <w:p w14:paraId="44B7B392" w14:textId="77777777" w:rsidR="00D56B13" w:rsidRDefault="00D56B13" w:rsidP="00D56B13">
            <w:pPr>
              <w:pStyle w:val="Box"/>
            </w:pPr>
            <w:r>
              <w:t>At June 2012, there were 7860</w:t>
            </w:r>
            <w:r w:rsidRPr="00E57E9E">
              <w:t xml:space="preserve"> </w:t>
            </w:r>
            <w:r>
              <w:t>primary visa holders of T</w:t>
            </w:r>
            <w:r w:rsidRPr="00E57E9E">
              <w:t xml:space="preserve">emporary </w:t>
            </w:r>
            <w:r>
              <w:t>Work (Skilled) (</w:t>
            </w:r>
            <w:r w:rsidRPr="00E57E9E">
              <w:t>subclass 457</w:t>
            </w:r>
            <w:r>
              <w:t>) visas</w:t>
            </w:r>
            <w:r w:rsidRPr="00E57E9E">
              <w:t xml:space="preserve"> </w:t>
            </w:r>
            <w:r>
              <w:t>(or ‘temporary work’ visas) sponsored</w:t>
            </w:r>
            <w:r w:rsidRPr="00E57E9E">
              <w:t xml:space="preserve"> to work in Australia’s </w:t>
            </w:r>
            <w:r>
              <w:t xml:space="preserve">natural </w:t>
            </w:r>
            <w:r w:rsidRPr="00E57E9E">
              <w:t>resources sector</w:t>
            </w:r>
            <w:r>
              <w:t xml:space="preserve"> (equivalent to about 3 per cent of the sector’s workforce)</w:t>
            </w:r>
            <w:r w:rsidRPr="00E57E9E">
              <w:t xml:space="preserve">. </w:t>
            </w:r>
            <w:r>
              <w:t xml:space="preserve">There were a further 11 730 primary visa holders sponsored to work in </w:t>
            </w:r>
            <w:r w:rsidRPr="00E57E9E">
              <w:t xml:space="preserve">construction </w:t>
            </w:r>
            <w:r>
              <w:t>(equivalent to about 1 per cent of that sector’s workforce)</w:t>
            </w:r>
            <w:r w:rsidRPr="00E57E9E">
              <w:t>.</w:t>
            </w:r>
          </w:p>
          <w:p w14:paraId="5670D1E9" w14:textId="77777777" w:rsidR="00D56B13" w:rsidRPr="00E57E9E" w:rsidRDefault="00D56B13" w:rsidP="00D56B13">
            <w:pPr>
              <w:pStyle w:val="Box"/>
            </w:pPr>
            <w:r w:rsidRPr="00E57E9E">
              <w:t xml:space="preserve">In </w:t>
            </w:r>
            <w:r w:rsidRPr="00E57E9E">
              <w:rPr>
                <w:b/>
              </w:rPr>
              <w:t>Western Australia</w:t>
            </w:r>
            <w:r>
              <w:t>, 4630</w:t>
            </w:r>
            <w:r w:rsidRPr="00E57E9E">
              <w:t xml:space="preserve"> temporary </w:t>
            </w:r>
            <w:r>
              <w:t>work</w:t>
            </w:r>
            <w:r w:rsidRPr="00E57E9E">
              <w:t xml:space="preserve"> visa</w:t>
            </w:r>
            <w:r>
              <w:t xml:space="preserve"> holders</w:t>
            </w:r>
            <w:r w:rsidRPr="00E57E9E">
              <w:t xml:space="preserve"> </w:t>
            </w:r>
            <w:r>
              <w:t>were sponsored to work in the resources sector and a further 4270</w:t>
            </w:r>
            <w:r w:rsidRPr="00E57E9E">
              <w:t xml:space="preserve"> in construction. </w:t>
            </w:r>
            <w:r>
              <w:t xml:space="preserve">Collectively, they constituted </w:t>
            </w:r>
            <w:r w:rsidRPr="00E57E9E">
              <w:t xml:space="preserve">almost half </w:t>
            </w:r>
            <w:r>
              <w:t>of Western Australia’s</w:t>
            </w:r>
            <w:r w:rsidRPr="00E57E9E">
              <w:t xml:space="preserve"> temporary </w:t>
            </w:r>
            <w:r>
              <w:t>work</w:t>
            </w:r>
            <w:r w:rsidRPr="00E57E9E">
              <w:t xml:space="preserve"> visa</w:t>
            </w:r>
            <w:r>
              <w:t xml:space="preserve"> holders across all industries</w:t>
            </w:r>
            <w:r w:rsidRPr="00E57E9E">
              <w:t xml:space="preserve">. </w:t>
            </w:r>
            <w:r>
              <w:t>The number of temporary work visa holders in the resources sector was equivalent</w:t>
            </w:r>
            <w:r w:rsidRPr="00E57E9E">
              <w:t xml:space="preserve"> </w:t>
            </w:r>
            <w:r>
              <w:t>to 4 per cent</w:t>
            </w:r>
            <w:r w:rsidRPr="00E57E9E">
              <w:t xml:space="preserve"> of </w:t>
            </w:r>
            <w:r>
              <w:t>Western Australia’s total resources workforce.</w:t>
            </w:r>
          </w:p>
          <w:p w14:paraId="7688ED07" w14:textId="2E3B6823" w:rsidR="00D56B13" w:rsidRDefault="00D56B13">
            <w:pPr>
              <w:pStyle w:val="Box"/>
            </w:pPr>
            <w:r w:rsidRPr="00E57E9E">
              <w:t>Although Western Australia provide</w:t>
            </w:r>
            <w:r>
              <w:t>d</w:t>
            </w:r>
            <w:r w:rsidRPr="00E57E9E">
              <w:t xml:space="preserve"> around 11 per cent of all jobs in Australia, </w:t>
            </w:r>
            <w:r>
              <w:t>its share of the total number of temporary work visa holders in Australia stood at just over 20 per cent at June 2012</w:t>
            </w:r>
            <w:r w:rsidRPr="00E57E9E">
              <w:t>. Around one</w:t>
            </w:r>
            <w:r>
              <w:noBreakHyphen/>
            </w:r>
            <w:r w:rsidRPr="00E57E9E">
              <w:t xml:space="preserve">quarter of all </w:t>
            </w:r>
            <w:r>
              <w:t xml:space="preserve">newly-issued </w:t>
            </w:r>
            <w:r w:rsidRPr="00E57E9E">
              <w:t xml:space="preserve">temporary </w:t>
            </w:r>
            <w:r>
              <w:t>work</w:t>
            </w:r>
            <w:r w:rsidRPr="00E57E9E">
              <w:t xml:space="preserve"> visas in W</w:t>
            </w:r>
            <w:r>
              <w:t>A</w:t>
            </w:r>
            <w:r w:rsidRPr="00E57E9E">
              <w:t xml:space="preserve"> </w:t>
            </w:r>
            <w:r>
              <w:t>during the 2011</w:t>
            </w:r>
            <w:r>
              <w:noBreakHyphen/>
              <w:t xml:space="preserve">12 financial year </w:t>
            </w:r>
            <w:r w:rsidRPr="00E57E9E">
              <w:t>were for occupations related to the resources sector</w:t>
            </w:r>
            <w:r>
              <w:t xml:space="preserve">, </w:t>
            </w:r>
            <w:r w:rsidRPr="00E57E9E">
              <w:t>including Mechanical engineers, Civil engineers, Mechanical engineering technicians, Geologists, Metal fabricators, Welders, Fitters, Construction project managers and Engineering managers.</w:t>
            </w:r>
          </w:p>
        </w:tc>
      </w:tr>
      <w:tr w:rsidR="00D56B13" w14:paraId="7977B8CB" w14:textId="77777777">
        <w:trPr>
          <w:cantSplit/>
        </w:trPr>
        <w:tc>
          <w:tcPr>
            <w:tcW w:w="8771" w:type="dxa"/>
            <w:tcBorders>
              <w:top w:val="nil"/>
              <w:left w:val="single" w:sz="6" w:space="0" w:color="auto"/>
              <w:bottom w:val="nil"/>
              <w:right w:val="single" w:sz="6" w:space="0" w:color="auto"/>
            </w:tcBorders>
          </w:tcPr>
          <w:p w14:paraId="7DA9E309" w14:textId="1F8A9C49" w:rsidR="00D56B13" w:rsidRDefault="00D56B13" w:rsidP="00D56B13">
            <w:pPr>
              <w:pStyle w:val="BoxSource"/>
              <w:jc w:val="right"/>
            </w:pPr>
            <w:r w:rsidRPr="00E57E9E">
              <w:t>(Continued next page)</w:t>
            </w:r>
          </w:p>
        </w:tc>
      </w:tr>
      <w:tr w:rsidR="00D56B13" w14:paraId="722FBB5F" w14:textId="77777777">
        <w:trPr>
          <w:cantSplit/>
        </w:trPr>
        <w:tc>
          <w:tcPr>
            <w:tcW w:w="8771" w:type="dxa"/>
            <w:tcBorders>
              <w:top w:val="nil"/>
              <w:left w:val="single" w:sz="6" w:space="0" w:color="auto"/>
              <w:bottom w:val="single" w:sz="6" w:space="0" w:color="auto"/>
              <w:right w:val="single" w:sz="6" w:space="0" w:color="auto"/>
            </w:tcBorders>
          </w:tcPr>
          <w:p w14:paraId="00F92C93" w14:textId="77777777" w:rsidR="00D56B13" w:rsidRDefault="00D56B13">
            <w:pPr>
              <w:pStyle w:val="Box"/>
              <w:spacing w:before="0" w:line="120" w:lineRule="exact"/>
            </w:pPr>
          </w:p>
        </w:tc>
      </w:tr>
      <w:tr w:rsidR="00D56B13" w:rsidRPr="000863A5" w14:paraId="66AF1D83" w14:textId="77777777">
        <w:tc>
          <w:tcPr>
            <w:tcW w:w="8771" w:type="dxa"/>
            <w:tcBorders>
              <w:top w:val="nil"/>
              <w:left w:val="nil"/>
              <w:bottom w:val="nil"/>
              <w:right w:val="nil"/>
            </w:tcBorders>
          </w:tcPr>
          <w:p w14:paraId="2C341FA7" w14:textId="745B28FF" w:rsidR="00D56B13" w:rsidRPr="00626D32" w:rsidRDefault="00D56B13" w:rsidP="00704364">
            <w:pPr>
              <w:pStyle w:val="BoxSpaceBelow"/>
            </w:pPr>
          </w:p>
        </w:tc>
      </w:tr>
    </w:tbl>
    <w:p w14:paraId="57C5853C" w14:textId="77777777" w:rsidR="00D56B13" w:rsidRPr="00E57E9E" w:rsidRDefault="00D56B13" w:rsidP="006C49BC">
      <w:pPr>
        <w:pStyle w:val="BodyText"/>
      </w:pPr>
    </w:p>
    <w:p w14:paraId="51AABC38" w14:textId="6840C535" w:rsidR="00875F31" w:rsidRDefault="00875F31" w:rsidP="00875F3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75F31" w14:paraId="0754F035" w14:textId="77777777" w:rsidTr="00EA70C7">
        <w:tc>
          <w:tcPr>
            <w:tcW w:w="8771" w:type="dxa"/>
            <w:tcBorders>
              <w:top w:val="single" w:sz="6" w:space="0" w:color="auto"/>
              <w:bottom w:val="nil"/>
            </w:tcBorders>
          </w:tcPr>
          <w:p w14:paraId="1E038012" w14:textId="0933936E" w:rsidR="00875F31" w:rsidRDefault="00875F31" w:rsidP="00D56B13">
            <w:pPr>
              <w:pStyle w:val="BoxTitle"/>
            </w:pPr>
            <w:r w:rsidRPr="006C49BC">
              <w:rPr>
                <w:b w:val="0"/>
              </w:rPr>
              <w:t xml:space="preserve">Box </w:t>
            </w:r>
            <w:r>
              <w:rPr>
                <w:b w:val="0"/>
              </w:rPr>
              <w:t>6.</w:t>
            </w:r>
            <w:r w:rsidR="00D56B13">
              <w:rPr>
                <w:b w:val="0"/>
              </w:rPr>
              <w:t>1</w:t>
            </w:r>
            <w:r w:rsidRPr="00E57E9E">
              <w:tab/>
            </w:r>
            <w:r w:rsidR="00D56B13" w:rsidRPr="00EC04F2">
              <w:rPr>
                <w:b w:val="0"/>
                <w:sz w:val="18"/>
                <w:szCs w:val="20"/>
              </w:rPr>
              <w:t>(continued)</w:t>
            </w:r>
          </w:p>
        </w:tc>
      </w:tr>
      <w:tr w:rsidR="00875F31" w14:paraId="711AD3A4" w14:textId="77777777" w:rsidTr="00EA70C7">
        <w:trPr>
          <w:cantSplit/>
        </w:trPr>
        <w:tc>
          <w:tcPr>
            <w:tcW w:w="8771" w:type="dxa"/>
            <w:tcBorders>
              <w:top w:val="nil"/>
              <w:left w:val="single" w:sz="6" w:space="0" w:color="auto"/>
              <w:bottom w:val="nil"/>
              <w:right w:val="single" w:sz="6" w:space="0" w:color="auto"/>
            </w:tcBorders>
          </w:tcPr>
          <w:p w14:paraId="6D221E25" w14:textId="53B34BC6" w:rsidR="00875F31" w:rsidRPr="00E57E9E" w:rsidRDefault="00875F31" w:rsidP="00EA70C7">
            <w:pPr>
              <w:pStyle w:val="Box"/>
            </w:pPr>
            <w:r w:rsidRPr="00E57E9E">
              <w:t xml:space="preserve">In </w:t>
            </w:r>
            <w:r w:rsidRPr="00E57E9E">
              <w:rPr>
                <w:b/>
              </w:rPr>
              <w:t>Queensland</w:t>
            </w:r>
            <w:r>
              <w:t xml:space="preserve">, 2070 temporary work visa holders </w:t>
            </w:r>
            <w:r w:rsidRPr="00E57E9E">
              <w:t xml:space="preserve">were </w:t>
            </w:r>
            <w:r>
              <w:t>sponsored to work in the</w:t>
            </w:r>
            <w:r w:rsidRPr="00E57E9E">
              <w:t xml:space="preserve"> reso</w:t>
            </w:r>
            <w:r>
              <w:t>urces sector and another 2550</w:t>
            </w:r>
            <w:r w:rsidRPr="00E57E9E">
              <w:t xml:space="preserve"> </w:t>
            </w:r>
            <w:r>
              <w:t>in</w:t>
            </w:r>
            <w:r w:rsidRPr="00E57E9E">
              <w:t xml:space="preserve"> construction. T</w:t>
            </w:r>
            <w:r w:rsidR="00676B07">
              <w:t>ogether, they</w:t>
            </w:r>
            <w:r w:rsidRPr="00E57E9E">
              <w:t xml:space="preserve"> amounted to </w:t>
            </w:r>
            <w:r>
              <w:t xml:space="preserve">around 30 per cent </w:t>
            </w:r>
            <w:r w:rsidRPr="00E57E9E">
              <w:t xml:space="preserve">of all temporary </w:t>
            </w:r>
            <w:r>
              <w:t>work</w:t>
            </w:r>
            <w:r w:rsidRPr="00E57E9E">
              <w:t xml:space="preserve"> visa</w:t>
            </w:r>
            <w:r>
              <w:t xml:space="preserve"> holders</w:t>
            </w:r>
            <w:r w:rsidRPr="00E57E9E">
              <w:t xml:space="preserve"> in Queensland. </w:t>
            </w:r>
            <w:r>
              <w:t>The number of temporary work visa holders working</w:t>
            </w:r>
            <w:r w:rsidRPr="00E57E9E">
              <w:t xml:space="preserve"> </w:t>
            </w:r>
            <w:r>
              <w:t xml:space="preserve">in Queensland’s resources sector </w:t>
            </w:r>
            <w:r w:rsidRPr="00E57E9E">
              <w:t>represented</w:t>
            </w:r>
            <w:r>
              <w:t xml:space="preserve"> around 3 per cent</w:t>
            </w:r>
            <w:r w:rsidRPr="00E57E9E">
              <w:t xml:space="preserve"> of </w:t>
            </w:r>
            <w:r>
              <w:t>that state’s total resource</w:t>
            </w:r>
            <w:r w:rsidRPr="00E57E9E">
              <w:t xml:space="preserve"> sector workforce.</w:t>
            </w:r>
            <w:r>
              <w:t xml:space="preserve"> </w:t>
            </w:r>
            <w:r w:rsidRPr="00E57E9E">
              <w:t xml:space="preserve">Civil engineers, </w:t>
            </w:r>
            <w:r w:rsidR="0032170F">
              <w:t>M</w:t>
            </w:r>
            <w:r w:rsidRPr="00E57E9E">
              <w:t xml:space="preserve">echanical engineering technicians, </w:t>
            </w:r>
            <w:r w:rsidR="0032170F">
              <w:t>G</w:t>
            </w:r>
            <w:r w:rsidRPr="00E57E9E">
              <w:t xml:space="preserve">eologists, </w:t>
            </w:r>
            <w:r w:rsidR="0032170F">
              <w:t>C</w:t>
            </w:r>
            <w:r w:rsidRPr="00E57E9E">
              <w:t xml:space="preserve">onstruction project managers, and </w:t>
            </w:r>
            <w:r w:rsidR="0032170F">
              <w:t>P</w:t>
            </w:r>
            <w:r w:rsidRPr="00E57E9E">
              <w:t xml:space="preserve">rogram or </w:t>
            </w:r>
            <w:r w:rsidR="0032170F">
              <w:t>P</w:t>
            </w:r>
            <w:r w:rsidRPr="00E57E9E">
              <w:t xml:space="preserve">roject administrators were among the most common occupations of </w:t>
            </w:r>
            <w:r>
              <w:t>new</w:t>
            </w:r>
            <w:r w:rsidRPr="00E57E9E">
              <w:t xml:space="preserve"> visa recipients</w:t>
            </w:r>
            <w:r>
              <w:t xml:space="preserve"> in the financial year 2011-12</w:t>
            </w:r>
            <w:r w:rsidRPr="00E57E9E">
              <w:t>.</w:t>
            </w:r>
          </w:p>
          <w:p w14:paraId="50EB61FC" w14:textId="206EBB08" w:rsidR="00875F31" w:rsidRPr="00E57E9E" w:rsidRDefault="00875F31" w:rsidP="00B67262">
            <w:pPr>
              <w:pStyle w:val="Box"/>
            </w:pPr>
            <w:r w:rsidRPr="00E57E9E">
              <w:t xml:space="preserve">While the </w:t>
            </w:r>
            <w:r w:rsidRPr="00E57E9E">
              <w:rPr>
                <w:b/>
              </w:rPr>
              <w:t>Northern Territory</w:t>
            </w:r>
            <w:r w:rsidRPr="00400424">
              <w:t>’s</w:t>
            </w:r>
            <w:r w:rsidRPr="00E57E9E">
              <w:t xml:space="preserve"> resources </w:t>
            </w:r>
            <w:r>
              <w:t>workers</w:t>
            </w:r>
            <w:r w:rsidRPr="00E57E9E">
              <w:t xml:space="preserve"> constitute a small share of Australia’s total resources workforce, </w:t>
            </w:r>
            <w:r>
              <w:t xml:space="preserve">15 per cent of all temporary work visa holders in the Territory were sponsored to fill </w:t>
            </w:r>
            <w:r w:rsidRPr="00E57E9E">
              <w:t xml:space="preserve">resource sector jobs, </w:t>
            </w:r>
            <w:r>
              <w:t>and</w:t>
            </w:r>
            <w:r w:rsidRPr="00E57E9E">
              <w:t xml:space="preserve"> a further </w:t>
            </w:r>
            <w:r>
              <w:t>15 </w:t>
            </w:r>
            <w:r w:rsidRPr="00E57E9E">
              <w:t>per</w:t>
            </w:r>
            <w:r>
              <w:t> </w:t>
            </w:r>
            <w:r w:rsidRPr="00E57E9E">
              <w:t xml:space="preserve">cent </w:t>
            </w:r>
            <w:r>
              <w:t>worked in</w:t>
            </w:r>
            <w:r w:rsidRPr="00E57E9E">
              <w:t xml:space="preserve"> construction. </w:t>
            </w:r>
            <w:r>
              <w:t xml:space="preserve">As a proportion of all temporary work visa holders in </w:t>
            </w:r>
            <w:r w:rsidRPr="00400424">
              <w:rPr>
                <w:b/>
              </w:rPr>
              <w:t>New South Wales</w:t>
            </w:r>
            <w:r>
              <w:t>, those working in the r</w:t>
            </w:r>
            <w:r w:rsidRPr="00E57E9E">
              <w:t xml:space="preserve">esources sectors </w:t>
            </w:r>
            <w:r>
              <w:t>did not</w:t>
            </w:r>
            <w:r w:rsidRPr="00E57E9E">
              <w:t xml:space="preserve"> </w:t>
            </w:r>
            <w:r>
              <w:t>make up a significant share</w:t>
            </w:r>
            <w:r w:rsidRPr="00E57E9E">
              <w:t xml:space="preserve">. This suggests that </w:t>
            </w:r>
            <w:r>
              <w:t xml:space="preserve">employers in the resources sector in New South Wales </w:t>
            </w:r>
            <w:r w:rsidRPr="00E57E9E">
              <w:t>did not encounter the same degree of difficulty in sourcing labour, compared to those in other jurisdictions.</w:t>
            </w:r>
          </w:p>
        </w:tc>
      </w:tr>
      <w:tr w:rsidR="00875F31" w14:paraId="1140E173" w14:textId="77777777" w:rsidTr="00EA70C7">
        <w:trPr>
          <w:cantSplit/>
        </w:trPr>
        <w:tc>
          <w:tcPr>
            <w:tcW w:w="8771" w:type="dxa"/>
            <w:tcBorders>
              <w:top w:val="nil"/>
              <w:left w:val="single" w:sz="6" w:space="0" w:color="auto"/>
              <w:bottom w:val="nil"/>
              <w:right w:val="single" w:sz="6" w:space="0" w:color="auto"/>
            </w:tcBorders>
          </w:tcPr>
          <w:p w14:paraId="2D362547" w14:textId="5DCD4A8F" w:rsidR="00875F31" w:rsidRPr="00E57E9E" w:rsidRDefault="00875F31" w:rsidP="00990A91">
            <w:pPr>
              <w:keepLines/>
              <w:spacing w:before="180" w:line="220" w:lineRule="exact"/>
              <w:jc w:val="both"/>
              <w:rPr>
                <w:rFonts w:ascii="Arial" w:hAnsi="Arial"/>
                <w:spacing w:val="-3"/>
                <w:sz w:val="18"/>
                <w:szCs w:val="20"/>
              </w:rPr>
            </w:pPr>
            <w:r w:rsidRPr="00E57E9E">
              <w:rPr>
                <w:rFonts w:ascii="Arial" w:hAnsi="Arial"/>
                <w:i/>
                <w:spacing w:val="-3"/>
                <w:sz w:val="18"/>
                <w:szCs w:val="20"/>
              </w:rPr>
              <w:t>Source</w:t>
            </w:r>
            <w:r>
              <w:rPr>
                <w:rFonts w:ascii="Arial" w:hAnsi="Arial"/>
                <w:i/>
                <w:spacing w:val="-3"/>
                <w:sz w:val="18"/>
                <w:szCs w:val="20"/>
              </w:rPr>
              <w:t>s</w:t>
            </w:r>
            <w:r>
              <w:rPr>
                <w:rFonts w:ascii="Arial" w:hAnsi="Arial"/>
                <w:spacing w:val="-3"/>
                <w:sz w:val="18"/>
                <w:szCs w:val="20"/>
              </w:rPr>
              <w:t xml:space="preserve">: </w:t>
            </w:r>
            <w:r w:rsidR="00990A91" w:rsidRPr="00990A91">
              <w:rPr>
                <w:rFonts w:ascii="Arial" w:hAnsi="Arial"/>
                <w:spacing w:val="-3"/>
                <w:sz w:val="18"/>
                <w:szCs w:val="20"/>
              </w:rPr>
              <w:t>Productivity Commission</w:t>
            </w:r>
            <w:r w:rsidR="00990A91">
              <w:rPr>
                <w:rFonts w:ascii="Arial" w:hAnsi="Arial"/>
                <w:spacing w:val="-3"/>
                <w:sz w:val="18"/>
                <w:szCs w:val="20"/>
              </w:rPr>
              <w:t xml:space="preserve"> </w:t>
            </w:r>
            <w:r w:rsidR="00F0724E">
              <w:rPr>
                <w:rFonts w:ascii="Arial" w:hAnsi="Arial"/>
                <w:spacing w:val="-3"/>
                <w:sz w:val="18"/>
                <w:szCs w:val="20"/>
              </w:rPr>
              <w:t>estimates</w:t>
            </w:r>
            <w:r w:rsidRPr="00E57E9E">
              <w:rPr>
                <w:rFonts w:ascii="Arial" w:hAnsi="Arial"/>
                <w:spacing w:val="-3"/>
                <w:sz w:val="18"/>
                <w:szCs w:val="20"/>
              </w:rPr>
              <w:t xml:space="preserve"> using ABS (</w:t>
            </w:r>
            <w:r w:rsidRPr="00E57E9E">
              <w:rPr>
                <w:rFonts w:ascii="Arial" w:hAnsi="Arial"/>
                <w:i/>
                <w:spacing w:val="-3"/>
                <w:sz w:val="18"/>
                <w:szCs w:val="20"/>
              </w:rPr>
              <w:t>Labour Force, Australia, Detailed, Quarterly</w:t>
            </w:r>
            <w:r w:rsidRPr="00E57E9E">
              <w:rPr>
                <w:rFonts w:ascii="Arial" w:hAnsi="Arial"/>
                <w:spacing w:val="-3"/>
                <w:sz w:val="18"/>
                <w:szCs w:val="20"/>
              </w:rPr>
              <w:t>, Cat. no. 6291.0.55.003</w:t>
            </w:r>
            <w:r>
              <w:rPr>
                <w:rFonts w:ascii="Arial" w:hAnsi="Arial"/>
                <w:spacing w:val="-3"/>
                <w:sz w:val="18"/>
                <w:szCs w:val="20"/>
              </w:rPr>
              <w:t>)</w:t>
            </w:r>
            <w:r w:rsidRPr="00E57E9E">
              <w:rPr>
                <w:rFonts w:ascii="Arial" w:hAnsi="Arial"/>
                <w:spacing w:val="-3"/>
                <w:sz w:val="18"/>
                <w:szCs w:val="20"/>
              </w:rPr>
              <w:t xml:space="preserve"> and DIAC (2012</w:t>
            </w:r>
            <w:r>
              <w:rPr>
                <w:rFonts w:ascii="Arial" w:hAnsi="Arial"/>
                <w:spacing w:val="-3"/>
                <w:sz w:val="18"/>
                <w:szCs w:val="20"/>
              </w:rPr>
              <w:t>b</w:t>
            </w:r>
            <w:r w:rsidRPr="00E57E9E">
              <w:rPr>
                <w:rFonts w:ascii="Arial" w:hAnsi="Arial"/>
                <w:spacing w:val="-3"/>
                <w:sz w:val="18"/>
                <w:szCs w:val="20"/>
              </w:rPr>
              <w:t>).</w:t>
            </w:r>
          </w:p>
        </w:tc>
      </w:tr>
      <w:tr w:rsidR="00875F31" w14:paraId="3672B750" w14:textId="77777777" w:rsidTr="00EA70C7">
        <w:trPr>
          <w:cantSplit/>
        </w:trPr>
        <w:tc>
          <w:tcPr>
            <w:tcW w:w="8771" w:type="dxa"/>
            <w:tcBorders>
              <w:top w:val="nil"/>
              <w:left w:val="single" w:sz="6" w:space="0" w:color="auto"/>
              <w:bottom w:val="single" w:sz="6" w:space="0" w:color="auto"/>
              <w:right w:val="single" w:sz="6" w:space="0" w:color="auto"/>
            </w:tcBorders>
          </w:tcPr>
          <w:p w14:paraId="0115A54A" w14:textId="77777777" w:rsidR="00875F31" w:rsidRDefault="00875F31" w:rsidP="00EA70C7">
            <w:pPr>
              <w:pStyle w:val="Box"/>
              <w:spacing w:before="0" w:line="120" w:lineRule="exact"/>
            </w:pPr>
          </w:p>
        </w:tc>
      </w:tr>
      <w:tr w:rsidR="00875F31" w:rsidRPr="000863A5" w14:paraId="1D06497B" w14:textId="77777777" w:rsidTr="00EA70C7">
        <w:tc>
          <w:tcPr>
            <w:tcW w:w="8771" w:type="dxa"/>
            <w:tcBorders>
              <w:top w:val="nil"/>
              <w:left w:val="nil"/>
              <w:bottom w:val="nil"/>
              <w:right w:val="nil"/>
            </w:tcBorders>
          </w:tcPr>
          <w:p w14:paraId="69EF5114" w14:textId="17DA64CA" w:rsidR="00875F31" w:rsidRPr="00626D32" w:rsidRDefault="00875F31" w:rsidP="00EA70C7">
            <w:pPr>
              <w:pStyle w:val="BoxSpaceBelow"/>
            </w:pPr>
          </w:p>
        </w:tc>
      </w:tr>
    </w:tbl>
    <w:p w14:paraId="56B59432" w14:textId="3406FF54" w:rsidR="001F7C7B" w:rsidRPr="00E57E9E" w:rsidRDefault="001F7C7B" w:rsidP="001F7C7B">
      <w:pPr>
        <w:pStyle w:val="BodyText"/>
      </w:pPr>
      <w:r w:rsidRPr="00E57E9E">
        <w:t>In addition</w:t>
      </w:r>
      <w:r w:rsidR="0050130E">
        <w:t xml:space="preserve"> to temporary work visas</w:t>
      </w:r>
      <w:r w:rsidRPr="00E57E9E">
        <w:t>, Australia’s regional migration scheme offers employer</w:t>
      </w:r>
      <w:r w:rsidRPr="00E57E9E">
        <w:noBreakHyphen/>
        <w:t xml:space="preserve">sponsored visas to skilled migrants who are prepared to live and work </w:t>
      </w:r>
      <w:r w:rsidR="001170A3">
        <w:t>outside of</w:t>
      </w:r>
      <w:r w:rsidR="001170A3" w:rsidRPr="001170A3">
        <w:t xml:space="preserve"> the Gold Coast, Brisbane, Newcastle, Sydney, Wollongong and Melbourne</w:t>
      </w:r>
      <w:r w:rsidRPr="00E57E9E">
        <w:t>. Nearly 16 500 skilled migrants were granted these visas in 2011</w:t>
      </w:r>
      <w:r>
        <w:noBreakHyphen/>
      </w:r>
      <w:r w:rsidRPr="00E57E9E">
        <w:t>12, with almost one</w:t>
      </w:r>
      <w:r>
        <w:noBreakHyphen/>
      </w:r>
      <w:r w:rsidRPr="00E57E9E">
        <w:t>quarter filling positions in Western Australia (DIAC 2012a).</w:t>
      </w:r>
    </w:p>
    <w:p w14:paraId="6F8E208A" w14:textId="77777777" w:rsidR="00E57E9E" w:rsidRPr="00E57E9E" w:rsidRDefault="00E57E9E" w:rsidP="006C49BC">
      <w:pPr>
        <w:pStyle w:val="Heading4"/>
      </w:pPr>
      <w:r w:rsidRPr="00E57E9E">
        <w:t>Workers from other states or regions</w:t>
      </w:r>
    </w:p>
    <w:p w14:paraId="698F8B3D" w14:textId="4F455855" w:rsidR="006C49BC" w:rsidRDefault="00E57E9E" w:rsidP="006C49BC">
      <w:pPr>
        <w:pStyle w:val="BodyText"/>
      </w:pPr>
      <w:r w:rsidRPr="00E57E9E">
        <w:t xml:space="preserve">There is some evidence that the </w:t>
      </w:r>
      <w:r w:rsidR="00357F9D">
        <w:t>natural resources</w:t>
      </w:r>
      <w:r w:rsidR="00357F9D" w:rsidRPr="00E57E9E">
        <w:t xml:space="preserve"> </w:t>
      </w:r>
      <w:r w:rsidRPr="00E57E9E">
        <w:t>boom attracted workers into resource</w:t>
      </w:r>
      <w:r w:rsidRPr="00E57E9E">
        <w:noBreakHyphen/>
        <w:t>rich states, with Queensland and Western Australia experiencing the largest net intakes of interstate migrants (and nearly every other jurisdiction experiencing negative net flow</w:t>
      </w:r>
      <w:r w:rsidR="00EC04F2">
        <w:t>s) during the 2000s (figure 6.1</w:t>
      </w:r>
      <w:r w:rsidR="00A86F18">
        <w:t>0</w:t>
      </w:r>
      <w:r w:rsidRPr="00E57E9E">
        <w:t>). In Western Australia, the ongoing inflow of interstate migrants reversed the net outflow of interstate migrants experienced prior to the boom. The interstate migrant intake in Western Australia was largely comprised of young professionals working in the field of engineering and science (CMEWA 2011b).</w:t>
      </w:r>
    </w:p>
    <w:p w14:paraId="5619DC30" w14:textId="019BD2E9" w:rsidR="00E57E9E" w:rsidRPr="006C49BC" w:rsidRDefault="00E57E9E" w:rsidP="006C49BC">
      <w:pPr>
        <w:pStyle w:val="FigureTitle"/>
        <w:rPr>
          <w:rFonts w:ascii="Times New Roman" w:hAnsi="Times New Roman"/>
          <w:sz w:val="26"/>
        </w:rPr>
      </w:pPr>
      <w:r w:rsidRPr="006C49BC">
        <w:rPr>
          <w:b w:val="0"/>
        </w:rPr>
        <w:lastRenderedPageBreak/>
        <w:t xml:space="preserve">Figure </w:t>
      </w:r>
      <w:bookmarkStart w:id="5" w:name="OLE_LINK14"/>
      <w:r w:rsidR="00FF0AA4">
        <w:rPr>
          <w:b w:val="0"/>
        </w:rPr>
        <w:t>6.</w:t>
      </w:r>
      <w:r w:rsidR="00FF0AA4">
        <w:rPr>
          <w:b w:val="0"/>
          <w:noProof/>
        </w:rPr>
        <w:t>10</w:t>
      </w:r>
      <w:bookmarkEnd w:id="5"/>
      <w:r w:rsidRPr="00E57E9E">
        <w:tab/>
        <w:t>Net interstate migration of working</w:t>
      </w:r>
      <w:r w:rsidR="00400858">
        <w:noBreakHyphen/>
      </w:r>
      <w:r w:rsidRPr="00E57E9E">
        <w:t>age population</w:t>
      </w:r>
      <w:r w:rsidR="00AD19E2">
        <w:t>, by destination</w:t>
      </w:r>
      <w:r w:rsidRPr="00E57E9E">
        <w:t>, 2001</w:t>
      </w:r>
      <w:r w:rsidR="0032170F">
        <w:t xml:space="preserve"> to </w:t>
      </w:r>
      <w:r w:rsidRPr="00E57E9E">
        <w:t>2011</w:t>
      </w:r>
      <w:r w:rsidRPr="00E57E9E">
        <w:rPr>
          <w:position w:val="6"/>
          <w:sz w:val="18"/>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57E9E" w:rsidRPr="00E57E9E" w14:paraId="403F9607" w14:textId="77777777" w:rsidTr="00E57E9E">
        <w:tc>
          <w:tcPr>
            <w:tcW w:w="8777" w:type="dxa"/>
          </w:tcPr>
          <w:p w14:paraId="3920F40E" w14:textId="77777777" w:rsidR="00E57E9E" w:rsidRPr="00E57E9E" w:rsidRDefault="00E57E9E" w:rsidP="006C49BC">
            <w:pPr>
              <w:keepNext/>
              <w:spacing w:before="120" w:after="120" w:line="240" w:lineRule="atLeast"/>
              <w:jc w:val="center"/>
              <w:rPr>
                <w:szCs w:val="20"/>
              </w:rPr>
            </w:pPr>
            <w:r w:rsidRPr="00E57E9E">
              <w:rPr>
                <w:noProof/>
                <w:szCs w:val="20"/>
              </w:rPr>
              <w:drawing>
                <wp:inline distT="0" distB="0" distL="0" distR="0" wp14:anchorId="1BC27418" wp14:editId="765CBB80">
                  <wp:extent cx="5401733" cy="2396066"/>
                  <wp:effectExtent l="0" t="0" r="8890" b="4445"/>
                  <wp:docPr id="9" name="Chart 9" descr="This figure shows the number of net interstate migrants, among the working population, moving between Australia’s jursidictions from 2001 to 2011. For each jurisdiction, the first vertical bar refers to 2001-02, the second vertical bar refers to 2005-06, and the third vertical bar refers to 2010-11." title="Net interstate migration of working-age popula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c>
      </w:tr>
    </w:tbl>
    <w:p w14:paraId="626B5552" w14:textId="0BB9C8BD" w:rsidR="00E57E9E" w:rsidRPr="00E57E9E" w:rsidRDefault="00E57E9E" w:rsidP="006C49BC">
      <w:pPr>
        <w:pStyle w:val="Note"/>
      </w:pPr>
      <w:r w:rsidRPr="006C49BC">
        <w:rPr>
          <w:rStyle w:val="NoteLabel"/>
        </w:rPr>
        <w:t>a</w:t>
      </w:r>
      <w:r w:rsidRPr="00E57E9E">
        <w:t xml:space="preserve"> </w:t>
      </w:r>
      <w:r w:rsidR="0032170F">
        <w:t>‘Working age’ refers to the p</w:t>
      </w:r>
      <w:r w:rsidRPr="00E57E9E">
        <w:t>opulation aged 15 to 64 years.</w:t>
      </w:r>
    </w:p>
    <w:p w14:paraId="4AB50F44" w14:textId="77777777" w:rsidR="00E57E9E" w:rsidRPr="00E57E9E" w:rsidRDefault="00E57E9E" w:rsidP="006C49BC">
      <w:pPr>
        <w:pStyle w:val="Source"/>
      </w:pPr>
      <w:r w:rsidRPr="006C49BC">
        <w:rPr>
          <w:i/>
        </w:rPr>
        <w:t>Source</w:t>
      </w:r>
      <w:r w:rsidRPr="00E57E9E">
        <w:t>: ABS (</w:t>
      </w:r>
      <w:r w:rsidRPr="006C49BC">
        <w:rPr>
          <w:i/>
        </w:rPr>
        <w:t>Migration Australia</w:t>
      </w:r>
      <w:r w:rsidRPr="00E57E9E">
        <w:t>, Cat. no. 3412.0).</w:t>
      </w:r>
    </w:p>
    <w:p w14:paraId="1F1793CC" w14:textId="3C3F5371" w:rsidR="00E57E9E" w:rsidRPr="00E57E9E" w:rsidRDefault="00E57E9E" w:rsidP="006C49BC">
      <w:pPr>
        <w:pStyle w:val="BodyText"/>
      </w:pPr>
      <w:r w:rsidRPr="00E57E9E">
        <w:t>Despite some workers migrating to the resource</w:t>
      </w:r>
      <w:r w:rsidR="00400858">
        <w:noBreakHyphen/>
      </w:r>
      <w:r w:rsidRPr="00E57E9E">
        <w:t xml:space="preserve">rich states, that flow has not been substantial, relative to the total size of the resource sector workforce. This </w:t>
      </w:r>
      <w:r w:rsidR="008756F3">
        <w:t>may be</w:t>
      </w:r>
      <w:r w:rsidR="008756F3" w:rsidRPr="00E57E9E">
        <w:t xml:space="preserve"> </w:t>
      </w:r>
      <w:r w:rsidRPr="00E57E9E">
        <w:t xml:space="preserve">partly reflective of the </w:t>
      </w:r>
      <w:r w:rsidR="008756F3">
        <w:t>length of time required for workers in one location to respond to higher wages or lower unemployment in another location</w:t>
      </w:r>
      <w:r w:rsidRPr="00E57E9E">
        <w:t>, as discussed in chapter</w:t>
      </w:r>
      <w:r w:rsidR="00400858">
        <w:t> </w:t>
      </w:r>
      <w:r w:rsidRPr="00E57E9E">
        <w:t xml:space="preserve">5. At the same time, however, </w:t>
      </w:r>
      <w:r w:rsidR="00E31DC6">
        <w:t>interstate migration</w:t>
      </w:r>
      <w:r w:rsidR="00E31DC6" w:rsidRPr="00E57E9E">
        <w:t xml:space="preserve"> </w:t>
      </w:r>
      <w:r w:rsidRPr="00E57E9E">
        <w:t>data do not capture the sizeable flow of workers moving into the resources sector and resource</w:t>
      </w:r>
      <w:r w:rsidR="00400858">
        <w:noBreakHyphen/>
      </w:r>
      <w:r w:rsidRPr="00E57E9E">
        <w:t xml:space="preserve">rich states, but not necessarily moving their place of permanent residence, by way of </w:t>
      </w:r>
      <w:r w:rsidR="008756F3">
        <w:t>‘</w:t>
      </w:r>
      <w:r w:rsidRPr="00E57E9E">
        <w:t>Fly</w:t>
      </w:r>
      <w:r w:rsidRPr="00E57E9E">
        <w:noBreakHyphen/>
        <w:t>in, Fly</w:t>
      </w:r>
      <w:r w:rsidRPr="00E57E9E">
        <w:noBreakHyphen/>
      </w:r>
      <w:r w:rsidR="00357F9D">
        <w:t>o</w:t>
      </w:r>
      <w:r w:rsidR="00357F9D" w:rsidRPr="00E57E9E">
        <w:t>ut</w:t>
      </w:r>
      <w:r w:rsidR="00357F9D">
        <w:t>’</w:t>
      </w:r>
      <w:r w:rsidR="00357F9D" w:rsidRPr="00E57E9E">
        <w:t xml:space="preserve"> </w:t>
      </w:r>
      <w:r w:rsidRPr="00E57E9E">
        <w:t xml:space="preserve">(FIFO) and </w:t>
      </w:r>
      <w:r w:rsidR="008756F3">
        <w:t>‘</w:t>
      </w:r>
      <w:r w:rsidRPr="00E57E9E">
        <w:t>Drive</w:t>
      </w:r>
      <w:r w:rsidRPr="00E57E9E">
        <w:noBreakHyphen/>
        <w:t>in, Drive</w:t>
      </w:r>
      <w:r w:rsidRPr="00E57E9E">
        <w:noBreakHyphen/>
        <w:t>out</w:t>
      </w:r>
      <w:r w:rsidR="008756F3">
        <w:t>’</w:t>
      </w:r>
      <w:r w:rsidRPr="00E57E9E">
        <w:t xml:space="preserve"> (DIDO) employment.</w:t>
      </w:r>
    </w:p>
    <w:p w14:paraId="668DC8C2" w14:textId="77777777" w:rsidR="00E57E9E" w:rsidRPr="00E57E9E" w:rsidRDefault="00E57E9E" w:rsidP="006C49BC">
      <w:pPr>
        <w:pStyle w:val="Heading3"/>
      </w:pPr>
      <w:bookmarkStart w:id="6" w:name="_Toc328574069"/>
      <w:r w:rsidRPr="00E57E9E">
        <w:t>A closer look at Fly</w:t>
      </w:r>
      <w:r w:rsidRPr="00E57E9E">
        <w:noBreakHyphen/>
        <w:t>in, Fly</w:t>
      </w:r>
      <w:r w:rsidRPr="00E57E9E">
        <w:noBreakHyphen/>
        <w:t>out employment</w:t>
      </w:r>
      <w:bookmarkEnd w:id="6"/>
    </w:p>
    <w:p w14:paraId="685B9789" w14:textId="21399042" w:rsidR="00E57E9E" w:rsidRPr="00E57E9E" w:rsidRDefault="00E57E9E" w:rsidP="009B2983">
      <w:pPr>
        <w:pStyle w:val="BodyText"/>
      </w:pPr>
      <w:r w:rsidRPr="00E57E9E">
        <w:t xml:space="preserve">To attract a sufficient number of new workers during the recent </w:t>
      </w:r>
      <w:r w:rsidR="00357F9D">
        <w:t>resources</w:t>
      </w:r>
      <w:r w:rsidR="00357F9D" w:rsidRPr="00E57E9E">
        <w:t xml:space="preserve"> </w:t>
      </w:r>
      <w:r w:rsidRPr="00E57E9E">
        <w:t xml:space="preserve">boom, employers in the resource </w:t>
      </w:r>
      <w:r w:rsidR="00357F9D">
        <w:t xml:space="preserve">industries </w:t>
      </w:r>
      <w:r w:rsidR="003E1F46">
        <w:t>have</w:t>
      </w:r>
      <w:r w:rsidRPr="00E57E9E">
        <w:t xml:space="preserve"> made strong use of FIFO and DIDO work arrangements.</w:t>
      </w:r>
      <w:r w:rsidRPr="00E57E9E">
        <w:rPr>
          <w:position w:val="6"/>
          <w:sz w:val="22"/>
        </w:rPr>
        <w:footnoteReference w:id="14"/>
      </w:r>
      <w:r w:rsidRPr="00E57E9E">
        <w:t xml:space="preserve"> Such arrangements </w:t>
      </w:r>
      <w:r w:rsidR="003E1F46">
        <w:t>see</w:t>
      </w:r>
      <w:r w:rsidR="003E1F46" w:rsidRPr="00E57E9E">
        <w:t xml:space="preserve"> </w:t>
      </w:r>
      <w:r w:rsidRPr="00E57E9E">
        <w:t xml:space="preserve">workers </w:t>
      </w:r>
      <w:r w:rsidR="003E1F46">
        <w:t xml:space="preserve">commuting </w:t>
      </w:r>
      <w:r w:rsidRPr="00E57E9E">
        <w:t>to work at mines</w:t>
      </w:r>
      <w:r w:rsidR="003C16B5">
        <w:t xml:space="preserve"> or wells</w:t>
      </w:r>
      <w:r w:rsidRPr="00E57E9E">
        <w:t xml:space="preserve"> in </w:t>
      </w:r>
      <w:r w:rsidR="003E1F46">
        <w:t xml:space="preserve">(usually) </w:t>
      </w:r>
      <w:r w:rsidRPr="00E57E9E">
        <w:t>remote locations</w:t>
      </w:r>
      <w:r w:rsidR="00AD19E2">
        <w:t xml:space="preserve"> without changing their</w:t>
      </w:r>
      <w:r w:rsidR="003E1F46">
        <w:t xml:space="preserve"> permanent</w:t>
      </w:r>
      <w:r w:rsidRPr="00E57E9E">
        <w:t xml:space="preserve"> residence. FIFO and DIDO workers generally work and live at the project site for relatively short periods of time (9 days every fortnight, or 14 days every 3 weeks) during which food, temporary accommodation and travel between the project site and the </w:t>
      </w:r>
      <w:r w:rsidRPr="00E57E9E">
        <w:lastRenderedPageBreak/>
        <w:t>worker’s permanent place of residence are usually provided by the employer (House of Representatives Standing Committee on Regional Australia 2013).</w:t>
      </w:r>
      <w:r w:rsidR="006F116D">
        <w:t xml:space="preserve"> Another distinguishing feature of FIFO work is that workers typically work </w:t>
      </w:r>
      <w:r w:rsidR="006C16A7">
        <w:t>twelve-hour</w:t>
      </w:r>
      <w:r w:rsidR="006F116D">
        <w:t xml:space="preserve"> shifts, rather than the traditional </w:t>
      </w:r>
      <w:r w:rsidR="00AD19E2">
        <w:t>eight</w:t>
      </w:r>
      <w:r w:rsidR="003C7978">
        <w:noBreakHyphen/>
      </w:r>
      <w:r w:rsidR="006F116D">
        <w:t>hour shift.</w:t>
      </w:r>
    </w:p>
    <w:p w14:paraId="1CD1538A" w14:textId="76FDBC1C" w:rsidR="00E57E9E" w:rsidRPr="00E57E9E" w:rsidRDefault="00E57E9E" w:rsidP="009B2983">
      <w:pPr>
        <w:pStyle w:val="BodyText"/>
      </w:pPr>
      <w:r w:rsidRPr="00E57E9E">
        <w:t>Long</w:t>
      </w:r>
      <w:r w:rsidR="00400858">
        <w:noBreakHyphen/>
      </w:r>
      <w:r w:rsidRPr="00E57E9E">
        <w:t>distance commuting arrangements are not a new phenomenon within the wider workforce. In the provision of the health and education services, for example, it has been common for workers to fly in and out of remote towns as required. Such arrangements have also long been used by the construction industry to supply workers for short</w:t>
      </w:r>
      <w:r w:rsidRPr="00E57E9E">
        <w:noBreakHyphen/>
        <w:t>term projects (NRSET 2010b). Even within the resource</w:t>
      </w:r>
      <w:r w:rsidR="00357F9D">
        <w:t>s</w:t>
      </w:r>
      <w:r w:rsidRPr="00E57E9E">
        <w:t xml:space="preserve"> sector, during the 1960s and 1970s, specialist workers were often flown in to the work sites and housed temporarily in camps (CMEWA 2011a). </w:t>
      </w:r>
    </w:p>
    <w:p w14:paraId="6009477C" w14:textId="6470E8C5" w:rsidR="00EA085C" w:rsidRDefault="00E57E9E" w:rsidP="009B2983">
      <w:pPr>
        <w:pStyle w:val="BodyText"/>
      </w:pPr>
      <w:r w:rsidRPr="00E57E9E">
        <w:t>Yet, perhaps never before in Australia’s history has FIFO been so closely associated with the booming growth of a single industry</w:t>
      </w:r>
      <w:r w:rsidR="009011BB">
        <w:t xml:space="preserve">. </w:t>
      </w:r>
      <w:r w:rsidRPr="00E57E9E">
        <w:t>According to some peak bodies in the sector, FIFO workers have provided ‘a significant and growing proportion of the workforce needed by the resources sector’ (CMEWA 2012, p.</w:t>
      </w:r>
      <w:r w:rsidR="00400858">
        <w:t> </w:t>
      </w:r>
      <w:r w:rsidRPr="00E57E9E">
        <w:t>2). As the mining boom took hold throughout the 2000s, the number of resource sector workers employed under FIFO arrangements not only increased substantially in absolute terms, but also as a proportion of the resources workforce (CMEWA 2011a; Hogan and Berry 2000; House of Representatives Standing Committee on Regional Australia 2013; Morris 2012; WALGA</w:t>
      </w:r>
      <w:r w:rsidR="00BD1750">
        <w:t xml:space="preserve"> </w:t>
      </w:r>
      <w:r w:rsidRPr="00E57E9E">
        <w:t>2012).</w:t>
      </w:r>
    </w:p>
    <w:p w14:paraId="136928B2" w14:textId="71FF9C0B" w:rsidR="00E57E9E" w:rsidRPr="00E57E9E" w:rsidRDefault="00E57E9E" w:rsidP="009B2983">
      <w:pPr>
        <w:pStyle w:val="BodyText"/>
      </w:pPr>
      <w:r w:rsidRPr="00E57E9E">
        <w:t xml:space="preserve">While the prevalence of FIFO within the </w:t>
      </w:r>
      <w:r w:rsidR="00357F9D">
        <w:t xml:space="preserve">resources </w:t>
      </w:r>
      <w:r w:rsidRPr="00E57E9E">
        <w:t>sector varies from project to project, a snapshot of Rio Tinto’s workforce illustrates its prevalence in some parts of the sector. Within its iron ore operations in Western Australia, around 46 per cent of Rio Tinto’s workforce (equivalent to 10 700 workers) were employed on FIFO arrangements in 2011 (Rio Tinto 2011b). It is especially common for FIFO arrangements to be adopted during the construction phase of a mining project, given the short</w:t>
      </w:r>
      <w:r w:rsidRPr="00E57E9E">
        <w:noBreakHyphen/>
        <w:t xml:space="preserve">term nature of construction work. </w:t>
      </w:r>
      <w:r w:rsidR="00EE3044">
        <w:t>In</w:t>
      </w:r>
      <w:r w:rsidR="00EE3044" w:rsidRPr="00E57E9E">
        <w:t xml:space="preserve"> </w:t>
      </w:r>
      <w:r w:rsidRPr="00E57E9E">
        <w:t xml:space="preserve">Western Australia, it </w:t>
      </w:r>
      <w:r w:rsidR="00A43B2A">
        <w:t>has been</w:t>
      </w:r>
      <w:r w:rsidR="00A43B2A" w:rsidRPr="00E57E9E">
        <w:t xml:space="preserve"> </w:t>
      </w:r>
      <w:r w:rsidRPr="00E57E9E">
        <w:t>forecast that 92</w:t>
      </w:r>
      <w:r w:rsidR="001F7C7B">
        <w:t> </w:t>
      </w:r>
      <w:r w:rsidRPr="00E57E9E">
        <w:t>per</w:t>
      </w:r>
      <w:r w:rsidR="001F7C7B">
        <w:t> </w:t>
      </w:r>
      <w:r w:rsidRPr="00E57E9E">
        <w:t>cent of all construction workers involved in resources projects between 2012 to 2015 would be e</w:t>
      </w:r>
      <w:r w:rsidR="00B83D0A">
        <w:t xml:space="preserve">mployed </w:t>
      </w:r>
      <w:r w:rsidR="00EE3044">
        <w:t xml:space="preserve">on a </w:t>
      </w:r>
      <w:r w:rsidR="00B83D0A">
        <w:t xml:space="preserve">FIFO </w:t>
      </w:r>
      <w:r w:rsidR="00EE3044">
        <w:t>basis</w:t>
      </w:r>
      <w:r w:rsidR="00EE3044" w:rsidRPr="00E57E9E">
        <w:t xml:space="preserve"> </w:t>
      </w:r>
      <w:r w:rsidRPr="00E57E9E">
        <w:t xml:space="preserve">(CMEWA 2011b). </w:t>
      </w:r>
    </w:p>
    <w:p w14:paraId="444AFCF8" w14:textId="7612515F" w:rsidR="00E57E9E" w:rsidRPr="00E57E9E" w:rsidRDefault="00E57E9E" w:rsidP="00EC04F2">
      <w:pPr>
        <w:pStyle w:val="Heading4"/>
      </w:pPr>
      <w:r w:rsidRPr="00E57E9E">
        <w:t xml:space="preserve">How many </w:t>
      </w:r>
      <w:r w:rsidR="00357F9D">
        <w:t>Fly-in, Fly-out</w:t>
      </w:r>
      <w:r w:rsidR="00357F9D" w:rsidRPr="00E57E9E">
        <w:t xml:space="preserve"> </w:t>
      </w:r>
      <w:r w:rsidRPr="00E57E9E">
        <w:t>workers are there?</w:t>
      </w:r>
    </w:p>
    <w:p w14:paraId="0BD79ACD" w14:textId="6A387A77" w:rsidR="00E57E9E" w:rsidRPr="00E57E9E" w:rsidRDefault="00E57E9E" w:rsidP="00EC04F2">
      <w:pPr>
        <w:pStyle w:val="BodyText"/>
      </w:pPr>
      <w:r w:rsidRPr="00E57E9E">
        <w:t>Notwithstanding the widespread perception that FIFO has grown in prevalence in the resources sector, there are some pragmatic difficulties in measuring the total number of workers employed under FIFO arrangements in Australia’s resources sector</w:t>
      </w:r>
      <w:r w:rsidR="00BD1750">
        <w:t>. This</w:t>
      </w:r>
      <w:r w:rsidRPr="00E57E9E">
        <w:t xml:space="preserve"> was acknowledged in the Parliamentary Inquiry report on FIFO work practices (House of Representatives Standing Committee on Regional </w:t>
      </w:r>
      <w:r w:rsidR="00BD1750" w:rsidRPr="00E57E9E">
        <w:t>Australia</w:t>
      </w:r>
      <w:r w:rsidR="00BD1750">
        <w:t> </w:t>
      </w:r>
      <w:r w:rsidRPr="00E57E9E">
        <w:t xml:space="preserve">2013) and by the ABS (ABS </w:t>
      </w:r>
      <w:r w:rsidR="00BD1750" w:rsidRPr="00E57E9E">
        <w:t>2012</w:t>
      </w:r>
      <w:r w:rsidR="00BD1750">
        <w:t xml:space="preserve">c </w:t>
      </w:r>
      <w:r w:rsidR="005A6596">
        <w:t>and</w:t>
      </w:r>
      <w:r w:rsidRPr="00E57E9E">
        <w:t xml:space="preserve"> </w:t>
      </w:r>
      <w:r w:rsidR="00BD1750" w:rsidRPr="00E57E9E">
        <w:t>2012</w:t>
      </w:r>
      <w:r w:rsidR="00BD1750">
        <w:t>d</w:t>
      </w:r>
      <w:r w:rsidRPr="00E57E9E">
        <w:t xml:space="preserve">). One major impediment is that many datasets collect information about workers’ residential location but not </w:t>
      </w:r>
      <w:r w:rsidRPr="00E57E9E">
        <w:lastRenderedPageBreak/>
        <w:t xml:space="preserve">their work location. If FIFO workers live in metropolitan or inner regional areas, there might be no way of knowing that they work in remote areas. </w:t>
      </w:r>
    </w:p>
    <w:p w14:paraId="4B8AFCAC" w14:textId="2BA4F4C5" w:rsidR="00E57E9E" w:rsidRDefault="00E57E9E" w:rsidP="00EC04F2">
      <w:pPr>
        <w:pStyle w:val="BodyText"/>
      </w:pPr>
      <w:r w:rsidRPr="00E57E9E">
        <w:t xml:space="preserve">Nevertheless, some broad estimates are feasible. Using the most recent Census data, it is estimated that, in 2011 — in the main mining regions of Western Australia, Queensland and New South Wales alone — there were around 34 000 </w:t>
      </w:r>
      <w:r w:rsidR="003413F2">
        <w:t>M</w:t>
      </w:r>
      <w:r w:rsidR="003413F2" w:rsidRPr="00E57E9E">
        <w:t xml:space="preserve">ining </w:t>
      </w:r>
      <w:r w:rsidRPr="00E57E9E">
        <w:t xml:space="preserve">and </w:t>
      </w:r>
      <w:r w:rsidR="003413F2">
        <w:t>C</w:t>
      </w:r>
      <w:r w:rsidRPr="00E57E9E">
        <w:t xml:space="preserve">onstruction workers employed under FIFO arrangements (see </w:t>
      </w:r>
      <w:r w:rsidR="00990A91">
        <w:t>Productivity Commission</w:t>
      </w:r>
      <w:r w:rsidR="009011BB">
        <w:t xml:space="preserve"> </w:t>
      </w:r>
      <w:r w:rsidR="00F0724E">
        <w:t>estimates</w:t>
      </w:r>
      <w:r w:rsidR="009011BB">
        <w:t xml:space="preserve"> in box 6.2</w:t>
      </w:r>
      <w:r w:rsidRPr="00E57E9E">
        <w:t>).</w:t>
      </w:r>
      <w:r w:rsidR="003413F2" w:rsidRPr="00E57E9E">
        <w:rPr>
          <w:position w:val="6"/>
          <w:sz w:val="22"/>
        </w:rPr>
        <w:footnoteReference w:id="15"/>
      </w:r>
      <w:r w:rsidRPr="00E57E9E">
        <w:t xml:space="preserve"> The </w:t>
      </w:r>
      <w:r w:rsidR="006F1C89">
        <w:t>total</w:t>
      </w:r>
      <w:r w:rsidR="006F1C89" w:rsidRPr="00E57E9E">
        <w:t xml:space="preserve"> </w:t>
      </w:r>
      <w:r w:rsidRPr="00E57E9E">
        <w:t>number of FIFO workers across all regions of Australia is upwards of this figure.</w:t>
      </w:r>
    </w:p>
    <w:p w14:paraId="0CEB0410" w14:textId="30594764" w:rsidR="00D56B13" w:rsidRDefault="00D56B1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6B13" w14:paraId="4F3A27C3" w14:textId="77777777">
        <w:tc>
          <w:tcPr>
            <w:tcW w:w="8771" w:type="dxa"/>
            <w:tcBorders>
              <w:top w:val="single" w:sz="6" w:space="0" w:color="auto"/>
              <w:bottom w:val="nil"/>
            </w:tcBorders>
          </w:tcPr>
          <w:p w14:paraId="2F0789B1" w14:textId="7F84E8A8" w:rsidR="00D56B13" w:rsidRDefault="00D56B13" w:rsidP="00D56B13">
            <w:pPr>
              <w:pStyle w:val="BoxTitle"/>
            </w:pPr>
            <w:r>
              <w:rPr>
                <w:b w:val="0"/>
              </w:rPr>
              <w:t>Box 6.2</w:t>
            </w:r>
            <w:r>
              <w:tab/>
              <w:t>Estimating</w:t>
            </w:r>
            <w:r w:rsidRPr="00EC04F2">
              <w:t xml:space="preserve"> the number of </w:t>
            </w:r>
            <w:r>
              <w:t>Fly-in, Fly-out</w:t>
            </w:r>
            <w:r w:rsidRPr="00EC04F2">
              <w:t xml:space="preserve"> workers in the resources sector</w:t>
            </w:r>
          </w:p>
        </w:tc>
      </w:tr>
      <w:tr w:rsidR="00D56B13" w14:paraId="7563C44F" w14:textId="77777777">
        <w:trPr>
          <w:cantSplit/>
        </w:trPr>
        <w:tc>
          <w:tcPr>
            <w:tcW w:w="8771" w:type="dxa"/>
            <w:tcBorders>
              <w:top w:val="nil"/>
              <w:left w:val="single" w:sz="6" w:space="0" w:color="auto"/>
              <w:bottom w:val="nil"/>
              <w:right w:val="single" w:sz="6" w:space="0" w:color="auto"/>
            </w:tcBorders>
          </w:tcPr>
          <w:p w14:paraId="0D56AC5C" w14:textId="77777777" w:rsidR="00D56B13" w:rsidRPr="00E57E9E" w:rsidRDefault="00D56B13" w:rsidP="00D56B13">
            <w:pPr>
              <w:pStyle w:val="Box"/>
            </w:pPr>
            <w:r w:rsidRPr="00E57E9E">
              <w:t xml:space="preserve">The latest ABS Census of Population and Housing, collected in August 2011, allows the number of </w:t>
            </w:r>
            <w:r>
              <w:t>‘Fly-in, Fly-out’ (</w:t>
            </w:r>
            <w:r w:rsidRPr="00E57E9E">
              <w:t>FIFO</w:t>
            </w:r>
            <w:r>
              <w:t>)</w:t>
            </w:r>
            <w:r w:rsidRPr="00E57E9E">
              <w:t xml:space="preserve"> workers employed in </w:t>
            </w:r>
            <w:r>
              <w:t xml:space="preserve">the </w:t>
            </w:r>
            <w:r w:rsidRPr="00E57E9E">
              <w:t xml:space="preserve">resources </w:t>
            </w:r>
            <w:r>
              <w:t xml:space="preserve">sector </w:t>
            </w:r>
            <w:r w:rsidRPr="00E57E9E">
              <w:t xml:space="preserve">to be estimated, insofar as some workers reported a different place of usual residence from their place of work. </w:t>
            </w:r>
            <w:r>
              <w:t>T</w:t>
            </w:r>
            <w:r w:rsidRPr="00E57E9E">
              <w:t>able </w:t>
            </w:r>
            <w:r>
              <w:t>6.2</w:t>
            </w:r>
            <w:r w:rsidRPr="00E57E9E">
              <w:t xml:space="preserve"> presents the number of workers</w:t>
            </w:r>
            <w:r>
              <w:t xml:space="preserve"> </w:t>
            </w:r>
            <w:r w:rsidRPr="00E57E9E">
              <w:t xml:space="preserve">employed in the </w:t>
            </w:r>
            <w:r>
              <w:t>M</w:t>
            </w:r>
            <w:r w:rsidRPr="00E57E9E">
              <w:t>ining industry in Australia’s major mining regions</w:t>
            </w:r>
            <w:r>
              <w:t xml:space="preserve"> who</w:t>
            </w:r>
            <w:r w:rsidRPr="00E57E9E">
              <w:t xml:space="preserve"> usually lived outside of these regions. These workers are likely to be working</w:t>
            </w:r>
            <w:r>
              <w:t xml:space="preserve"> on mining projects</w:t>
            </w:r>
            <w:r w:rsidRPr="00E57E9E">
              <w:t xml:space="preserve"> under FIFO arrangements. Since </w:t>
            </w:r>
            <w:r>
              <w:t>these</w:t>
            </w:r>
            <w:r w:rsidRPr="00E57E9E">
              <w:t xml:space="preserve"> projects frequently also employ construction workers under FIFO arrangements, an estimate of </w:t>
            </w:r>
            <w:r>
              <w:t>C</w:t>
            </w:r>
            <w:r w:rsidRPr="00E57E9E">
              <w:t xml:space="preserve">onstruction workers is also computed. </w:t>
            </w:r>
          </w:p>
          <w:p w14:paraId="2568BD67" w14:textId="2CB35DCC" w:rsidR="00D56B13" w:rsidRDefault="00D56B13">
            <w:pPr>
              <w:pStyle w:val="Box"/>
            </w:pPr>
            <w:r>
              <w:t>According to these data, r</w:t>
            </w:r>
            <w:r w:rsidRPr="00E57E9E">
              <w:t xml:space="preserve">oughly one </w:t>
            </w:r>
            <w:r w:rsidR="0037236B">
              <w:t>in</w:t>
            </w:r>
            <w:r w:rsidRPr="00E57E9E">
              <w:t xml:space="preserve"> four mining workers in Western Australia, and one </w:t>
            </w:r>
            <w:r w:rsidR="0037236B">
              <w:t>in</w:t>
            </w:r>
            <w:r w:rsidRPr="00E57E9E">
              <w:t xml:space="preserve"> six </w:t>
            </w:r>
            <w:r>
              <w:t>mining</w:t>
            </w:r>
            <w:r w:rsidRPr="00E57E9E">
              <w:t xml:space="preserve"> workers in Queensland, were employed under FIFO arrangements. </w:t>
            </w:r>
          </w:p>
          <w:p w14:paraId="2E9DE5DC" w14:textId="5B055FC8" w:rsidR="00704364" w:rsidRDefault="00704364" w:rsidP="00704364">
            <w:pPr>
              <w:pStyle w:val="Box"/>
            </w:pPr>
            <w:r w:rsidRPr="00E57E9E">
              <w:t xml:space="preserve">Another way to gauge the FIFO workforce size is to look at the number of workers residing in ‘staff quarters’ in mining </w:t>
            </w:r>
            <w:r>
              <w:t xml:space="preserve">and gas extraction </w:t>
            </w:r>
            <w:r w:rsidRPr="00E57E9E">
              <w:t xml:space="preserve">regions on Census night. In Western Australia’s </w:t>
            </w:r>
            <w:r>
              <w:t>resource</w:t>
            </w:r>
            <w:r w:rsidRPr="00E57E9E">
              <w:t xml:space="preserve"> regions, around 13 500 </w:t>
            </w:r>
            <w:r>
              <w:t>M</w:t>
            </w:r>
            <w:r w:rsidRPr="00E57E9E">
              <w:t xml:space="preserve">ining workers and 6300 </w:t>
            </w:r>
            <w:r>
              <w:t>C</w:t>
            </w:r>
            <w:r w:rsidRPr="00E57E9E">
              <w:t xml:space="preserve">onstruction workers were residing in staff quarters. In Queensland’s main </w:t>
            </w:r>
            <w:r>
              <w:t>resource</w:t>
            </w:r>
            <w:r w:rsidRPr="00E57E9E">
              <w:t xml:space="preserve"> regions, there were around</w:t>
            </w:r>
            <w:r>
              <w:t xml:space="preserve"> </w:t>
            </w:r>
            <w:r w:rsidRPr="00E57E9E">
              <w:t xml:space="preserve">6200 </w:t>
            </w:r>
            <w:r>
              <w:t>M</w:t>
            </w:r>
            <w:r w:rsidRPr="00E57E9E">
              <w:t xml:space="preserve">ining workers and 2800 </w:t>
            </w:r>
            <w:r>
              <w:t>C</w:t>
            </w:r>
            <w:r w:rsidRPr="00E57E9E">
              <w:t xml:space="preserve">onstruction workers in staff quarters. These numbers generally corroborate the </w:t>
            </w:r>
            <w:r>
              <w:t xml:space="preserve">derived </w:t>
            </w:r>
            <w:r w:rsidRPr="00E57E9E">
              <w:t>estimate</w:t>
            </w:r>
            <w:r>
              <w:t>s reported in the table below.</w:t>
            </w:r>
          </w:p>
          <w:p w14:paraId="0514433A" w14:textId="4BCE07D1" w:rsidR="00704364" w:rsidRDefault="00704364">
            <w:pPr>
              <w:pStyle w:val="Box"/>
            </w:pPr>
            <w:r w:rsidRPr="00E57E9E">
              <w:t xml:space="preserve">In addition to staying in staff quarters, </w:t>
            </w:r>
            <w:r>
              <w:t>M</w:t>
            </w:r>
            <w:r w:rsidRPr="00E57E9E">
              <w:t xml:space="preserve">ining and </w:t>
            </w:r>
            <w:r>
              <w:t>C</w:t>
            </w:r>
            <w:r w:rsidRPr="00E57E9E">
              <w:t xml:space="preserve">onstruction workers tended to be the most common </w:t>
            </w:r>
            <w:r>
              <w:t xml:space="preserve">type of </w:t>
            </w:r>
            <w:r w:rsidRPr="00E57E9E">
              <w:t>worker residing in hotels and motels, which is another form of temporary accommodation for FIFO employees.</w:t>
            </w:r>
          </w:p>
        </w:tc>
      </w:tr>
      <w:tr w:rsidR="00D56B13" w14:paraId="323B8F14" w14:textId="77777777">
        <w:trPr>
          <w:cantSplit/>
        </w:trPr>
        <w:tc>
          <w:tcPr>
            <w:tcW w:w="8771" w:type="dxa"/>
            <w:tcBorders>
              <w:top w:val="nil"/>
              <w:left w:val="single" w:sz="6" w:space="0" w:color="auto"/>
              <w:bottom w:val="nil"/>
              <w:right w:val="single" w:sz="6" w:space="0" w:color="auto"/>
            </w:tcBorders>
          </w:tcPr>
          <w:p w14:paraId="0F6F0C67" w14:textId="7A35E19C" w:rsidR="00D56B13" w:rsidRDefault="00D56B13" w:rsidP="00D56B13">
            <w:pPr>
              <w:pStyle w:val="BoxSource"/>
              <w:jc w:val="right"/>
            </w:pPr>
            <w:r w:rsidRPr="00E57E9E">
              <w:t>(Continued next page)</w:t>
            </w:r>
          </w:p>
        </w:tc>
      </w:tr>
      <w:tr w:rsidR="00D56B13" w14:paraId="647E980E" w14:textId="77777777">
        <w:trPr>
          <w:cantSplit/>
        </w:trPr>
        <w:tc>
          <w:tcPr>
            <w:tcW w:w="8771" w:type="dxa"/>
            <w:tcBorders>
              <w:top w:val="nil"/>
              <w:left w:val="single" w:sz="6" w:space="0" w:color="auto"/>
              <w:bottom w:val="single" w:sz="6" w:space="0" w:color="auto"/>
              <w:right w:val="single" w:sz="6" w:space="0" w:color="auto"/>
            </w:tcBorders>
          </w:tcPr>
          <w:p w14:paraId="31ECCCEE" w14:textId="77777777" w:rsidR="00D56B13" w:rsidRDefault="00D56B13">
            <w:pPr>
              <w:pStyle w:val="Box"/>
              <w:spacing w:before="0" w:line="120" w:lineRule="exact"/>
            </w:pPr>
          </w:p>
        </w:tc>
      </w:tr>
      <w:tr w:rsidR="00D56B13" w:rsidRPr="000863A5" w14:paraId="71CAC25B" w14:textId="77777777">
        <w:tc>
          <w:tcPr>
            <w:tcW w:w="8771" w:type="dxa"/>
            <w:tcBorders>
              <w:top w:val="nil"/>
              <w:left w:val="nil"/>
              <w:bottom w:val="nil"/>
              <w:right w:val="nil"/>
            </w:tcBorders>
          </w:tcPr>
          <w:p w14:paraId="679C49DE" w14:textId="6C148F08" w:rsidR="00D56B13" w:rsidRPr="00626D32" w:rsidRDefault="00D56B13" w:rsidP="00704364">
            <w:pPr>
              <w:pStyle w:val="BoxSpaceBelow"/>
            </w:pPr>
          </w:p>
        </w:tc>
      </w:tr>
    </w:tbl>
    <w:p w14:paraId="025246FD" w14:textId="6BC01F96" w:rsidR="0088463E" w:rsidRDefault="0088463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8463E" w14:paraId="48EB93F6" w14:textId="77777777">
        <w:tc>
          <w:tcPr>
            <w:tcW w:w="8771" w:type="dxa"/>
            <w:tcBorders>
              <w:top w:val="single" w:sz="6" w:space="0" w:color="auto"/>
              <w:bottom w:val="nil"/>
            </w:tcBorders>
          </w:tcPr>
          <w:p w14:paraId="297A03AC" w14:textId="24E22BFC" w:rsidR="0088463E" w:rsidRDefault="0088463E" w:rsidP="00D56B13">
            <w:pPr>
              <w:pStyle w:val="BoxTitle"/>
            </w:pPr>
            <w:r>
              <w:rPr>
                <w:b w:val="0"/>
              </w:rPr>
              <w:t>Box 6.</w:t>
            </w:r>
            <w:r w:rsidR="00D56B13">
              <w:rPr>
                <w:b w:val="0"/>
              </w:rPr>
              <w:t>2</w:t>
            </w:r>
            <w:r>
              <w:tab/>
            </w:r>
            <w:r w:rsidR="00D56B13" w:rsidRPr="00EC04F2">
              <w:rPr>
                <w:b w:val="0"/>
                <w:sz w:val="18"/>
                <w:szCs w:val="20"/>
              </w:rPr>
              <w:t>(continued)</w:t>
            </w:r>
          </w:p>
        </w:tc>
      </w:tr>
      <w:tr w:rsidR="0088463E" w14:paraId="34CBFFF2" w14:textId="77777777">
        <w:trPr>
          <w:cantSplit/>
        </w:trPr>
        <w:tc>
          <w:tcPr>
            <w:tcW w:w="8771" w:type="dxa"/>
            <w:tcBorders>
              <w:top w:val="nil"/>
              <w:left w:val="single" w:sz="6" w:space="0" w:color="auto"/>
              <w:bottom w:val="nil"/>
              <w:right w:val="single" w:sz="6" w:space="0" w:color="auto"/>
            </w:tcBorders>
          </w:tcPr>
          <w:p w14:paraId="1879AEAE" w14:textId="0DCC1B76" w:rsidR="0088463E" w:rsidRDefault="0088463E" w:rsidP="0088463E">
            <w:pPr>
              <w:pStyle w:val="TableTitle"/>
            </w:pPr>
            <w:r>
              <w:rPr>
                <w:b w:val="0"/>
              </w:rPr>
              <w:t>Table 6.</w:t>
            </w:r>
            <w:r>
              <w:rPr>
                <w:b w:val="0"/>
                <w:noProof/>
              </w:rPr>
              <w:t>2</w:t>
            </w:r>
            <w:r>
              <w:tab/>
            </w:r>
            <w:r w:rsidRPr="00880C84">
              <w:rPr>
                <w:sz w:val="22"/>
                <w:szCs w:val="22"/>
              </w:rPr>
              <w:t xml:space="preserve">Estimated </w:t>
            </w:r>
            <w:r>
              <w:rPr>
                <w:sz w:val="22"/>
                <w:szCs w:val="22"/>
              </w:rPr>
              <w:t xml:space="preserve">Census </w:t>
            </w:r>
            <w:r w:rsidRPr="00880C84">
              <w:rPr>
                <w:sz w:val="22"/>
                <w:szCs w:val="22"/>
              </w:rPr>
              <w:t xml:space="preserve">count of FIFO workers in </w:t>
            </w:r>
            <w:r>
              <w:rPr>
                <w:sz w:val="22"/>
                <w:szCs w:val="22"/>
              </w:rPr>
              <w:t>the Mining and Construction industries</w:t>
            </w:r>
            <w:r w:rsidRPr="00880C84">
              <w:rPr>
                <w:sz w:val="22"/>
                <w:szCs w:val="22"/>
              </w:rPr>
              <w:t>, 2011</w:t>
            </w:r>
            <w:r w:rsidRPr="00880C84">
              <w:rPr>
                <w:position w:val="6"/>
                <w:sz w:val="22"/>
                <w:szCs w:val="22"/>
              </w:rPr>
              <w:t>a</w:t>
            </w:r>
            <w:r>
              <w:rPr>
                <w:position w:val="6"/>
                <w:sz w:val="22"/>
                <w:szCs w:val="22"/>
              </w:rPr>
              <w:t>, b, c</w:t>
            </w:r>
          </w:p>
          <w:tbl>
            <w:tblPr>
              <w:tblW w:w="4998" w:type="pct"/>
              <w:tblLayout w:type="fixed"/>
              <w:tblCellMar>
                <w:left w:w="0" w:type="dxa"/>
                <w:right w:w="0" w:type="dxa"/>
              </w:tblCellMar>
              <w:tblLook w:val="0000" w:firstRow="0" w:lastRow="0" w:firstColumn="0" w:lastColumn="0" w:noHBand="0" w:noVBand="0"/>
            </w:tblPr>
            <w:tblGrid>
              <w:gridCol w:w="4231"/>
              <w:gridCol w:w="1417"/>
              <w:gridCol w:w="1419"/>
              <w:gridCol w:w="1417"/>
            </w:tblGrid>
            <w:tr w:rsidR="0088463E" w14:paraId="1FF39793" w14:textId="77777777" w:rsidTr="0088463E">
              <w:tc>
                <w:tcPr>
                  <w:tcW w:w="2494" w:type="pct"/>
                  <w:tcBorders>
                    <w:top w:val="single" w:sz="6" w:space="0" w:color="auto"/>
                    <w:bottom w:val="single" w:sz="6" w:space="0" w:color="auto"/>
                  </w:tcBorders>
                  <w:shd w:val="clear" w:color="auto" w:fill="auto"/>
                </w:tcPr>
                <w:p w14:paraId="0F2EF57F" w14:textId="77777777" w:rsidR="0088463E" w:rsidRDefault="0088463E" w:rsidP="0088463E">
                  <w:pPr>
                    <w:pStyle w:val="TableColumnHeading"/>
                    <w:jc w:val="left"/>
                  </w:pPr>
                </w:p>
              </w:tc>
              <w:tc>
                <w:tcPr>
                  <w:tcW w:w="835" w:type="pct"/>
                  <w:tcBorders>
                    <w:top w:val="single" w:sz="6" w:space="0" w:color="auto"/>
                    <w:bottom w:val="single" w:sz="6" w:space="0" w:color="auto"/>
                  </w:tcBorders>
                  <w:shd w:val="clear" w:color="auto" w:fill="auto"/>
                </w:tcPr>
                <w:p w14:paraId="178CCA07" w14:textId="635B7C0A" w:rsidR="0088463E" w:rsidRPr="0088463E" w:rsidRDefault="0088463E" w:rsidP="0088463E">
                  <w:pPr>
                    <w:keepNext/>
                    <w:keepLines/>
                    <w:spacing w:before="40" w:after="40" w:line="240" w:lineRule="exact"/>
                    <w:ind w:left="6" w:right="113"/>
                    <w:jc w:val="right"/>
                    <w:rPr>
                      <w:rFonts w:ascii="Arial" w:hAnsi="Arial"/>
                      <w:i/>
                      <w:sz w:val="20"/>
                      <w:szCs w:val="20"/>
                    </w:rPr>
                  </w:pPr>
                  <w:r w:rsidRPr="00E57E9E">
                    <w:rPr>
                      <w:rFonts w:ascii="Arial" w:hAnsi="Arial"/>
                      <w:i/>
                      <w:sz w:val="20"/>
                      <w:szCs w:val="20"/>
                    </w:rPr>
                    <w:t>WA</w:t>
                  </w:r>
                </w:p>
              </w:tc>
              <w:tc>
                <w:tcPr>
                  <w:tcW w:w="836" w:type="pct"/>
                  <w:tcBorders>
                    <w:top w:val="single" w:sz="6" w:space="0" w:color="auto"/>
                    <w:bottom w:val="single" w:sz="6" w:space="0" w:color="auto"/>
                  </w:tcBorders>
                </w:tcPr>
                <w:p w14:paraId="005E9FA9" w14:textId="47B26F23" w:rsidR="0088463E" w:rsidRDefault="0088463E" w:rsidP="0088463E">
                  <w:pPr>
                    <w:keepNext/>
                    <w:keepLines/>
                    <w:spacing w:before="40" w:after="40" w:line="240" w:lineRule="exact"/>
                    <w:ind w:left="6" w:right="113"/>
                    <w:jc w:val="right"/>
                  </w:pPr>
                  <w:r w:rsidRPr="00E57E9E">
                    <w:rPr>
                      <w:rFonts w:ascii="Arial" w:hAnsi="Arial"/>
                      <w:i/>
                      <w:sz w:val="20"/>
                      <w:szCs w:val="20"/>
                    </w:rPr>
                    <w:t>Queensland</w:t>
                  </w:r>
                </w:p>
              </w:tc>
              <w:tc>
                <w:tcPr>
                  <w:tcW w:w="835" w:type="pct"/>
                  <w:tcBorders>
                    <w:top w:val="single" w:sz="6" w:space="0" w:color="auto"/>
                    <w:bottom w:val="single" w:sz="6" w:space="0" w:color="auto"/>
                  </w:tcBorders>
                  <w:shd w:val="clear" w:color="auto" w:fill="auto"/>
                </w:tcPr>
                <w:p w14:paraId="0F2F2D90" w14:textId="235E73F3" w:rsidR="0088463E" w:rsidRDefault="0088463E" w:rsidP="0088463E">
                  <w:pPr>
                    <w:keepNext/>
                    <w:keepLines/>
                    <w:spacing w:before="40" w:after="40" w:line="240" w:lineRule="exact"/>
                    <w:ind w:left="6" w:right="113"/>
                    <w:jc w:val="right"/>
                  </w:pPr>
                  <w:r w:rsidRPr="00E57E9E">
                    <w:rPr>
                      <w:rFonts w:ascii="Arial" w:hAnsi="Arial"/>
                      <w:i/>
                      <w:sz w:val="20"/>
                      <w:szCs w:val="20"/>
                    </w:rPr>
                    <w:t>NSW</w:t>
                  </w:r>
                </w:p>
              </w:tc>
            </w:tr>
            <w:tr w:rsidR="0088463E" w14:paraId="7AE45F39" w14:textId="77777777" w:rsidTr="0088463E">
              <w:tc>
                <w:tcPr>
                  <w:tcW w:w="2494" w:type="pct"/>
                  <w:tcBorders>
                    <w:top w:val="single" w:sz="6" w:space="0" w:color="auto"/>
                  </w:tcBorders>
                </w:tcPr>
                <w:p w14:paraId="5F0AA6F6" w14:textId="034C0597" w:rsidR="0088463E" w:rsidRDefault="0088463E" w:rsidP="0088463E">
                  <w:pPr>
                    <w:pStyle w:val="TableUnitsRow"/>
                    <w:jc w:val="left"/>
                  </w:pPr>
                  <w:r w:rsidRPr="00E57E9E">
                    <w:rPr>
                      <w:b/>
                    </w:rPr>
                    <w:t>Mining workers</w:t>
                  </w:r>
                </w:p>
              </w:tc>
              <w:tc>
                <w:tcPr>
                  <w:tcW w:w="835" w:type="pct"/>
                  <w:tcBorders>
                    <w:top w:val="single" w:sz="6" w:space="0" w:color="auto"/>
                  </w:tcBorders>
                </w:tcPr>
                <w:p w14:paraId="36B40CED" w14:textId="77777777" w:rsidR="0088463E" w:rsidRDefault="0088463E" w:rsidP="0088463E">
                  <w:pPr>
                    <w:pStyle w:val="TableUnitsRow"/>
                  </w:pPr>
                </w:p>
              </w:tc>
              <w:tc>
                <w:tcPr>
                  <w:tcW w:w="836" w:type="pct"/>
                  <w:tcBorders>
                    <w:top w:val="single" w:sz="6" w:space="0" w:color="auto"/>
                  </w:tcBorders>
                </w:tcPr>
                <w:p w14:paraId="65480DE5" w14:textId="77777777" w:rsidR="0088463E" w:rsidRDefault="0088463E" w:rsidP="0088463E">
                  <w:pPr>
                    <w:pStyle w:val="TableUnitsRow"/>
                    <w:ind w:right="28"/>
                  </w:pPr>
                </w:p>
              </w:tc>
              <w:tc>
                <w:tcPr>
                  <w:tcW w:w="835" w:type="pct"/>
                  <w:tcBorders>
                    <w:top w:val="single" w:sz="6" w:space="0" w:color="auto"/>
                  </w:tcBorders>
                </w:tcPr>
                <w:p w14:paraId="3460A69B" w14:textId="491FD556" w:rsidR="0088463E" w:rsidRDefault="0088463E" w:rsidP="0088463E">
                  <w:pPr>
                    <w:pStyle w:val="TableUnitsRow"/>
                    <w:ind w:right="28"/>
                  </w:pPr>
                </w:p>
              </w:tc>
            </w:tr>
            <w:tr w:rsidR="0088463E" w14:paraId="2BCB5439" w14:textId="77777777" w:rsidTr="0088463E">
              <w:tc>
                <w:tcPr>
                  <w:tcW w:w="2494" w:type="pct"/>
                </w:tcPr>
                <w:p w14:paraId="26260286" w14:textId="167F28B5" w:rsidR="0088463E" w:rsidRDefault="0088463E" w:rsidP="0088463E">
                  <w:pPr>
                    <w:pStyle w:val="TableBodyText"/>
                    <w:jc w:val="left"/>
                  </w:pPr>
                  <w:r w:rsidRPr="00E57E9E">
                    <w:t>Work in region, but live outside region</w:t>
                  </w:r>
                </w:p>
              </w:tc>
              <w:tc>
                <w:tcPr>
                  <w:tcW w:w="835" w:type="pct"/>
                </w:tcPr>
                <w:p w14:paraId="1B3B890D" w14:textId="421E22B8" w:rsidR="0088463E" w:rsidRDefault="0088463E" w:rsidP="0088463E">
                  <w:pPr>
                    <w:pStyle w:val="TableBodyText"/>
                  </w:pPr>
                  <w:r w:rsidRPr="00E57E9E">
                    <w:t>15 000</w:t>
                  </w:r>
                </w:p>
              </w:tc>
              <w:tc>
                <w:tcPr>
                  <w:tcW w:w="836" w:type="pct"/>
                </w:tcPr>
                <w:p w14:paraId="6B133B25" w14:textId="1926C350" w:rsidR="0088463E" w:rsidRDefault="0088463E" w:rsidP="00E54F0A">
                  <w:pPr>
                    <w:pStyle w:val="TableBodyText"/>
                  </w:pPr>
                  <w:r w:rsidRPr="00E57E9E">
                    <w:t>7 400</w:t>
                  </w:r>
                </w:p>
              </w:tc>
              <w:tc>
                <w:tcPr>
                  <w:tcW w:w="835" w:type="pct"/>
                </w:tcPr>
                <w:p w14:paraId="56057E4E" w14:textId="7F1F9F10" w:rsidR="0088463E" w:rsidRDefault="0088463E" w:rsidP="0088463E">
                  <w:pPr>
                    <w:pStyle w:val="TableBodyText"/>
                    <w:ind w:right="28"/>
                  </w:pPr>
                  <w:r w:rsidRPr="00E57E9E">
                    <w:t>1 000</w:t>
                  </w:r>
                </w:p>
              </w:tc>
            </w:tr>
            <w:tr w:rsidR="0088463E" w14:paraId="4E38FF1C" w14:textId="77777777" w:rsidTr="0088463E">
              <w:tc>
                <w:tcPr>
                  <w:tcW w:w="2494" w:type="pct"/>
                </w:tcPr>
                <w:p w14:paraId="4178FCCF" w14:textId="274959BC" w:rsidR="0088463E" w:rsidRDefault="0088463E" w:rsidP="0088463E">
                  <w:pPr>
                    <w:pStyle w:val="TableBodyText"/>
                    <w:jc w:val="left"/>
                  </w:pPr>
                  <w:r w:rsidRPr="00E57E9E">
                    <w:t>Share of state’s total mining workforce</w:t>
                  </w:r>
                </w:p>
              </w:tc>
              <w:tc>
                <w:tcPr>
                  <w:tcW w:w="835" w:type="pct"/>
                </w:tcPr>
                <w:p w14:paraId="59875DDA" w14:textId="7B262231" w:rsidR="0088463E" w:rsidRDefault="0088463E" w:rsidP="0088463E">
                  <w:pPr>
                    <w:pStyle w:val="TableBodyText"/>
                  </w:pPr>
                  <w:r w:rsidRPr="00E57E9E">
                    <w:t>23%</w:t>
                  </w:r>
                </w:p>
              </w:tc>
              <w:tc>
                <w:tcPr>
                  <w:tcW w:w="836" w:type="pct"/>
                </w:tcPr>
                <w:p w14:paraId="39284711" w14:textId="00FABBE6" w:rsidR="0088463E" w:rsidRDefault="0088463E" w:rsidP="00E54F0A">
                  <w:pPr>
                    <w:pStyle w:val="TableBodyText"/>
                  </w:pPr>
                  <w:r w:rsidRPr="00E57E9E">
                    <w:t>16%</w:t>
                  </w:r>
                </w:p>
              </w:tc>
              <w:tc>
                <w:tcPr>
                  <w:tcW w:w="835" w:type="pct"/>
                </w:tcPr>
                <w:p w14:paraId="593B2CF8" w14:textId="2E07110A" w:rsidR="0088463E" w:rsidRDefault="0088463E" w:rsidP="0088463E">
                  <w:pPr>
                    <w:pStyle w:val="TableBodyText"/>
                    <w:ind w:right="28"/>
                  </w:pPr>
                  <w:r w:rsidRPr="00E57E9E">
                    <w:t>3%</w:t>
                  </w:r>
                </w:p>
              </w:tc>
            </w:tr>
            <w:tr w:rsidR="0088463E" w14:paraId="0BCBD628" w14:textId="77777777" w:rsidTr="0088463E">
              <w:tc>
                <w:tcPr>
                  <w:tcW w:w="2494" w:type="pct"/>
                </w:tcPr>
                <w:p w14:paraId="2B21894C" w14:textId="440451B2" w:rsidR="0088463E" w:rsidRDefault="0088463E" w:rsidP="0088463E">
                  <w:pPr>
                    <w:pStyle w:val="TableBodyText"/>
                    <w:jc w:val="left"/>
                  </w:pPr>
                  <w:r w:rsidRPr="00E57E9E">
                    <w:rPr>
                      <w:b/>
                    </w:rPr>
                    <w:t>Construction workers</w:t>
                  </w:r>
                </w:p>
              </w:tc>
              <w:tc>
                <w:tcPr>
                  <w:tcW w:w="835" w:type="pct"/>
                </w:tcPr>
                <w:p w14:paraId="409CF4E3" w14:textId="77777777" w:rsidR="0088463E" w:rsidRDefault="0088463E" w:rsidP="0088463E">
                  <w:pPr>
                    <w:pStyle w:val="TableBodyText"/>
                  </w:pPr>
                </w:p>
              </w:tc>
              <w:tc>
                <w:tcPr>
                  <w:tcW w:w="836" w:type="pct"/>
                </w:tcPr>
                <w:p w14:paraId="606B8D3E" w14:textId="77777777" w:rsidR="0088463E" w:rsidRDefault="0088463E" w:rsidP="0088463E">
                  <w:pPr>
                    <w:pStyle w:val="TableBodyText"/>
                    <w:ind w:right="28"/>
                  </w:pPr>
                </w:p>
              </w:tc>
              <w:tc>
                <w:tcPr>
                  <w:tcW w:w="835" w:type="pct"/>
                </w:tcPr>
                <w:p w14:paraId="19166921" w14:textId="77777777" w:rsidR="0088463E" w:rsidRDefault="0088463E" w:rsidP="0088463E">
                  <w:pPr>
                    <w:pStyle w:val="TableBodyText"/>
                    <w:ind w:right="28"/>
                  </w:pPr>
                </w:p>
              </w:tc>
            </w:tr>
            <w:tr w:rsidR="0088463E" w14:paraId="63E88E93" w14:textId="77777777" w:rsidTr="0088463E">
              <w:tc>
                <w:tcPr>
                  <w:tcW w:w="2494" w:type="pct"/>
                </w:tcPr>
                <w:p w14:paraId="25E374BB" w14:textId="74BEEFAE" w:rsidR="0088463E" w:rsidRDefault="0088463E" w:rsidP="0088463E">
                  <w:pPr>
                    <w:pStyle w:val="TableBodyText"/>
                    <w:jc w:val="left"/>
                  </w:pPr>
                  <w:r w:rsidRPr="00E57E9E">
                    <w:t>Work in region, but live outside region</w:t>
                  </w:r>
                </w:p>
              </w:tc>
              <w:tc>
                <w:tcPr>
                  <w:tcW w:w="835" w:type="pct"/>
                </w:tcPr>
                <w:p w14:paraId="2201E641" w14:textId="60258619" w:rsidR="0088463E" w:rsidRDefault="0088463E" w:rsidP="0088463E">
                  <w:pPr>
                    <w:pStyle w:val="TableBodyText"/>
                  </w:pPr>
                  <w:r w:rsidRPr="00E57E9E">
                    <w:t>5 600</w:t>
                  </w:r>
                </w:p>
              </w:tc>
              <w:tc>
                <w:tcPr>
                  <w:tcW w:w="836" w:type="pct"/>
                </w:tcPr>
                <w:p w14:paraId="3DEB078E" w14:textId="1A964DC8" w:rsidR="0088463E" w:rsidRDefault="0088463E" w:rsidP="00E54F0A">
                  <w:pPr>
                    <w:pStyle w:val="TableBodyText"/>
                  </w:pPr>
                  <w:r w:rsidRPr="00E57E9E">
                    <w:t>3 700</w:t>
                  </w:r>
                </w:p>
              </w:tc>
              <w:tc>
                <w:tcPr>
                  <w:tcW w:w="835" w:type="pct"/>
                </w:tcPr>
                <w:p w14:paraId="7C8DB869" w14:textId="1332A19D" w:rsidR="0088463E" w:rsidRDefault="0088463E" w:rsidP="0088463E">
                  <w:pPr>
                    <w:pStyle w:val="TableBodyText"/>
                    <w:ind w:right="28"/>
                  </w:pPr>
                  <w:r w:rsidRPr="00E57E9E">
                    <w:t>1 100</w:t>
                  </w:r>
                </w:p>
              </w:tc>
            </w:tr>
            <w:tr w:rsidR="0088463E" w14:paraId="68A04C5C" w14:textId="77777777" w:rsidTr="0088463E">
              <w:tc>
                <w:tcPr>
                  <w:tcW w:w="2494" w:type="pct"/>
                  <w:tcBorders>
                    <w:bottom w:val="single" w:sz="6" w:space="0" w:color="auto"/>
                  </w:tcBorders>
                  <w:shd w:val="clear" w:color="auto" w:fill="auto"/>
                </w:tcPr>
                <w:p w14:paraId="326AD909" w14:textId="5BFDD421" w:rsidR="0088463E" w:rsidRDefault="0088463E" w:rsidP="0088463E">
                  <w:pPr>
                    <w:pStyle w:val="TableBodyText"/>
                    <w:jc w:val="left"/>
                  </w:pPr>
                  <w:r w:rsidRPr="00E57E9E">
                    <w:t>Share of state’s total construction workforce</w:t>
                  </w:r>
                </w:p>
              </w:tc>
              <w:tc>
                <w:tcPr>
                  <w:tcW w:w="835" w:type="pct"/>
                  <w:tcBorders>
                    <w:bottom w:val="single" w:sz="6" w:space="0" w:color="auto"/>
                  </w:tcBorders>
                  <w:shd w:val="clear" w:color="auto" w:fill="auto"/>
                  <w:vAlign w:val="bottom"/>
                </w:tcPr>
                <w:p w14:paraId="48150F4D" w14:textId="186EC11B" w:rsidR="0088463E" w:rsidRDefault="0088463E" w:rsidP="0088463E">
                  <w:pPr>
                    <w:pStyle w:val="TableBodyText"/>
                  </w:pPr>
                  <w:r w:rsidRPr="00E57E9E">
                    <w:t>6%</w:t>
                  </w:r>
                </w:p>
              </w:tc>
              <w:tc>
                <w:tcPr>
                  <w:tcW w:w="836" w:type="pct"/>
                  <w:tcBorders>
                    <w:bottom w:val="single" w:sz="6" w:space="0" w:color="auto"/>
                  </w:tcBorders>
                  <w:vAlign w:val="bottom"/>
                </w:tcPr>
                <w:p w14:paraId="7AF5C011" w14:textId="6BF2DDB5" w:rsidR="0088463E" w:rsidRDefault="0088463E" w:rsidP="00E54F0A">
                  <w:pPr>
                    <w:pStyle w:val="TableBodyText"/>
                  </w:pPr>
                  <w:r w:rsidRPr="00E57E9E">
                    <w:t>3%</w:t>
                  </w:r>
                </w:p>
              </w:tc>
              <w:tc>
                <w:tcPr>
                  <w:tcW w:w="835" w:type="pct"/>
                  <w:tcBorders>
                    <w:bottom w:val="single" w:sz="6" w:space="0" w:color="auto"/>
                  </w:tcBorders>
                  <w:shd w:val="clear" w:color="auto" w:fill="auto"/>
                  <w:vAlign w:val="bottom"/>
                </w:tcPr>
                <w:p w14:paraId="6AF8DF6D" w14:textId="5F304BBC" w:rsidR="0088463E" w:rsidRDefault="0088463E" w:rsidP="0088463E">
                  <w:pPr>
                    <w:pStyle w:val="TableBodyText"/>
                    <w:ind w:right="28"/>
                  </w:pPr>
                  <w:r w:rsidRPr="00E57E9E">
                    <w:t>0.7%</w:t>
                  </w:r>
                </w:p>
              </w:tc>
            </w:tr>
          </w:tbl>
          <w:p w14:paraId="68DC64BF" w14:textId="446B1073" w:rsidR="0088463E" w:rsidRPr="00E57E9E" w:rsidRDefault="0088463E" w:rsidP="0088463E">
            <w:pPr>
              <w:pStyle w:val="Note"/>
            </w:pPr>
            <w:r w:rsidRPr="00EC04F2">
              <w:rPr>
                <w:rStyle w:val="NoteLabel"/>
              </w:rPr>
              <w:t>a</w:t>
            </w:r>
            <w:r w:rsidRPr="00E57E9E">
              <w:t xml:space="preserve"> </w:t>
            </w:r>
            <w:r w:rsidRPr="003D0B97">
              <w:t>WA</w:t>
            </w:r>
            <w:r w:rsidRPr="00E57E9E">
              <w:t xml:space="preserve"> refers to the WA</w:t>
            </w:r>
            <w:r>
              <w:noBreakHyphen/>
            </w:r>
            <w:r w:rsidRPr="00E57E9E">
              <w:t>Outback statistical area (comprised of the Esperance, Gascoyne, Goldfields, Kimberley, Mid</w:t>
            </w:r>
            <w:r w:rsidRPr="00E57E9E">
              <w:noBreakHyphen/>
              <w:t xml:space="preserve">West and Pilbara areas). </w:t>
            </w:r>
            <w:r w:rsidRPr="003D0B97">
              <w:t>Queensland</w:t>
            </w:r>
            <w:r w:rsidRPr="00E57E9E">
              <w:t xml:space="preserve"> refers to the Darling Downs</w:t>
            </w:r>
            <w:r>
              <w:noBreakHyphen/>
            </w:r>
            <w:r w:rsidRPr="00E57E9E">
              <w:t>Maranoa; Fitzroy; Mackay; and Queensland</w:t>
            </w:r>
            <w:r>
              <w:noBreakHyphen/>
            </w:r>
            <w:r w:rsidRPr="00E57E9E">
              <w:t xml:space="preserve">Outback statistical areas. </w:t>
            </w:r>
            <w:r w:rsidRPr="003D0B97">
              <w:t>NSW</w:t>
            </w:r>
            <w:r w:rsidRPr="00E57E9E">
              <w:t xml:space="preserve"> refers to the Central West; Far West and Orana; and Hunter Valley (excluding Newcastle) statistical areas. All areas also include workers who worked offshore (for example, on oil rigs and drilling platforms) or were in long</w:t>
            </w:r>
            <w:r>
              <w:noBreakHyphen/>
            </w:r>
            <w:r w:rsidRPr="00E57E9E">
              <w:t>distance transit for work purposes (classified as Migratory/Offshore/Shipping).</w:t>
            </w:r>
            <w:r>
              <w:t>  </w:t>
            </w:r>
            <w:r>
              <w:rPr>
                <w:rStyle w:val="NoteLabel"/>
              </w:rPr>
              <w:t>b</w:t>
            </w:r>
            <w:r>
              <w:t> </w:t>
            </w:r>
            <w:r w:rsidRPr="00E57E9E">
              <w:t>Estimates of the shares exclude workers who gave insufficient information about their place of work.</w:t>
            </w:r>
            <w:r>
              <w:t>  </w:t>
            </w:r>
            <w:r>
              <w:rPr>
                <w:rStyle w:val="NoteLabel"/>
              </w:rPr>
              <w:t>c</w:t>
            </w:r>
            <w:r>
              <w:t> The Mining industry is defined as in in appendix A and equates with the resources sector. That sector does not include the Construction industry, which is added to the table above for completeness.</w:t>
            </w:r>
          </w:p>
          <w:p w14:paraId="1D96D4DB" w14:textId="2C190763" w:rsidR="0088463E" w:rsidRPr="008E77FE" w:rsidRDefault="0088463E" w:rsidP="0088463E">
            <w:pPr>
              <w:pStyle w:val="Source"/>
            </w:pPr>
            <w:r>
              <w:rPr>
                <w:i/>
              </w:rPr>
              <w:t>Source(s)</w:t>
            </w:r>
            <w:r>
              <w:t>: Productivity Commission</w:t>
            </w:r>
            <w:r w:rsidRPr="00E57E9E">
              <w:t xml:space="preserve"> estimates using ABS (</w:t>
            </w:r>
            <w:r w:rsidRPr="00EC04F2">
              <w:rPr>
                <w:i/>
              </w:rPr>
              <w:t>Census of Population and Housing 2011, TableBuilder</w:t>
            </w:r>
            <w:r w:rsidRPr="00E57E9E">
              <w:t xml:space="preserve">, Cat. no. 2072.0; </w:t>
            </w:r>
            <w:r w:rsidRPr="00EC04F2">
              <w:rPr>
                <w:i/>
              </w:rPr>
              <w:t>Labour Force, Australia, Detailed, Quarterly</w:t>
            </w:r>
            <w:r w:rsidRPr="00E57E9E">
              <w:t>, Cat. no. 6291.0.55.003).</w:t>
            </w:r>
          </w:p>
          <w:p w14:paraId="1A6094E7" w14:textId="77777777" w:rsidR="00D56B13" w:rsidRDefault="00D56B13" w:rsidP="00D56B13">
            <w:pPr>
              <w:pStyle w:val="Box"/>
            </w:pPr>
            <w:r w:rsidRPr="00E57E9E">
              <w:t>Summing up the figures</w:t>
            </w:r>
            <w:r>
              <w:t xml:space="preserve"> in table 6.2</w:t>
            </w:r>
            <w:r w:rsidRPr="00E57E9E">
              <w:t xml:space="preserve">, in 2011, in the main mining regions of Western Australia, Queensland and New South Wales, there </w:t>
            </w:r>
            <w:r>
              <w:t>were in the vicinity of</w:t>
            </w:r>
            <w:r w:rsidRPr="00E57E9E">
              <w:t xml:space="preserve"> 23 500 </w:t>
            </w:r>
            <w:r>
              <w:t>M</w:t>
            </w:r>
            <w:r w:rsidRPr="00E57E9E">
              <w:t xml:space="preserve">ining workers and 10 500 </w:t>
            </w:r>
            <w:r>
              <w:t>C</w:t>
            </w:r>
            <w:r w:rsidRPr="00E57E9E">
              <w:t>onstruction workers emp</w:t>
            </w:r>
            <w:r>
              <w:t xml:space="preserve">loyed under FIFO arrangements. </w:t>
            </w:r>
          </w:p>
          <w:p w14:paraId="2FE19B4B" w14:textId="77777777" w:rsidR="00D56B13" w:rsidRDefault="00D56B13" w:rsidP="0088463E">
            <w:pPr>
              <w:pStyle w:val="Box"/>
            </w:pPr>
            <w:r w:rsidRPr="00E57E9E">
              <w:t>These estimates —</w:t>
            </w:r>
            <w:r>
              <w:t xml:space="preserve"> </w:t>
            </w:r>
            <w:r w:rsidRPr="00E57E9E">
              <w:t>totalling almost 34</w:t>
            </w:r>
            <w:r>
              <w:t> </w:t>
            </w:r>
            <w:r w:rsidRPr="00E57E9E">
              <w:t xml:space="preserve">000 workers — </w:t>
            </w:r>
            <w:r>
              <w:t>are most likely</w:t>
            </w:r>
            <w:r w:rsidRPr="00E57E9E">
              <w:t xml:space="preserve"> a lower bound of Australia’s total FIFO </w:t>
            </w:r>
            <w:r>
              <w:t>resource</w:t>
            </w:r>
            <w:r w:rsidRPr="00E57E9E">
              <w:t xml:space="preserve"> and </w:t>
            </w:r>
            <w:r>
              <w:t>resource</w:t>
            </w:r>
            <w:r>
              <w:noBreakHyphen/>
            </w:r>
            <w:r w:rsidRPr="00E57E9E">
              <w:t xml:space="preserve">related workforce, since they do not capture FIFO activity in other, smaller mining </w:t>
            </w:r>
            <w:r>
              <w:t xml:space="preserve">or gas extraction </w:t>
            </w:r>
            <w:r w:rsidRPr="00E57E9E">
              <w:t>regions within Australia. Nor do the</w:t>
            </w:r>
            <w:r>
              <w:t>y</w:t>
            </w:r>
            <w:r w:rsidRPr="00E57E9E">
              <w:t xml:space="preserve"> include workers who are ancillary to the core </w:t>
            </w:r>
            <w:r>
              <w:t xml:space="preserve">resource and </w:t>
            </w:r>
            <w:r w:rsidRPr="00E57E9E">
              <w:t>construction workforce</w:t>
            </w:r>
            <w:r>
              <w:t>s</w:t>
            </w:r>
            <w:r w:rsidRPr="00E57E9E">
              <w:t xml:space="preserve"> (such as transport, cleaning, and catering staff) who also fly in and out of mining sites. </w:t>
            </w:r>
          </w:p>
          <w:p w14:paraId="7D0F6841" w14:textId="77777777" w:rsidR="00704364" w:rsidRPr="00E57E9E" w:rsidRDefault="00704364" w:rsidP="00704364">
            <w:pPr>
              <w:pStyle w:val="Box"/>
            </w:pPr>
            <w:r w:rsidRPr="00E57E9E">
              <w:t>Some other caveats apply to table</w:t>
            </w:r>
            <w:r>
              <w:t> 6.2</w:t>
            </w:r>
            <w:r w:rsidRPr="00E57E9E">
              <w:t>. First, since these estimates are based on large</w:t>
            </w:r>
            <w:r>
              <w:noBreakHyphen/>
            </w:r>
            <w:r w:rsidRPr="00E57E9E">
              <w:t>scale statistical areas, and exclude workers who live relatively close to their work location, they mainly capture FIFO (not DIDO) workers. Second, some workers living outside mining regions who did not provide information about their location of work could not be included the estimates, even though some of them are expected to be FIFO workers. Third, not all non</w:t>
            </w:r>
            <w:r w:rsidRPr="00E57E9E">
              <w:noBreakHyphen/>
              <w:t>residential construction workers commuting to mining regions for work are involved in the resources sector. This caveat is more likely to affect estimates for the mining regions of NSW, given their greater diversity of economic activity.</w:t>
            </w:r>
          </w:p>
          <w:p w14:paraId="109810DF" w14:textId="65A89327" w:rsidR="00704364" w:rsidRDefault="00704364" w:rsidP="007F26BC">
            <w:pPr>
              <w:pStyle w:val="Box"/>
            </w:pPr>
            <w:r w:rsidRPr="00E57E9E">
              <w:t xml:space="preserve">Improvements to data collection, as recommended by the House of Representatives </w:t>
            </w:r>
            <w:r w:rsidR="007F26BC">
              <w:t>Standing Committee on Regional Australia (2013)</w:t>
            </w:r>
            <w:r w:rsidRPr="00E57E9E">
              <w:t xml:space="preserve">, would facilitate a more precise count of Australia’s FIFO </w:t>
            </w:r>
            <w:r>
              <w:t>resource</w:t>
            </w:r>
            <w:r w:rsidRPr="00E57E9E">
              <w:t xml:space="preserve"> workforce.</w:t>
            </w:r>
          </w:p>
        </w:tc>
      </w:tr>
      <w:tr w:rsidR="0088463E" w14:paraId="164A52BA" w14:textId="77777777">
        <w:trPr>
          <w:cantSplit/>
        </w:trPr>
        <w:tc>
          <w:tcPr>
            <w:tcW w:w="8771" w:type="dxa"/>
            <w:tcBorders>
              <w:top w:val="nil"/>
              <w:left w:val="single" w:sz="6" w:space="0" w:color="auto"/>
              <w:bottom w:val="single" w:sz="6" w:space="0" w:color="auto"/>
              <w:right w:val="single" w:sz="6" w:space="0" w:color="auto"/>
            </w:tcBorders>
          </w:tcPr>
          <w:p w14:paraId="1DF68B4A" w14:textId="77777777" w:rsidR="0088463E" w:rsidRDefault="0088463E">
            <w:pPr>
              <w:pStyle w:val="Box"/>
              <w:spacing w:before="0" w:line="120" w:lineRule="exact"/>
            </w:pPr>
          </w:p>
        </w:tc>
      </w:tr>
      <w:tr w:rsidR="0088463E" w:rsidRPr="000863A5" w14:paraId="0E56C672" w14:textId="77777777">
        <w:tc>
          <w:tcPr>
            <w:tcW w:w="8771" w:type="dxa"/>
            <w:tcBorders>
              <w:top w:val="nil"/>
              <w:left w:val="nil"/>
              <w:bottom w:val="nil"/>
              <w:right w:val="nil"/>
            </w:tcBorders>
          </w:tcPr>
          <w:p w14:paraId="3C546FEE" w14:textId="4488BD18" w:rsidR="0088463E" w:rsidRPr="00626D32" w:rsidRDefault="0088463E" w:rsidP="0088463E">
            <w:pPr>
              <w:pStyle w:val="BoxSpaceBelow"/>
            </w:pPr>
          </w:p>
        </w:tc>
      </w:tr>
    </w:tbl>
    <w:p w14:paraId="7A1EC624" w14:textId="6C737960" w:rsidR="009011BB" w:rsidRDefault="00EE7B2F" w:rsidP="009011BB">
      <w:pPr>
        <w:pStyle w:val="BodyText"/>
      </w:pPr>
      <w:r>
        <w:lastRenderedPageBreak/>
        <w:t>Using</w:t>
      </w:r>
      <w:r w:rsidR="009011BB" w:rsidRPr="00E57E9E">
        <w:t xml:space="preserve"> alternative approaches, other researchers have constructed</w:t>
      </w:r>
      <w:r w:rsidR="00BD1750" w:rsidRPr="00E57E9E">
        <w:t xml:space="preserve"> </w:t>
      </w:r>
      <w:r w:rsidR="00BD1750">
        <w:t xml:space="preserve">similar (albeit </w:t>
      </w:r>
      <w:r w:rsidR="00147AD3">
        <w:t xml:space="preserve">significantly </w:t>
      </w:r>
      <w:r w:rsidR="00BD1750">
        <w:t>higher)</w:t>
      </w:r>
      <w:r w:rsidR="009011BB" w:rsidRPr="00E57E9E">
        <w:t xml:space="preserve"> estimates from Census data. RBA </w:t>
      </w:r>
      <w:r w:rsidR="00C760C0">
        <w:t xml:space="preserve">research estimates </w:t>
      </w:r>
      <w:r w:rsidR="009011BB" w:rsidRPr="00E57E9E">
        <w:t xml:space="preserve">that the total number of FIFO workers involved in mining and construction in 2011 </w:t>
      </w:r>
      <w:r w:rsidR="00C760C0">
        <w:t>was</w:t>
      </w:r>
      <w:r w:rsidR="009011BB" w:rsidRPr="00E57E9E">
        <w:t xml:space="preserve"> at least 50 000 (D’Arcy et al. 2012).</w:t>
      </w:r>
      <w:r w:rsidR="009011BB" w:rsidRPr="00E57E9E">
        <w:rPr>
          <w:position w:val="6"/>
          <w:sz w:val="22"/>
        </w:rPr>
        <w:footnoteReference w:id="16"/>
      </w:r>
      <w:r w:rsidR="009011BB" w:rsidRPr="00E57E9E">
        <w:t xml:space="preserve"> Analysis commissioned by the Minerals Council of Australia (MCA) estimated that in 2011 there were around 44</w:t>
      </w:r>
      <w:r w:rsidR="00400858">
        <w:t> </w:t>
      </w:r>
      <w:r w:rsidR="009011BB" w:rsidRPr="00E57E9E">
        <w:t>600 mining workers, and 23 400 construction workers, across the whole of Australia, who undertook ‘long</w:t>
      </w:r>
      <w:r w:rsidR="009011BB" w:rsidRPr="00E57E9E">
        <w:noBreakHyphen/>
        <w:t>distance commuting’</w:t>
      </w:r>
      <w:r w:rsidR="00BD1750">
        <w:t xml:space="preserve"> </w:t>
      </w:r>
      <w:r w:rsidR="009011BB" w:rsidRPr="00E57E9E">
        <w:t>(KPMG 2013).</w:t>
      </w:r>
      <w:r w:rsidR="009011BB" w:rsidRPr="00E57E9E">
        <w:rPr>
          <w:position w:val="6"/>
          <w:sz w:val="22"/>
        </w:rPr>
        <w:footnoteReference w:id="17"/>
      </w:r>
      <w:r w:rsidR="009011BB" w:rsidRPr="00E57E9E">
        <w:t xml:space="preserve"> This analysis found that around 18 700 workers in the Pilbara were long</w:t>
      </w:r>
      <w:r w:rsidR="009011BB" w:rsidRPr="00E57E9E">
        <w:noBreakHyphen/>
        <w:t>distance commuters, with almost half employed in mining and one</w:t>
      </w:r>
      <w:r w:rsidR="009011BB" w:rsidRPr="00E57E9E">
        <w:noBreakHyphen/>
        <w:t>quarter employed in construction. In the Bowen Basin, this figure stood at 16 500 workers, with almost two</w:t>
      </w:r>
      <w:r w:rsidR="00400858">
        <w:noBreakHyphen/>
      </w:r>
      <w:r w:rsidR="009011BB" w:rsidRPr="00E57E9E">
        <w:t>thirds of these employed in mining (KPMG 2013).</w:t>
      </w:r>
    </w:p>
    <w:p w14:paraId="0EE14561" w14:textId="01926E9E" w:rsidR="00E57E9E" w:rsidRPr="00E57E9E" w:rsidRDefault="00E57E9E" w:rsidP="00EC04F2">
      <w:pPr>
        <w:pStyle w:val="Heading4"/>
      </w:pPr>
      <w:r w:rsidRPr="00E57E9E">
        <w:t xml:space="preserve">Why has </w:t>
      </w:r>
      <w:r w:rsidR="00EE3822">
        <w:t>Fly-in, Fly-out</w:t>
      </w:r>
      <w:r w:rsidR="00EE3822" w:rsidRPr="00E57E9E">
        <w:t xml:space="preserve"> </w:t>
      </w:r>
      <w:r w:rsidRPr="00E57E9E">
        <w:t>employment grown in the resources sector?</w:t>
      </w:r>
    </w:p>
    <w:p w14:paraId="732F40D3" w14:textId="12ADF8D9" w:rsidR="00E57E9E" w:rsidRDefault="00AC5267" w:rsidP="00AC5267">
      <w:pPr>
        <w:pStyle w:val="BodyText"/>
      </w:pPr>
      <w:r>
        <w:t xml:space="preserve">As is </w:t>
      </w:r>
      <w:r w:rsidR="00263D61">
        <w:t>true</w:t>
      </w:r>
      <w:r>
        <w:t xml:space="preserve"> for any form of work, t</w:t>
      </w:r>
      <w:r w:rsidR="00E57E9E" w:rsidRPr="00E57E9E">
        <w:t xml:space="preserve">he </w:t>
      </w:r>
      <w:r>
        <w:t>use</w:t>
      </w:r>
      <w:r w:rsidR="00E57E9E" w:rsidRPr="00E57E9E">
        <w:t xml:space="preserve"> of FIFO </w:t>
      </w:r>
      <w:r>
        <w:t xml:space="preserve">reflects the interaction of labour supply and demand, mediated by </w:t>
      </w:r>
      <w:r w:rsidR="00150547">
        <w:t xml:space="preserve">the </w:t>
      </w:r>
      <w:r>
        <w:t xml:space="preserve">relevant institutions (Shomos, Turner and Will 2013). The fact that </w:t>
      </w:r>
      <w:r w:rsidR="002D745E">
        <w:t>the</w:t>
      </w:r>
      <w:r>
        <w:t xml:space="preserve"> prevalence</w:t>
      </w:r>
      <w:r w:rsidR="002D745E">
        <w:t xml:space="preserve"> of FIFO</w:t>
      </w:r>
      <w:r>
        <w:t xml:space="preserve"> has grown in the last decade suggests that some of the determinants of supply and demand for mining workers </w:t>
      </w:r>
      <w:r w:rsidR="002D745E">
        <w:t>have shifted</w:t>
      </w:r>
      <w:r>
        <w:t xml:space="preserve"> </w:t>
      </w:r>
      <w:r w:rsidR="002D745E">
        <w:t>and/</w:t>
      </w:r>
      <w:r>
        <w:t xml:space="preserve">or that institutions </w:t>
      </w:r>
      <w:r w:rsidR="00263D61">
        <w:t>affecting</w:t>
      </w:r>
      <w:r>
        <w:t xml:space="preserve"> that market have </w:t>
      </w:r>
      <w:r w:rsidR="00263D61">
        <w:t>changed</w:t>
      </w:r>
      <w:r>
        <w:t xml:space="preserve">. </w:t>
      </w:r>
      <w:r w:rsidR="002D745E">
        <w:t>Such</w:t>
      </w:r>
      <w:r>
        <w:t xml:space="preserve"> changes would have altered, in turn, the </w:t>
      </w:r>
      <w:r w:rsidR="00E57E9E" w:rsidRPr="00E57E9E">
        <w:t xml:space="preserve">relative balance between the benefits that FIFO provides, the costs that </w:t>
      </w:r>
      <w:r w:rsidR="00BD1750">
        <w:t>it</w:t>
      </w:r>
      <w:r w:rsidR="00BD1750" w:rsidRPr="00E57E9E">
        <w:t xml:space="preserve"> </w:t>
      </w:r>
      <w:r w:rsidR="00E57E9E" w:rsidRPr="00E57E9E">
        <w:t>entails and the costs associated with alternative work arrangements, from the perspectives of both employers and workers.</w:t>
      </w:r>
    </w:p>
    <w:p w14:paraId="533E1B0C" w14:textId="512F8DE8" w:rsidR="00AC5267" w:rsidRDefault="00AC5267" w:rsidP="00AC5267">
      <w:pPr>
        <w:pStyle w:val="BodyText"/>
      </w:pPr>
      <w:r>
        <w:t xml:space="preserve">On the demand side of the labour market, </w:t>
      </w:r>
      <w:r w:rsidR="002D745E">
        <w:t xml:space="preserve">it is possible to identify a number of </w:t>
      </w:r>
      <w:r w:rsidR="00263D61">
        <w:t>developments</w:t>
      </w:r>
      <w:r w:rsidR="002D745E">
        <w:t xml:space="preserve"> that have made the use of FIFO </w:t>
      </w:r>
      <w:r w:rsidR="005E3026">
        <w:t xml:space="preserve">relatively </w:t>
      </w:r>
      <w:r w:rsidR="002D745E">
        <w:t xml:space="preserve">more attractive for employers than </w:t>
      </w:r>
      <w:r w:rsidR="00FB4DD3">
        <w:t>employing local workers</w:t>
      </w:r>
      <w:r w:rsidR="002D745E">
        <w:t>:</w:t>
      </w:r>
    </w:p>
    <w:p w14:paraId="6C403B43" w14:textId="6F3F90C0" w:rsidR="00FB4DD3" w:rsidRPr="002D745E" w:rsidRDefault="00FB4DD3" w:rsidP="00FB4DD3">
      <w:pPr>
        <w:pStyle w:val="ListBullet"/>
      </w:pPr>
      <w:r w:rsidRPr="002D745E">
        <w:t>FIFO broaden</w:t>
      </w:r>
      <w:r>
        <w:t>s</w:t>
      </w:r>
      <w:r w:rsidRPr="002D745E">
        <w:t xml:space="preserve"> the pool of labour available, as </w:t>
      </w:r>
      <w:r>
        <w:t xml:space="preserve">more </w:t>
      </w:r>
      <w:r w:rsidRPr="002D745E">
        <w:t>workers</w:t>
      </w:r>
      <w:r>
        <w:t xml:space="preserve"> with appropriate skills and qualifications</w:t>
      </w:r>
      <w:r w:rsidRPr="002D745E">
        <w:t xml:space="preserve"> can be transported from wherever they permanently reside in the country</w:t>
      </w:r>
      <w:r>
        <w:t xml:space="preserve"> or internationally</w:t>
      </w:r>
      <w:r w:rsidRPr="002D745E">
        <w:t xml:space="preserve">, to wherever they are required. This </w:t>
      </w:r>
      <w:r>
        <w:t>enhances the numerical and functional flexibility of mining operations</w:t>
      </w:r>
      <w:r w:rsidRPr="002D745E">
        <w:t>.</w:t>
      </w:r>
      <w:r w:rsidRPr="002D745E" w:rsidDel="001B2B3B">
        <w:t xml:space="preserve"> </w:t>
      </w:r>
    </w:p>
    <w:p w14:paraId="4CE29C47" w14:textId="43B5520A" w:rsidR="00FB4DD3" w:rsidRPr="00054BC2" w:rsidRDefault="00B62892" w:rsidP="00FB4DD3">
      <w:pPr>
        <w:pStyle w:val="ListBullet"/>
      </w:pPr>
      <w:r>
        <w:lastRenderedPageBreak/>
        <w:t>P</w:t>
      </w:r>
      <w:r w:rsidR="00FB4DD3">
        <w:t>rior to the natural resources boom, the permanent population in remote areas had grown less quickly than in regional and metropolitan areas. This made it difficult for employers to source sufficient workers from the local residential population — as had been the practice</w:t>
      </w:r>
      <w:r>
        <w:t xml:space="preserve"> previously</w:t>
      </w:r>
      <w:r w:rsidR="00FB4DD3">
        <w:t xml:space="preserve"> — when the boom began</w:t>
      </w:r>
      <w:r w:rsidR="00FB4DD3" w:rsidRPr="00E57E9E">
        <w:t xml:space="preserve"> (CMEWA</w:t>
      </w:r>
      <w:r w:rsidR="00FB4DD3">
        <w:t> </w:t>
      </w:r>
      <w:r w:rsidR="00FB4DD3" w:rsidRPr="00E57E9E">
        <w:t>2011a; Rio Tinto</w:t>
      </w:r>
      <w:r w:rsidR="00FB4DD3">
        <w:t> </w:t>
      </w:r>
      <w:r w:rsidR="00FB4DD3" w:rsidRPr="00E57E9E">
        <w:t>2011b</w:t>
      </w:r>
      <w:r w:rsidR="00FB4DD3">
        <w:t xml:space="preserve">; </w:t>
      </w:r>
      <w:r w:rsidR="00FB4DD3" w:rsidRPr="00E57E9E">
        <w:t>FMG nd; Mount Isa Chamber of Commerce 2012).</w:t>
      </w:r>
    </w:p>
    <w:p w14:paraId="032EA26B" w14:textId="20B03766" w:rsidR="00263D61" w:rsidRDefault="00263D61" w:rsidP="00263D61">
      <w:pPr>
        <w:pStyle w:val="ListBullet"/>
      </w:pPr>
      <w:r>
        <w:rPr>
          <w:spacing w:val="-2"/>
        </w:rPr>
        <w:t>T</w:t>
      </w:r>
      <w:r w:rsidRPr="00263D61">
        <w:t xml:space="preserve">he </w:t>
      </w:r>
      <w:r>
        <w:t>resources sector</w:t>
      </w:r>
      <w:r w:rsidRPr="00263D61">
        <w:t>’s move to continuous 12</w:t>
      </w:r>
      <w:r w:rsidRPr="00263D61">
        <w:noBreakHyphen/>
        <w:t>hour shifts rather than weekday 8</w:t>
      </w:r>
      <w:r w:rsidRPr="00263D61">
        <w:noBreakHyphen/>
        <w:t xml:space="preserve">hour shifts has lowered the relative cost of transporting and housing workers for resource </w:t>
      </w:r>
      <w:r w:rsidR="00FB4DD3">
        <w:t>businesses</w:t>
      </w:r>
      <w:r w:rsidRPr="00263D61">
        <w:t>.</w:t>
      </w:r>
    </w:p>
    <w:p w14:paraId="3B687CB2" w14:textId="5F0C2EA5" w:rsidR="00263D61" w:rsidRPr="00C05C34" w:rsidRDefault="00263D61" w:rsidP="00263D61">
      <w:pPr>
        <w:pStyle w:val="ListBullet"/>
        <w:rPr>
          <w:spacing w:val="-2"/>
        </w:rPr>
      </w:pPr>
      <w:r>
        <w:t>A</w:t>
      </w:r>
      <w:r w:rsidRPr="00E57E9E">
        <w:t xml:space="preserve"> greater number of direct public flights have become available to mining regions from urban centres such as Brisbane, Melbourne and Sydney (NRSET</w:t>
      </w:r>
      <w:r>
        <w:t> </w:t>
      </w:r>
      <w:r w:rsidRPr="00E57E9E">
        <w:t xml:space="preserve">2010b). </w:t>
      </w:r>
      <w:r>
        <w:t>For example, i</w:t>
      </w:r>
      <w:r w:rsidRPr="00E57E9E">
        <w:t xml:space="preserve">n 2012, Karratha airport in Western Australia’s mining region served five times </w:t>
      </w:r>
      <w:r>
        <w:t>more</w:t>
      </w:r>
      <w:r w:rsidRPr="00E57E9E">
        <w:t xml:space="preserve"> passengers</w:t>
      </w:r>
      <w:r>
        <w:t xml:space="preserve"> </w:t>
      </w:r>
      <w:r w:rsidRPr="00E57E9E">
        <w:t xml:space="preserve">than it </w:t>
      </w:r>
      <w:r>
        <w:t>did</w:t>
      </w:r>
      <w:r w:rsidRPr="00E57E9E">
        <w:t xml:space="preserve"> ten years earlier</w:t>
      </w:r>
      <w:r>
        <w:t xml:space="preserve"> (</w:t>
      </w:r>
      <w:r w:rsidR="00D62782">
        <w:t>BITRE 2012</w:t>
      </w:r>
      <w:r>
        <w:t>)</w:t>
      </w:r>
      <w:r w:rsidRPr="00E57E9E">
        <w:t>.</w:t>
      </w:r>
    </w:p>
    <w:p w14:paraId="30BD9916" w14:textId="633E7B49" w:rsidR="001B4052" w:rsidRPr="001B4052" w:rsidRDefault="001B4052" w:rsidP="00263D61">
      <w:pPr>
        <w:pStyle w:val="ListBullet"/>
        <w:rPr>
          <w:spacing w:val="-2"/>
        </w:rPr>
      </w:pPr>
      <w:r w:rsidRPr="001B4052">
        <w:t xml:space="preserve">Due in large part to advances in technology, the length of time that </w:t>
      </w:r>
      <w:r>
        <w:t xml:space="preserve">mining or construction </w:t>
      </w:r>
      <w:r w:rsidRPr="001B4052">
        <w:t>workers are required to remain at a given location has generally be</w:t>
      </w:r>
      <w:r w:rsidR="00150547">
        <w:t>come</w:t>
      </w:r>
      <w:r w:rsidRPr="001B4052">
        <w:t xml:space="preserve"> compressed (Buchanan, Baldwin and Wright 2011).</w:t>
      </w:r>
    </w:p>
    <w:p w14:paraId="361868EA" w14:textId="7C63EFE2" w:rsidR="006657F8" w:rsidRDefault="000B62D3" w:rsidP="006657F8">
      <w:pPr>
        <w:pStyle w:val="BodyText"/>
      </w:pPr>
      <w:r>
        <w:t xml:space="preserve">On the supply side of the labour market, </w:t>
      </w:r>
      <w:r w:rsidR="005E3026">
        <w:t>some</w:t>
      </w:r>
      <w:r w:rsidR="006657F8">
        <w:t xml:space="preserve"> factors have </w:t>
      </w:r>
      <w:r>
        <w:t xml:space="preserve">also </w:t>
      </w:r>
      <w:r w:rsidR="00415585">
        <w:t>increase</w:t>
      </w:r>
      <w:r w:rsidR="00C846F6">
        <w:t>d</w:t>
      </w:r>
      <w:r w:rsidR="006657F8">
        <w:t xml:space="preserve"> the </w:t>
      </w:r>
      <w:r>
        <w:t xml:space="preserve">relative </w:t>
      </w:r>
      <w:r w:rsidR="006657F8">
        <w:t>attractiveness of FIFO</w:t>
      </w:r>
      <w:r w:rsidR="00C05C34">
        <w:t xml:space="preserve"> for workers</w:t>
      </w:r>
      <w:r w:rsidR="006657F8">
        <w:t>:</w:t>
      </w:r>
    </w:p>
    <w:p w14:paraId="617DACC7" w14:textId="48875A24" w:rsidR="006657F8" w:rsidRDefault="005E3026" w:rsidP="00415585">
      <w:pPr>
        <w:pStyle w:val="ListBullet"/>
      </w:pPr>
      <w:r>
        <w:t>This form of</w:t>
      </w:r>
      <w:r w:rsidRPr="00E57E9E">
        <w:t xml:space="preserve"> </w:t>
      </w:r>
      <w:r w:rsidR="006657F8">
        <w:t>work</w:t>
      </w:r>
      <w:r w:rsidR="006657F8" w:rsidRPr="00E57E9E">
        <w:t xml:space="preserve"> </w:t>
      </w:r>
      <w:r w:rsidR="006657F8">
        <w:t>enables resource sector</w:t>
      </w:r>
      <w:r w:rsidR="006657F8" w:rsidRPr="00E57E9E">
        <w:t xml:space="preserve"> </w:t>
      </w:r>
      <w:r w:rsidR="006657F8">
        <w:t>employees</w:t>
      </w:r>
      <w:r w:rsidR="006657F8" w:rsidRPr="00E57E9E">
        <w:t xml:space="preserve"> to take up high</w:t>
      </w:r>
      <w:r w:rsidR="006657F8" w:rsidRPr="00E57E9E">
        <w:noBreakHyphen/>
        <w:t>paying jobs in remote locations while maintaining their lifestyle</w:t>
      </w:r>
      <w:r w:rsidR="006657F8">
        <w:t xml:space="preserve">, </w:t>
      </w:r>
      <w:r w:rsidR="006657F8" w:rsidRPr="00E57E9E">
        <w:t xml:space="preserve">family </w:t>
      </w:r>
      <w:r w:rsidR="006657F8">
        <w:t xml:space="preserve">commitments </w:t>
      </w:r>
      <w:r w:rsidR="006657F8" w:rsidRPr="00E57E9E">
        <w:t xml:space="preserve">and social networks in their permanent place of residence. </w:t>
      </w:r>
      <w:r w:rsidR="006657F8">
        <w:t>In addition, FIFO work is better able to accommodate the rising prevalence of two</w:t>
      </w:r>
      <w:r w:rsidR="006657F8">
        <w:noBreakHyphen/>
        <w:t>income families, for whom the prospect of securing non</w:t>
      </w:r>
      <w:r w:rsidR="006657F8">
        <w:noBreakHyphen/>
        <w:t>resource jobs in the same remote area is minimal.</w:t>
      </w:r>
    </w:p>
    <w:p w14:paraId="2D5A2AFB" w14:textId="743C3AC8" w:rsidR="006657F8" w:rsidRPr="006657F8" w:rsidRDefault="006657F8" w:rsidP="006657F8">
      <w:pPr>
        <w:pStyle w:val="ListBullet"/>
      </w:pPr>
      <w:r>
        <w:t>T</w:t>
      </w:r>
      <w:r w:rsidRPr="006657F8">
        <w:t xml:space="preserve">echnological advances </w:t>
      </w:r>
      <w:r>
        <w:t xml:space="preserve">in communications and transport technology </w:t>
      </w:r>
      <w:r w:rsidRPr="006657F8">
        <w:t xml:space="preserve">have helped alleviate some of the sense of isolation and separation that </w:t>
      </w:r>
      <w:r>
        <w:t xml:space="preserve">FIFO </w:t>
      </w:r>
      <w:r w:rsidRPr="006657F8">
        <w:t xml:space="preserve">workers </w:t>
      </w:r>
      <w:r w:rsidR="00415585">
        <w:t>would</w:t>
      </w:r>
      <w:r w:rsidR="00415585" w:rsidRPr="006657F8">
        <w:t xml:space="preserve"> </w:t>
      </w:r>
      <w:r w:rsidR="00D44EA0">
        <w:t xml:space="preserve">otherwise </w:t>
      </w:r>
      <w:r w:rsidRPr="006657F8">
        <w:t>experience.</w:t>
      </w:r>
    </w:p>
    <w:p w14:paraId="7E270ED4" w14:textId="45A80696" w:rsidR="00263D61" w:rsidRPr="00263D61" w:rsidRDefault="005E3026" w:rsidP="00263D61">
      <w:pPr>
        <w:pStyle w:val="BodyText"/>
      </w:pPr>
      <w:r>
        <w:t>Finally, a</w:t>
      </w:r>
      <w:r w:rsidR="001B4052">
        <w:t>s is the case in any market, the interaction of supply and demand is shaped by the nature of institutions governing, or influencing, that market:</w:t>
      </w:r>
    </w:p>
    <w:p w14:paraId="6C984850" w14:textId="728B1864" w:rsidR="00263D61" w:rsidRPr="00054BC2" w:rsidRDefault="00922174" w:rsidP="00922174">
      <w:pPr>
        <w:pStyle w:val="ListBullet"/>
        <w:rPr>
          <w:spacing w:val="-2"/>
        </w:rPr>
      </w:pPr>
      <w:r>
        <w:t>Various components of t</w:t>
      </w:r>
      <w:r w:rsidR="00263D61" w:rsidRPr="00E57E9E">
        <w:t xml:space="preserve">he </w:t>
      </w:r>
      <w:r>
        <w:t>tax system influence the financial incentives faced by both employers and workers regarding FIFO. General tax provisions of particular relevance to the resources sector because of the remote location of much of its operations are the: (i) Fringe Benefits Tax (FBT); (ii) Goods and Services Tax (GST); and (iii) Zone tax offset. In some circumstances, the</w:t>
      </w:r>
      <w:r w:rsidR="001442CA">
        <w:t xml:space="preserve"> application of the</w:t>
      </w:r>
      <w:r>
        <w:t xml:space="preserve"> FBT and GST can make it cost-effective for employers to </w:t>
      </w:r>
      <w:r w:rsidR="00263D61" w:rsidRPr="00E57E9E">
        <w:t xml:space="preserve">provide travel and temporary accommodation to their employees at work sites, </w:t>
      </w:r>
      <w:r w:rsidR="00263D61" w:rsidRPr="00E57E9E">
        <w:lastRenderedPageBreak/>
        <w:t xml:space="preserve">rather than </w:t>
      </w:r>
      <w:r>
        <w:t>provide or subsidise</w:t>
      </w:r>
      <w:r w:rsidRPr="00E57E9E">
        <w:t xml:space="preserve"> </w:t>
      </w:r>
      <w:r w:rsidR="00263D61" w:rsidRPr="00E57E9E">
        <w:t>permanent residential accommodation for them</w:t>
      </w:r>
      <w:r w:rsidR="001442CA">
        <w:t xml:space="preserve"> at those sites</w:t>
      </w:r>
      <w:r w:rsidR="00263D61" w:rsidRPr="00E57E9E">
        <w:t xml:space="preserve"> (ARC Research Team 2011; Buchanan, Baldwin and Wright 2011; Haslam McKenzie 2010; CMEWA 2011a; House of Representatives Standing Committee on Regional Australia 201</w:t>
      </w:r>
      <w:r w:rsidR="00263D61">
        <w:t>3</w:t>
      </w:r>
      <w:r w:rsidR="00263D61" w:rsidRPr="00E57E9E">
        <w:t>; NRSET</w:t>
      </w:r>
      <w:r w:rsidR="00263D61">
        <w:t> </w:t>
      </w:r>
      <w:r w:rsidR="00263D61" w:rsidRPr="00E57E9E">
        <w:t>2010a; Storey 2001</w:t>
      </w:r>
      <w:r w:rsidR="00263D61">
        <w:t>;</w:t>
      </w:r>
      <w:r w:rsidR="00263D61" w:rsidRPr="00E57E9E">
        <w:t xml:space="preserve"> Western Australian Regional Cities Alliance 2011). </w:t>
      </w:r>
      <w:r w:rsidR="002F3F11">
        <w:t xml:space="preserve">The effects of the zone tax offset on the tax-effectiveness of workers </w:t>
      </w:r>
      <w:r w:rsidR="00F72D2E">
        <w:t>opting for</w:t>
      </w:r>
      <w:r w:rsidR="002F3F11">
        <w:t xml:space="preserve"> FIFO work </w:t>
      </w:r>
      <w:r w:rsidR="00F72D2E">
        <w:t>rather than</w:t>
      </w:r>
      <w:r w:rsidR="002F3F11">
        <w:t xml:space="preserve"> permanent relocation are not easily predicted, as they depend on the frequency and length of </w:t>
      </w:r>
      <w:r w:rsidR="0038556A">
        <w:t>stays in remote areas</w:t>
      </w:r>
      <w:r w:rsidR="002F3F11">
        <w:t>.</w:t>
      </w:r>
    </w:p>
    <w:p w14:paraId="0EB1F207" w14:textId="46DCC151" w:rsidR="002F3F11" w:rsidRPr="00263D61" w:rsidRDefault="002F3F11" w:rsidP="002F3F11">
      <w:pPr>
        <w:pStyle w:val="ListBullet"/>
        <w:rPr>
          <w:spacing w:val="-2"/>
        </w:rPr>
      </w:pPr>
      <w:r w:rsidRPr="00E57E9E">
        <w:t xml:space="preserve">While </w:t>
      </w:r>
      <w:r>
        <w:t>the</w:t>
      </w:r>
      <w:r w:rsidRPr="00E57E9E">
        <w:t xml:space="preserve"> expansion in airline services </w:t>
      </w:r>
      <w:r>
        <w:t xml:space="preserve">to mining areas </w:t>
      </w:r>
      <w:r w:rsidRPr="00E57E9E">
        <w:t>is in part a response to booming demand, changes in policies</w:t>
      </w:r>
      <w:r>
        <w:t xml:space="preserve"> governing the airline industry, resulting in improved performance and flexibility,</w:t>
      </w:r>
      <w:r w:rsidRPr="00E57E9E">
        <w:t xml:space="preserve"> have also played a role (MCA</w:t>
      </w:r>
      <w:r>
        <w:t> </w:t>
      </w:r>
      <w:r w:rsidRPr="00E57E9E">
        <w:t>2011).</w:t>
      </w:r>
    </w:p>
    <w:p w14:paraId="75B30762" w14:textId="712DC059" w:rsidR="001E7818" w:rsidRDefault="001E7818" w:rsidP="00EC04F2">
      <w:pPr>
        <w:pStyle w:val="BodyText"/>
      </w:pPr>
      <w:r>
        <w:t xml:space="preserve">To date, the combination of supply, demand and institutional factors outlined above has resulted in the growth of FIFO numbers in the resources sector. </w:t>
      </w:r>
      <w:r w:rsidR="001442CA">
        <w:t>To what extent</w:t>
      </w:r>
      <w:r>
        <w:t xml:space="preserve"> this growth </w:t>
      </w:r>
      <w:r w:rsidR="001442CA">
        <w:t xml:space="preserve">will </w:t>
      </w:r>
      <w:r>
        <w:t xml:space="preserve">continue is </w:t>
      </w:r>
      <w:r w:rsidR="00613329">
        <w:t>difficult to predict</w:t>
      </w:r>
      <w:r>
        <w:t xml:space="preserve">. Recent changes to tax arrangements governing FBT exemptions for living-away-from-home allowances appear to favour </w:t>
      </w:r>
      <w:r w:rsidR="001442CA">
        <w:t xml:space="preserve">the provision of </w:t>
      </w:r>
      <w:r>
        <w:t>FIFO work over longer, temporary relocation (</w:t>
      </w:r>
      <w:r w:rsidR="001E55D9">
        <w:t>ATO 2013</w:t>
      </w:r>
      <w:r>
        <w:t xml:space="preserve">). On the other hand, the </w:t>
      </w:r>
      <w:r w:rsidR="00613329">
        <w:t xml:space="preserve">current </w:t>
      </w:r>
      <w:r>
        <w:t xml:space="preserve">transition from the construction phase of the resources boom to its production phase should see the demand for FIFO workers </w:t>
      </w:r>
      <w:r w:rsidR="00613329">
        <w:t>abate</w:t>
      </w:r>
      <w:r>
        <w:t xml:space="preserve">, </w:t>
      </w:r>
      <w:r w:rsidR="001E55D9">
        <w:t>all else equal (</w:t>
      </w:r>
      <w:r w:rsidR="001E55D9" w:rsidRPr="00E57E9E">
        <w:t>CMEWA 2011b</w:t>
      </w:r>
      <w:r w:rsidR="001E55D9">
        <w:t xml:space="preserve">). </w:t>
      </w:r>
      <w:r>
        <w:t xml:space="preserve"> </w:t>
      </w:r>
    </w:p>
    <w:p w14:paraId="1E9D73AE" w14:textId="00D628E6" w:rsidR="00432173" w:rsidRPr="00155ADE" w:rsidRDefault="00432173" w:rsidP="00432173">
      <w:pPr>
        <w:pStyle w:val="BodyText"/>
      </w:pPr>
    </w:p>
    <w:sectPr w:rsidR="00432173" w:rsidRPr="00155ADE" w:rsidSect="004D19BD">
      <w:headerReference w:type="even" r:id="rId39"/>
      <w:headerReference w:type="default" r:id="rId40"/>
      <w:footerReference w:type="even" r:id="rId41"/>
      <w:footerReference w:type="default" r:id="rId42"/>
      <w:headerReference w:type="first" r:id="rId43"/>
      <w:footerReference w:type="first" r:id="rId44"/>
      <w:footnotePr>
        <w:numStart w:val="49"/>
      </w:footnotePr>
      <w:pgSz w:w="11907" w:h="16840" w:code="9"/>
      <w:pgMar w:top="1985" w:right="1304" w:bottom="1418" w:left="1814" w:header="1701" w:footer="567" w:gutter="0"/>
      <w:pgNumType w:start="11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210C83" w14:textId="77777777" w:rsidR="00704364" w:rsidRDefault="00704364">
      <w:r>
        <w:separator/>
      </w:r>
    </w:p>
  </w:endnote>
  <w:endnote w:type="continuationSeparator" w:id="0">
    <w:p w14:paraId="7FD28176" w14:textId="77777777" w:rsidR="00704364" w:rsidRDefault="00704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04364" w14:paraId="561E2AAA" w14:textId="77777777">
      <w:trPr>
        <w:trHeight w:hRule="exact" w:val="740"/>
      </w:trPr>
      <w:tc>
        <w:tcPr>
          <w:tcW w:w="510" w:type="dxa"/>
          <w:tcBorders>
            <w:top w:val="single" w:sz="6" w:space="0" w:color="auto"/>
          </w:tcBorders>
        </w:tcPr>
        <w:p w14:paraId="11380F79" w14:textId="77777777" w:rsidR="00704364" w:rsidRDefault="00704364"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642FE">
            <w:rPr>
              <w:rStyle w:val="PageNumber"/>
              <w:noProof/>
            </w:rPr>
            <w:t>142</w:t>
          </w:r>
          <w:r>
            <w:rPr>
              <w:rStyle w:val="PageNumber"/>
            </w:rPr>
            <w:fldChar w:fldCharType="end"/>
          </w:r>
        </w:p>
      </w:tc>
      <w:tc>
        <w:tcPr>
          <w:tcW w:w="1644" w:type="dxa"/>
          <w:tcBorders>
            <w:top w:val="single" w:sz="6" w:space="0" w:color="auto"/>
          </w:tcBorders>
        </w:tcPr>
        <w:p w14:paraId="2EB6474F" w14:textId="77777777" w:rsidR="00704364" w:rsidRDefault="009642FE" w:rsidP="0019293B">
          <w:pPr>
            <w:pStyle w:val="Footer"/>
          </w:pPr>
          <w:r>
            <w:fldChar w:fldCharType="begin"/>
          </w:r>
          <w:r>
            <w:instrText xml:space="preserve"> SUBJECT  \* MERGEFORMAT </w:instrText>
          </w:r>
          <w:r>
            <w:fldChar w:fldCharType="separate"/>
          </w:r>
          <w:r w:rsidR="00A525CF">
            <w:t>Looking back on structural change</w:t>
          </w:r>
          <w:r>
            <w:fldChar w:fldCharType="end"/>
          </w:r>
        </w:p>
      </w:tc>
      <w:tc>
        <w:tcPr>
          <w:tcW w:w="6634" w:type="dxa"/>
        </w:tcPr>
        <w:p w14:paraId="21DA7DF0" w14:textId="77777777" w:rsidR="00704364" w:rsidRDefault="00704364" w:rsidP="0019293B">
          <w:pPr>
            <w:pStyle w:val="Footer"/>
          </w:pPr>
        </w:p>
      </w:tc>
    </w:tr>
  </w:tbl>
  <w:p w14:paraId="5E57AABA" w14:textId="77777777" w:rsidR="00704364" w:rsidRDefault="0070436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04364" w14:paraId="4DF18344" w14:textId="77777777">
      <w:trPr>
        <w:trHeight w:hRule="exact" w:val="740"/>
      </w:trPr>
      <w:tc>
        <w:tcPr>
          <w:tcW w:w="6634" w:type="dxa"/>
        </w:tcPr>
        <w:p w14:paraId="25C29C2C" w14:textId="77777777" w:rsidR="00704364" w:rsidRDefault="00704364">
          <w:pPr>
            <w:pStyle w:val="Footer"/>
            <w:ind w:right="360" w:firstLine="360"/>
          </w:pPr>
        </w:p>
      </w:tc>
      <w:tc>
        <w:tcPr>
          <w:tcW w:w="1644" w:type="dxa"/>
          <w:tcBorders>
            <w:top w:val="single" w:sz="6" w:space="0" w:color="auto"/>
          </w:tcBorders>
        </w:tcPr>
        <w:p w14:paraId="35EE08C5" w14:textId="77777777" w:rsidR="00704364" w:rsidRDefault="009642FE">
          <w:pPr>
            <w:pStyle w:val="Footer"/>
          </w:pPr>
          <w:r>
            <w:fldChar w:fldCharType="begin"/>
          </w:r>
          <w:r>
            <w:instrText xml:space="preserve"> TITLE  \* MERGEFORMAT </w:instrText>
          </w:r>
          <w:r>
            <w:fldChar w:fldCharType="separate"/>
          </w:r>
          <w:r w:rsidR="00A525CF">
            <w:t>Resources: a case study</w:t>
          </w:r>
          <w:r>
            <w:fldChar w:fldCharType="end"/>
          </w:r>
        </w:p>
      </w:tc>
      <w:tc>
        <w:tcPr>
          <w:tcW w:w="510" w:type="dxa"/>
          <w:tcBorders>
            <w:top w:val="single" w:sz="6" w:space="0" w:color="auto"/>
          </w:tcBorders>
        </w:tcPr>
        <w:p w14:paraId="07D33DAB" w14:textId="77777777" w:rsidR="00704364" w:rsidRDefault="00704364">
          <w:pPr>
            <w:pStyle w:val="Footer"/>
            <w:jc w:val="right"/>
          </w:pPr>
          <w:r>
            <w:rPr>
              <w:rStyle w:val="PageNumber"/>
            </w:rPr>
            <w:fldChar w:fldCharType="begin"/>
          </w:r>
          <w:r>
            <w:rPr>
              <w:rStyle w:val="PageNumber"/>
            </w:rPr>
            <w:instrText xml:space="preserve">PAGE  </w:instrText>
          </w:r>
          <w:r>
            <w:rPr>
              <w:rStyle w:val="PageNumber"/>
            </w:rPr>
            <w:fldChar w:fldCharType="separate"/>
          </w:r>
          <w:r w:rsidR="009642FE">
            <w:rPr>
              <w:rStyle w:val="PageNumber"/>
              <w:noProof/>
            </w:rPr>
            <w:t>119</w:t>
          </w:r>
          <w:r>
            <w:rPr>
              <w:rStyle w:val="PageNumber"/>
            </w:rPr>
            <w:fldChar w:fldCharType="end"/>
          </w:r>
        </w:p>
      </w:tc>
    </w:tr>
  </w:tbl>
  <w:p w14:paraId="45459FBE" w14:textId="77777777" w:rsidR="00704364" w:rsidRDefault="00704364">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E9F7F" w14:textId="77777777" w:rsidR="002D40B3" w:rsidRDefault="002D40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2B9933" w14:textId="77777777" w:rsidR="00704364" w:rsidRDefault="00704364">
      <w:r>
        <w:separator/>
      </w:r>
    </w:p>
  </w:footnote>
  <w:footnote w:type="continuationSeparator" w:id="0">
    <w:p w14:paraId="0EFD25F5" w14:textId="77777777" w:rsidR="00704364" w:rsidRDefault="00704364">
      <w:r>
        <w:continuationSeparator/>
      </w:r>
    </w:p>
  </w:footnote>
  <w:footnote w:id="1">
    <w:p w14:paraId="1F940306" w14:textId="77A6802C" w:rsidR="00704364" w:rsidRDefault="00704364">
      <w:pPr>
        <w:pStyle w:val="FootnoteText"/>
      </w:pPr>
      <w:r>
        <w:rPr>
          <w:rStyle w:val="FootnoteReference"/>
        </w:rPr>
        <w:footnoteRef/>
      </w:r>
      <w:r>
        <w:t xml:space="preserve"> </w:t>
      </w:r>
      <w:r>
        <w:tab/>
        <w:t>The terms ‘natural resources sector’, ‘resources sector’, ‘mining industry’, and ‘mining sector’ are used interchangeably in this chapter. U</w:t>
      </w:r>
      <w:r w:rsidRPr="009011BB">
        <w:t>nless otherwise indicated</w:t>
      </w:r>
      <w:r>
        <w:t>, the data used to describe this sector</w:t>
      </w:r>
      <w:r w:rsidRPr="009011BB">
        <w:t xml:space="preserve"> </w:t>
      </w:r>
      <w:r>
        <w:t>are based on the ABS’s ‘M</w:t>
      </w:r>
      <w:r w:rsidRPr="009011BB">
        <w:t>ining’ division (ABS</w:t>
      </w:r>
      <w:r w:rsidRPr="004C2321">
        <w:t xml:space="preserve"> 2006b</w:t>
      </w:r>
      <w:r w:rsidRPr="009011BB">
        <w:t xml:space="preserve">). </w:t>
      </w:r>
      <w:r>
        <w:t>Definitions of that division,</w:t>
      </w:r>
      <w:r w:rsidRPr="009011BB">
        <w:t xml:space="preserve"> its </w:t>
      </w:r>
      <w:r>
        <w:t>subdivisions</w:t>
      </w:r>
      <w:r w:rsidRPr="009011BB">
        <w:t xml:space="preserve"> and </w:t>
      </w:r>
      <w:r>
        <w:t xml:space="preserve">the </w:t>
      </w:r>
      <w:r w:rsidRPr="009011BB">
        <w:t>commodities</w:t>
      </w:r>
      <w:r>
        <w:t xml:space="preserve"> and services</w:t>
      </w:r>
      <w:r w:rsidRPr="009011BB">
        <w:t xml:space="preserve"> </w:t>
      </w:r>
      <w:r>
        <w:t>they produce are</w:t>
      </w:r>
      <w:r w:rsidRPr="009011BB">
        <w:t xml:space="preserve"> </w:t>
      </w:r>
      <w:r>
        <w:t>provided</w:t>
      </w:r>
      <w:r w:rsidRPr="009011BB">
        <w:t xml:space="preserve"> in appendix A</w:t>
      </w:r>
      <w:r>
        <w:t>.</w:t>
      </w:r>
    </w:p>
  </w:footnote>
  <w:footnote w:id="2">
    <w:p w14:paraId="4ED2F657" w14:textId="57B411B5" w:rsidR="00704364" w:rsidRDefault="00704364" w:rsidP="00AD7E1B">
      <w:pPr>
        <w:pStyle w:val="FootnoteText"/>
      </w:pPr>
      <w:r>
        <w:rPr>
          <w:rStyle w:val="FootnoteReference"/>
        </w:rPr>
        <w:footnoteRef/>
      </w:r>
      <w:r>
        <w:t xml:space="preserve"> </w:t>
      </w:r>
      <w:r>
        <w:tab/>
        <w:t>The issue of changing labour requirements and their effect on wages is discussed in section 6.4.</w:t>
      </w:r>
    </w:p>
  </w:footnote>
  <w:footnote w:id="3">
    <w:p w14:paraId="0E4155FA" w14:textId="6EF730F1" w:rsidR="00704364" w:rsidRDefault="00704364" w:rsidP="00AD7E1B">
      <w:pPr>
        <w:pStyle w:val="FootnoteText"/>
      </w:pPr>
      <w:r>
        <w:rPr>
          <w:rStyle w:val="FootnoteReference"/>
        </w:rPr>
        <w:footnoteRef/>
      </w:r>
      <w:r>
        <w:tab/>
        <w:t>Quality-adjusted prices are the prices paid for capital items after accounting for changes in the quality (as measured by the productive potential) of the item. For example, computers in 2013 have much more powerful processors than they did in 1980. After accounting for computing power improvements, and notwithstanding inflation, computers in 2013 are only a fraction of the price of those in 1980.</w:t>
      </w:r>
    </w:p>
  </w:footnote>
  <w:footnote w:id="4">
    <w:p w14:paraId="4D1E693E" w14:textId="77777777" w:rsidR="00704364" w:rsidRDefault="00704364" w:rsidP="008F6382">
      <w:pPr>
        <w:pStyle w:val="FootnoteText"/>
      </w:pPr>
      <w:r>
        <w:rPr>
          <w:rStyle w:val="FootnoteReference"/>
        </w:rPr>
        <w:footnoteRef/>
      </w:r>
      <w:r>
        <w:t xml:space="preserve"> </w:t>
      </w:r>
      <w:r>
        <w:tab/>
        <w:t>Despite large price increases, the output of uranium declined after 2002-03 due to the fact that it is governed by regulatory, rather than economic, considerations.</w:t>
      </w:r>
    </w:p>
  </w:footnote>
  <w:footnote w:id="5">
    <w:p w14:paraId="49CD6F6C" w14:textId="77777777" w:rsidR="00704364" w:rsidRDefault="00704364" w:rsidP="00AD7E1B">
      <w:pPr>
        <w:pStyle w:val="FootnoteText"/>
      </w:pPr>
      <w:r>
        <w:rPr>
          <w:rStyle w:val="FootnoteReference"/>
        </w:rPr>
        <w:footnoteRef/>
      </w:r>
      <w:r>
        <w:t xml:space="preserve"> </w:t>
      </w:r>
      <w:r>
        <w:tab/>
        <w:t>The BREE notes that projects can still experience a change in scope and schedule, or even be halted,</w:t>
      </w:r>
      <w:r w:rsidRPr="0032008C">
        <w:t xml:space="preserve"> </w:t>
      </w:r>
      <w:r>
        <w:t>even after their final investment decision is reached.</w:t>
      </w:r>
    </w:p>
  </w:footnote>
  <w:footnote w:id="6">
    <w:p w14:paraId="25ED8EA2" w14:textId="4C91BD91" w:rsidR="00704364" w:rsidRDefault="00704364">
      <w:pPr>
        <w:pStyle w:val="FootnoteText"/>
      </w:pPr>
      <w:r>
        <w:rPr>
          <w:rStyle w:val="FootnoteReference"/>
        </w:rPr>
        <w:footnoteRef/>
      </w:r>
      <w:r>
        <w:t xml:space="preserve"> </w:t>
      </w:r>
      <w:r>
        <w:tab/>
        <w:t>These authors estimated that, after accounting for resource depletion, the growth in mining MFP over the 1974-75 to 2006-07 period was 2.50 per cent per annum, compared to the 0.01 per cent measured by the ABS (Topp et al. 2008).</w:t>
      </w:r>
    </w:p>
  </w:footnote>
  <w:footnote w:id="7">
    <w:p w14:paraId="2A9611B0" w14:textId="38007D40" w:rsidR="00704364" w:rsidRDefault="00704364" w:rsidP="00E57E9E">
      <w:pPr>
        <w:pStyle w:val="FootnoteText"/>
      </w:pPr>
      <w:r>
        <w:rPr>
          <w:rStyle w:val="FootnoteReference"/>
        </w:rPr>
        <w:footnoteRef/>
      </w:r>
      <w:r>
        <w:t xml:space="preserve"> </w:t>
      </w:r>
      <w:r>
        <w:tab/>
        <w:t>Unless otherwise indicated, all citations of Census data in the remainder of this chapter refer to Productivity Commission estimates</w:t>
      </w:r>
      <w:r w:rsidRPr="00B7152A">
        <w:t xml:space="preserve"> </w:t>
      </w:r>
      <w:r>
        <w:t>drawn from the</w:t>
      </w:r>
      <w:r w:rsidRPr="00B7152A">
        <w:t xml:space="preserve"> </w:t>
      </w:r>
      <w:r>
        <w:t>ABS </w:t>
      </w:r>
      <w:r w:rsidRPr="008E1823">
        <w:rPr>
          <w:i/>
        </w:rPr>
        <w:t>Census of Population and Housing</w:t>
      </w:r>
      <w:r>
        <w:t xml:space="preserve"> and</w:t>
      </w:r>
      <w:r w:rsidRPr="00B7152A">
        <w:rPr>
          <w:i/>
        </w:rPr>
        <w:t xml:space="preserve"> </w:t>
      </w:r>
      <w:r>
        <w:t>calculated using ABS </w:t>
      </w:r>
      <w:r w:rsidRPr="00B7152A">
        <w:rPr>
          <w:i/>
        </w:rPr>
        <w:t>TableBuilder</w:t>
      </w:r>
      <w:r>
        <w:rPr>
          <w:i/>
        </w:rPr>
        <w:t xml:space="preserve"> 2006</w:t>
      </w:r>
      <w:r>
        <w:t xml:space="preserve"> (Cat. no. 2065.0) and ABS </w:t>
      </w:r>
      <w:r w:rsidRPr="00B7152A">
        <w:rPr>
          <w:i/>
        </w:rPr>
        <w:t>TableBuilder</w:t>
      </w:r>
      <w:r>
        <w:rPr>
          <w:i/>
        </w:rPr>
        <w:t xml:space="preserve"> 2011</w:t>
      </w:r>
      <w:r>
        <w:t xml:space="preserve"> (Cat. no. 2072.0).</w:t>
      </w:r>
    </w:p>
  </w:footnote>
  <w:footnote w:id="8">
    <w:p w14:paraId="5A31614E" w14:textId="77777777" w:rsidR="00704364" w:rsidRDefault="00704364" w:rsidP="00E57E9E">
      <w:pPr>
        <w:pStyle w:val="FootnoteText"/>
      </w:pPr>
      <w:r>
        <w:rPr>
          <w:rStyle w:val="FootnoteReference"/>
        </w:rPr>
        <w:footnoteRef/>
      </w:r>
      <w:r>
        <w:t xml:space="preserve"> </w:t>
      </w:r>
      <w:r>
        <w:tab/>
        <w:t xml:space="preserve">Excluding the industry </w:t>
      </w:r>
      <w:r w:rsidRPr="002B5DE3">
        <w:t>subdivisi</w:t>
      </w:r>
      <w:r>
        <w:t>on ‘Mining (not further defined)’.</w:t>
      </w:r>
    </w:p>
  </w:footnote>
  <w:footnote w:id="9">
    <w:p w14:paraId="3072C292" w14:textId="77777777" w:rsidR="00B72009" w:rsidRDefault="00B72009" w:rsidP="00B72009">
      <w:pPr>
        <w:pStyle w:val="FootnoteText"/>
      </w:pPr>
      <w:r>
        <w:rPr>
          <w:rStyle w:val="FootnoteReference"/>
        </w:rPr>
        <w:footnoteRef/>
      </w:r>
      <w:r>
        <w:t xml:space="preserve"> </w:t>
      </w:r>
      <w:r>
        <w:tab/>
        <w:t xml:space="preserve">‘Regional Western Australia’ refers to the ‘Balance of Western Australia’ statistical region, which includes Kalgoorlie, Port Hedland, East Pilbara, Roebourne, Ashburton and Broome (among other regions). Employment numbers refer to August. </w:t>
      </w:r>
    </w:p>
  </w:footnote>
  <w:footnote w:id="10">
    <w:p w14:paraId="4DEDBD3E" w14:textId="05D1D8AB" w:rsidR="00704364" w:rsidRDefault="00704364">
      <w:pPr>
        <w:pStyle w:val="FootnoteText"/>
      </w:pPr>
      <w:r>
        <w:rPr>
          <w:rStyle w:val="FootnoteReference"/>
        </w:rPr>
        <w:footnoteRef/>
      </w:r>
      <w:r>
        <w:t xml:space="preserve"> </w:t>
      </w:r>
      <w:r>
        <w:tab/>
        <w:t>Nominal wages are an appropriate comparator of wages across industries and regions, provided consumer prices do not differ much geographically.</w:t>
      </w:r>
    </w:p>
  </w:footnote>
  <w:footnote w:id="11">
    <w:p w14:paraId="53EFD1A9" w14:textId="52F6A06B" w:rsidR="00704364" w:rsidRDefault="00704364" w:rsidP="00E57E9E">
      <w:pPr>
        <w:pStyle w:val="FootnoteText"/>
      </w:pPr>
      <w:r>
        <w:rPr>
          <w:rStyle w:val="FootnoteReference"/>
        </w:rPr>
        <w:footnoteRef/>
      </w:r>
      <w:r>
        <w:t xml:space="preserve"> </w:t>
      </w:r>
      <w:r>
        <w:tab/>
        <w:t>Although</w:t>
      </w:r>
      <w:r w:rsidRPr="00CD5DE4">
        <w:t xml:space="preserve"> the Indigenous population make</w:t>
      </w:r>
      <w:r>
        <w:t>s</w:t>
      </w:r>
      <w:r w:rsidRPr="00CD5DE4">
        <w:t xml:space="preserve"> up around 2.5</w:t>
      </w:r>
      <w:r>
        <w:t> </w:t>
      </w:r>
      <w:r w:rsidRPr="00CD5DE4">
        <w:t>per</w:t>
      </w:r>
      <w:r>
        <w:t> </w:t>
      </w:r>
      <w:r w:rsidRPr="00CD5DE4">
        <w:t>cent of Australia’s total population, this share is much</w:t>
      </w:r>
      <w:r>
        <w:t xml:space="preserve"> higher in many mining regions. For example, </w:t>
      </w:r>
      <w:r w:rsidRPr="00CD5DE4">
        <w:t>40</w:t>
      </w:r>
      <w:r>
        <w:t> </w:t>
      </w:r>
      <w:r w:rsidRPr="00CD5DE4">
        <w:t>per</w:t>
      </w:r>
      <w:r>
        <w:t> </w:t>
      </w:r>
      <w:r w:rsidRPr="00CD5DE4">
        <w:t xml:space="preserve">cent </w:t>
      </w:r>
      <w:r>
        <w:t xml:space="preserve">of the people living </w:t>
      </w:r>
      <w:r w:rsidRPr="00CD5DE4">
        <w:t>in th</w:t>
      </w:r>
      <w:r>
        <w:t>e Kimberley region</w:t>
      </w:r>
      <w:r w:rsidRPr="00CD5DE4">
        <w:t xml:space="preserve"> </w:t>
      </w:r>
      <w:r>
        <w:t xml:space="preserve">are Indigenous </w:t>
      </w:r>
      <w:r w:rsidRPr="00CD5DE4">
        <w:t>(ABS 2011</w:t>
      </w:r>
      <w:r>
        <w:t>b</w:t>
      </w:r>
      <w:r w:rsidRPr="00CD5DE4">
        <w:t>).</w:t>
      </w:r>
    </w:p>
  </w:footnote>
  <w:footnote w:id="12">
    <w:p w14:paraId="3079317B" w14:textId="2F2EDA24" w:rsidR="00704364" w:rsidRDefault="00704364" w:rsidP="0027512C">
      <w:pPr>
        <w:pStyle w:val="FootnoteText"/>
      </w:pPr>
      <w:r>
        <w:rPr>
          <w:rStyle w:val="FootnoteReference"/>
        </w:rPr>
        <w:footnoteRef/>
      </w:r>
      <w:r>
        <w:t xml:space="preserve"> This statistic notwithstanding</w:t>
      </w:r>
      <w:r w:rsidRPr="00E57E9E">
        <w:t xml:space="preserve">, </w:t>
      </w:r>
      <w:r>
        <w:t xml:space="preserve">anecdotal evidence suggests that the representation of </w:t>
      </w:r>
      <w:r w:rsidRPr="00E57E9E">
        <w:t>Indigenous workers within the workforce</w:t>
      </w:r>
      <w:r>
        <w:t xml:space="preserve"> of individual resource businesses</w:t>
      </w:r>
      <w:r w:rsidRPr="00E57E9E">
        <w:t xml:space="preserve"> has grown considerably over recent decades.</w:t>
      </w:r>
      <w:r w:rsidDel="0027512C">
        <w:t xml:space="preserve"> </w:t>
      </w:r>
      <w:r>
        <w:t>For instance, Rio Tinto reported that, as a share of its company’s total workforce, the proportion of Indigenous workers increased from less than half of one per cent during the mid-1990s to 8 per cent by 2010 (Rio Tinto 2011a).</w:t>
      </w:r>
    </w:p>
  </w:footnote>
  <w:footnote w:id="13">
    <w:p w14:paraId="7C14A783" w14:textId="367DE1AA" w:rsidR="00704364" w:rsidRDefault="00704364" w:rsidP="00E57E9E">
      <w:pPr>
        <w:pStyle w:val="FootnoteText"/>
      </w:pPr>
      <w:r>
        <w:rPr>
          <w:rStyle w:val="FootnoteReference"/>
        </w:rPr>
        <w:footnoteRef/>
      </w:r>
      <w:r>
        <w:t xml:space="preserve"> </w:t>
      </w:r>
      <w:r>
        <w:tab/>
        <w:t>This visa applies</w:t>
      </w:r>
      <w:r w:rsidRPr="00676B07">
        <w:t xml:space="preserve"> </w:t>
      </w:r>
      <w:r>
        <w:t>only for occupations that have been approved by the Australian Government.</w:t>
      </w:r>
    </w:p>
  </w:footnote>
  <w:footnote w:id="14">
    <w:p w14:paraId="3F6B3BEF" w14:textId="5E71D87C" w:rsidR="00704364" w:rsidRDefault="00704364" w:rsidP="00E57E9E">
      <w:pPr>
        <w:pStyle w:val="FootnoteText"/>
      </w:pPr>
      <w:r>
        <w:rPr>
          <w:rStyle w:val="FootnoteReference"/>
        </w:rPr>
        <w:footnoteRef/>
      </w:r>
      <w:r>
        <w:tab/>
        <w:t xml:space="preserve">This analysis focuses mainly on FIFO, rather than DIDO, employment. While FIFO arrangements appear to be most commonly used in Western Australia, </w:t>
      </w:r>
      <w:r w:rsidRPr="00D72F53">
        <w:t xml:space="preserve">DIDO arrangements are used in many regions of Queensland and New South Wales, where </w:t>
      </w:r>
      <w:r>
        <w:t>there are a larger number of established regional centres that can serve as a permanent residential base for workers in driving distance to the work sites</w:t>
      </w:r>
      <w:r w:rsidRPr="00D72F53">
        <w:t xml:space="preserve"> (MCA 2011).</w:t>
      </w:r>
    </w:p>
  </w:footnote>
  <w:footnote w:id="15">
    <w:p w14:paraId="7F5E12F0" w14:textId="0F0A74EA" w:rsidR="00704364" w:rsidRDefault="00704364" w:rsidP="003413F2">
      <w:pPr>
        <w:pStyle w:val="FootnoteText"/>
      </w:pPr>
      <w:r>
        <w:rPr>
          <w:rStyle w:val="FootnoteReference"/>
        </w:rPr>
        <w:footnoteRef/>
      </w:r>
      <w:r>
        <w:t xml:space="preserve"> </w:t>
      </w:r>
      <w:r>
        <w:tab/>
        <w:t>Based on the number employed in Mining or Construction, working in the main mining regions (limited to a selection of statistical areas known to be predominantly mining regions), but not permanently residing there. Where the distance between a worker’s place of residence and the mining region in which s/he worked was sufficiently large, s/he was assumed to be employed under FIFO arrangements (that is, workers who: worked in Darling Downs–Maranoa and lived in Toowoomba; worked in Fitzroy and lived in Mackay (or vice versa); or worked in the Hunter Valley and lived in Newcastle–Lake Macquarie.) Includes workers who worked offshore or were in long-distance transit for work purposes (classified as Migratory/Offshore/Shipping).</w:t>
      </w:r>
    </w:p>
  </w:footnote>
  <w:footnote w:id="16">
    <w:p w14:paraId="77D431CA" w14:textId="247DEA16" w:rsidR="00704364" w:rsidRDefault="00704364" w:rsidP="009011BB">
      <w:pPr>
        <w:pStyle w:val="FootnoteText"/>
      </w:pPr>
      <w:r>
        <w:rPr>
          <w:rStyle w:val="FootnoteReference"/>
        </w:rPr>
        <w:footnoteRef/>
      </w:r>
      <w:r>
        <w:t xml:space="preserve"> </w:t>
      </w:r>
      <w:r>
        <w:tab/>
        <w:t>The RBA publication’s estimate is a count of the number of ‘visitors’ in mining regions on Census night, but includes all visitors regardless of their industry of employment or whether or not they are employed. This approach has the benefit of capturing ancillary workers involved in the resources sector, who also work under FIFO arrangements (such as cleaning or transport workers contracted by mining companies), yet it also captures people who are visiting the area but not involved in mining (including workers involved in non-mining industries and tourists).</w:t>
      </w:r>
    </w:p>
  </w:footnote>
  <w:footnote w:id="17">
    <w:p w14:paraId="22870686" w14:textId="77777777" w:rsidR="00704364" w:rsidRDefault="00704364" w:rsidP="009011BB">
      <w:pPr>
        <w:pStyle w:val="FootnoteText"/>
      </w:pPr>
      <w:r>
        <w:rPr>
          <w:rStyle w:val="FootnoteReference"/>
        </w:rPr>
        <w:footnoteRef/>
      </w:r>
      <w:r>
        <w:t xml:space="preserve"> </w:t>
      </w:r>
      <w:r>
        <w:tab/>
        <w:t xml:space="preserve">KPMG’s estimate is a count of the number of mining or construction workers who commuted at least 100 kilometres to work (measured by the distance between the geographic centres of the statistical area in which they lived and the statistical area in which they worked). However, this count was not limited to workers commuting to mining regions: it encompasses workers who commuted to </w:t>
      </w:r>
      <w:r w:rsidRPr="001410C0">
        <w:rPr>
          <w:i/>
        </w:rPr>
        <w:t>any</w:t>
      </w:r>
      <w:r>
        <w:t xml:space="preserve"> region in Australia, which included metropolitan cities such as Sydney.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04364" w14:paraId="2D1B06E7" w14:textId="77777777">
      <w:tc>
        <w:tcPr>
          <w:tcW w:w="2155" w:type="dxa"/>
          <w:tcBorders>
            <w:top w:val="single" w:sz="24" w:space="0" w:color="auto"/>
          </w:tcBorders>
        </w:tcPr>
        <w:p w14:paraId="3458FDBF" w14:textId="77777777" w:rsidR="00704364" w:rsidRDefault="00704364" w:rsidP="0019293B">
          <w:pPr>
            <w:pStyle w:val="HeaderEven"/>
          </w:pPr>
        </w:p>
      </w:tc>
      <w:tc>
        <w:tcPr>
          <w:tcW w:w="6634" w:type="dxa"/>
          <w:tcBorders>
            <w:top w:val="single" w:sz="6" w:space="0" w:color="auto"/>
          </w:tcBorders>
        </w:tcPr>
        <w:p w14:paraId="550B49CC" w14:textId="77777777" w:rsidR="00704364" w:rsidRDefault="00704364" w:rsidP="0019293B">
          <w:pPr>
            <w:pStyle w:val="HeaderEven"/>
          </w:pPr>
        </w:p>
      </w:tc>
    </w:tr>
  </w:tbl>
  <w:p w14:paraId="00E4A610" w14:textId="77777777" w:rsidR="00704364" w:rsidRDefault="0070436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04364" w14:paraId="3F2BD9C5" w14:textId="77777777">
      <w:tc>
        <w:tcPr>
          <w:tcW w:w="6634" w:type="dxa"/>
          <w:tcBorders>
            <w:top w:val="single" w:sz="6" w:space="0" w:color="auto"/>
          </w:tcBorders>
        </w:tcPr>
        <w:p w14:paraId="069293C3" w14:textId="77777777" w:rsidR="00704364" w:rsidRDefault="00704364" w:rsidP="00E669E2">
          <w:pPr>
            <w:pStyle w:val="HeaderOdd"/>
          </w:pPr>
        </w:p>
      </w:tc>
      <w:tc>
        <w:tcPr>
          <w:tcW w:w="2155" w:type="dxa"/>
          <w:tcBorders>
            <w:top w:val="single" w:sz="24" w:space="0" w:color="auto"/>
          </w:tcBorders>
        </w:tcPr>
        <w:p w14:paraId="403B54AA" w14:textId="77777777" w:rsidR="00704364" w:rsidRDefault="00704364" w:rsidP="00E669E2">
          <w:pPr>
            <w:pStyle w:val="HeaderOdd"/>
          </w:pPr>
        </w:p>
      </w:tc>
    </w:tr>
  </w:tbl>
  <w:p w14:paraId="104E3682" w14:textId="77777777" w:rsidR="00704364" w:rsidRDefault="00704364"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E7AA" w14:textId="77777777" w:rsidR="002D40B3" w:rsidRDefault="002D40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lickAndTypeStyle w:val="BodyText"/>
  <w:evenAndOddHeaders/>
  <w:characterSpacingControl w:val="doNotCompress"/>
  <w:hdrShapeDefaults>
    <o:shapedefaults v:ext="edit" spidmax="190465"/>
  </w:hdrShapeDefaults>
  <w:footnotePr>
    <w:numStart w:val="49"/>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esources: a case study"/>
    <w:docVar w:name="ShortReportTitle" w:val="Looking back on structural change"/>
  </w:docVars>
  <w:rsids>
    <w:rsidRoot w:val="00AD7E1B"/>
    <w:rsid w:val="00005904"/>
    <w:rsid w:val="000106D9"/>
    <w:rsid w:val="00016379"/>
    <w:rsid w:val="00020868"/>
    <w:rsid w:val="000227D5"/>
    <w:rsid w:val="00023C48"/>
    <w:rsid w:val="000245AA"/>
    <w:rsid w:val="0003664B"/>
    <w:rsid w:val="000375C5"/>
    <w:rsid w:val="00040EED"/>
    <w:rsid w:val="0004111F"/>
    <w:rsid w:val="000506F6"/>
    <w:rsid w:val="00050844"/>
    <w:rsid w:val="00054BC2"/>
    <w:rsid w:val="000565B3"/>
    <w:rsid w:val="00057947"/>
    <w:rsid w:val="00063068"/>
    <w:rsid w:val="00063FFC"/>
    <w:rsid w:val="00065CFD"/>
    <w:rsid w:val="00066F1E"/>
    <w:rsid w:val="0007150B"/>
    <w:rsid w:val="000722A6"/>
    <w:rsid w:val="000805FF"/>
    <w:rsid w:val="000938F5"/>
    <w:rsid w:val="000945F7"/>
    <w:rsid w:val="00096ACF"/>
    <w:rsid w:val="00096BF5"/>
    <w:rsid w:val="00096E55"/>
    <w:rsid w:val="00097E48"/>
    <w:rsid w:val="000A51E7"/>
    <w:rsid w:val="000A7B41"/>
    <w:rsid w:val="000B0BE4"/>
    <w:rsid w:val="000B2BAA"/>
    <w:rsid w:val="000B5F5B"/>
    <w:rsid w:val="000B601B"/>
    <w:rsid w:val="000B62D3"/>
    <w:rsid w:val="000C05DD"/>
    <w:rsid w:val="000C207E"/>
    <w:rsid w:val="000C2760"/>
    <w:rsid w:val="000E24D9"/>
    <w:rsid w:val="000E62DC"/>
    <w:rsid w:val="000F0035"/>
    <w:rsid w:val="000F1151"/>
    <w:rsid w:val="000F1FAD"/>
    <w:rsid w:val="000F420B"/>
    <w:rsid w:val="000F47C2"/>
    <w:rsid w:val="000F498E"/>
    <w:rsid w:val="00101600"/>
    <w:rsid w:val="00104E8F"/>
    <w:rsid w:val="00107BE9"/>
    <w:rsid w:val="00110116"/>
    <w:rsid w:val="001170A3"/>
    <w:rsid w:val="00117FFB"/>
    <w:rsid w:val="00120072"/>
    <w:rsid w:val="00121C56"/>
    <w:rsid w:val="00126EB8"/>
    <w:rsid w:val="001274D4"/>
    <w:rsid w:val="001312E0"/>
    <w:rsid w:val="001363AA"/>
    <w:rsid w:val="001442CA"/>
    <w:rsid w:val="00147AD3"/>
    <w:rsid w:val="00150547"/>
    <w:rsid w:val="00155A17"/>
    <w:rsid w:val="00155ADE"/>
    <w:rsid w:val="00155DEE"/>
    <w:rsid w:val="0015732B"/>
    <w:rsid w:val="001664B5"/>
    <w:rsid w:val="001679AF"/>
    <w:rsid w:val="00175617"/>
    <w:rsid w:val="0017649E"/>
    <w:rsid w:val="00176880"/>
    <w:rsid w:val="00181039"/>
    <w:rsid w:val="00183E82"/>
    <w:rsid w:val="00184CB2"/>
    <w:rsid w:val="0018541B"/>
    <w:rsid w:val="001878BB"/>
    <w:rsid w:val="00191AE0"/>
    <w:rsid w:val="00192244"/>
    <w:rsid w:val="0019293B"/>
    <w:rsid w:val="0019758D"/>
    <w:rsid w:val="001B2B3B"/>
    <w:rsid w:val="001B4052"/>
    <w:rsid w:val="001B5446"/>
    <w:rsid w:val="001B5CD0"/>
    <w:rsid w:val="001C0865"/>
    <w:rsid w:val="001C1A56"/>
    <w:rsid w:val="001C2476"/>
    <w:rsid w:val="001C3ABA"/>
    <w:rsid w:val="001C3C77"/>
    <w:rsid w:val="001D172B"/>
    <w:rsid w:val="001D36AC"/>
    <w:rsid w:val="001D6603"/>
    <w:rsid w:val="001E55D9"/>
    <w:rsid w:val="001E7818"/>
    <w:rsid w:val="001E7BE8"/>
    <w:rsid w:val="001F0248"/>
    <w:rsid w:val="001F07E6"/>
    <w:rsid w:val="001F3EB3"/>
    <w:rsid w:val="001F4F86"/>
    <w:rsid w:val="001F7C7B"/>
    <w:rsid w:val="00202C2C"/>
    <w:rsid w:val="002031AE"/>
    <w:rsid w:val="002135AB"/>
    <w:rsid w:val="002144BE"/>
    <w:rsid w:val="002271C3"/>
    <w:rsid w:val="00237993"/>
    <w:rsid w:val="00237F2D"/>
    <w:rsid w:val="00242279"/>
    <w:rsid w:val="00245C82"/>
    <w:rsid w:val="00246E5C"/>
    <w:rsid w:val="00262FB2"/>
    <w:rsid w:val="00263D61"/>
    <w:rsid w:val="0027068D"/>
    <w:rsid w:val="0027247C"/>
    <w:rsid w:val="00272BF3"/>
    <w:rsid w:val="00273587"/>
    <w:rsid w:val="002743D6"/>
    <w:rsid w:val="0027512C"/>
    <w:rsid w:val="00275D4F"/>
    <w:rsid w:val="00275EEF"/>
    <w:rsid w:val="002775C0"/>
    <w:rsid w:val="0028018C"/>
    <w:rsid w:val="0028419E"/>
    <w:rsid w:val="002872CD"/>
    <w:rsid w:val="00287EEF"/>
    <w:rsid w:val="00291B40"/>
    <w:rsid w:val="002A07D6"/>
    <w:rsid w:val="002A5AA7"/>
    <w:rsid w:val="002A701F"/>
    <w:rsid w:val="002B1BDB"/>
    <w:rsid w:val="002B4008"/>
    <w:rsid w:val="002B5B1B"/>
    <w:rsid w:val="002C36B7"/>
    <w:rsid w:val="002C3FEA"/>
    <w:rsid w:val="002D0CB9"/>
    <w:rsid w:val="002D0E8E"/>
    <w:rsid w:val="002D4086"/>
    <w:rsid w:val="002D40B3"/>
    <w:rsid w:val="002D745E"/>
    <w:rsid w:val="002E5DA2"/>
    <w:rsid w:val="002F3F11"/>
    <w:rsid w:val="00301189"/>
    <w:rsid w:val="003034E2"/>
    <w:rsid w:val="00304DED"/>
    <w:rsid w:val="0031337A"/>
    <w:rsid w:val="0031404F"/>
    <w:rsid w:val="003166D9"/>
    <w:rsid w:val="00317377"/>
    <w:rsid w:val="0032170F"/>
    <w:rsid w:val="003238B2"/>
    <w:rsid w:val="00323E09"/>
    <w:rsid w:val="003243E7"/>
    <w:rsid w:val="00333932"/>
    <w:rsid w:val="00334F5A"/>
    <w:rsid w:val="00335C46"/>
    <w:rsid w:val="003413F2"/>
    <w:rsid w:val="00345224"/>
    <w:rsid w:val="003518AA"/>
    <w:rsid w:val="00352165"/>
    <w:rsid w:val="00353182"/>
    <w:rsid w:val="00353AD0"/>
    <w:rsid w:val="003544B2"/>
    <w:rsid w:val="00354EE3"/>
    <w:rsid w:val="003565D9"/>
    <w:rsid w:val="00357F9D"/>
    <w:rsid w:val="003602E1"/>
    <w:rsid w:val="003619F2"/>
    <w:rsid w:val="00362043"/>
    <w:rsid w:val="00365D49"/>
    <w:rsid w:val="003663FE"/>
    <w:rsid w:val="0037026F"/>
    <w:rsid w:val="00371240"/>
    <w:rsid w:val="00372068"/>
    <w:rsid w:val="0037236B"/>
    <w:rsid w:val="00373632"/>
    <w:rsid w:val="00374731"/>
    <w:rsid w:val="00374E04"/>
    <w:rsid w:val="00375066"/>
    <w:rsid w:val="00376E59"/>
    <w:rsid w:val="00380368"/>
    <w:rsid w:val="00382EB5"/>
    <w:rsid w:val="00383DFF"/>
    <w:rsid w:val="0038556A"/>
    <w:rsid w:val="00387FDE"/>
    <w:rsid w:val="003919F9"/>
    <w:rsid w:val="003923B2"/>
    <w:rsid w:val="00395E5F"/>
    <w:rsid w:val="00397125"/>
    <w:rsid w:val="003A1C9D"/>
    <w:rsid w:val="003A4B94"/>
    <w:rsid w:val="003B2086"/>
    <w:rsid w:val="003C09A6"/>
    <w:rsid w:val="003C09FC"/>
    <w:rsid w:val="003C0FB3"/>
    <w:rsid w:val="003C16B5"/>
    <w:rsid w:val="003C38B5"/>
    <w:rsid w:val="003C5D99"/>
    <w:rsid w:val="003C7978"/>
    <w:rsid w:val="003D0B97"/>
    <w:rsid w:val="003D3D40"/>
    <w:rsid w:val="003D4B6D"/>
    <w:rsid w:val="003E1F46"/>
    <w:rsid w:val="003E2F59"/>
    <w:rsid w:val="003F0789"/>
    <w:rsid w:val="003F6E77"/>
    <w:rsid w:val="00400858"/>
    <w:rsid w:val="00401882"/>
    <w:rsid w:val="004029E8"/>
    <w:rsid w:val="00402CB2"/>
    <w:rsid w:val="0040516F"/>
    <w:rsid w:val="004100C8"/>
    <w:rsid w:val="00411DBD"/>
    <w:rsid w:val="00412ACE"/>
    <w:rsid w:val="004135CA"/>
    <w:rsid w:val="00415585"/>
    <w:rsid w:val="004206C8"/>
    <w:rsid w:val="004217B6"/>
    <w:rsid w:val="0042247C"/>
    <w:rsid w:val="00427BBB"/>
    <w:rsid w:val="00431249"/>
    <w:rsid w:val="00432173"/>
    <w:rsid w:val="00432C9E"/>
    <w:rsid w:val="00434C19"/>
    <w:rsid w:val="004436D8"/>
    <w:rsid w:val="004500AF"/>
    <w:rsid w:val="00450810"/>
    <w:rsid w:val="004539A9"/>
    <w:rsid w:val="00464195"/>
    <w:rsid w:val="0046633C"/>
    <w:rsid w:val="004746A8"/>
    <w:rsid w:val="00475C30"/>
    <w:rsid w:val="004769F1"/>
    <w:rsid w:val="00477144"/>
    <w:rsid w:val="00477464"/>
    <w:rsid w:val="00477B09"/>
    <w:rsid w:val="00483F27"/>
    <w:rsid w:val="00486A42"/>
    <w:rsid w:val="00490EDE"/>
    <w:rsid w:val="00491380"/>
    <w:rsid w:val="0049459F"/>
    <w:rsid w:val="004952D3"/>
    <w:rsid w:val="00496F86"/>
    <w:rsid w:val="004A0CF0"/>
    <w:rsid w:val="004A38DD"/>
    <w:rsid w:val="004A5582"/>
    <w:rsid w:val="004A6639"/>
    <w:rsid w:val="004B0113"/>
    <w:rsid w:val="004B3507"/>
    <w:rsid w:val="004B3BC3"/>
    <w:rsid w:val="004B43AE"/>
    <w:rsid w:val="004B52E5"/>
    <w:rsid w:val="004B643C"/>
    <w:rsid w:val="004B7737"/>
    <w:rsid w:val="004C09AF"/>
    <w:rsid w:val="004C1618"/>
    <w:rsid w:val="004C1AE9"/>
    <w:rsid w:val="004C2321"/>
    <w:rsid w:val="004C30E6"/>
    <w:rsid w:val="004C30ED"/>
    <w:rsid w:val="004C5E08"/>
    <w:rsid w:val="004D19BD"/>
    <w:rsid w:val="004D21F5"/>
    <w:rsid w:val="004D5675"/>
    <w:rsid w:val="004E05F2"/>
    <w:rsid w:val="004E2E67"/>
    <w:rsid w:val="004E429B"/>
    <w:rsid w:val="004F2D74"/>
    <w:rsid w:val="004F3325"/>
    <w:rsid w:val="0050072F"/>
    <w:rsid w:val="0050130E"/>
    <w:rsid w:val="00501681"/>
    <w:rsid w:val="00502C44"/>
    <w:rsid w:val="005058AF"/>
    <w:rsid w:val="005122AA"/>
    <w:rsid w:val="00517C92"/>
    <w:rsid w:val="00520D43"/>
    <w:rsid w:val="00520DEA"/>
    <w:rsid w:val="005230AA"/>
    <w:rsid w:val="00523639"/>
    <w:rsid w:val="00523AE3"/>
    <w:rsid w:val="005254E4"/>
    <w:rsid w:val="005269BA"/>
    <w:rsid w:val="005305DA"/>
    <w:rsid w:val="00531FE5"/>
    <w:rsid w:val="005402FA"/>
    <w:rsid w:val="0054412B"/>
    <w:rsid w:val="005449F3"/>
    <w:rsid w:val="00552C97"/>
    <w:rsid w:val="00567471"/>
    <w:rsid w:val="005730A8"/>
    <w:rsid w:val="005769AE"/>
    <w:rsid w:val="00577EDF"/>
    <w:rsid w:val="00581997"/>
    <w:rsid w:val="005827A2"/>
    <w:rsid w:val="00583C39"/>
    <w:rsid w:val="00587F28"/>
    <w:rsid w:val="005909CF"/>
    <w:rsid w:val="00591897"/>
    <w:rsid w:val="00591E71"/>
    <w:rsid w:val="0059491B"/>
    <w:rsid w:val="005977E6"/>
    <w:rsid w:val="005A0D41"/>
    <w:rsid w:val="005A1932"/>
    <w:rsid w:val="005A32B0"/>
    <w:rsid w:val="005A55A1"/>
    <w:rsid w:val="005A6596"/>
    <w:rsid w:val="005A6C7F"/>
    <w:rsid w:val="005A77B3"/>
    <w:rsid w:val="005B3C49"/>
    <w:rsid w:val="005C1066"/>
    <w:rsid w:val="005C126A"/>
    <w:rsid w:val="005C3814"/>
    <w:rsid w:val="005C6FB1"/>
    <w:rsid w:val="005D013F"/>
    <w:rsid w:val="005D1DE7"/>
    <w:rsid w:val="005D2D49"/>
    <w:rsid w:val="005D54C7"/>
    <w:rsid w:val="005E0730"/>
    <w:rsid w:val="005E3026"/>
    <w:rsid w:val="005E679E"/>
    <w:rsid w:val="005E6D5C"/>
    <w:rsid w:val="0060727A"/>
    <w:rsid w:val="00607BF1"/>
    <w:rsid w:val="00610A2C"/>
    <w:rsid w:val="00613329"/>
    <w:rsid w:val="006139B2"/>
    <w:rsid w:val="00630D4D"/>
    <w:rsid w:val="00632A74"/>
    <w:rsid w:val="006568BF"/>
    <w:rsid w:val="006657F8"/>
    <w:rsid w:val="00676B07"/>
    <w:rsid w:val="00680656"/>
    <w:rsid w:val="00683AEA"/>
    <w:rsid w:val="00691075"/>
    <w:rsid w:val="0069109D"/>
    <w:rsid w:val="006924E1"/>
    <w:rsid w:val="006971A5"/>
    <w:rsid w:val="006A3C3F"/>
    <w:rsid w:val="006A4655"/>
    <w:rsid w:val="006A7145"/>
    <w:rsid w:val="006B2B3C"/>
    <w:rsid w:val="006B388C"/>
    <w:rsid w:val="006B6CCF"/>
    <w:rsid w:val="006C16A7"/>
    <w:rsid w:val="006C1D81"/>
    <w:rsid w:val="006C323C"/>
    <w:rsid w:val="006C325F"/>
    <w:rsid w:val="006C49BC"/>
    <w:rsid w:val="006C4EC7"/>
    <w:rsid w:val="006C5F97"/>
    <w:rsid w:val="006C7038"/>
    <w:rsid w:val="006D1874"/>
    <w:rsid w:val="006E01BF"/>
    <w:rsid w:val="006E1540"/>
    <w:rsid w:val="006E261A"/>
    <w:rsid w:val="006E73EF"/>
    <w:rsid w:val="006F116D"/>
    <w:rsid w:val="006F1C89"/>
    <w:rsid w:val="006F4645"/>
    <w:rsid w:val="006F65A3"/>
    <w:rsid w:val="00704364"/>
    <w:rsid w:val="00713008"/>
    <w:rsid w:val="007145EB"/>
    <w:rsid w:val="00714D4D"/>
    <w:rsid w:val="00724EA3"/>
    <w:rsid w:val="00727240"/>
    <w:rsid w:val="00733277"/>
    <w:rsid w:val="007345A6"/>
    <w:rsid w:val="007456AA"/>
    <w:rsid w:val="00753DE5"/>
    <w:rsid w:val="00755DFD"/>
    <w:rsid w:val="007604BB"/>
    <w:rsid w:val="00760C49"/>
    <w:rsid w:val="00763D93"/>
    <w:rsid w:val="00766A3B"/>
    <w:rsid w:val="00767355"/>
    <w:rsid w:val="0077416E"/>
    <w:rsid w:val="007744C0"/>
    <w:rsid w:val="00774BCF"/>
    <w:rsid w:val="00785232"/>
    <w:rsid w:val="00797889"/>
    <w:rsid w:val="007A21EB"/>
    <w:rsid w:val="007A4D8D"/>
    <w:rsid w:val="007A7770"/>
    <w:rsid w:val="007B0378"/>
    <w:rsid w:val="007B18C2"/>
    <w:rsid w:val="007B1A93"/>
    <w:rsid w:val="007B1BBA"/>
    <w:rsid w:val="007B364B"/>
    <w:rsid w:val="007B5624"/>
    <w:rsid w:val="007C36C9"/>
    <w:rsid w:val="007C6991"/>
    <w:rsid w:val="007C76F4"/>
    <w:rsid w:val="007D3764"/>
    <w:rsid w:val="007D6401"/>
    <w:rsid w:val="007D66A1"/>
    <w:rsid w:val="007E01E4"/>
    <w:rsid w:val="007E5143"/>
    <w:rsid w:val="007E5FEE"/>
    <w:rsid w:val="007E6222"/>
    <w:rsid w:val="007E79A6"/>
    <w:rsid w:val="007F26BC"/>
    <w:rsid w:val="007F7107"/>
    <w:rsid w:val="0080064B"/>
    <w:rsid w:val="00800AAE"/>
    <w:rsid w:val="00800D4C"/>
    <w:rsid w:val="00801012"/>
    <w:rsid w:val="008036EB"/>
    <w:rsid w:val="008060EF"/>
    <w:rsid w:val="0081030F"/>
    <w:rsid w:val="00810DF7"/>
    <w:rsid w:val="00811952"/>
    <w:rsid w:val="008125B2"/>
    <w:rsid w:val="00815737"/>
    <w:rsid w:val="00817F8B"/>
    <w:rsid w:val="0082087D"/>
    <w:rsid w:val="0082574E"/>
    <w:rsid w:val="00832494"/>
    <w:rsid w:val="008347B6"/>
    <w:rsid w:val="00835771"/>
    <w:rsid w:val="00835803"/>
    <w:rsid w:val="00836490"/>
    <w:rsid w:val="00837F28"/>
    <w:rsid w:val="00842933"/>
    <w:rsid w:val="008464ED"/>
    <w:rsid w:val="0084740C"/>
    <w:rsid w:val="00857466"/>
    <w:rsid w:val="0086082C"/>
    <w:rsid w:val="00864ADC"/>
    <w:rsid w:val="008756F3"/>
    <w:rsid w:val="00875F31"/>
    <w:rsid w:val="00880153"/>
    <w:rsid w:val="00880AE5"/>
    <w:rsid w:val="00880C84"/>
    <w:rsid w:val="00880F97"/>
    <w:rsid w:val="0088133A"/>
    <w:rsid w:val="00884179"/>
    <w:rsid w:val="0088463E"/>
    <w:rsid w:val="00891AA2"/>
    <w:rsid w:val="0089285E"/>
    <w:rsid w:val="0089436C"/>
    <w:rsid w:val="00896D72"/>
    <w:rsid w:val="00896E2C"/>
    <w:rsid w:val="008A1F13"/>
    <w:rsid w:val="008B2633"/>
    <w:rsid w:val="008C2B70"/>
    <w:rsid w:val="008C30E5"/>
    <w:rsid w:val="008C4368"/>
    <w:rsid w:val="008C697B"/>
    <w:rsid w:val="008D1B85"/>
    <w:rsid w:val="008D365C"/>
    <w:rsid w:val="008D52CC"/>
    <w:rsid w:val="008D7840"/>
    <w:rsid w:val="008E29F2"/>
    <w:rsid w:val="008F3839"/>
    <w:rsid w:val="008F6382"/>
    <w:rsid w:val="00900542"/>
    <w:rsid w:val="009011BB"/>
    <w:rsid w:val="00902567"/>
    <w:rsid w:val="009030BF"/>
    <w:rsid w:val="009059EF"/>
    <w:rsid w:val="0091032F"/>
    <w:rsid w:val="00911D07"/>
    <w:rsid w:val="00912B64"/>
    <w:rsid w:val="00914368"/>
    <w:rsid w:val="00917142"/>
    <w:rsid w:val="00920A34"/>
    <w:rsid w:val="009220C6"/>
    <w:rsid w:val="00922174"/>
    <w:rsid w:val="00931076"/>
    <w:rsid w:val="009312ED"/>
    <w:rsid w:val="009330C3"/>
    <w:rsid w:val="009345D9"/>
    <w:rsid w:val="00934B15"/>
    <w:rsid w:val="00940C87"/>
    <w:rsid w:val="00942B62"/>
    <w:rsid w:val="00942F22"/>
    <w:rsid w:val="0095323B"/>
    <w:rsid w:val="00956A0C"/>
    <w:rsid w:val="00956BD9"/>
    <w:rsid w:val="00960624"/>
    <w:rsid w:val="00962489"/>
    <w:rsid w:val="009642FE"/>
    <w:rsid w:val="009646C5"/>
    <w:rsid w:val="00965C23"/>
    <w:rsid w:val="009668DB"/>
    <w:rsid w:val="00967B82"/>
    <w:rsid w:val="00970800"/>
    <w:rsid w:val="00972E79"/>
    <w:rsid w:val="00973721"/>
    <w:rsid w:val="00985873"/>
    <w:rsid w:val="00987949"/>
    <w:rsid w:val="00990A91"/>
    <w:rsid w:val="00990C2C"/>
    <w:rsid w:val="009933C3"/>
    <w:rsid w:val="00994ADF"/>
    <w:rsid w:val="0099513D"/>
    <w:rsid w:val="009A0CEF"/>
    <w:rsid w:val="009A2CCA"/>
    <w:rsid w:val="009A5086"/>
    <w:rsid w:val="009B2983"/>
    <w:rsid w:val="009B2B42"/>
    <w:rsid w:val="009B51CF"/>
    <w:rsid w:val="009D1E3E"/>
    <w:rsid w:val="009D6071"/>
    <w:rsid w:val="009D7CCE"/>
    <w:rsid w:val="009E1844"/>
    <w:rsid w:val="009E3659"/>
    <w:rsid w:val="009F0D1B"/>
    <w:rsid w:val="009F696D"/>
    <w:rsid w:val="009F6BC6"/>
    <w:rsid w:val="009F79FF"/>
    <w:rsid w:val="00A0246D"/>
    <w:rsid w:val="00A13437"/>
    <w:rsid w:val="00A1584D"/>
    <w:rsid w:val="00A163F0"/>
    <w:rsid w:val="00A17328"/>
    <w:rsid w:val="00A23A20"/>
    <w:rsid w:val="00A247AC"/>
    <w:rsid w:val="00A268B9"/>
    <w:rsid w:val="00A2703A"/>
    <w:rsid w:val="00A271D4"/>
    <w:rsid w:val="00A30461"/>
    <w:rsid w:val="00A33DFF"/>
    <w:rsid w:val="00A35115"/>
    <w:rsid w:val="00A3607C"/>
    <w:rsid w:val="00A36D9A"/>
    <w:rsid w:val="00A4165A"/>
    <w:rsid w:val="00A43B2A"/>
    <w:rsid w:val="00A43C78"/>
    <w:rsid w:val="00A468D6"/>
    <w:rsid w:val="00A50547"/>
    <w:rsid w:val="00A525CF"/>
    <w:rsid w:val="00A5333A"/>
    <w:rsid w:val="00A539A6"/>
    <w:rsid w:val="00A549F9"/>
    <w:rsid w:val="00A554AB"/>
    <w:rsid w:val="00A57062"/>
    <w:rsid w:val="00A571DE"/>
    <w:rsid w:val="00A60097"/>
    <w:rsid w:val="00A62BAA"/>
    <w:rsid w:val="00A671B3"/>
    <w:rsid w:val="00A73D57"/>
    <w:rsid w:val="00A746B7"/>
    <w:rsid w:val="00A77F43"/>
    <w:rsid w:val="00A86F18"/>
    <w:rsid w:val="00A90A05"/>
    <w:rsid w:val="00A92B53"/>
    <w:rsid w:val="00A93E54"/>
    <w:rsid w:val="00A94FA6"/>
    <w:rsid w:val="00AA499A"/>
    <w:rsid w:val="00AA49A0"/>
    <w:rsid w:val="00AA51F6"/>
    <w:rsid w:val="00AA6710"/>
    <w:rsid w:val="00AB0681"/>
    <w:rsid w:val="00AB4FDA"/>
    <w:rsid w:val="00AC5267"/>
    <w:rsid w:val="00AC6612"/>
    <w:rsid w:val="00AD19E2"/>
    <w:rsid w:val="00AD520B"/>
    <w:rsid w:val="00AD5940"/>
    <w:rsid w:val="00AD7E1B"/>
    <w:rsid w:val="00AE41C5"/>
    <w:rsid w:val="00AE5565"/>
    <w:rsid w:val="00AF3E8F"/>
    <w:rsid w:val="00AF5BAD"/>
    <w:rsid w:val="00AF7982"/>
    <w:rsid w:val="00B01A9E"/>
    <w:rsid w:val="00B02917"/>
    <w:rsid w:val="00B0448A"/>
    <w:rsid w:val="00B046CF"/>
    <w:rsid w:val="00B05130"/>
    <w:rsid w:val="00B05160"/>
    <w:rsid w:val="00B108B9"/>
    <w:rsid w:val="00B11D10"/>
    <w:rsid w:val="00B12C33"/>
    <w:rsid w:val="00B1633A"/>
    <w:rsid w:val="00B2365A"/>
    <w:rsid w:val="00B25F76"/>
    <w:rsid w:val="00B274D1"/>
    <w:rsid w:val="00B35C27"/>
    <w:rsid w:val="00B379E8"/>
    <w:rsid w:val="00B409D9"/>
    <w:rsid w:val="00B425C3"/>
    <w:rsid w:val="00B440AD"/>
    <w:rsid w:val="00B479BB"/>
    <w:rsid w:val="00B50216"/>
    <w:rsid w:val="00B52F11"/>
    <w:rsid w:val="00B53E7E"/>
    <w:rsid w:val="00B579EE"/>
    <w:rsid w:val="00B62892"/>
    <w:rsid w:val="00B62B03"/>
    <w:rsid w:val="00B6303E"/>
    <w:rsid w:val="00B6342E"/>
    <w:rsid w:val="00B67262"/>
    <w:rsid w:val="00B7113F"/>
    <w:rsid w:val="00B72009"/>
    <w:rsid w:val="00B73815"/>
    <w:rsid w:val="00B77E83"/>
    <w:rsid w:val="00B77F79"/>
    <w:rsid w:val="00B83038"/>
    <w:rsid w:val="00B83D0A"/>
    <w:rsid w:val="00B83E8A"/>
    <w:rsid w:val="00B94EA9"/>
    <w:rsid w:val="00B978C7"/>
    <w:rsid w:val="00BA6D70"/>
    <w:rsid w:val="00BA73B6"/>
    <w:rsid w:val="00BA7E27"/>
    <w:rsid w:val="00BB0953"/>
    <w:rsid w:val="00BB0BF7"/>
    <w:rsid w:val="00BB0EC8"/>
    <w:rsid w:val="00BB205E"/>
    <w:rsid w:val="00BB2603"/>
    <w:rsid w:val="00BB3CC4"/>
    <w:rsid w:val="00BB4FCD"/>
    <w:rsid w:val="00BB50D2"/>
    <w:rsid w:val="00BC04E9"/>
    <w:rsid w:val="00BC1600"/>
    <w:rsid w:val="00BC2276"/>
    <w:rsid w:val="00BC402A"/>
    <w:rsid w:val="00BC5D5F"/>
    <w:rsid w:val="00BD065B"/>
    <w:rsid w:val="00BD13EA"/>
    <w:rsid w:val="00BD1750"/>
    <w:rsid w:val="00BD1FEB"/>
    <w:rsid w:val="00BD210B"/>
    <w:rsid w:val="00BD2FB5"/>
    <w:rsid w:val="00BD3A1E"/>
    <w:rsid w:val="00BD3BDA"/>
    <w:rsid w:val="00BE3808"/>
    <w:rsid w:val="00C0256E"/>
    <w:rsid w:val="00C054B1"/>
    <w:rsid w:val="00C05C34"/>
    <w:rsid w:val="00C062E9"/>
    <w:rsid w:val="00C07B64"/>
    <w:rsid w:val="00C07F98"/>
    <w:rsid w:val="00C10B64"/>
    <w:rsid w:val="00C10D84"/>
    <w:rsid w:val="00C13721"/>
    <w:rsid w:val="00C14FE4"/>
    <w:rsid w:val="00C238B7"/>
    <w:rsid w:val="00C3066D"/>
    <w:rsid w:val="00C306F8"/>
    <w:rsid w:val="00C30D0C"/>
    <w:rsid w:val="00C406F6"/>
    <w:rsid w:val="00C41E70"/>
    <w:rsid w:val="00C45401"/>
    <w:rsid w:val="00C5076F"/>
    <w:rsid w:val="00C50938"/>
    <w:rsid w:val="00C51797"/>
    <w:rsid w:val="00C52416"/>
    <w:rsid w:val="00C543F4"/>
    <w:rsid w:val="00C60DD9"/>
    <w:rsid w:val="00C61509"/>
    <w:rsid w:val="00C6291C"/>
    <w:rsid w:val="00C633CB"/>
    <w:rsid w:val="00C64150"/>
    <w:rsid w:val="00C65110"/>
    <w:rsid w:val="00C6685C"/>
    <w:rsid w:val="00C67355"/>
    <w:rsid w:val="00C67B28"/>
    <w:rsid w:val="00C736B7"/>
    <w:rsid w:val="00C738BD"/>
    <w:rsid w:val="00C760C0"/>
    <w:rsid w:val="00C76968"/>
    <w:rsid w:val="00C77E3E"/>
    <w:rsid w:val="00C81D4A"/>
    <w:rsid w:val="00C846F6"/>
    <w:rsid w:val="00C8762C"/>
    <w:rsid w:val="00C979B4"/>
    <w:rsid w:val="00C97D30"/>
    <w:rsid w:val="00CA00F9"/>
    <w:rsid w:val="00CA2961"/>
    <w:rsid w:val="00CA3E02"/>
    <w:rsid w:val="00CA469D"/>
    <w:rsid w:val="00CA522F"/>
    <w:rsid w:val="00CA6B46"/>
    <w:rsid w:val="00CB026E"/>
    <w:rsid w:val="00CB139C"/>
    <w:rsid w:val="00CB50D7"/>
    <w:rsid w:val="00CB55A3"/>
    <w:rsid w:val="00CB60C6"/>
    <w:rsid w:val="00CB6194"/>
    <w:rsid w:val="00CB7177"/>
    <w:rsid w:val="00CC1998"/>
    <w:rsid w:val="00CC4946"/>
    <w:rsid w:val="00CD4E99"/>
    <w:rsid w:val="00CD58D8"/>
    <w:rsid w:val="00CD7555"/>
    <w:rsid w:val="00CD7CDC"/>
    <w:rsid w:val="00CE40CF"/>
    <w:rsid w:val="00CF46BA"/>
    <w:rsid w:val="00D166E9"/>
    <w:rsid w:val="00D23307"/>
    <w:rsid w:val="00D270A4"/>
    <w:rsid w:val="00D31FE9"/>
    <w:rsid w:val="00D34E1B"/>
    <w:rsid w:val="00D376BA"/>
    <w:rsid w:val="00D42AA8"/>
    <w:rsid w:val="00D44EA0"/>
    <w:rsid w:val="00D45634"/>
    <w:rsid w:val="00D50E47"/>
    <w:rsid w:val="00D5568A"/>
    <w:rsid w:val="00D56384"/>
    <w:rsid w:val="00D56B13"/>
    <w:rsid w:val="00D57B51"/>
    <w:rsid w:val="00D62782"/>
    <w:rsid w:val="00D63257"/>
    <w:rsid w:val="00D63D73"/>
    <w:rsid w:val="00D64452"/>
    <w:rsid w:val="00D66E1E"/>
    <w:rsid w:val="00D67AFA"/>
    <w:rsid w:val="00D7294C"/>
    <w:rsid w:val="00D75722"/>
    <w:rsid w:val="00D77992"/>
    <w:rsid w:val="00D80CF5"/>
    <w:rsid w:val="00D85D35"/>
    <w:rsid w:val="00D867D8"/>
    <w:rsid w:val="00D876FB"/>
    <w:rsid w:val="00D90251"/>
    <w:rsid w:val="00D903B5"/>
    <w:rsid w:val="00D9781B"/>
    <w:rsid w:val="00DA088D"/>
    <w:rsid w:val="00DA5BBA"/>
    <w:rsid w:val="00DA6D88"/>
    <w:rsid w:val="00DB1CBC"/>
    <w:rsid w:val="00DB26D2"/>
    <w:rsid w:val="00DB67C9"/>
    <w:rsid w:val="00DC0C95"/>
    <w:rsid w:val="00DD0D58"/>
    <w:rsid w:val="00DD5DD8"/>
    <w:rsid w:val="00DD6580"/>
    <w:rsid w:val="00DD6A20"/>
    <w:rsid w:val="00DE7778"/>
    <w:rsid w:val="00DF0F2D"/>
    <w:rsid w:val="00DF21A0"/>
    <w:rsid w:val="00DF26AD"/>
    <w:rsid w:val="00DF4724"/>
    <w:rsid w:val="00DF6EA3"/>
    <w:rsid w:val="00E0009E"/>
    <w:rsid w:val="00E01FFE"/>
    <w:rsid w:val="00E032A3"/>
    <w:rsid w:val="00E05546"/>
    <w:rsid w:val="00E075F9"/>
    <w:rsid w:val="00E11E4C"/>
    <w:rsid w:val="00E123DC"/>
    <w:rsid w:val="00E17075"/>
    <w:rsid w:val="00E17C72"/>
    <w:rsid w:val="00E2049A"/>
    <w:rsid w:val="00E21FC6"/>
    <w:rsid w:val="00E26848"/>
    <w:rsid w:val="00E31DC6"/>
    <w:rsid w:val="00E32DEC"/>
    <w:rsid w:val="00E4295D"/>
    <w:rsid w:val="00E431A9"/>
    <w:rsid w:val="00E45734"/>
    <w:rsid w:val="00E53030"/>
    <w:rsid w:val="00E54F0A"/>
    <w:rsid w:val="00E55BE7"/>
    <w:rsid w:val="00E5768C"/>
    <w:rsid w:val="00E57E9E"/>
    <w:rsid w:val="00E669E2"/>
    <w:rsid w:val="00E70101"/>
    <w:rsid w:val="00E75A6F"/>
    <w:rsid w:val="00E76135"/>
    <w:rsid w:val="00E8041C"/>
    <w:rsid w:val="00E82F4F"/>
    <w:rsid w:val="00E95867"/>
    <w:rsid w:val="00EA085C"/>
    <w:rsid w:val="00EA0BDC"/>
    <w:rsid w:val="00EA3D6B"/>
    <w:rsid w:val="00EA70C7"/>
    <w:rsid w:val="00EC04F2"/>
    <w:rsid w:val="00EC1682"/>
    <w:rsid w:val="00EC2844"/>
    <w:rsid w:val="00EC5500"/>
    <w:rsid w:val="00EC5F5B"/>
    <w:rsid w:val="00EC65B9"/>
    <w:rsid w:val="00ED18F8"/>
    <w:rsid w:val="00ED2125"/>
    <w:rsid w:val="00ED226C"/>
    <w:rsid w:val="00ED27EB"/>
    <w:rsid w:val="00ED3169"/>
    <w:rsid w:val="00ED592E"/>
    <w:rsid w:val="00EE3044"/>
    <w:rsid w:val="00EE3822"/>
    <w:rsid w:val="00EE7B2F"/>
    <w:rsid w:val="00EE7C8D"/>
    <w:rsid w:val="00EF0388"/>
    <w:rsid w:val="00EF22F7"/>
    <w:rsid w:val="00EF362B"/>
    <w:rsid w:val="00EF54E9"/>
    <w:rsid w:val="00EF6C6C"/>
    <w:rsid w:val="00EF7CA0"/>
    <w:rsid w:val="00F028E6"/>
    <w:rsid w:val="00F056FC"/>
    <w:rsid w:val="00F057AC"/>
    <w:rsid w:val="00F0724E"/>
    <w:rsid w:val="00F10476"/>
    <w:rsid w:val="00F1071B"/>
    <w:rsid w:val="00F135D8"/>
    <w:rsid w:val="00F14178"/>
    <w:rsid w:val="00F155B5"/>
    <w:rsid w:val="00F15E71"/>
    <w:rsid w:val="00F2131A"/>
    <w:rsid w:val="00F24003"/>
    <w:rsid w:val="00F30778"/>
    <w:rsid w:val="00F31299"/>
    <w:rsid w:val="00F3534A"/>
    <w:rsid w:val="00F35972"/>
    <w:rsid w:val="00F45225"/>
    <w:rsid w:val="00F51609"/>
    <w:rsid w:val="00F5343C"/>
    <w:rsid w:val="00F609E3"/>
    <w:rsid w:val="00F62CA1"/>
    <w:rsid w:val="00F66387"/>
    <w:rsid w:val="00F72D2E"/>
    <w:rsid w:val="00F81006"/>
    <w:rsid w:val="00F85325"/>
    <w:rsid w:val="00F86E6E"/>
    <w:rsid w:val="00F87477"/>
    <w:rsid w:val="00F87D99"/>
    <w:rsid w:val="00F94FD2"/>
    <w:rsid w:val="00F962BB"/>
    <w:rsid w:val="00FA071C"/>
    <w:rsid w:val="00FA0981"/>
    <w:rsid w:val="00FA240A"/>
    <w:rsid w:val="00FB0564"/>
    <w:rsid w:val="00FB4DD3"/>
    <w:rsid w:val="00FB58A7"/>
    <w:rsid w:val="00FC3A27"/>
    <w:rsid w:val="00FC6557"/>
    <w:rsid w:val="00FC7444"/>
    <w:rsid w:val="00FD22B1"/>
    <w:rsid w:val="00FE4C9D"/>
    <w:rsid w:val="00FE5397"/>
    <w:rsid w:val="00FE5C63"/>
    <w:rsid w:val="00FE7E5E"/>
    <w:rsid w:val="00FF0A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uiPriority="99" w:qFormat="1"/>
    <w:lsdException w:name="heading 3" w:uiPriority="99" w:qFormat="1"/>
    <w:lsdException w:name="heading 4" w:uiPriority="99" w:qFormat="1"/>
    <w:lsdException w:name="heading 5" w:qFormat="1"/>
    <w:lsdException w:name="footnote text" w:uiPriority="99"/>
    <w:lsdException w:name="annotation text" w:uiPriority="99"/>
    <w:lsdException w:name="caption" w:uiPriority="35" w:qFormat="1"/>
    <w:lsdException w:name="footnote reference" w:uiPriority="99"/>
    <w:lsdException w:name="annotation reference" w:uiPriority="99"/>
    <w:lsdException w:name="List Bullet" w:uiPriority="99"/>
    <w:lsdException w:name="List Bullet 2" w:uiPriority="99"/>
    <w:lsdException w:name="Body Text" w:uiPriority="99"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9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88463E"/>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uiPriority w:val="9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9"/>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9"/>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uiPriority w:val="99"/>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uiPriority w:val="99"/>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uiPriority w:val="99"/>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uiPriority w:val="35"/>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uiPriority w:val="99"/>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uiPriority w:val="99"/>
    <w:rsid w:val="00DB67C9"/>
    <w:pPr>
      <w:numPr>
        <w:numId w:val="6"/>
      </w:numPr>
      <w:spacing w:before="120"/>
    </w:pPr>
  </w:style>
  <w:style w:type="paragraph" w:styleId="ListBullet2">
    <w:name w:val="List Bullet 2"/>
    <w:basedOn w:val="BodyText"/>
    <w:uiPriority w:val="99"/>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2Char">
    <w:name w:val="Heading 2 Char"/>
    <w:basedOn w:val="DefaultParagraphFont"/>
    <w:link w:val="Heading2"/>
    <w:uiPriority w:val="99"/>
    <w:rsid w:val="00AD7E1B"/>
    <w:rPr>
      <w:rFonts w:ascii="Arial" w:hAnsi="Arial"/>
      <w:b/>
      <w:sz w:val="32"/>
    </w:rPr>
  </w:style>
  <w:style w:type="character" w:customStyle="1" w:styleId="BodyTextChar">
    <w:name w:val="Body Text Char"/>
    <w:basedOn w:val="DefaultParagraphFont"/>
    <w:link w:val="BodyText"/>
    <w:uiPriority w:val="99"/>
    <w:rsid w:val="00AD7E1B"/>
    <w:rPr>
      <w:sz w:val="26"/>
    </w:rPr>
  </w:style>
  <w:style w:type="character" w:customStyle="1" w:styleId="FootnoteTextChar">
    <w:name w:val="Footnote Text Char"/>
    <w:basedOn w:val="DefaultParagraphFont"/>
    <w:link w:val="FootnoteText"/>
    <w:uiPriority w:val="99"/>
    <w:rsid w:val="00AD7E1B"/>
    <w:rPr>
      <w:sz w:val="22"/>
    </w:rPr>
  </w:style>
  <w:style w:type="character" w:customStyle="1" w:styleId="Heading3Char">
    <w:name w:val="Heading 3 Char"/>
    <w:basedOn w:val="DefaultParagraphFont"/>
    <w:link w:val="Heading3"/>
    <w:uiPriority w:val="99"/>
    <w:rsid w:val="00AD7E1B"/>
    <w:rPr>
      <w:rFonts w:ascii="Arial" w:hAnsi="Arial"/>
      <w:b/>
      <w:sz w:val="26"/>
    </w:rPr>
  </w:style>
  <w:style w:type="paragraph" w:customStyle="1" w:styleId="BoxSpace">
    <w:name w:val="Box Space"/>
    <w:basedOn w:val="BodyText"/>
    <w:uiPriority w:val="99"/>
    <w:rsid w:val="00EF0388"/>
    <w:pPr>
      <w:keepNext/>
      <w:spacing w:before="360" w:line="80" w:lineRule="exact"/>
      <w:jc w:val="left"/>
    </w:pPr>
  </w:style>
  <w:style w:type="character" w:customStyle="1" w:styleId="CommentTextChar">
    <w:name w:val="Comment Text Char"/>
    <w:basedOn w:val="DefaultParagraphFont"/>
    <w:link w:val="CommentText"/>
    <w:uiPriority w:val="99"/>
    <w:semiHidden/>
    <w:rsid w:val="00EF0388"/>
    <w:rPr>
      <w:szCs w:val="24"/>
    </w:rPr>
  </w:style>
  <w:style w:type="character" w:customStyle="1" w:styleId="Heading4Char">
    <w:name w:val="Heading 4 Char"/>
    <w:basedOn w:val="DefaultParagraphFont"/>
    <w:link w:val="Heading4"/>
    <w:uiPriority w:val="99"/>
    <w:rsid w:val="00EF0388"/>
    <w:rPr>
      <w:rFonts w:ascii="Arial" w:hAnsi="Arial"/>
      <w:i/>
      <w:sz w:val="24"/>
    </w:rPr>
  </w:style>
  <w:style w:type="character" w:customStyle="1" w:styleId="QuoteChar">
    <w:name w:val="Quote Char"/>
    <w:basedOn w:val="DefaultParagraphFont"/>
    <w:link w:val="Quote"/>
    <w:uiPriority w:val="99"/>
    <w:rsid w:val="00EF0388"/>
    <w:rPr>
      <w:sz w:val="24"/>
    </w:rPr>
  </w:style>
  <w:style w:type="paragraph" w:styleId="CommentSubject">
    <w:name w:val="annotation subject"/>
    <w:basedOn w:val="CommentText"/>
    <w:next w:val="CommentText"/>
    <w:link w:val="CommentSubjectChar"/>
    <w:rsid w:val="0031404F"/>
    <w:pPr>
      <w:spacing w:before="0" w:line="240" w:lineRule="auto"/>
      <w:ind w:left="0" w:firstLine="0"/>
    </w:pPr>
    <w:rPr>
      <w:b/>
      <w:bCs/>
      <w:szCs w:val="20"/>
    </w:rPr>
  </w:style>
  <w:style w:type="character" w:customStyle="1" w:styleId="CommentSubjectChar">
    <w:name w:val="Comment Subject Char"/>
    <w:basedOn w:val="CommentTextChar"/>
    <w:link w:val="CommentSubject"/>
    <w:rsid w:val="0031404F"/>
    <w:rPr>
      <w:b/>
      <w:bCs/>
      <w:szCs w:val="24"/>
    </w:rPr>
  </w:style>
  <w:style w:type="paragraph" w:styleId="Revision">
    <w:name w:val="Revision"/>
    <w:hidden/>
    <w:uiPriority w:val="99"/>
    <w:semiHidden/>
    <w:rsid w:val="00181039"/>
    <w:rPr>
      <w:sz w:val="26"/>
      <w:szCs w:val="24"/>
    </w:rPr>
  </w:style>
  <w:style w:type="character" w:customStyle="1" w:styleId="Heading1Char">
    <w:name w:val="Heading 1 Char"/>
    <w:basedOn w:val="DefaultParagraphFont"/>
    <w:link w:val="Heading1"/>
    <w:rsid w:val="00E57E9E"/>
    <w:rPr>
      <w:sz w:val="52"/>
    </w:rPr>
  </w:style>
  <w:style w:type="character" w:customStyle="1" w:styleId="Heading5Char">
    <w:name w:val="Heading 5 Char"/>
    <w:basedOn w:val="DefaultParagraphFont"/>
    <w:link w:val="Heading5"/>
    <w:rsid w:val="00E57E9E"/>
    <w:rPr>
      <w:i/>
      <w:sz w:val="26"/>
    </w:rPr>
  </w:style>
  <w:style w:type="character" w:customStyle="1" w:styleId="Heading6Char">
    <w:name w:val="Heading 6 Char"/>
    <w:basedOn w:val="DefaultParagraphFont"/>
    <w:link w:val="Heading6"/>
    <w:rsid w:val="00E57E9E"/>
    <w:rPr>
      <w:i/>
      <w:sz w:val="22"/>
    </w:rPr>
  </w:style>
  <w:style w:type="character" w:customStyle="1" w:styleId="Heading7Char">
    <w:name w:val="Heading 7 Char"/>
    <w:basedOn w:val="DefaultParagraphFont"/>
    <w:link w:val="Heading7"/>
    <w:rsid w:val="00E57E9E"/>
    <w:rPr>
      <w:rFonts w:ascii="Arial" w:hAnsi="Arial"/>
    </w:rPr>
  </w:style>
  <w:style w:type="character" w:customStyle="1" w:styleId="Heading8Char">
    <w:name w:val="Heading 8 Char"/>
    <w:basedOn w:val="DefaultParagraphFont"/>
    <w:link w:val="Heading8"/>
    <w:rsid w:val="00E57E9E"/>
    <w:rPr>
      <w:rFonts w:ascii="Arial" w:hAnsi="Arial"/>
      <w:i/>
    </w:rPr>
  </w:style>
  <w:style w:type="character" w:customStyle="1" w:styleId="Heading9Char">
    <w:name w:val="Heading 9 Char"/>
    <w:basedOn w:val="DefaultParagraphFont"/>
    <w:link w:val="Heading9"/>
    <w:rsid w:val="00E57E9E"/>
    <w:rPr>
      <w:rFonts w:ascii="Arial" w:hAnsi="Arial"/>
      <w:b/>
      <w:i/>
      <w:sz w:val="18"/>
    </w:rPr>
  </w:style>
  <w:style w:type="character" w:customStyle="1" w:styleId="FooterChar">
    <w:name w:val="Footer Char"/>
    <w:basedOn w:val="DefaultParagraphFont"/>
    <w:link w:val="Footer"/>
    <w:semiHidden/>
    <w:rsid w:val="00E57E9E"/>
    <w:rPr>
      <w:caps/>
      <w:spacing w:val="-4"/>
      <w:sz w:val="16"/>
    </w:rPr>
  </w:style>
  <w:style w:type="character" w:customStyle="1" w:styleId="HeaderChar">
    <w:name w:val="Header Char"/>
    <w:basedOn w:val="DefaultParagraphFont"/>
    <w:link w:val="Header"/>
    <w:rsid w:val="00E57E9E"/>
    <w:rPr>
      <w:rFonts w:ascii="Arial" w:hAnsi="Arial"/>
      <w:caps/>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uiPriority="99" w:qFormat="1"/>
    <w:lsdException w:name="heading 3" w:uiPriority="99" w:qFormat="1"/>
    <w:lsdException w:name="heading 4" w:uiPriority="99" w:qFormat="1"/>
    <w:lsdException w:name="heading 5" w:qFormat="1"/>
    <w:lsdException w:name="footnote text" w:uiPriority="99"/>
    <w:lsdException w:name="annotation text" w:uiPriority="99"/>
    <w:lsdException w:name="caption" w:uiPriority="35" w:qFormat="1"/>
    <w:lsdException w:name="footnote reference" w:uiPriority="99"/>
    <w:lsdException w:name="annotation reference" w:uiPriority="99"/>
    <w:lsdException w:name="List Bullet" w:uiPriority="99"/>
    <w:lsdException w:name="List Bullet 2" w:uiPriority="99"/>
    <w:lsdException w:name="Body Text" w:uiPriority="99"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9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88463E"/>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uiPriority w:val="9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9"/>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9"/>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uiPriority w:val="99"/>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uiPriority w:val="99"/>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uiPriority w:val="99"/>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uiPriority w:val="35"/>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uiPriority w:val="99"/>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uiPriority w:val="99"/>
    <w:rsid w:val="00DB67C9"/>
    <w:pPr>
      <w:numPr>
        <w:numId w:val="6"/>
      </w:numPr>
      <w:spacing w:before="120"/>
    </w:pPr>
  </w:style>
  <w:style w:type="paragraph" w:styleId="ListBullet2">
    <w:name w:val="List Bullet 2"/>
    <w:basedOn w:val="BodyText"/>
    <w:uiPriority w:val="99"/>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2Char">
    <w:name w:val="Heading 2 Char"/>
    <w:basedOn w:val="DefaultParagraphFont"/>
    <w:link w:val="Heading2"/>
    <w:uiPriority w:val="99"/>
    <w:rsid w:val="00AD7E1B"/>
    <w:rPr>
      <w:rFonts w:ascii="Arial" w:hAnsi="Arial"/>
      <w:b/>
      <w:sz w:val="32"/>
    </w:rPr>
  </w:style>
  <w:style w:type="character" w:customStyle="1" w:styleId="BodyTextChar">
    <w:name w:val="Body Text Char"/>
    <w:basedOn w:val="DefaultParagraphFont"/>
    <w:link w:val="BodyText"/>
    <w:uiPriority w:val="99"/>
    <w:rsid w:val="00AD7E1B"/>
    <w:rPr>
      <w:sz w:val="26"/>
    </w:rPr>
  </w:style>
  <w:style w:type="character" w:customStyle="1" w:styleId="FootnoteTextChar">
    <w:name w:val="Footnote Text Char"/>
    <w:basedOn w:val="DefaultParagraphFont"/>
    <w:link w:val="FootnoteText"/>
    <w:uiPriority w:val="99"/>
    <w:rsid w:val="00AD7E1B"/>
    <w:rPr>
      <w:sz w:val="22"/>
    </w:rPr>
  </w:style>
  <w:style w:type="character" w:customStyle="1" w:styleId="Heading3Char">
    <w:name w:val="Heading 3 Char"/>
    <w:basedOn w:val="DefaultParagraphFont"/>
    <w:link w:val="Heading3"/>
    <w:uiPriority w:val="99"/>
    <w:rsid w:val="00AD7E1B"/>
    <w:rPr>
      <w:rFonts w:ascii="Arial" w:hAnsi="Arial"/>
      <w:b/>
      <w:sz w:val="26"/>
    </w:rPr>
  </w:style>
  <w:style w:type="paragraph" w:customStyle="1" w:styleId="BoxSpace">
    <w:name w:val="Box Space"/>
    <w:basedOn w:val="BodyText"/>
    <w:uiPriority w:val="99"/>
    <w:rsid w:val="00EF0388"/>
    <w:pPr>
      <w:keepNext/>
      <w:spacing w:before="360" w:line="80" w:lineRule="exact"/>
      <w:jc w:val="left"/>
    </w:pPr>
  </w:style>
  <w:style w:type="character" w:customStyle="1" w:styleId="CommentTextChar">
    <w:name w:val="Comment Text Char"/>
    <w:basedOn w:val="DefaultParagraphFont"/>
    <w:link w:val="CommentText"/>
    <w:uiPriority w:val="99"/>
    <w:semiHidden/>
    <w:rsid w:val="00EF0388"/>
    <w:rPr>
      <w:szCs w:val="24"/>
    </w:rPr>
  </w:style>
  <w:style w:type="character" w:customStyle="1" w:styleId="Heading4Char">
    <w:name w:val="Heading 4 Char"/>
    <w:basedOn w:val="DefaultParagraphFont"/>
    <w:link w:val="Heading4"/>
    <w:uiPriority w:val="99"/>
    <w:rsid w:val="00EF0388"/>
    <w:rPr>
      <w:rFonts w:ascii="Arial" w:hAnsi="Arial"/>
      <w:i/>
      <w:sz w:val="24"/>
    </w:rPr>
  </w:style>
  <w:style w:type="character" w:customStyle="1" w:styleId="QuoteChar">
    <w:name w:val="Quote Char"/>
    <w:basedOn w:val="DefaultParagraphFont"/>
    <w:link w:val="Quote"/>
    <w:uiPriority w:val="99"/>
    <w:rsid w:val="00EF0388"/>
    <w:rPr>
      <w:sz w:val="24"/>
    </w:rPr>
  </w:style>
  <w:style w:type="paragraph" w:styleId="CommentSubject">
    <w:name w:val="annotation subject"/>
    <w:basedOn w:val="CommentText"/>
    <w:next w:val="CommentText"/>
    <w:link w:val="CommentSubjectChar"/>
    <w:rsid w:val="0031404F"/>
    <w:pPr>
      <w:spacing w:before="0" w:line="240" w:lineRule="auto"/>
      <w:ind w:left="0" w:firstLine="0"/>
    </w:pPr>
    <w:rPr>
      <w:b/>
      <w:bCs/>
      <w:szCs w:val="20"/>
    </w:rPr>
  </w:style>
  <w:style w:type="character" w:customStyle="1" w:styleId="CommentSubjectChar">
    <w:name w:val="Comment Subject Char"/>
    <w:basedOn w:val="CommentTextChar"/>
    <w:link w:val="CommentSubject"/>
    <w:rsid w:val="0031404F"/>
    <w:rPr>
      <w:b/>
      <w:bCs/>
      <w:szCs w:val="24"/>
    </w:rPr>
  </w:style>
  <w:style w:type="paragraph" w:styleId="Revision">
    <w:name w:val="Revision"/>
    <w:hidden/>
    <w:uiPriority w:val="99"/>
    <w:semiHidden/>
    <w:rsid w:val="00181039"/>
    <w:rPr>
      <w:sz w:val="26"/>
      <w:szCs w:val="24"/>
    </w:rPr>
  </w:style>
  <w:style w:type="character" w:customStyle="1" w:styleId="Heading1Char">
    <w:name w:val="Heading 1 Char"/>
    <w:basedOn w:val="DefaultParagraphFont"/>
    <w:link w:val="Heading1"/>
    <w:rsid w:val="00E57E9E"/>
    <w:rPr>
      <w:sz w:val="52"/>
    </w:rPr>
  </w:style>
  <w:style w:type="character" w:customStyle="1" w:styleId="Heading5Char">
    <w:name w:val="Heading 5 Char"/>
    <w:basedOn w:val="DefaultParagraphFont"/>
    <w:link w:val="Heading5"/>
    <w:rsid w:val="00E57E9E"/>
    <w:rPr>
      <w:i/>
      <w:sz w:val="26"/>
    </w:rPr>
  </w:style>
  <w:style w:type="character" w:customStyle="1" w:styleId="Heading6Char">
    <w:name w:val="Heading 6 Char"/>
    <w:basedOn w:val="DefaultParagraphFont"/>
    <w:link w:val="Heading6"/>
    <w:rsid w:val="00E57E9E"/>
    <w:rPr>
      <w:i/>
      <w:sz w:val="22"/>
    </w:rPr>
  </w:style>
  <w:style w:type="character" w:customStyle="1" w:styleId="Heading7Char">
    <w:name w:val="Heading 7 Char"/>
    <w:basedOn w:val="DefaultParagraphFont"/>
    <w:link w:val="Heading7"/>
    <w:rsid w:val="00E57E9E"/>
    <w:rPr>
      <w:rFonts w:ascii="Arial" w:hAnsi="Arial"/>
    </w:rPr>
  </w:style>
  <w:style w:type="character" w:customStyle="1" w:styleId="Heading8Char">
    <w:name w:val="Heading 8 Char"/>
    <w:basedOn w:val="DefaultParagraphFont"/>
    <w:link w:val="Heading8"/>
    <w:rsid w:val="00E57E9E"/>
    <w:rPr>
      <w:rFonts w:ascii="Arial" w:hAnsi="Arial"/>
      <w:i/>
    </w:rPr>
  </w:style>
  <w:style w:type="character" w:customStyle="1" w:styleId="Heading9Char">
    <w:name w:val="Heading 9 Char"/>
    <w:basedOn w:val="DefaultParagraphFont"/>
    <w:link w:val="Heading9"/>
    <w:rsid w:val="00E57E9E"/>
    <w:rPr>
      <w:rFonts w:ascii="Arial" w:hAnsi="Arial"/>
      <w:b/>
      <w:i/>
      <w:sz w:val="18"/>
    </w:rPr>
  </w:style>
  <w:style w:type="character" w:customStyle="1" w:styleId="FooterChar">
    <w:name w:val="Footer Char"/>
    <w:basedOn w:val="DefaultParagraphFont"/>
    <w:link w:val="Footer"/>
    <w:semiHidden/>
    <w:rsid w:val="00E57E9E"/>
    <w:rPr>
      <w:caps/>
      <w:spacing w:val="-4"/>
      <w:sz w:val="16"/>
    </w:rPr>
  </w:style>
  <w:style w:type="character" w:customStyle="1" w:styleId="HeaderChar">
    <w:name w:val="Header Char"/>
    <w:basedOn w:val="DefaultParagraphFont"/>
    <w:link w:val="Header"/>
    <w:rsid w:val="00E57E9E"/>
    <w:rPr>
      <w:rFonts w:ascii="Arial" w:hAnsi="Arial"/>
      <w:cap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886330">
      <w:bodyDiv w:val="1"/>
      <w:marLeft w:val="0"/>
      <w:marRight w:val="0"/>
      <w:marTop w:val="0"/>
      <w:marBottom w:val="0"/>
      <w:divBdr>
        <w:top w:val="none" w:sz="0" w:space="0" w:color="auto"/>
        <w:left w:val="none" w:sz="0" w:space="0" w:color="auto"/>
        <w:bottom w:val="none" w:sz="0" w:space="0" w:color="auto"/>
        <w:right w:val="none" w:sz="0" w:space="0" w:color="auto"/>
      </w:divBdr>
    </w:div>
    <w:div w:id="1110973158">
      <w:bodyDiv w:val="1"/>
      <w:marLeft w:val="0"/>
      <w:marRight w:val="0"/>
      <w:marTop w:val="0"/>
      <w:marBottom w:val="0"/>
      <w:divBdr>
        <w:top w:val="none" w:sz="0" w:space="0" w:color="auto"/>
        <w:left w:val="none" w:sz="0" w:space="0" w:color="auto"/>
        <w:bottom w:val="none" w:sz="0" w:space="0" w:color="auto"/>
        <w:right w:val="none" w:sz="0" w:space="0" w:color="auto"/>
      </w:divBdr>
    </w:div>
    <w:div w:id="1572158708">
      <w:bodyDiv w:val="1"/>
      <w:marLeft w:val="0"/>
      <w:marRight w:val="0"/>
      <w:marTop w:val="0"/>
      <w:marBottom w:val="0"/>
      <w:divBdr>
        <w:top w:val="none" w:sz="0" w:space="0" w:color="auto"/>
        <w:left w:val="none" w:sz="0" w:space="0" w:color="auto"/>
        <w:bottom w:val="none" w:sz="0" w:space="0" w:color="auto"/>
        <w:right w:val="none" w:sz="0" w:space="0" w:color="auto"/>
      </w:divBdr>
    </w:div>
    <w:div w:id="188829908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6393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9"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chart" Target="charts/chart12.xml"/><Relationship Id="rId34" Type="http://schemas.openxmlformats.org/officeDocument/2006/relationships/chart" Target="charts/chart25.xml"/><Relationship Id="rId42"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chart" Target="charts/chart24.xml"/><Relationship Id="rId38" Type="http://schemas.openxmlformats.org/officeDocument/2006/relationships/chart" Target="charts/chart29.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chart" Target="charts/chart20.xm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chart" Target="charts/chart23.xml"/><Relationship Id="rId37" Type="http://schemas.openxmlformats.org/officeDocument/2006/relationships/chart" Target="charts/chart28.xml"/><Relationship Id="rId40" Type="http://schemas.openxmlformats.org/officeDocument/2006/relationships/header" Target="header2.xml"/><Relationship Id="rId45"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chart" Target="charts/chart19.xml"/><Relationship Id="rId36" Type="http://schemas.openxmlformats.org/officeDocument/2006/relationships/chart" Target="charts/chart27.xml"/><Relationship Id="rId10" Type="http://schemas.openxmlformats.org/officeDocument/2006/relationships/chart" Target="charts/chart1.xml"/><Relationship Id="rId19" Type="http://schemas.openxmlformats.org/officeDocument/2006/relationships/chart" Target="charts/chart10.xml"/><Relationship Id="rId31" Type="http://schemas.openxmlformats.org/officeDocument/2006/relationships/chart" Target="charts/chart22.xml"/><Relationship Id="rId44"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chart" Target="charts/chart21.xml"/><Relationship Id="rId35" Type="http://schemas.openxmlformats.org/officeDocument/2006/relationships/chart" Target="charts/chart26.xml"/><Relationship Id="rId43"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2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26.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27.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28.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_rels/chart29.xml.rels><?xml version="1.0" encoding="UTF-8" standalone="yes"?>
<Relationships xmlns="http://schemas.openxmlformats.org/package/2006/relationships"><Relationship Id="rId2" Type="http://schemas.openxmlformats.org/officeDocument/2006/relationships/oleObject" Target="Book3" TargetMode="External"/><Relationship Id="rId1" Type="http://schemas.openxmlformats.org/officeDocument/2006/relationships/themeOverride" Target="../theme/themeOverride7.xm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35673999132289"/>
          <c:y val="0.11702654867256637"/>
          <c:w val="0.77153270173744248"/>
          <c:h val="0.76700375356337724"/>
        </c:manualLayout>
      </c:layout>
      <c:lineChart>
        <c:grouping val="standard"/>
        <c:varyColors val="0"/>
        <c:ser>
          <c:idx val="0"/>
          <c:order val="0"/>
          <c:tx>
            <c:strRef>
              <c:f>'Figure 6.1'!$C$5</c:f>
              <c:strCache>
                <c:ptCount val="1"/>
                <c:pt idx="0">
                  <c:v>Iron ore</c:v>
                </c:pt>
              </c:strCache>
            </c:strRef>
          </c:tx>
          <c:spPr>
            <a:ln w="19050">
              <a:solidFill>
                <a:srgbClr val="344893"/>
              </a:solidFill>
            </a:ln>
          </c:spPr>
          <c:marker>
            <c:symbol val="none"/>
          </c:marker>
          <c:cat>
            <c:strRef>
              <c:f>'Figure 6.1'!$D$3:$CS$3</c:f>
              <c:strCache>
                <c:ptCount val="94"/>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strCache>
            </c:strRef>
          </c:cat>
          <c:val>
            <c:numRef>
              <c:f>'Figure 6.1'!$D$5:$CS$5</c:f>
              <c:numCache>
                <c:formatCode>#\ ##0</c:formatCode>
                <c:ptCount val="94"/>
                <c:pt idx="0">
                  <c:v>79.345426279971988</c:v>
                </c:pt>
                <c:pt idx="1">
                  <c:v>76.620924355822027</c:v>
                </c:pt>
                <c:pt idx="2">
                  <c:v>81.272008022598229</c:v>
                </c:pt>
                <c:pt idx="3">
                  <c:v>88.464201864941273</c:v>
                </c:pt>
                <c:pt idx="4">
                  <c:v>90.825815049595846</c:v>
                </c:pt>
                <c:pt idx="5">
                  <c:v>89.969183382302347</c:v>
                </c:pt>
                <c:pt idx="6">
                  <c:v>90.300034988124978</c:v>
                </c:pt>
                <c:pt idx="7">
                  <c:v>104.64449870343354</c:v>
                </c:pt>
                <c:pt idx="8">
                  <c:v>105.29252834025162</c:v>
                </c:pt>
                <c:pt idx="9">
                  <c:v>105.53460134504169</c:v>
                </c:pt>
                <c:pt idx="10">
                  <c:v>111.8065642255112</c:v>
                </c:pt>
                <c:pt idx="11">
                  <c:v>115.2336795103632</c:v>
                </c:pt>
                <c:pt idx="12">
                  <c:v>112.94794055323463</c:v>
                </c:pt>
                <c:pt idx="13">
                  <c:v>111.89059102535118</c:v>
                </c:pt>
                <c:pt idx="14">
                  <c:v>115.25381288486081</c:v>
                </c:pt>
                <c:pt idx="15">
                  <c:v>106.51315087853582</c:v>
                </c:pt>
                <c:pt idx="16">
                  <c:v>105.54771976920193</c:v>
                </c:pt>
                <c:pt idx="17">
                  <c:v>107.62101087213028</c:v>
                </c:pt>
                <c:pt idx="18">
                  <c:v>100.73832453877738</c:v>
                </c:pt>
                <c:pt idx="19">
                  <c:v>91.998343250670146</c:v>
                </c:pt>
                <c:pt idx="20">
                  <c:v>92.973779696666085</c:v>
                </c:pt>
                <c:pt idx="21">
                  <c:v>95.629941339706264</c:v>
                </c:pt>
                <c:pt idx="22">
                  <c:v>93.42849697101714</c:v>
                </c:pt>
                <c:pt idx="23">
                  <c:v>83.777595957896239</c:v>
                </c:pt>
                <c:pt idx="24">
                  <c:v>82.993104333946306</c:v>
                </c:pt>
                <c:pt idx="25">
                  <c:v>84.360853449009369</c:v>
                </c:pt>
                <c:pt idx="26">
                  <c:v>85.672988083036913</c:v>
                </c:pt>
                <c:pt idx="27">
                  <c:v>90.788245365025176</c:v>
                </c:pt>
                <c:pt idx="28">
                  <c:v>93.856074879343851</c:v>
                </c:pt>
                <c:pt idx="29">
                  <c:v>91.421400894464924</c:v>
                </c:pt>
                <c:pt idx="30">
                  <c:v>93.310418049898644</c:v>
                </c:pt>
                <c:pt idx="31">
                  <c:v>100.54618892257028</c:v>
                </c:pt>
                <c:pt idx="32">
                  <c:v>101.30015349039812</c:v>
                </c:pt>
                <c:pt idx="33">
                  <c:v>96.758064390932205</c:v>
                </c:pt>
                <c:pt idx="34">
                  <c:v>100.78004390959531</c:v>
                </c:pt>
                <c:pt idx="35">
                  <c:v>98.735210351027874</c:v>
                </c:pt>
                <c:pt idx="36">
                  <c:v>97.926590829727644</c:v>
                </c:pt>
                <c:pt idx="37">
                  <c:v>99.371901256405621</c:v>
                </c:pt>
                <c:pt idx="38">
                  <c:v>96.892795180051507</c:v>
                </c:pt>
                <c:pt idx="39">
                  <c:v>100.24995909682794</c:v>
                </c:pt>
                <c:pt idx="40">
                  <c:v>103.42551405782665</c:v>
                </c:pt>
                <c:pt idx="41">
                  <c:v>102.94073579103357</c:v>
                </c:pt>
                <c:pt idx="42">
                  <c:v>98.21093578687092</c:v>
                </c:pt>
                <c:pt idx="43">
                  <c:v>91.122269509156567</c:v>
                </c:pt>
                <c:pt idx="44">
                  <c:v>89.871279255055569</c:v>
                </c:pt>
                <c:pt idx="45">
                  <c:v>89.027167969464998</c:v>
                </c:pt>
                <c:pt idx="46">
                  <c:v>85.224029562506217</c:v>
                </c:pt>
                <c:pt idx="47">
                  <c:v>90.590835240947072</c:v>
                </c:pt>
                <c:pt idx="48">
                  <c:v>84.93760773152033</c:v>
                </c:pt>
                <c:pt idx="49">
                  <c:v>94.647740272375032</c:v>
                </c:pt>
                <c:pt idx="50">
                  <c:v>89.468623733389848</c:v>
                </c:pt>
                <c:pt idx="51">
                  <c:v>94.286995725705552</c:v>
                </c:pt>
                <c:pt idx="52">
                  <c:v>94.409679598663544</c:v>
                </c:pt>
                <c:pt idx="53">
                  <c:v>98.013029476182737</c:v>
                </c:pt>
                <c:pt idx="54">
                  <c:v>95.89408252427819</c:v>
                </c:pt>
                <c:pt idx="55">
                  <c:v>92.245667113507778</c:v>
                </c:pt>
                <c:pt idx="56">
                  <c:v>92.45758366797503</c:v>
                </c:pt>
                <c:pt idx="57">
                  <c:v>94.793111965957863</c:v>
                </c:pt>
                <c:pt idx="58">
                  <c:v>92.908553820770351</c:v>
                </c:pt>
                <c:pt idx="59">
                  <c:v>100</c:v>
                </c:pt>
                <c:pt idx="60">
                  <c:v>102.38795547345156</c:v>
                </c:pt>
                <c:pt idx="61">
                  <c:v>103.84661210018378</c:v>
                </c:pt>
                <c:pt idx="62">
                  <c:v>107.46204595621219</c:v>
                </c:pt>
                <c:pt idx="63">
                  <c:v>123.43086470647116</c:v>
                </c:pt>
                <c:pt idx="64">
                  <c:v>124.96254535230304</c:v>
                </c:pt>
                <c:pt idx="65">
                  <c:v>128.23444620365885</c:v>
                </c:pt>
                <c:pt idx="66">
                  <c:v>129.3163435780414</c:v>
                </c:pt>
                <c:pt idx="67">
                  <c:v>214.88222383142855</c:v>
                </c:pt>
                <c:pt idx="68">
                  <c:v>211.74120808525004</c:v>
                </c:pt>
                <c:pt idx="69">
                  <c:v>216.68821777104881</c:v>
                </c:pt>
                <c:pt idx="70">
                  <c:v>215.01660182186941</c:v>
                </c:pt>
                <c:pt idx="71">
                  <c:v>251.33594921389863</c:v>
                </c:pt>
                <c:pt idx="72">
                  <c:v>252.12126946456465</c:v>
                </c:pt>
                <c:pt idx="73">
                  <c:v>256.83404618827518</c:v>
                </c:pt>
                <c:pt idx="74">
                  <c:v>265.57599321290638</c:v>
                </c:pt>
                <c:pt idx="75">
                  <c:v>283.44165577584891</c:v>
                </c:pt>
                <c:pt idx="76">
                  <c:v>295.6014356332438</c:v>
                </c:pt>
                <c:pt idx="77">
                  <c:v>318.36773836415892</c:v>
                </c:pt>
                <c:pt idx="78">
                  <c:v>345.90103350489585</c:v>
                </c:pt>
                <c:pt idx="79">
                  <c:v>463.4168477205173</c:v>
                </c:pt>
                <c:pt idx="80">
                  <c:v>532.78256056981877</c:v>
                </c:pt>
                <c:pt idx="81">
                  <c:v>421.70022118048553</c:v>
                </c:pt>
                <c:pt idx="82">
                  <c:v>421.06245433328496</c:v>
                </c:pt>
                <c:pt idx="83">
                  <c:v>341.82481931009499</c:v>
                </c:pt>
                <c:pt idx="84">
                  <c:v>360.19499985982708</c:v>
                </c:pt>
                <c:pt idx="85">
                  <c:v>353.19395452801956</c:v>
                </c:pt>
                <c:pt idx="86">
                  <c:v>438.2750220274749</c:v>
                </c:pt>
                <c:pt idx="87">
                  <c:v>593.52828849616367</c:v>
                </c:pt>
                <c:pt idx="88">
                  <c:v>702.20640103409426</c:v>
                </c:pt>
                <c:pt idx="89">
                  <c:v>671.88605676662132</c:v>
                </c:pt>
                <c:pt idx="90">
                  <c:v>782.81778064816467</c:v>
                </c:pt>
                <c:pt idx="91">
                  <c:v>788.32561496838832</c:v>
                </c:pt>
                <c:pt idx="92">
                  <c:v>680.94613900112745</c:v>
                </c:pt>
                <c:pt idx="93">
                  <c:v>600.554379235704</c:v>
                </c:pt>
              </c:numCache>
            </c:numRef>
          </c:val>
          <c:smooth val="0"/>
        </c:ser>
        <c:ser>
          <c:idx val="1"/>
          <c:order val="1"/>
          <c:tx>
            <c:strRef>
              <c:f>'Figure 6.1'!$C$6</c:f>
              <c:strCache>
                <c:ptCount val="1"/>
                <c:pt idx="0">
                  <c:v>Uranium</c:v>
                </c:pt>
              </c:strCache>
            </c:strRef>
          </c:tx>
          <c:spPr>
            <a:ln w="19050">
              <a:solidFill>
                <a:srgbClr val="86A20B"/>
              </a:solidFill>
              <a:prstDash val="sysDash"/>
            </a:ln>
          </c:spPr>
          <c:marker>
            <c:symbol val="none"/>
          </c:marker>
          <c:cat>
            <c:strRef>
              <c:f>'Figure 6.1'!$D$3:$CS$3</c:f>
              <c:strCache>
                <c:ptCount val="94"/>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strCache>
            </c:strRef>
          </c:cat>
          <c:val>
            <c:numRef>
              <c:f>'Figure 6.1'!$D$6:$CS$6</c:f>
              <c:numCache>
                <c:formatCode>#\ ##0</c:formatCode>
                <c:ptCount val="94"/>
                <c:pt idx="0">
                  <c:v>127.06422018348623</c:v>
                </c:pt>
                <c:pt idx="1">
                  <c:v>110.09174311926606</c:v>
                </c:pt>
                <c:pt idx="2">
                  <c:v>98.623853211009177</c:v>
                </c:pt>
                <c:pt idx="3">
                  <c:v>88.532110091743121</c:v>
                </c:pt>
                <c:pt idx="4">
                  <c:v>88.073394495412842</c:v>
                </c:pt>
                <c:pt idx="5">
                  <c:v>82.568807339449535</c:v>
                </c:pt>
                <c:pt idx="6">
                  <c:v>80.733944954128447</c:v>
                </c:pt>
                <c:pt idx="7">
                  <c:v>100.91743119266054</c:v>
                </c:pt>
                <c:pt idx="8">
                  <c:v>96.330275229357795</c:v>
                </c:pt>
                <c:pt idx="9">
                  <c:v>88.532110091743121</c:v>
                </c:pt>
                <c:pt idx="10">
                  <c:v>86.238532110091739</c:v>
                </c:pt>
                <c:pt idx="11">
                  <c:v>83.486238532110093</c:v>
                </c:pt>
                <c:pt idx="12">
                  <c:v>75.688073394495405</c:v>
                </c:pt>
                <c:pt idx="13">
                  <c:v>80.275229357798167</c:v>
                </c:pt>
                <c:pt idx="14">
                  <c:v>72.477064220183479</c:v>
                </c:pt>
                <c:pt idx="15">
                  <c:v>72.477064220183479</c:v>
                </c:pt>
                <c:pt idx="16">
                  <c:v>78.89908256880733</c:v>
                </c:pt>
                <c:pt idx="17">
                  <c:v>91.743119266055047</c:v>
                </c:pt>
                <c:pt idx="18">
                  <c:v>93.577981651376135</c:v>
                </c:pt>
                <c:pt idx="19">
                  <c:v>94.495412844036693</c:v>
                </c:pt>
                <c:pt idx="20">
                  <c:v>94.495412844036693</c:v>
                </c:pt>
                <c:pt idx="21">
                  <c:v>90.825688073394488</c:v>
                </c:pt>
                <c:pt idx="22">
                  <c:v>87.155963302752298</c:v>
                </c:pt>
                <c:pt idx="23">
                  <c:v>84.862385321100916</c:v>
                </c:pt>
                <c:pt idx="24">
                  <c:v>83.486238532110093</c:v>
                </c:pt>
                <c:pt idx="25">
                  <c:v>88.073394495412842</c:v>
                </c:pt>
                <c:pt idx="26">
                  <c:v>100.91743119266054</c:v>
                </c:pt>
                <c:pt idx="27">
                  <c:v>107.79816513761467</c:v>
                </c:pt>
                <c:pt idx="28">
                  <c:v>108.25688073394495</c:v>
                </c:pt>
                <c:pt idx="29">
                  <c:v>112.38532110091742</c:v>
                </c:pt>
                <c:pt idx="30">
                  <c:v>145.87155963302752</c:v>
                </c:pt>
                <c:pt idx="31">
                  <c:v>152.2935779816514</c:v>
                </c:pt>
                <c:pt idx="32">
                  <c:v>145.87155963302752</c:v>
                </c:pt>
                <c:pt idx="33">
                  <c:v>134.8623853211009</c:v>
                </c:pt>
                <c:pt idx="34">
                  <c:v>119.26605504587155</c:v>
                </c:pt>
                <c:pt idx="35">
                  <c:v>98.165137614678898</c:v>
                </c:pt>
                <c:pt idx="36">
                  <c:v>99.541284403669721</c:v>
                </c:pt>
                <c:pt idx="37">
                  <c:v>111.46788990825688</c:v>
                </c:pt>
                <c:pt idx="38">
                  <c:v>98.165137614678898</c:v>
                </c:pt>
                <c:pt idx="39">
                  <c:v>100</c:v>
                </c:pt>
                <c:pt idx="40">
                  <c:v>90.825688073394488</c:v>
                </c:pt>
                <c:pt idx="41">
                  <c:v>80.275229357798167</c:v>
                </c:pt>
                <c:pt idx="42">
                  <c:v>99.541284403669721</c:v>
                </c:pt>
                <c:pt idx="43">
                  <c:v>95.412844036697251</c:v>
                </c:pt>
                <c:pt idx="44">
                  <c:v>90.825688073394488</c:v>
                </c:pt>
                <c:pt idx="45">
                  <c:v>88.073394495412842</c:v>
                </c:pt>
                <c:pt idx="46">
                  <c:v>84.403669724770623</c:v>
                </c:pt>
                <c:pt idx="47">
                  <c:v>74.77064220183486</c:v>
                </c:pt>
                <c:pt idx="48">
                  <c:v>68.348623853211009</c:v>
                </c:pt>
                <c:pt idx="49">
                  <c:v>65.137614678899084</c:v>
                </c:pt>
                <c:pt idx="50">
                  <c:v>75.229357798165125</c:v>
                </c:pt>
                <c:pt idx="51">
                  <c:v>81.651376146788991</c:v>
                </c:pt>
                <c:pt idx="52">
                  <c:v>85.321100917431195</c:v>
                </c:pt>
                <c:pt idx="53">
                  <c:v>87.155963302752298</c:v>
                </c:pt>
                <c:pt idx="54">
                  <c:v>90.825688073394488</c:v>
                </c:pt>
                <c:pt idx="55">
                  <c:v>90.825688073394488</c:v>
                </c:pt>
                <c:pt idx="56">
                  <c:v>89.449541284403665</c:v>
                </c:pt>
                <c:pt idx="57">
                  <c:v>93.577981651376135</c:v>
                </c:pt>
                <c:pt idx="58">
                  <c:v>92.660550458715591</c:v>
                </c:pt>
                <c:pt idx="59">
                  <c:v>100</c:v>
                </c:pt>
                <c:pt idx="60">
                  <c:v>111.92660550458716</c:v>
                </c:pt>
                <c:pt idx="61">
                  <c:v>133.02752293577981</c:v>
                </c:pt>
                <c:pt idx="62">
                  <c:v>160.55045871559633</c:v>
                </c:pt>
                <c:pt idx="63">
                  <c:v>169.72477064220183</c:v>
                </c:pt>
                <c:pt idx="64">
                  <c:v>183.48623853211009</c:v>
                </c:pt>
                <c:pt idx="65">
                  <c:v>189.90825688073394</c:v>
                </c:pt>
                <c:pt idx="66">
                  <c:v>206.42201834862385</c:v>
                </c:pt>
                <c:pt idx="67">
                  <c:v>266.05504587155963</c:v>
                </c:pt>
                <c:pt idx="68">
                  <c:v>286.69724770642199</c:v>
                </c:pt>
                <c:pt idx="69">
                  <c:v>332.56880733944951</c:v>
                </c:pt>
                <c:pt idx="70">
                  <c:v>371.55963302752292</c:v>
                </c:pt>
                <c:pt idx="71">
                  <c:v>417.43119266055044</c:v>
                </c:pt>
                <c:pt idx="72">
                  <c:v>495.41284403669721</c:v>
                </c:pt>
                <c:pt idx="73">
                  <c:v>660.55045871559628</c:v>
                </c:pt>
                <c:pt idx="74">
                  <c:v>871.55963302752286</c:v>
                </c:pt>
                <c:pt idx="75">
                  <c:v>1247.7064220183486</c:v>
                </c:pt>
                <c:pt idx="76">
                  <c:v>779.81651376146783</c:v>
                </c:pt>
                <c:pt idx="77">
                  <c:v>825.6880733944954</c:v>
                </c:pt>
                <c:pt idx="78">
                  <c:v>651.37614678899081</c:v>
                </c:pt>
                <c:pt idx="79">
                  <c:v>541.28440366972472</c:v>
                </c:pt>
                <c:pt idx="80">
                  <c:v>486.23853211009174</c:v>
                </c:pt>
                <c:pt idx="81">
                  <c:v>486.23853211009174</c:v>
                </c:pt>
                <c:pt idx="82">
                  <c:v>385.32110091743118</c:v>
                </c:pt>
                <c:pt idx="83">
                  <c:v>477.06422018348621</c:v>
                </c:pt>
                <c:pt idx="84">
                  <c:v>392.20183486238528</c:v>
                </c:pt>
                <c:pt idx="85">
                  <c:v>408.25688073394497</c:v>
                </c:pt>
                <c:pt idx="86">
                  <c:v>385.32110091743118</c:v>
                </c:pt>
                <c:pt idx="87">
                  <c:v>383.02752293577981</c:v>
                </c:pt>
                <c:pt idx="88">
                  <c:v>422.01834862385317</c:v>
                </c:pt>
                <c:pt idx="89">
                  <c:v>573.39449541284398</c:v>
                </c:pt>
                <c:pt idx="90">
                  <c:v>573.39449541284398</c:v>
                </c:pt>
                <c:pt idx="91">
                  <c:v>497.70642201834863</c:v>
                </c:pt>
                <c:pt idx="92">
                  <c:v>481.65137614678895</c:v>
                </c:pt>
                <c:pt idx="93">
                  <c:v>474.77064220183485</c:v>
                </c:pt>
              </c:numCache>
            </c:numRef>
          </c:val>
          <c:smooth val="0"/>
        </c:ser>
        <c:dLbls>
          <c:showLegendKey val="0"/>
          <c:showVal val="0"/>
          <c:showCatName val="0"/>
          <c:showSerName val="0"/>
          <c:showPercent val="0"/>
          <c:showBubbleSize val="0"/>
        </c:dLbls>
        <c:marker val="1"/>
        <c:smooth val="0"/>
        <c:axId val="183787520"/>
        <c:axId val="183789056"/>
      </c:lineChart>
      <c:catAx>
        <c:axId val="183787520"/>
        <c:scaling>
          <c:orientation val="minMax"/>
        </c:scaling>
        <c:delete val="0"/>
        <c:axPos val="b"/>
        <c:majorTickMark val="out"/>
        <c:minorTickMark val="none"/>
        <c:tickLblPos val="nextTo"/>
        <c:spPr>
          <a:ln>
            <a:solidFill>
              <a:schemeClr val="tx1"/>
            </a:solidFill>
          </a:ln>
        </c:spPr>
        <c:crossAx val="183789056"/>
        <c:crosses val="autoZero"/>
        <c:auto val="1"/>
        <c:lblAlgn val="ctr"/>
        <c:lblOffset val="100"/>
        <c:tickLblSkip val="8"/>
        <c:tickMarkSkip val="8"/>
        <c:noMultiLvlLbl val="0"/>
      </c:catAx>
      <c:valAx>
        <c:axId val="183789056"/>
        <c:scaling>
          <c:orientation val="minMax"/>
        </c:scaling>
        <c:delete val="0"/>
        <c:axPos val="l"/>
        <c:majorGridlines/>
        <c:title>
          <c:tx>
            <c:rich>
              <a:bodyPr rot="-5400000" vert="horz"/>
              <a:lstStyle/>
              <a:p>
                <a:pPr>
                  <a:defRPr b="1"/>
                </a:pPr>
                <a:r>
                  <a:rPr lang="en-US" b="1"/>
                  <a:t>Index, June 2003=100</a:t>
                </a:r>
              </a:p>
            </c:rich>
          </c:tx>
          <c:overlay val="0"/>
        </c:title>
        <c:numFmt formatCode="#\ ##0" sourceLinked="1"/>
        <c:majorTickMark val="out"/>
        <c:minorTickMark val="none"/>
        <c:tickLblPos val="nextTo"/>
        <c:spPr>
          <a:ln>
            <a:solidFill>
              <a:schemeClr val="tx1"/>
            </a:solidFill>
          </a:ln>
        </c:spPr>
        <c:crossAx val="183787520"/>
        <c:crosses val="autoZero"/>
        <c:crossBetween val="between"/>
      </c:valAx>
      <c:spPr>
        <a:ln>
          <a:solidFill>
            <a:schemeClr val="tx1"/>
          </a:solidFill>
        </a:ln>
      </c:spPr>
    </c:plotArea>
    <c:legend>
      <c:legendPos val="r"/>
      <c:layout>
        <c:manualLayout>
          <c:xMode val="edge"/>
          <c:yMode val="edge"/>
          <c:x val="1.4300087489064121E-3"/>
          <c:y val="4.2457713619130973E-3"/>
          <c:w val="0.98745888013998229"/>
          <c:h val="8.4101049868766389E-2"/>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822638983875273"/>
          <c:y val="0.26455726776484229"/>
          <c:w val="0.81086377622254879"/>
          <c:h val="0.62529030468993729"/>
        </c:manualLayout>
      </c:layout>
      <c:lineChart>
        <c:grouping val="standard"/>
        <c:varyColors val="0"/>
        <c:ser>
          <c:idx val="0"/>
          <c:order val="0"/>
          <c:tx>
            <c:strRef>
              <c:f>'Figure 6.2'!$B$12</c:f>
              <c:strCache>
                <c:ptCount val="1"/>
                <c:pt idx="0">
                  <c:v>R&amp;D intellectual property</c:v>
                </c:pt>
              </c:strCache>
            </c:strRef>
          </c:tx>
          <c:spPr>
            <a:ln w="19050">
              <a:solidFill>
                <a:srgbClr val="344893"/>
              </a:solidFill>
            </a:ln>
          </c:spPr>
          <c:marker>
            <c:symbol val="none"/>
          </c:marker>
          <c:cat>
            <c:numRef>
              <c:f>'Figure 6.2'!$C$3:$Y$3</c:f>
              <c:numCache>
                <c:formatCode>General</c:formatCode>
                <c:ptCount val="23"/>
                <c:pt idx="0">
                  <c:v>90</c:v>
                </c:pt>
                <c:pt idx="1">
                  <c:v>91</c:v>
                </c:pt>
                <c:pt idx="2">
                  <c:v>92</c:v>
                </c:pt>
                <c:pt idx="3">
                  <c:v>93</c:v>
                </c:pt>
                <c:pt idx="4">
                  <c:v>94</c:v>
                </c:pt>
                <c:pt idx="5">
                  <c:v>95</c:v>
                </c:pt>
                <c:pt idx="6">
                  <c:v>96</c:v>
                </c:pt>
                <c:pt idx="7">
                  <c:v>97</c:v>
                </c:pt>
                <c:pt idx="8">
                  <c:v>98</c:v>
                </c:pt>
                <c:pt idx="9">
                  <c:v>99</c:v>
                </c:pt>
                <c:pt idx="10" formatCode="#00">
                  <c:v>0</c:v>
                </c:pt>
                <c:pt idx="11" formatCode="#00">
                  <c:v>1</c:v>
                </c:pt>
                <c:pt idx="12" formatCode="#00">
                  <c:v>2</c:v>
                </c:pt>
                <c:pt idx="13" formatCode="#00">
                  <c:v>3</c:v>
                </c:pt>
                <c:pt idx="14" formatCode="#00">
                  <c:v>4</c:v>
                </c:pt>
                <c:pt idx="15" formatCode="#00">
                  <c:v>5</c:v>
                </c:pt>
                <c:pt idx="16" formatCode="#00">
                  <c:v>6</c:v>
                </c:pt>
                <c:pt idx="17" formatCode="#00">
                  <c:v>7</c:v>
                </c:pt>
                <c:pt idx="18" formatCode="#00">
                  <c:v>8</c:v>
                </c:pt>
                <c:pt idx="19" formatCode="#00">
                  <c:v>9</c:v>
                </c:pt>
                <c:pt idx="20">
                  <c:v>10</c:v>
                </c:pt>
                <c:pt idx="21">
                  <c:v>11</c:v>
                </c:pt>
                <c:pt idx="22">
                  <c:v>12</c:v>
                </c:pt>
              </c:numCache>
            </c:numRef>
          </c:cat>
          <c:val>
            <c:numRef>
              <c:f>'Figure 6.2'!$C$12:$Y$12</c:f>
              <c:numCache>
                <c:formatCode>#\ ##0</c:formatCode>
                <c:ptCount val="23"/>
                <c:pt idx="0">
                  <c:v>59.513466550825378</c:v>
                </c:pt>
                <c:pt idx="1">
                  <c:v>62.380538662033025</c:v>
                </c:pt>
                <c:pt idx="2">
                  <c:v>63.075586446568202</c:v>
                </c:pt>
                <c:pt idx="3">
                  <c:v>63.162467419635107</c:v>
                </c:pt>
                <c:pt idx="4">
                  <c:v>63.944396177237181</c:v>
                </c:pt>
                <c:pt idx="5">
                  <c:v>76.194613379669846</c:v>
                </c:pt>
                <c:pt idx="6">
                  <c:v>70.894874022589065</c:v>
                </c:pt>
                <c:pt idx="7">
                  <c:v>84.361424847958304</c:v>
                </c:pt>
                <c:pt idx="8">
                  <c:v>116.76802780191139</c:v>
                </c:pt>
                <c:pt idx="9">
                  <c:v>119.46133796698525</c:v>
                </c:pt>
                <c:pt idx="10">
                  <c:v>125.54300608166811</c:v>
                </c:pt>
                <c:pt idx="11">
                  <c:v>94.787141615986101</c:v>
                </c:pt>
                <c:pt idx="12">
                  <c:v>95.742832319721998</c:v>
                </c:pt>
                <c:pt idx="13">
                  <c:v>100</c:v>
                </c:pt>
                <c:pt idx="14">
                  <c:v>93.831450912250233</c:v>
                </c:pt>
                <c:pt idx="15">
                  <c:v>119.98262380538664</c:v>
                </c:pt>
                <c:pt idx="16">
                  <c:v>147.5238922675934</c:v>
                </c:pt>
                <c:pt idx="17">
                  <c:v>151.17289313640313</c:v>
                </c:pt>
                <c:pt idx="18">
                  <c:v>140.22589052997395</c:v>
                </c:pt>
                <c:pt idx="19">
                  <c:v>206.95047784535188</c:v>
                </c:pt>
                <c:pt idx="20">
                  <c:v>170.46046915725458</c:v>
                </c:pt>
                <c:pt idx="21">
                  <c:v>230.75586446568201</c:v>
                </c:pt>
                <c:pt idx="22">
                  <c:v>200.17376194613379</c:v>
                </c:pt>
              </c:numCache>
            </c:numRef>
          </c:val>
          <c:smooth val="0"/>
        </c:ser>
        <c:ser>
          <c:idx val="1"/>
          <c:order val="1"/>
          <c:tx>
            <c:strRef>
              <c:f>'Figure 6.2'!$B$13</c:f>
              <c:strCache>
                <c:ptCount val="1"/>
                <c:pt idx="0">
                  <c:v>Other transport equip.</c:v>
                </c:pt>
              </c:strCache>
            </c:strRef>
          </c:tx>
          <c:spPr>
            <a:ln w="19050">
              <a:solidFill>
                <a:srgbClr val="B4C98B"/>
              </a:solidFill>
              <a:prstDash val="sysDash"/>
            </a:ln>
          </c:spPr>
          <c:marker>
            <c:symbol val="none"/>
          </c:marker>
          <c:cat>
            <c:numRef>
              <c:f>'Figure 6.2'!$C$3:$Y$3</c:f>
              <c:numCache>
                <c:formatCode>General</c:formatCode>
                <c:ptCount val="23"/>
                <c:pt idx="0">
                  <c:v>90</c:v>
                </c:pt>
                <c:pt idx="1">
                  <c:v>91</c:v>
                </c:pt>
                <c:pt idx="2">
                  <c:v>92</c:v>
                </c:pt>
                <c:pt idx="3">
                  <c:v>93</c:v>
                </c:pt>
                <c:pt idx="4">
                  <c:v>94</c:v>
                </c:pt>
                <c:pt idx="5">
                  <c:v>95</c:v>
                </c:pt>
                <c:pt idx="6">
                  <c:v>96</c:v>
                </c:pt>
                <c:pt idx="7">
                  <c:v>97</c:v>
                </c:pt>
                <c:pt idx="8">
                  <c:v>98</c:v>
                </c:pt>
                <c:pt idx="9">
                  <c:v>99</c:v>
                </c:pt>
                <c:pt idx="10" formatCode="#00">
                  <c:v>0</c:v>
                </c:pt>
                <c:pt idx="11" formatCode="#00">
                  <c:v>1</c:v>
                </c:pt>
                <c:pt idx="12" formatCode="#00">
                  <c:v>2</c:v>
                </c:pt>
                <c:pt idx="13" formatCode="#00">
                  <c:v>3</c:v>
                </c:pt>
                <c:pt idx="14" formatCode="#00">
                  <c:v>4</c:v>
                </c:pt>
                <c:pt idx="15" formatCode="#00">
                  <c:v>5</c:v>
                </c:pt>
                <c:pt idx="16" formatCode="#00">
                  <c:v>6</c:v>
                </c:pt>
                <c:pt idx="17" formatCode="#00">
                  <c:v>7</c:v>
                </c:pt>
                <c:pt idx="18" formatCode="#00">
                  <c:v>8</c:v>
                </c:pt>
                <c:pt idx="19" formatCode="#00">
                  <c:v>9</c:v>
                </c:pt>
                <c:pt idx="20">
                  <c:v>10</c:v>
                </c:pt>
                <c:pt idx="21">
                  <c:v>11</c:v>
                </c:pt>
                <c:pt idx="22">
                  <c:v>12</c:v>
                </c:pt>
              </c:numCache>
            </c:numRef>
          </c:cat>
          <c:val>
            <c:numRef>
              <c:f>'Figure 6.2'!$C$13:$Y$13</c:f>
              <c:numCache>
                <c:formatCode>#\ ##0</c:formatCode>
                <c:ptCount val="23"/>
                <c:pt idx="0">
                  <c:v>45</c:v>
                </c:pt>
                <c:pt idx="1">
                  <c:v>40.398773006134974</c:v>
                </c:pt>
                <c:pt idx="2">
                  <c:v>37.177914110429448</c:v>
                </c:pt>
                <c:pt idx="3">
                  <c:v>24.815950920245399</c:v>
                </c:pt>
                <c:pt idx="4">
                  <c:v>42.484662576687121</c:v>
                </c:pt>
                <c:pt idx="5">
                  <c:v>71.226993865030664</c:v>
                </c:pt>
                <c:pt idx="6">
                  <c:v>61.717791411042931</c:v>
                </c:pt>
                <c:pt idx="7">
                  <c:v>54.723926380368098</c:v>
                </c:pt>
                <c:pt idx="8">
                  <c:v>19.049079754601227</c:v>
                </c:pt>
                <c:pt idx="9">
                  <c:v>20.122699386503069</c:v>
                </c:pt>
                <c:pt idx="10">
                  <c:v>59.018404907975452</c:v>
                </c:pt>
                <c:pt idx="11">
                  <c:v>43.128834355828218</c:v>
                </c:pt>
                <c:pt idx="12">
                  <c:v>66.779141104294482</c:v>
                </c:pt>
                <c:pt idx="13">
                  <c:v>100</c:v>
                </c:pt>
                <c:pt idx="14">
                  <c:v>107.14723926380367</c:v>
                </c:pt>
                <c:pt idx="15">
                  <c:v>85.705521472392633</c:v>
                </c:pt>
                <c:pt idx="16">
                  <c:v>94.202453987730053</c:v>
                </c:pt>
                <c:pt idx="17">
                  <c:v>123.49693251533741</c:v>
                </c:pt>
                <c:pt idx="18">
                  <c:v>132.91411042944785</c:v>
                </c:pt>
                <c:pt idx="19">
                  <c:v>92.484662576687114</c:v>
                </c:pt>
                <c:pt idx="20">
                  <c:v>127.1165644171779</c:v>
                </c:pt>
                <c:pt idx="21">
                  <c:v>105.79754601226992</c:v>
                </c:pt>
                <c:pt idx="22">
                  <c:v>85.030674846625757</c:v>
                </c:pt>
              </c:numCache>
            </c:numRef>
          </c:val>
          <c:smooth val="0"/>
        </c:ser>
        <c:ser>
          <c:idx val="2"/>
          <c:order val="2"/>
          <c:tx>
            <c:strRef>
              <c:f>'Figure 6.2'!$B$14</c:f>
              <c:strCache>
                <c:ptCount val="1"/>
                <c:pt idx="0">
                  <c:v>Road vehicles</c:v>
                </c:pt>
              </c:strCache>
            </c:strRef>
          </c:tx>
          <c:spPr>
            <a:ln w="19050">
              <a:solidFill>
                <a:srgbClr val="7B905A"/>
              </a:solidFill>
              <a:prstDash val="dashDot"/>
            </a:ln>
          </c:spPr>
          <c:marker>
            <c:symbol val="none"/>
          </c:marker>
          <c:cat>
            <c:numRef>
              <c:f>'Figure 6.2'!$C$3:$Y$3</c:f>
              <c:numCache>
                <c:formatCode>General</c:formatCode>
                <c:ptCount val="23"/>
                <c:pt idx="0">
                  <c:v>90</c:v>
                </c:pt>
                <c:pt idx="1">
                  <c:v>91</c:v>
                </c:pt>
                <c:pt idx="2">
                  <c:v>92</c:v>
                </c:pt>
                <c:pt idx="3">
                  <c:v>93</c:v>
                </c:pt>
                <c:pt idx="4">
                  <c:v>94</c:v>
                </c:pt>
                <c:pt idx="5">
                  <c:v>95</c:v>
                </c:pt>
                <c:pt idx="6">
                  <c:v>96</c:v>
                </c:pt>
                <c:pt idx="7">
                  <c:v>97</c:v>
                </c:pt>
                <c:pt idx="8">
                  <c:v>98</c:v>
                </c:pt>
                <c:pt idx="9">
                  <c:v>99</c:v>
                </c:pt>
                <c:pt idx="10" formatCode="#00">
                  <c:v>0</c:v>
                </c:pt>
                <c:pt idx="11" formatCode="#00">
                  <c:v>1</c:v>
                </c:pt>
                <c:pt idx="12" formatCode="#00">
                  <c:v>2</c:v>
                </c:pt>
                <c:pt idx="13" formatCode="#00">
                  <c:v>3</c:v>
                </c:pt>
                <c:pt idx="14" formatCode="#00">
                  <c:v>4</c:v>
                </c:pt>
                <c:pt idx="15" formatCode="#00">
                  <c:v>5</c:v>
                </c:pt>
                <c:pt idx="16" formatCode="#00">
                  <c:v>6</c:v>
                </c:pt>
                <c:pt idx="17" formatCode="#00">
                  <c:v>7</c:v>
                </c:pt>
                <c:pt idx="18" formatCode="#00">
                  <c:v>8</c:v>
                </c:pt>
                <c:pt idx="19" formatCode="#00">
                  <c:v>9</c:v>
                </c:pt>
                <c:pt idx="20">
                  <c:v>10</c:v>
                </c:pt>
                <c:pt idx="21">
                  <c:v>11</c:v>
                </c:pt>
                <c:pt idx="22">
                  <c:v>12</c:v>
                </c:pt>
              </c:numCache>
            </c:numRef>
          </c:cat>
          <c:val>
            <c:numRef>
              <c:f>'Figure 6.2'!$C$14:$Y$14</c:f>
              <c:numCache>
                <c:formatCode>#\ ##0</c:formatCode>
                <c:ptCount val="23"/>
                <c:pt idx="0">
                  <c:v>111.91740412979351</c:v>
                </c:pt>
                <c:pt idx="1">
                  <c:v>91.740412979351035</c:v>
                </c:pt>
                <c:pt idx="2">
                  <c:v>64.601769911504419</c:v>
                </c:pt>
                <c:pt idx="3">
                  <c:v>45.132743362831853</c:v>
                </c:pt>
                <c:pt idx="4">
                  <c:v>53.510324483775811</c:v>
                </c:pt>
                <c:pt idx="5">
                  <c:v>95.634218289085538</c:v>
                </c:pt>
                <c:pt idx="6">
                  <c:v>110.56047197640119</c:v>
                </c:pt>
                <c:pt idx="7">
                  <c:v>112.74336283185839</c:v>
                </c:pt>
                <c:pt idx="8">
                  <c:v>94.513274336283175</c:v>
                </c:pt>
                <c:pt idx="9">
                  <c:v>93.097345132743357</c:v>
                </c:pt>
                <c:pt idx="10">
                  <c:v>106.96165191740411</c:v>
                </c:pt>
                <c:pt idx="11">
                  <c:v>133.5103244837758</c:v>
                </c:pt>
                <c:pt idx="12">
                  <c:v>137.52212389380529</c:v>
                </c:pt>
                <c:pt idx="13">
                  <c:v>100.00000000000001</c:v>
                </c:pt>
                <c:pt idx="14">
                  <c:v>116.51917404129793</c:v>
                </c:pt>
                <c:pt idx="15">
                  <c:v>147.9646017699115</c:v>
                </c:pt>
                <c:pt idx="16">
                  <c:v>189.26253687315631</c:v>
                </c:pt>
                <c:pt idx="17">
                  <c:v>189.02654867256635</c:v>
                </c:pt>
                <c:pt idx="18">
                  <c:v>181.23893805309731</c:v>
                </c:pt>
                <c:pt idx="19">
                  <c:v>216.87315634218285</c:v>
                </c:pt>
                <c:pt idx="20">
                  <c:v>133.6283185840708</c:v>
                </c:pt>
                <c:pt idx="21">
                  <c:v>164.30678466076697</c:v>
                </c:pt>
                <c:pt idx="22">
                  <c:v>141.59292035398229</c:v>
                </c:pt>
              </c:numCache>
            </c:numRef>
          </c:val>
          <c:smooth val="0"/>
        </c:ser>
        <c:dLbls>
          <c:showLegendKey val="0"/>
          <c:showVal val="0"/>
          <c:showCatName val="0"/>
          <c:showSerName val="0"/>
          <c:showPercent val="0"/>
          <c:showBubbleSize val="0"/>
        </c:dLbls>
        <c:marker val="1"/>
        <c:smooth val="0"/>
        <c:axId val="194464000"/>
        <c:axId val="194482176"/>
      </c:lineChart>
      <c:catAx>
        <c:axId val="194464000"/>
        <c:scaling>
          <c:orientation val="minMax"/>
        </c:scaling>
        <c:delete val="0"/>
        <c:axPos val="b"/>
        <c:numFmt formatCode="General" sourceLinked="1"/>
        <c:majorTickMark val="out"/>
        <c:minorTickMark val="none"/>
        <c:tickLblPos val="nextTo"/>
        <c:spPr>
          <a:ln>
            <a:solidFill>
              <a:schemeClr val="tx1"/>
            </a:solidFill>
          </a:ln>
        </c:spPr>
        <c:crossAx val="194482176"/>
        <c:crosses val="autoZero"/>
        <c:auto val="1"/>
        <c:lblAlgn val="ctr"/>
        <c:lblOffset val="100"/>
        <c:tickLblSkip val="2"/>
        <c:tickMarkSkip val="2"/>
        <c:noMultiLvlLbl val="0"/>
      </c:catAx>
      <c:valAx>
        <c:axId val="194482176"/>
        <c:scaling>
          <c:orientation val="minMax"/>
          <c:max val="300"/>
        </c:scaling>
        <c:delete val="0"/>
        <c:axPos val="l"/>
        <c:majorGridlines/>
        <c:title>
          <c:tx>
            <c:rich>
              <a:bodyPr rot="-5400000" vert="horz"/>
              <a:lstStyle/>
              <a:p>
                <a:pPr>
                  <a:defRPr b="1"/>
                </a:pPr>
                <a:r>
                  <a:rPr lang="en-US" b="1"/>
                  <a:t>Index, 2002-03=100</a:t>
                </a:r>
              </a:p>
            </c:rich>
          </c:tx>
          <c:overlay val="0"/>
        </c:title>
        <c:numFmt formatCode="#\ ##0" sourceLinked="1"/>
        <c:majorTickMark val="out"/>
        <c:minorTickMark val="none"/>
        <c:tickLblPos val="nextTo"/>
        <c:spPr>
          <a:ln>
            <a:solidFill>
              <a:schemeClr val="tx1"/>
            </a:solidFill>
          </a:ln>
        </c:spPr>
        <c:crossAx val="194464000"/>
        <c:crosses val="autoZero"/>
        <c:crossBetween val="between"/>
      </c:valAx>
      <c:spPr>
        <a:ln>
          <a:solidFill>
            <a:schemeClr val="tx1"/>
          </a:solidFill>
        </a:ln>
      </c:spPr>
    </c:plotArea>
    <c:legend>
      <c:legendPos val="r"/>
      <c:layout>
        <c:manualLayout>
          <c:xMode val="edge"/>
          <c:yMode val="edge"/>
          <c:x val="0.18602828501523236"/>
          <c:y val="3.3869203849519109E-3"/>
          <c:w val="0.70534021021190141"/>
          <c:h val="0.2294729652248082"/>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595545134818288"/>
          <c:y val="0.11805377643137707"/>
          <c:w val="0.79985299188464998"/>
          <c:h val="0.73350215367093363"/>
        </c:manualLayout>
      </c:layout>
      <c:lineChart>
        <c:grouping val="standard"/>
        <c:varyColors val="0"/>
        <c:ser>
          <c:idx val="0"/>
          <c:order val="0"/>
          <c:tx>
            <c:strRef>
              <c:f>'Figure 6.4'!$B$27</c:f>
              <c:strCache>
                <c:ptCount val="1"/>
                <c:pt idx="0">
                  <c:v>Exploration</c:v>
                </c:pt>
              </c:strCache>
            </c:strRef>
          </c:tx>
          <c:spPr>
            <a:ln w="19050">
              <a:solidFill>
                <a:srgbClr val="344893"/>
              </a:solidFill>
              <a:prstDash val="solid"/>
            </a:ln>
          </c:spPr>
          <c:marker>
            <c:symbol val="none"/>
          </c:marker>
          <c:cat>
            <c:strRef>
              <c:f>'Figure 6.4'!$C$22:$AC$22</c:f>
              <c:strCache>
                <c:ptCount val="27"/>
                <c:pt idx="0">
                  <c:v>86</c:v>
                </c:pt>
                <c:pt idx="1">
                  <c:v>87</c:v>
                </c:pt>
                <c:pt idx="2">
                  <c:v>88</c:v>
                </c:pt>
                <c:pt idx="3">
                  <c:v>89</c:v>
                </c:pt>
                <c:pt idx="4">
                  <c:v>90</c:v>
                </c:pt>
                <c:pt idx="5">
                  <c:v>91</c:v>
                </c:pt>
                <c:pt idx="6">
                  <c:v>92</c:v>
                </c:pt>
                <c:pt idx="7">
                  <c:v>93</c:v>
                </c:pt>
                <c:pt idx="8">
                  <c:v>94</c:v>
                </c:pt>
                <c:pt idx="9">
                  <c:v>95</c:v>
                </c:pt>
                <c:pt idx="10">
                  <c:v>96</c:v>
                </c:pt>
                <c:pt idx="11">
                  <c:v>97</c:v>
                </c:pt>
                <c:pt idx="12">
                  <c:v>98</c:v>
                </c:pt>
                <c:pt idx="13">
                  <c:v>99</c:v>
                </c:pt>
                <c:pt idx="14">
                  <c:v>00</c:v>
                </c:pt>
                <c:pt idx="15">
                  <c:v>01</c:v>
                </c:pt>
                <c:pt idx="16">
                  <c:v>02</c:v>
                </c:pt>
                <c:pt idx="17">
                  <c:v>03</c:v>
                </c:pt>
                <c:pt idx="18">
                  <c:v>04</c:v>
                </c:pt>
                <c:pt idx="19">
                  <c:v>05</c:v>
                </c:pt>
                <c:pt idx="20">
                  <c:v>06</c:v>
                </c:pt>
                <c:pt idx="21">
                  <c:v>07</c:v>
                </c:pt>
                <c:pt idx="22">
                  <c:v>08</c:v>
                </c:pt>
                <c:pt idx="23">
                  <c:v>09</c:v>
                </c:pt>
                <c:pt idx="24">
                  <c:v>10</c:v>
                </c:pt>
                <c:pt idx="25">
                  <c:v>11</c:v>
                </c:pt>
                <c:pt idx="26">
                  <c:v>12</c:v>
                </c:pt>
              </c:strCache>
            </c:strRef>
          </c:cat>
          <c:val>
            <c:numRef>
              <c:f>'Figure 6.4'!$C$27:$AC$27</c:f>
              <c:numCache>
                <c:formatCode>_-* #,##0_-;\-* #,##0_-;_-* "-"??_-;_-@_-</c:formatCode>
                <c:ptCount val="27"/>
                <c:pt idx="0">
                  <c:v>88.03008481357017</c:v>
                </c:pt>
                <c:pt idx="1">
                  <c:v>60.105616898703794</c:v>
                </c:pt>
                <c:pt idx="2">
                  <c:v>77.452392382781241</c:v>
                </c:pt>
                <c:pt idx="3">
                  <c:v>80.572891662666024</c:v>
                </c:pt>
                <c:pt idx="4">
                  <c:v>71.56345015202433</c:v>
                </c:pt>
                <c:pt idx="5">
                  <c:v>61.161785885741722</c:v>
                </c:pt>
                <c:pt idx="6">
                  <c:v>56.232997279564728</c:v>
                </c:pt>
                <c:pt idx="7">
                  <c:v>64.61833893422947</c:v>
                </c:pt>
                <c:pt idx="8">
                  <c:v>65.03440550488078</c:v>
                </c:pt>
                <c:pt idx="9">
                  <c:v>78.572571611457832</c:v>
                </c:pt>
                <c:pt idx="10">
                  <c:v>88.318130900944155</c:v>
                </c:pt>
                <c:pt idx="11">
                  <c:v>89.150264042246761</c:v>
                </c:pt>
                <c:pt idx="12">
                  <c:v>91.566650664106263</c:v>
                </c:pt>
                <c:pt idx="13">
                  <c:v>82.125140022403585</c:v>
                </c:pt>
                <c:pt idx="14">
                  <c:v>78.796607457193147</c:v>
                </c:pt>
                <c:pt idx="15">
                  <c:v>91.086573851816297</c:v>
                </c:pt>
                <c:pt idx="16">
                  <c:v>94.111057769243075</c:v>
                </c:pt>
                <c:pt idx="17">
                  <c:v>100</c:v>
                </c:pt>
                <c:pt idx="18">
                  <c:v>95.551288206112972</c:v>
                </c:pt>
                <c:pt idx="19">
                  <c:v>103.96863498159705</c:v>
                </c:pt>
                <c:pt idx="20">
                  <c:v>106.59305488878221</c:v>
                </c:pt>
                <c:pt idx="21">
                  <c:v>116.48263722195551</c:v>
                </c:pt>
                <c:pt idx="22">
                  <c:v>129.18867018722995</c:v>
                </c:pt>
                <c:pt idx="23">
                  <c:v>131.46103376540248</c:v>
                </c:pt>
                <c:pt idx="24">
                  <c:v>127.60441670667306</c:v>
                </c:pt>
                <c:pt idx="25">
                  <c:v>136.99791966714673</c:v>
                </c:pt>
                <c:pt idx="26">
                  <c:v>162.26596255400864</c:v>
                </c:pt>
              </c:numCache>
            </c:numRef>
          </c:val>
          <c:smooth val="0"/>
        </c:ser>
        <c:ser>
          <c:idx val="1"/>
          <c:order val="1"/>
          <c:tx>
            <c:strRef>
              <c:f>'Figure 6.4'!$B$28</c:f>
              <c:strCache>
                <c:ptCount val="1"/>
                <c:pt idx="0">
                  <c:v>All mining</c:v>
                </c:pt>
              </c:strCache>
            </c:strRef>
          </c:tx>
          <c:spPr>
            <a:ln w="19050">
              <a:solidFill>
                <a:srgbClr val="B4C98B"/>
              </a:solidFill>
              <a:prstDash val="sysDash"/>
            </a:ln>
          </c:spPr>
          <c:marker>
            <c:symbol val="none"/>
          </c:marker>
          <c:cat>
            <c:strRef>
              <c:f>'Figure 6.4'!$C$22:$AC$22</c:f>
              <c:strCache>
                <c:ptCount val="27"/>
                <c:pt idx="0">
                  <c:v>86</c:v>
                </c:pt>
                <c:pt idx="1">
                  <c:v>87</c:v>
                </c:pt>
                <c:pt idx="2">
                  <c:v>88</c:v>
                </c:pt>
                <c:pt idx="3">
                  <c:v>89</c:v>
                </c:pt>
                <c:pt idx="4">
                  <c:v>90</c:v>
                </c:pt>
                <c:pt idx="5">
                  <c:v>91</c:v>
                </c:pt>
                <c:pt idx="6">
                  <c:v>92</c:v>
                </c:pt>
                <c:pt idx="7">
                  <c:v>93</c:v>
                </c:pt>
                <c:pt idx="8">
                  <c:v>94</c:v>
                </c:pt>
                <c:pt idx="9">
                  <c:v>95</c:v>
                </c:pt>
                <c:pt idx="10">
                  <c:v>96</c:v>
                </c:pt>
                <c:pt idx="11">
                  <c:v>97</c:v>
                </c:pt>
                <c:pt idx="12">
                  <c:v>98</c:v>
                </c:pt>
                <c:pt idx="13">
                  <c:v>99</c:v>
                </c:pt>
                <c:pt idx="14">
                  <c:v>00</c:v>
                </c:pt>
                <c:pt idx="15">
                  <c:v>01</c:v>
                </c:pt>
                <c:pt idx="16">
                  <c:v>02</c:v>
                </c:pt>
                <c:pt idx="17">
                  <c:v>03</c:v>
                </c:pt>
                <c:pt idx="18">
                  <c:v>04</c:v>
                </c:pt>
                <c:pt idx="19">
                  <c:v>05</c:v>
                </c:pt>
                <c:pt idx="20">
                  <c:v>06</c:v>
                </c:pt>
                <c:pt idx="21">
                  <c:v>07</c:v>
                </c:pt>
                <c:pt idx="22">
                  <c:v>08</c:v>
                </c:pt>
                <c:pt idx="23">
                  <c:v>09</c:v>
                </c:pt>
                <c:pt idx="24">
                  <c:v>10</c:v>
                </c:pt>
                <c:pt idx="25">
                  <c:v>11</c:v>
                </c:pt>
                <c:pt idx="26">
                  <c:v>12</c:v>
                </c:pt>
              </c:strCache>
            </c:strRef>
          </c:cat>
          <c:val>
            <c:numRef>
              <c:f>'Figure 6.4'!$C$28:$AC$28</c:f>
              <c:numCache>
                <c:formatCode>_-* #,##0_-;\-* #,##0_-;_-* "-"??_-;_-@_-</c:formatCode>
                <c:ptCount val="27"/>
                <c:pt idx="0">
                  <c:v>49.31600481347774</c:v>
                </c:pt>
                <c:pt idx="1">
                  <c:v>46.39903730445247</c:v>
                </c:pt>
                <c:pt idx="2">
                  <c:v>54.698435619735257</c:v>
                </c:pt>
                <c:pt idx="3">
                  <c:v>57.421901323706379</c:v>
                </c:pt>
                <c:pt idx="4">
                  <c:v>63.180746089049336</c:v>
                </c:pt>
                <c:pt idx="5">
                  <c:v>66.772563176895304</c:v>
                </c:pt>
                <c:pt idx="6">
                  <c:v>69.826233453670284</c:v>
                </c:pt>
                <c:pt idx="7">
                  <c:v>70.521299638989163</c:v>
                </c:pt>
                <c:pt idx="8">
                  <c:v>71.752587244284001</c:v>
                </c:pt>
                <c:pt idx="9">
                  <c:v>76.894344163658246</c:v>
                </c:pt>
                <c:pt idx="10">
                  <c:v>83.843080625752108</c:v>
                </c:pt>
                <c:pt idx="11">
                  <c:v>84.942478941034892</c:v>
                </c:pt>
                <c:pt idx="12">
                  <c:v>87.841155234657037</c:v>
                </c:pt>
                <c:pt idx="13">
                  <c:v>87.348255114320096</c:v>
                </c:pt>
                <c:pt idx="14">
                  <c:v>91.493622141997591</c:v>
                </c:pt>
                <c:pt idx="15">
                  <c:v>98.982430806257526</c:v>
                </c:pt>
                <c:pt idx="16">
                  <c:v>99.341516245487369</c:v>
                </c:pt>
                <c:pt idx="17">
                  <c:v>100</c:v>
                </c:pt>
                <c:pt idx="18">
                  <c:v>97.083995186522259</c:v>
                </c:pt>
                <c:pt idx="19">
                  <c:v>102.14969915764139</c:v>
                </c:pt>
                <c:pt idx="20">
                  <c:v>104.09626955475331</c:v>
                </c:pt>
                <c:pt idx="21">
                  <c:v>112.91552346570397</c:v>
                </c:pt>
                <c:pt idx="22">
                  <c:v>115.1971119133574</c:v>
                </c:pt>
                <c:pt idx="23">
                  <c:v>118.70998796630566</c:v>
                </c:pt>
                <c:pt idx="24">
                  <c:v>128.05198555956679</c:v>
                </c:pt>
                <c:pt idx="25">
                  <c:v>126.21805054151625</c:v>
                </c:pt>
                <c:pt idx="26">
                  <c:v>134.72635379061373</c:v>
                </c:pt>
              </c:numCache>
            </c:numRef>
          </c:val>
          <c:smooth val="0"/>
        </c:ser>
        <c:dLbls>
          <c:showLegendKey val="0"/>
          <c:showVal val="0"/>
          <c:showCatName val="0"/>
          <c:showSerName val="0"/>
          <c:showPercent val="0"/>
          <c:showBubbleSize val="0"/>
        </c:dLbls>
        <c:marker val="1"/>
        <c:smooth val="0"/>
        <c:axId val="194502656"/>
        <c:axId val="194504192"/>
      </c:lineChart>
      <c:catAx>
        <c:axId val="194502656"/>
        <c:scaling>
          <c:orientation val="minMax"/>
        </c:scaling>
        <c:delete val="0"/>
        <c:axPos val="b"/>
        <c:majorTickMark val="out"/>
        <c:minorTickMark val="none"/>
        <c:tickLblPos val="nextTo"/>
        <c:spPr>
          <a:ln>
            <a:solidFill>
              <a:schemeClr val="tx1"/>
            </a:solidFill>
          </a:ln>
        </c:spPr>
        <c:crossAx val="194504192"/>
        <c:crosses val="autoZero"/>
        <c:auto val="1"/>
        <c:lblAlgn val="ctr"/>
        <c:lblOffset val="100"/>
        <c:tickLblSkip val="2"/>
        <c:tickMarkSkip val="2"/>
        <c:noMultiLvlLbl val="0"/>
      </c:catAx>
      <c:valAx>
        <c:axId val="194504192"/>
        <c:scaling>
          <c:orientation val="minMax"/>
        </c:scaling>
        <c:delete val="0"/>
        <c:axPos val="l"/>
        <c:majorGridlines/>
        <c:title>
          <c:tx>
            <c:rich>
              <a:bodyPr rot="-5400000" vert="horz"/>
              <a:lstStyle/>
              <a:p>
                <a:pPr>
                  <a:defRPr b="1"/>
                </a:pPr>
                <a:r>
                  <a:rPr lang="en-US" b="1"/>
                  <a:t>Index, 2002-03=100</a:t>
                </a:r>
              </a:p>
            </c:rich>
          </c:tx>
          <c:overlay val="0"/>
        </c:title>
        <c:numFmt formatCode="_-* #,##0_-;\-* #,##0_-;_-* &quot;-&quot;??_-;_-@_-" sourceLinked="1"/>
        <c:majorTickMark val="out"/>
        <c:minorTickMark val="none"/>
        <c:tickLblPos val="nextTo"/>
        <c:spPr>
          <a:ln>
            <a:solidFill>
              <a:schemeClr val="tx1"/>
            </a:solidFill>
          </a:ln>
        </c:spPr>
        <c:crossAx val="194502656"/>
        <c:crosses val="autoZero"/>
        <c:crossBetween val="between"/>
      </c:valAx>
      <c:spPr>
        <a:ln>
          <a:solidFill>
            <a:schemeClr val="tx1"/>
          </a:solidFill>
        </a:ln>
      </c:spPr>
    </c:plotArea>
    <c:legend>
      <c:legendPos val="r"/>
      <c:layout>
        <c:manualLayout>
          <c:xMode val="edge"/>
          <c:yMode val="edge"/>
          <c:x val="0"/>
          <c:y val="7.1485855934674098E-4"/>
          <c:w val="0.98895888013998268"/>
          <c:h val="6.8014727325750951E-2"/>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330219180653366"/>
          <c:y val="0.12341077835586665"/>
          <c:w val="0.79188833114980939"/>
          <c:h val="0.72814493508696465"/>
        </c:manualLayout>
      </c:layout>
      <c:lineChart>
        <c:grouping val="standard"/>
        <c:varyColors val="0"/>
        <c:ser>
          <c:idx val="0"/>
          <c:order val="0"/>
          <c:tx>
            <c:strRef>
              <c:f>'Figure 6.4'!$B$5</c:f>
              <c:strCache>
                <c:ptCount val="1"/>
                <c:pt idx="0">
                  <c:v>Iron ore</c:v>
                </c:pt>
              </c:strCache>
            </c:strRef>
          </c:tx>
          <c:spPr>
            <a:ln w="19050">
              <a:solidFill>
                <a:srgbClr val="344893"/>
              </a:solidFill>
            </a:ln>
          </c:spPr>
          <c:marker>
            <c:symbol val="none"/>
          </c:marker>
          <c:cat>
            <c:strRef>
              <c:f>'Figure 6.4'!$C$3:$CU$3</c:f>
              <c:strCache>
                <c:ptCount val="97"/>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pt idx="94">
                  <c:v>12</c:v>
                </c:pt>
                <c:pt idx="95">
                  <c:v>12</c:v>
                </c:pt>
                <c:pt idx="96">
                  <c:v>12</c:v>
                </c:pt>
              </c:strCache>
            </c:strRef>
          </c:cat>
          <c:val>
            <c:numRef>
              <c:f>'Figure 6.4'!$C$5:$CU$5</c:f>
              <c:numCache>
                <c:formatCode>_-* #,##0_-;\-* #,##0_-;_-* "-"??_-;_-@_-</c:formatCode>
                <c:ptCount val="97"/>
                <c:pt idx="0">
                  <c:v>46.636165989644645</c:v>
                </c:pt>
                <c:pt idx="1">
                  <c:v>41.791833064771836</c:v>
                </c:pt>
                <c:pt idx="2">
                  <c:v>46.361779945071774</c:v>
                </c:pt>
                <c:pt idx="3">
                  <c:v>50.07072234067752</c:v>
                </c:pt>
                <c:pt idx="4">
                  <c:v>51.726706458471462</c:v>
                </c:pt>
                <c:pt idx="5">
                  <c:v>52.545623908563272</c:v>
                </c:pt>
                <c:pt idx="6">
                  <c:v>51.946154739968208</c:v>
                </c:pt>
                <c:pt idx="7">
                  <c:v>51.724089383301504</c:v>
                </c:pt>
                <c:pt idx="8">
                  <c:v>53.673698738186765</c:v>
                </c:pt>
                <c:pt idx="9">
                  <c:v>51.771297029190876</c:v>
                </c:pt>
                <c:pt idx="10">
                  <c:v>51.223609238000577</c:v>
                </c:pt>
                <c:pt idx="11">
                  <c:v>54.162938517247937</c:v>
                </c:pt>
                <c:pt idx="12">
                  <c:v>56.719908004906664</c:v>
                </c:pt>
                <c:pt idx="13">
                  <c:v>60.566015038035609</c:v>
                </c:pt>
                <c:pt idx="14">
                  <c:v>49.203845994629461</c:v>
                </c:pt>
                <c:pt idx="15">
                  <c:v>51.697858077440351</c:v>
                </c:pt>
                <c:pt idx="16">
                  <c:v>55.954543141445292</c:v>
                </c:pt>
                <c:pt idx="17">
                  <c:v>55.300652812464904</c:v>
                </c:pt>
                <c:pt idx="18">
                  <c:v>52.79957292360934</c:v>
                </c:pt>
                <c:pt idx="19">
                  <c:v>55.409400517358101</c:v>
                </c:pt>
                <c:pt idx="20">
                  <c:v>62.868161259940742</c:v>
                </c:pt>
                <c:pt idx="21">
                  <c:v>57.310364065016913</c:v>
                </c:pt>
                <c:pt idx="22">
                  <c:v>53.581860782909445</c:v>
                </c:pt>
                <c:pt idx="23">
                  <c:v>61.465683354886437</c:v>
                </c:pt>
                <c:pt idx="24">
                  <c:v>64.262816324248391</c:v>
                </c:pt>
                <c:pt idx="25">
                  <c:v>64.35596187095193</c:v>
                </c:pt>
                <c:pt idx="26">
                  <c:v>62.967852333045492</c:v>
                </c:pt>
                <c:pt idx="27">
                  <c:v>67.645602651781772</c:v>
                </c:pt>
                <c:pt idx="28">
                  <c:v>71.427350072759225</c:v>
                </c:pt>
                <c:pt idx="29">
                  <c:v>68.492023045127539</c:v>
                </c:pt>
                <c:pt idx="30">
                  <c:v>69.920403938948283</c:v>
                </c:pt>
                <c:pt idx="31">
                  <c:v>69.959368838826947</c:v>
                </c:pt>
                <c:pt idx="32">
                  <c:v>75.294665065584354</c:v>
                </c:pt>
                <c:pt idx="33">
                  <c:v>72.718223630348689</c:v>
                </c:pt>
                <c:pt idx="34">
                  <c:v>69.053048079633371</c:v>
                </c:pt>
                <c:pt idx="35">
                  <c:v>73.110656417481209</c:v>
                </c:pt>
                <c:pt idx="36">
                  <c:v>74.678778717631346</c:v>
                </c:pt>
                <c:pt idx="37">
                  <c:v>78.901119164284736</c:v>
                </c:pt>
                <c:pt idx="38">
                  <c:v>76.208780848456584</c:v>
                </c:pt>
                <c:pt idx="39">
                  <c:v>75.150182457636504</c:v>
                </c:pt>
                <c:pt idx="40">
                  <c:v>75.199644042958241</c:v>
                </c:pt>
                <c:pt idx="41">
                  <c:v>77.594940353129019</c:v>
                </c:pt>
                <c:pt idx="42">
                  <c:v>69.262805235267564</c:v>
                </c:pt>
                <c:pt idx="43">
                  <c:v>68.371114172275369</c:v>
                </c:pt>
                <c:pt idx="44">
                  <c:v>77.261573230573532</c:v>
                </c:pt>
                <c:pt idx="45">
                  <c:v>71.901202850136016</c:v>
                </c:pt>
                <c:pt idx="46">
                  <c:v>72.082773935881136</c:v>
                </c:pt>
                <c:pt idx="47">
                  <c:v>81.051521955807374</c:v>
                </c:pt>
                <c:pt idx="48">
                  <c:v>87.159041372518203</c:v>
                </c:pt>
                <c:pt idx="49">
                  <c:v>84.254332232057507</c:v>
                </c:pt>
                <c:pt idx="50">
                  <c:v>76.903079347910079</c:v>
                </c:pt>
                <c:pt idx="51">
                  <c:v>83.681478699017745</c:v>
                </c:pt>
                <c:pt idx="52">
                  <c:v>91.298638152801956</c:v>
                </c:pt>
                <c:pt idx="53">
                  <c:v>91.153612828181124</c:v>
                </c:pt>
                <c:pt idx="54">
                  <c:v>85.562116863885123</c:v>
                </c:pt>
                <c:pt idx="55">
                  <c:v>82.581256323699463</c:v>
                </c:pt>
                <c:pt idx="56">
                  <c:v>94.081879997501815</c:v>
                </c:pt>
                <c:pt idx="57">
                  <c:v>92.086639108013571</c:v>
                </c:pt>
                <c:pt idx="58">
                  <c:v>90.6855512994306</c:v>
                </c:pt>
                <c:pt idx="59">
                  <c:v>100</c:v>
                </c:pt>
                <c:pt idx="60">
                  <c:v>102.34932832150758</c:v>
                </c:pt>
                <c:pt idx="61">
                  <c:v>110.06328379177866</c:v>
                </c:pt>
                <c:pt idx="62">
                  <c:v>99.824727114752477</c:v>
                </c:pt>
                <c:pt idx="63">
                  <c:v>109.39998277839643</c:v>
                </c:pt>
                <c:pt idx="64">
                  <c:v>114.89579105659388</c:v>
                </c:pt>
                <c:pt idx="65">
                  <c:v>118.76013851703901</c:v>
                </c:pt>
                <c:pt idx="66">
                  <c:v>116.33513603829226</c:v>
                </c:pt>
                <c:pt idx="67">
                  <c:v>126.71860487934988</c:v>
                </c:pt>
                <c:pt idx="68">
                  <c:v>125.14375103798346</c:v>
                </c:pt>
                <c:pt idx="69">
                  <c:v>127.20075111684767</c:v>
                </c:pt>
                <c:pt idx="70">
                  <c:v>114.61585011385657</c:v>
                </c:pt>
                <c:pt idx="71">
                  <c:v>132.26204430410411</c:v>
                </c:pt>
                <c:pt idx="72">
                  <c:v>136.41318592452123</c:v>
                </c:pt>
                <c:pt idx="73">
                  <c:v>137.17532154808561</c:v>
                </c:pt>
                <c:pt idx="74">
                  <c:v>127.34551832935486</c:v>
                </c:pt>
                <c:pt idx="75">
                  <c:v>143.47282529436339</c:v>
                </c:pt>
                <c:pt idx="76">
                  <c:v>140.39108625181112</c:v>
                </c:pt>
                <c:pt idx="77">
                  <c:v>154.66568792975335</c:v>
                </c:pt>
                <c:pt idx="78">
                  <c:v>151.26273820181069</c:v>
                </c:pt>
                <c:pt idx="79">
                  <c:v>168.10337514911197</c:v>
                </c:pt>
                <c:pt idx="80">
                  <c:v>176.76929824095174</c:v>
                </c:pt>
                <c:pt idx="81">
                  <c:v>151.86088831376151</c:v>
                </c:pt>
                <c:pt idx="82">
                  <c:v>152.30707152375854</c:v>
                </c:pt>
                <c:pt idx="83">
                  <c:v>187.04334495514181</c:v>
                </c:pt>
                <c:pt idx="84">
                  <c:v>202.40533866760239</c:v>
                </c:pt>
                <c:pt idx="85">
                  <c:v>203.94725206334704</c:v>
                </c:pt>
                <c:pt idx="86">
                  <c:v>195.75849092534952</c:v>
                </c:pt>
                <c:pt idx="87">
                  <c:v>199.08385295894655</c:v>
                </c:pt>
                <c:pt idx="88">
                  <c:v>206.40760384802732</c:v>
                </c:pt>
                <c:pt idx="89">
                  <c:v>218.97841532004807</c:v>
                </c:pt>
                <c:pt idx="90">
                  <c:v>194.86547218676392</c:v>
                </c:pt>
                <c:pt idx="91">
                  <c:v>225.51860922642712</c:v>
                </c:pt>
                <c:pt idx="92">
                  <c:v>236.4502060117369</c:v>
                </c:pt>
                <c:pt idx="93">
                  <c:v>246.42809133806739</c:v>
                </c:pt>
                <c:pt idx="94">
                  <c:v>225.55924997385759</c:v>
                </c:pt>
                <c:pt idx="95">
                  <c:v>245.03994295199632</c:v>
                </c:pt>
                <c:pt idx="96">
                  <c:v>251.45194183907515</c:v>
                </c:pt>
              </c:numCache>
            </c:numRef>
          </c:val>
          <c:smooth val="0"/>
        </c:ser>
        <c:ser>
          <c:idx val="1"/>
          <c:order val="1"/>
          <c:tx>
            <c:strRef>
              <c:f>'Figure 6.4'!$B$6</c:f>
              <c:strCache>
                <c:ptCount val="1"/>
                <c:pt idx="0">
                  <c:v>Saleable black coal</c:v>
                </c:pt>
              </c:strCache>
            </c:strRef>
          </c:tx>
          <c:spPr>
            <a:ln w="19050">
              <a:solidFill>
                <a:srgbClr val="B4C98B"/>
              </a:solidFill>
              <a:prstDash val="sysDash"/>
            </a:ln>
          </c:spPr>
          <c:marker>
            <c:symbol val="none"/>
          </c:marker>
          <c:cat>
            <c:strRef>
              <c:f>'Figure 6.4'!$C$3:$CU$3</c:f>
              <c:strCache>
                <c:ptCount val="97"/>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pt idx="94">
                  <c:v>12</c:v>
                </c:pt>
                <c:pt idx="95">
                  <c:v>12</c:v>
                </c:pt>
                <c:pt idx="96">
                  <c:v>12</c:v>
                </c:pt>
              </c:strCache>
            </c:strRef>
          </c:cat>
          <c:val>
            <c:numRef>
              <c:f>'Figure 6.4'!$C$6:$CU$6</c:f>
              <c:numCache>
                <c:formatCode>_-* #,##0_-;\-* #,##0_-;_-* "-"??_-;_-@_-</c:formatCode>
                <c:ptCount val="97"/>
                <c:pt idx="0">
                  <c:v>61.871720240788697</c:v>
                </c:pt>
                <c:pt idx="1">
                  <c:v>48.189442207491517</c:v>
                </c:pt>
                <c:pt idx="2">
                  <c:v>54.381318004620709</c:v>
                </c:pt>
                <c:pt idx="3">
                  <c:v>48.43745933196216</c:v>
                </c:pt>
                <c:pt idx="4">
                  <c:v>63.804543348732338</c:v>
                </c:pt>
                <c:pt idx="5">
                  <c:v>53.672901275529263</c:v>
                </c:pt>
                <c:pt idx="6">
                  <c:v>55.115391677622888</c:v>
                </c:pt>
                <c:pt idx="7">
                  <c:v>56.057571673456778</c:v>
                </c:pt>
                <c:pt idx="8">
                  <c:v>62.407665291368957</c:v>
                </c:pt>
                <c:pt idx="9">
                  <c:v>58.353868153469456</c:v>
                </c:pt>
                <c:pt idx="10">
                  <c:v>52.561100372729825</c:v>
                </c:pt>
                <c:pt idx="11">
                  <c:v>64.092603835718819</c:v>
                </c:pt>
                <c:pt idx="12">
                  <c:v>62.982631702865909</c:v>
                </c:pt>
                <c:pt idx="13">
                  <c:v>60.342121663346518</c:v>
                </c:pt>
                <c:pt idx="14">
                  <c:v>63.086513817989008</c:v>
                </c:pt>
                <c:pt idx="15">
                  <c:v>65.124980817870963</c:v>
                </c:pt>
                <c:pt idx="16">
                  <c:v>67.57427107980925</c:v>
                </c:pt>
                <c:pt idx="17">
                  <c:v>60.517244559395145</c:v>
                </c:pt>
                <c:pt idx="18">
                  <c:v>62.357500264480322</c:v>
                </c:pt>
                <c:pt idx="19">
                  <c:v>63.259775160218346</c:v>
                </c:pt>
                <c:pt idx="20">
                  <c:v>64.969321564550171</c:v>
                </c:pt>
                <c:pt idx="21">
                  <c:v>65.850643289427737</c:v>
                </c:pt>
                <c:pt idx="22">
                  <c:v>59.716559758457535</c:v>
                </c:pt>
                <c:pt idx="23">
                  <c:v>63.148077654902863</c:v>
                </c:pt>
                <c:pt idx="24">
                  <c:v>72.890154669465431</c:v>
                </c:pt>
                <c:pt idx="25">
                  <c:v>66.186679410755772</c:v>
                </c:pt>
                <c:pt idx="26">
                  <c:v>67.109129216722295</c:v>
                </c:pt>
                <c:pt idx="27">
                  <c:v>67.984773630066712</c:v>
                </c:pt>
                <c:pt idx="28">
                  <c:v>75.283690966899883</c:v>
                </c:pt>
                <c:pt idx="29">
                  <c:v>64.944231924176989</c:v>
                </c:pt>
                <c:pt idx="30">
                  <c:v>68.000323163462411</c:v>
                </c:pt>
                <c:pt idx="31">
                  <c:v>69.049625176281012</c:v>
                </c:pt>
                <c:pt idx="32">
                  <c:v>72.081424991226029</c:v>
                </c:pt>
                <c:pt idx="33">
                  <c:v>73.852881601214506</c:v>
                </c:pt>
                <c:pt idx="34">
                  <c:v>71.458954748078312</c:v>
                </c:pt>
                <c:pt idx="35">
                  <c:v>78.372861133815121</c:v>
                </c:pt>
                <c:pt idx="36">
                  <c:v>83.516945827044879</c:v>
                </c:pt>
                <c:pt idx="37">
                  <c:v>75.480020752476534</c:v>
                </c:pt>
                <c:pt idx="38">
                  <c:v>77.272511780314517</c:v>
                </c:pt>
                <c:pt idx="39">
                  <c:v>80.692130556328351</c:v>
                </c:pt>
                <c:pt idx="40">
                  <c:v>78.944162878490147</c:v>
                </c:pt>
                <c:pt idx="41">
                  <c:v>79.578597809814923</c:v>
                </c:pt>
                <c:pt idx="42">
                  <c:v>81.304158423304386</c:v>
                </c:pt>
                <c:pt idx="43">
                  <c:v>80.904122480776749</c:v>
                </c:pt>
                <c:pt idx="44">
                  <c:v>89.672642482488342</c:v>
                </c:pt>
                <c:pt idx="45">
                  <c:v>84.49728625078869</c:v>
                </c:pt>
                <c:pt idx="46">
                  <c:v>81.10513893477443</c:v>
                </c:pt>
                <c:pt idx="47">
                  <c:v>86.004928185786355</c:v>
                </c:pt>
                <c:pt idx="48">
                  <c:v>91.034245092745991</c:v>
                </c:pt>
                <c:pt idx="49">
                  <c:v>90.696779309487823</c:v>
                </c:pt>
                <c:pt idx="50">
                  <c:v>88.07395973279489</c:v>
                </c:pt>
                <c:pt idx="51">
                  <c:v>98.255450397245014</c:v>
                </c:pt>
                <c:pt idx="52">
                  <c:v>101.72442315564274</c:v>
                </c:pt>
                <c:pt idx="53">
                  <c:v>91.677359198041472</c:v>
                </c:pt>
                <c:pt idx="54">
                  <c:v>95.688396188142136</c:v>
                </c:pt>
                <c:pt idx="55">
                  <c:v>99.45894066526688</c:v>
                </c:pt>
                <c:pt idx="56">
                  <c:v>96.429169174276581</c:v>
                </c:pt>
                <c:pt idx="57">
                  <c:v>97.853518691639522</c:v>
                </c:pt>
                <c:pt idx="58">
                  <c:v>97.490936185678478</c:v>
                </c:pt>
                <c:pt idx="59">
                  <c:v>100</c:v>
                </c:pt>
                <c:pt idx="60">
                  <c:v>102.87858082206728</c:v>
                </c:pt>
                <c:pt idx="61">
                  <c:v>100.52654605679426</c:v>
                </c:pt>
                <c:pt idx="62">
                  <c:v>96.575117274327155</c:v>
                </c:pt>
                <c:pt idx="63">
                  <c:v>107.7175346082953</c:v>
                </c:pt>
                <c:pt idx="64">
                  <c:v>110.09924447997263</c:v>
                </c:pt>
                <c:pt idx="65">
                  <c:v>108.52178429905068</c:v>
                </c:pt>
                <c:pt idx="66">
                  <c:v>103.39824939250771</c:v>
                </c:pt>
                <c:pt idx="67">
                  <c:v>112.73710615272614</c:v>
                </c:pt>
                <c:pt idx="68">
                  <c:v>111.49047230813258</c:v>
                </c:pt>
                <c:pt idx="69">
                  <c:v>111.33712503053532</c:v>
                </c:pt>
                <c:pt idx="70">
                  <c:v>102.78699836077784</c:v>
                </c:pt>
                <c:pt idx="71">
                  <c:v>112.03014759328029</c:v>
                </c:pt>
                <c:pt idx="72">
                  <c:v>116.1506869946063</c:v>
                </c:pt>
                <c:pt idx="73">
                  <c:v>118.73938426128367</c:v>
                </c:pt>
                <c:pt idx="74">
                  <c:v>111.9166840349923</c:v>
                </c:pt>
                <c:pt idx="75">
                  <c:v>116.7701952861181</c:v>
                </c:pt>
                <c:pt idx="76">
                  <c:v>123.18613174903413</c:v>
                </c:pt>
                <c:pt idx="77">
                  <c:v>114.03794741826003</c:v>
                </c:pt>
                <c:pt idx="78">
                  <c:v>104.83476457744169</c:v>
                </c:pt>
                <c:pt idx="79">
                  <c:v>123.75241328501733</c:v>
                </c:pt>
                <c:pt idx="80">
                  <c:v>118.88336960512507</c:v>
                </c:pt>
                <c:pt idx="81">
                  <c:v>126.76818178617542</c:v>
                </c:pt>
                <c:pt idx="82">
                  <c:v>104.50332746330962</c:v>
                </c:pt>
                <c:pt idx="83">
                  <c:v>125.59535085343404</c:v>
                </c:pt>
                <c:pt idx="84">
                  <c:v>134.95293489916691</c:v>
                </c:pt>
                <c:pt idx="85">
                  <c:v>134.0091700198154</c:v>
                </c:pt>
                <c:pt idx="86">
                  <c:v>120.08243119955077</c:v>
                </c:pt>
                <c:pt idx="87">
                  <c:v>132.44614614600059</c:v>
                </c:pt>
                <c:pt idx="88">
                  <c:v>132.13727930288826</c:v>
                </c:pt>
                <c:pt idx="89">
                  <c:v>126.25041182958438</c:v>
                </c:pt>
                <c:pt idx="90">
                  <c:v>109.43169641175949</c:v>
                </c:pt>
                <c:pt idx="91">
                  <c:v>121.91581226905365</c:v>
                </c:pt>
                <c:pt idx="92">
                  <c:v>134.84840295359317</c:v>
                </c:pt>
                <c:pt idx="93">
                  <c:v>127.27336131023512</c:v>
                </c:pt>
                <c:pt idx="94">
                  <c:v>115.59582279866341</c:v>
                </c:pt>
                <c:pt idx="95">
                  <c:v>117.17537972205716</c:v>
                </c:pt>
              </c:numCache>
            </c:numRef>
          </c:val>
          <c:smooth val="0"/>
        </c:ser>
        <c:dLbls>
          <c:showLegendKey val="0"/>
          <c:showVal val="0"/>
          <c:showCatName val="0"/>
          <c:showSerName val="0"/>
          <c:showPercent val="0"/>
          <c:showBubbleSize val="0"/>
        </c:dLbls>
        <c:marker val="1"/>
        <c:smooth val="0"/>
        <c:axId val="194520960"/>
        <c:axId val="194522496"/>
      </c:lineChart>
      <c:catAx>
        <c:axId val="194520960"/>
        <c:scaling>
          <c:orientation val="minMax"/>
        </c:scaling>
        <c:delete val="0"/>
        <c:axPos val="b"/>
        <c:majorTickMark val="out"/>
        <c:minorTickMark val="none"/>
        <c:tickLblPos val="nextTo"/>
        <c:spPr>
          <a:ln>
            <a:solidFill>
              <a:schemeClr val="tx1"/>
            </a:solidFill>
          </a:ln>
        </c:spPr>
        <c:crossAx val="194522496"/>
        <c:crosses val="autoZero"/>
        <c:auto val="1"/>
        <c:lblAlgn val="ctr"/>
        <c:lblOffset val="100"/>
        <c:tickLblSkip val="8"/>
        <c:tickMarkSkip val="8"/>
        <c:noMultiLvlLbl val="0"/>
      </c:catAx>
      <c:valAx>
        <c:axId val="194522496"/>
        <c:scaling>
          <c:orientation val="minMax"/>
        </c:scaling>
        <c:delete val="0"/>
        <c:axPos val="l"/>
        <c:majorGridlines/>
        <c:title>
          <c:tx>
            <c:rich>
              <a:bodyPr rot="-5400000" vert="horz"/>
              <a:lstStyle/>
              <a:p>
                <a:pPr>
                  <a:defRPr b="1"/>
                </a:pPr>
                <a:r>
                  <a:rPr lang="en-US" b="1"/>
                  <a:t>Index, June 2003=100</a:t>
                </a:r>
              </a:p>
            </c:rich>
          </c:tx>
          <c:overlay val="0"/>
        </c:title>
        <c:numFmt formatCode="_-* #,##0_-;\-* #,##0_-;_-* &quot;-&quot;??_-;_-@_-" sourceLinked="1"/>
        <c:majorTickMark val="out"/>
        <c:minorTickMark val="none"/>
        <c:tickLblPos val="nextTo"/>
        <c:spPr>
          <a:ln>
            <a:solidFill>
              <a:schemeClr val="tx1"/>
            </a:solidFill>
          </a:ln>
        </c:spPr>
        <c:crossAx val="194520960"/>
        <c:crosses val="autoZero"/>
        <c:crossBetween val="between"/>
      </c:valAx>
      <c:spPr>
        <a:ln>
          <a:solidFill>
            <a:schemeClr val="tx1"/>
          </a:solidFill>
        </a:ln>
      </c:spPr>
    </c:plotArea>
    <c:legend>
      <c:legendPos val="r"/>
      <c:layout>
        <c:manualLayout>
          <c:xMode val="edge"/>
          <c:yMode val="edge"/>
          <c:x val="1.0617078592142257E-3"/>
          <c:y val="7.1515732854133401E-4"/>
          <c:w val="0.9831535433070866"/>
          <c:h val="8.1903616214639832E-2"/>
        </c:manualLayout>
      </c:layout>
      <c:overlay val="0"/>
    </c:legend>
    <c:plotVisOnly val="1"/>
    <c:dispBlanksAs val="gap"/>
    <c:showDLblsOverMax val="0"/>
  </c:chart>
  <c:spPr>
    <a:ln>
      <a:noFill/>
    </a:ln>
  </c:spPr>
  <c:txPr>
    <a:bodyPr/>
    <a:lstStyle/>
    <a:p>
      <a:pPr>
        <a:defRPr sz="800" baseline="0">
          <a:latin typeface="Arial" pitchFamily="34" charset="0"/>
          <a:cs typeface="Arial" pitchFamily="34" charset="0"/>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856153824851614"/>
          <c:y val="0.10211109848782776"/>
          <c:w val="0.78648898694352332"/>
          <c:h val="0.7554633717439001"/>
        </c:manualLayout>
      </c:layout>
      <c:lineChart>
        <c:grouping val="standard"/>
        <c:varyColors val="0"/>
        <c:ser>
          <c:idx val="0"/>
          <c:order val="0"/>
          <c:tx>
            <c:strRef>
              <c:f>'Figure 6.4'!$B$7</c:f>
              <c:strCache>
                <c:ptCount val="1"/>
                <c:pt idx="0">
                  <c:v>Manganese</c:v>
                </c:pt>
              </c:strCache>
            </c:strRef>
          </c:tx>
          <c:spPr>
            <a:ln w="19050">
              <a:solidFill>
                <a:srgbClr val="344893"/>
              </a:solidFill>
            </a:ln>
          </c:spPr>
          <c:marker>
            <c:symbol val="none"/>
          </c:marker>
          <c:cat>
            <c:strRef>
              <c:f>'Figure 6.4'!$C$3:$CU$3</c:f>
              <c:strCache>
                <c:ptCount val="97"/>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pt idx="94">
                  <c:v>12</c:v>
                </c:pt>
                <c:pt idx="95">
                  <c:v>12</c:v>
                </c:pt>
                <c:pt idx="96">
                  <c:v>12</c:v>
                </c:pt>
              </c:strCache>
            </c:strRef>
          </c:cat>
          <c:val>
            <c:numRef>
              <c:f>'Figure 6.4'!$C$7:$CU$7</c:f>
              <c:numCache>
                <c:formatCode>General</c:formatCode>
                <c:ptCount val="97"/>
                <c:pt idx="4" formatCode="_-* #,##0_-;\-* #,##0_-;_-* &quot;-&quot;??_-;_-@_-">
                  <c:v>78.448907694487048</c:v>
                </c:pt>
                <c:pt idx="5" formatCode="_-* #,##0_-;\-* #,##0_-;_-* &quot;-&quot;??_-;_-@_-">
                  <c:v>111.18804776950415</c:v>
                </c:pt>
                <c:pt idx="6" formatCode="_-* #,##0_-;\-* #,##0_-;_-* &quot;-&quot;??_-;_-@_-">
                  <c:v>87.064786928056265</c:v>
                </c:pt>
                <c:pt idx="7" formatCode="_-* #,##0_-;\-* #,##0_-;_-* &quot;-&quot;??_-;_-@_-">
                  <c:v>75.133343187795248</c:v>
                </c:pt>
                <c:pt idx="8" formatCode="_-* #,##0_-;\-* #,##0_-;_-* &quot;-&quot;??_-;_-@_-">
                  <c:v>62.262953998139984</c:v>
                </c:pt>
                <c:pt idx="9" formatCode="_-* #,##0_-;\-* #,##0_-;_-* &quot;-&quot;??_-;_-@_-">
                  <c:v>75.727998374013779</c:v>
                </c:pt>
                <c:pt idx="10" formatCode="_-* #,##0_-;\-* #,##0_-;_-* &quot;-&quot;??_-;_-@_-">
                  <c:v>63.129068814939373</c:v>
                </c:pt>
                <c:pt idx="11" formatCode="_-* #,##0_-;\-* #,##0_-;_-* &quot;-&quot;??_-;_-@_-">
                  <c:v>40.192962682384533</c:v>
                </c:pt>
                <c:pt idx="12" formatCode="_-* #,##0_-;\-* #,##0_-;_-* &quot;-&quot;??_-;_-@_-">
                  <c:v>51.360839600155217</c:v>
                </c:pt>
                <c:pt idx="13" formatCode="_-* #,##0_-;\-* #,##0_-;_-* &quot;-&quot;??_-;_-@_-">
                  <c:v>59.281517340773455</c:v>
                </c:pt>
                <c:pt idx="14" formatCode="_-* #,##0_-;\-* #,##0_-;_-* &quot;-&quot;??_-;_-@_-">
                  <c:v>42.829493172705604</c:v>
                </c:pt>
                <c:pt idx="15" formatCode="_-* #,##0_-;\-* #,##0_-;_-* &quot;-&quot;??_-;_-@_-">
                  <c:v>47.611524793210279</c:v>
                </c:pt>
                <c:pt idx="16" formatCode="_-* #,##0_-;\-* #,##0_-;_-* &quot;-&quot;??_-;_-@_-">
                  <c:v>51.390710937836815</c:v>
                </c:pt>
                <c:pt idx="17" formatCode="_-* #,##0_-;\-* #,##0_-;_-* &quot;-&quot;??_-;_-@_-">
                  <c:v>48.881518572581193</c:v>
                </c:pt>
                <c:pt idx="18" formatCode="_-* #,##0_-;\-* #,##0_-;_-* &quot;-&quot;??_-;_-@_-">
                  <c:v>48.436835978640453</c:v>
                </c:pt>
                <c:pt idx="19" formatCode="_-* #,##0_-;\-* #,##0_-;_-* &quot;-&quot;??_-;_-@_-">
                  <c:v>69.251153279996061</c:v>
                </c:pt>
                <c:pt idx="20" formatCode="_-* #,##0_-;\-* #,##0_-;_-* &quot;-&quot;??_-;_-@_-">
                  <c:v>86.309688783774632</c:v>
                </c:pt>
                <c:pt idx="21" formatCode="_-* #,##0_-;\-* #,##0_-;_-* &quot;-&quot;??_-;_-@_-">
                  <c:v>86.496461632268449</c:v>
                </c:pt>
                <c:pt idx="22" formatCode="_-* #,##0_-;\-* #,##0_-;_-* &quot;-&quot;??_-;_-@_-">
                  <c:v>82.314936284744675</c:v>
                </c:pt>
                <c:pt idx="23" formatCode="_-* #,##0_-;\-* #,##0_-;_-* &quot;-&quot;??_-;_-@_-">
                  <c:v>59.683702567703243</c:v>
                </c:pt>
                <c:pt idx="24" formatCode="_-* #,##0_-;\-* #,##0_-;_-* &quot;-&quot;??_-;_-@_-">
                  <c:v>92.038364652045118</c:v>
                </c:pt>
                <c:pt idx="25" formatCode="_-* #,##0_-;\-* #,##0_-;_-* &quot;-&quot;??_-;_-@_-">
                  <c:v>71.548782666001486</c:v>
                </c:pt>
                <c:pt idx="26" formatCode="_-* #,##0_-;\-* #,##0_-;_-* &quot;-&quot;??_-;_-@_-">
                  <c:v>65.050996840413148</c:v>
                </c:pt>
                <c:pt idx="27" formatCode="_-* #,##0_-;\-* #,##0_-;_-* &quot;-&quot;??_-;_-@_-">
                  <c:v>86.694936654287005</c:v>
                </c:pt>
                <c:pt idx="28" formatCode="_-* #,##0_-;\-* #,##0_-;_-* &quot;-&quot;??_-;_-@_-">
                  <c:v>61.707716659583774</c:v>
                </c:pt>
                <c:pt idx="29" formatCode="_-* #,##0_-;\-* #,##0_-;_-* &quot;-&quot;??_-;_-@_-">
                  <c:v>79.940010963088895</c:v>
                </c:pt>
                <c:pt idx="30" formatCode="_-* #,##0_-;\-* #,##0_-;_-* &quot;-&quot;??_-;_-@_-">
                  <c:v>70.997856654533365</c:v>
                </c:pt>
                <c:pt idx="31" formatCode="_-* #,##0_-;\-* #,##0_-;_-* &quot;-&quot;??_-;_-@_-">
                  <c:v>79.315792391123608</c:v>
                </c:pt>
                <c:pt idx="32" formatCode="_-* #,##0_-;\-* #,##0_-;_-* &quot;-&quot;??_-;_-@_-">
                  <c:v>88.026520820630324</c:v>
                </c:pt>
                <c:pt idx="33" formatCode="_-* #,##0_-;\-* #,##0_-;_-* &quot;-&quot;??_-;_-@_-">
                  <c:v>86.338482289684222</c:v>
                </c:pt>
                <c:pt idx="34" formatCode="_-* #,##0_-;\-* #,##0_-;_-* &quot;-&quot;??_-;_-@_-">
                  <c:v>82.965792699075536</c:v>
                </c:pt>
                <c:pt idx="35" formatCode="_-* #,##0_-;\-* #,##0_-;_-* &quot;-&quot;??_-;_-@_-">
                  <c:v>96.289487136847683</c:v>
                </c:pt>
                <c:pt idx="36" formatCode="_-* #,##0_-;\-* #,##0_-;_-* &quot;-&quot;??_-;_-@_-">
                  <c:v>75.245745644019877</c:v>
                </c:pt>
                <c:pt idx="37" formatCode="_-* #,##0_-;\-* #,##0_-;_-* &quot;-&quot;??_-;_-@_-">
                  <c:v>74.406730597488334</c:v>
                </c:pt>
                <c:pt idx="38" formatCode="_-* #,##0_-;\-* #,##0_-;_-* &quot;-&quot;??_-;_-@_-">
                  <c:v>59.12292209431952</c:v>
                </c:pt>
                <c:pt idx="39" formatCode="_-* #,##0_-;\-* #,##0_-;_-* &quot;-&quot;??_-;_-@_-">
                  <c:v>44.859204375381097</c:v>
                </c:pt>
                <c:pt idx="40" formatCode="_-* #,##0_-;\-* #,##0_-;_-* &quot;-&quot;??_-;_-@_-">
                  <c:v>77.142267634867565</c:v>
                </c:pt>
                <c:pt idx="41" formatCode="_-* #,##0_-;\-* #,##0_-;_-* &quot;-&quot;??_-;_-@_-">
                  <c:v>50.052351828926547</c:v>
                </c:pt>
                <c:pt idx="42" formatCode="_-* #,##0_-;\-* #,##0_-;_-* &quot;-&quot;??_-;_-@_-">
                  <c:v>70.752111010513488</c:v>
                </c:pt>
                <c:pt idx="43" formatCode="_-* #,##0_-;\-* #,##0_-;_-* &quot;-&quot;??_-;_-@_-">
                  <c:v>53.093531161656287</c:v>
                </c:pt>
                <c:pt idx="44" formatCode="_-* #,##0_-;\-* #,##0_-;_-* &quot;-&quot;??_-;_-@_-">
                  <c:v>82.517568657883885</c:v>
                </c:pt>
                <c:pt idx="45" formatCode="_-* #,##0_-;\-* #,##0_-;_-* &quot;-&quot;??_-;_-@_-">
                  <c:v>86.049161446881357</c:v>
                </c:pt>
                <c:pt idx="46" formatCode="_-* #,##0_-;\-* #,##0_-;_-* &quot;-&quot;??_-;_-@_-">
                  <c:v>50.351527133644979</c:v>
                </c:pt>
                <c:pt idx="47" formatCode="_-* #,##0_-;\-* #,##0_-;_-* &quot;-&quot;??_-;_-@_-">
                  <c:v>51.270609683240643</c:v>
                </c:pt>
                <c:pt idx="48" formatCode="_-* #,##0_-;\-* #,##0_-;_-* &quot;-&quot;??_-;_-@_-">
                  <c:v>88.474436909887118</c:v>
                </c:pt>
                <c:pt idx="49" formatCode="_-* #,##0_-;\-* #,##0_-;_-* &quot;-&quot;??_-;_-@_-">
                  <c:v>65.231148722307424</c:v>
                </c:pt>
                <c:pt idx="50" formatCode="_-* #,##0_-;\-* #,##0_-;_-* &quot;-&quot;??_-;_-@_-">
                  <c:v>66.885620492353553</c:v>
                </c:pt>
                <c:pt idx="51" formatCode="_-* #,##0_-;\-* #,##0_-;_-* &quot;-&quot;??_-;_-@_-">
                  <c:v>81.590017430079513</c:v>
                </c:pt>
                <c:pt idx="52" formatCode="_-* #,##0_-;\-* #,##0_-;_-* &quot;-&quot;??_-;_-@_-">
                  <c:v>78.225796517679512</c:v>
                </c:pt>
                <c:pt idx="53" formatCode="_-* #,##0_-;\-* #,##0_-;_-* &quot;-&quot;??_-;_-@_-">
                  <c:v>73.151672486958248</c:v>
                </c:pt>
                <c:pt idx="54" formatCode="_-* #,##0_-;\-* #,##0_-;_-* &quot;-&quot;??_-;_-@_-">
                  <c:v>71.394652722603041</c:v>
                </c:pt>
                <c:pt idx="55" formatCode="_-* #,##0_-;\-* #,##0_-;_-* &quot;-&quot;??_-;_-@_-">
                  <c:v>62.046001860029691</c:v>
                </c:pt>
                <c:pt idx="56" formatCode="_-* #,##0_-;\-* #,##0_-;_-* &quot;-&quot;??_-;_-@_-">
                  <c:v>104.27406490394981</c:v>
                </c:pt>
                <c:pt idx="57" formatCode="_-* #,##0_-;\-* #,##0_-;_-* &quot;-&quot;??_-;_-@_-">
                  <c:v>99.264302827614657</c:v>
                </c:pt>
                <c:pt idx="58" formatCode="_-* #,##0_-;\-* #,##0_-;_-* &quot;-&quot;??_-;_-@_-">
                  <c:v>77.041875304102533</c:v>
                </c:pt>
                <c:pt idx="59" formatCode="_-* #,##0_-;\-* #,##0_-;_-* &quot;-&quot;??_-;_-@_-">
                  <c:v>100</c:v>
                </c:pt>
                <c:pt idx="60" formatCode="_-* #,##0_-;\-* #,##0_-;_-* &quot;-&quot;??_-;_-@_-">
                  <c:v>110.62495765660896</c:v>
                </c:pt>
                <c:pt idx="61" formatCode="_-* #,##0_-;\-* #,##0_-;_-* &quot;-&quot;??_-;_-@_-">
                  <c:v>107.1287793401206</c:v>
                </c:pt>
                <c:pt idx="62" formatCode="_-* #,##0_-;\-* #,##0_-;_-* &quot;-&quot;??_-;_-@_-">
                  <c:v>123.64608931837921</c:v>
                </c:pt>
                <c:pt idx="63" formatCode="_-* #,##0_-;\-* #,##0_-;_-* &quot;-&quot;??_-;_-@_-">
                  <c:v>135.07403164514082</c:v>
                </c:pt>
                <c:pt idx="64" formatCode="_-* #,##0_-;\-* #,##0_-;_-* &quot;-&quot;??_-;_-@_-">
                  <c:v>139.9513743894853</c:v>
                </c:pt>
                <c:pt idx="65" formatCode="_-* #,##0_-;\-* #,##0_-;_-* &quot;-&quot;??_-;_-@_-">
                  <c:v>129.61127227262369</c:v>
                </c:pt>
                <c:pt idx="66" formatCode="_-* #,##0_-;\-* #,##0_-;_-* &quot;-&quot;??_-;_-@_-">
                  <c:v>128.32880643989085</c:v>
                </c:pt>
                <c:pt idx="67" formatCode="_-* #,##0_-;\-* #,##0_-;_-* &quot;-&quot;??_-;_-@_-">
                  <c:v>150.78450755406095</c:v>
                </c:pt>
                <c:pt idx="68" formatCode="_-* #,##0_-;\-* #,##0_-;_-* &quot;-&quot;??_-;_-@_-">
                  <c:v>159.37929208009217</c:v>
                </c:pt>
                <c:pt idx="69" formatCode="_-* #,##0_-;\-* #,##0_-;_-* &quot;-&quot;??_-;_-@_-">
                  <c:v>151.1770792914642</c:v>
                </c:pt>
                <c:pt idx="70" formatCode="_-* #,##0_-;\-* #,##0_-;_-* &quot;-&quot;??_-;_-@_-">
                  <c:v>143.67926097694672</c:v>
                </c:pt>
                <c:pt idx="71" formatCode="_-* #,##0_-;\-* #,##0_-;_-* &quot;-&quot;??_-;_-@_-">
                  <c:v>175.16583211692318</c:v>
                </c:pt>
                <c:pt idx="72" formatCode="_-* #,##0_-;\-* #,##0_-;_-* &quot;-&quot;??_-;_-@_-">
                  <c:v>191.5947598898764</c:v>
                </c:pt>
                <c:pt idx="73" formatCode="_-* #,##0_-;\-* #,##0_-;_-* &quot;-&quot;??_-;_-@_-">
                  <c:v>192.76235965090567</c:v>
                </c:pt>
                <c:pt idx="74" formatCode="_-* #,##0_-;\-* #,##0_-;_-* &quot;-&quot;??_-;_-@_-">
                  <c:v>189.2974384558058</c:v>
                </c:pt>
                <c:pt idx="75" formatCode="_-* #,##0_-;\-* #,##0_-;_-* &quot;-&quot;??_-;_-@_-">
                  <c:v>207.12877934012059</c:v>
                </c:pt>
                <c:pt idx="76" formatCode="_-* #,##0_-;\-* #,##0_-;_-* &quot;-&quot;??_-;_-@_-">
                  <c:v>207.73405886809192</c:v>
                </c:pt>
                <c:pt idx="77" formatCode="_-* #,##0_-;\-* #,##0_-;_-* &quot;-&quot;??_-;_-@_-">
                  <c:v>208.44373410198136</c:v>
                </c:pt>
                <c:pt idx="78" formatCode="_-* #,##0_-;\-* #,##0_-;_-* &quot;-&quot;??_-;_-@_-">
                  <c:v>192.07670466793542</c:v>
                </c:pt>
                <c:pt idx="79" formatCode="_-* #,##0_-;\-* #,##0_-;_-* &quot;-&quot;??_-;_-@_-">
                  <c:v>225.04850242974081</c:v>
                </c:pt>
                <c:pt idx="80" formatCode="_-* #,##0_-;\-* #,##0_-;_-* &quot;-&quot;??_-;_-@_-">
                  <c:v>188.88817033437425</c:v>
                </c:pt>
                <c:pt idx="81" formatCode="_-* #,##0_-;\-* #,##0_-;_-* &quot;-&quot;??_-;_-@_-">
                  <c:v>134.95454629441437</c:v>
                </c:pt>
                <c:pt idx="82" formatCode="_-* #,##0_-;\-* #,##0_-;_-* &quot;-&quot;??_-;_-@_-">
                  <c:v>105.66954909677698</c:v>
                </c:pt>
                <c:pt idx="83" formatCode="_-* #,##0_-;\-* #,##0_-;_-* &quot;-&quot;??_-;_-@_-">
                  <c:v>144.89277113628106</c:v>
                </c:pt>
                <c:pt idx="84" formatCode="_-* #,##0_-;\-* #,##0_-;_-* &quot;-&quot;??_-;_-@_-">
                  <c:v>221.87105436583454</c:v>
                </c:pt>
                <c:pt idx="85" formatCode="_-* #,##0_-;\-* #,##0_-;_-* &quot;-&quot;??_-;_-@_-">
                  <c:v>211.93406133170734</c:v>
                </c:pt>
                <c:pt idx="86" formatCode="_-* #,##0_-;\-* #,##0_-;_-* &quot;-&quot;??_-;_-@_-">
                  <c:v>249.87296982686942</c:v>
                </c:pt>
                <c:pt idx="87" formatCode="_-* #,##0_-;\-* #,##0_-;_-* &quot;-&quot;??_-;_-@_-">
                  <c:v>208.64436478754396</c:v>
                </c:pt>
                <c:pt idx="88" formatCode="_-* #,##0_-;\-* #,##0_-;_-* &quot;-&quot;??_-;_-@_-">
                  <c:v>276.85802799898994</c:v>
                </c:pt>
                <c:pt idx="89" formatCode="_-* #,##0_-;\-* #,##0_-;_-* &quot;-&quot;??_-;_-@_-">
                  <c:v>261.4058190597612</c:v>
                </c:pt>
                <c:pt idx="90" formatCode="_-* #,##0_-;\-* #,##0_-;_-* &quot;-&quot;??_-;_-@_-">
                  <c:v>222.9128557614728</c:v>
                </c:pt>
                <c:pt idx="91" formatCode="_-* #,##0_-;\-* #,##0_-;_-* &quot;-&quot;??_-;_-@_-">
                  <c:v>283.33317935736596</c:v>
                </c:pt>
                <c:pt idx="92" formatCode="_-* #,##0_-;\-* #,##0_-;_-* &quot;-&quot;??_-;_-@_-">
                  <c:v>293.67341235379985</c:v>
                </c:pt>
                <c:pt idx="93" formatCode="_-* #,##0_-;\-* #,##0_-;_-* &quot;-&quot;??_-;_-@_-">
                  <c:v>271.87160559979799</c:v>
                </c:pt>
                <c:pt idx="94" formatCode="_-* #,##0_-;\-* #,##0_-;_-* &quot;-&quot;??_-;_-@_-">
                  <c:v>288.03177255593948</c:v>
                </c:pt>
                <c:pt idx="95" formatCode="_-* #,##0_-;\-* #,##0_-;_-* &quot;-&quot;??_-;_-@_-">
                  <c:v>279.2962196397886</c:v>
                </c:pt>
                <c:pt idx="96" formatCode="_-* #,##0_-;\-* #,##0_-;_-* &quot;-&quot;??_-;_-@_-">
                  <c:v>304.99518909307392</c:v>
                </c:pt>
              </c:numCache>
            </c:numRef>
          </c:val>
          <c:smooth val="0"/>
        </c:ser>
        <c:ser>
          <c:idx val="1"/>
          <c:order val="1"/>
          <c:tx>
            <c:strRef>
              <c:f>'Figure 6.4'!$B$8</c:f>
              <c:strCache>
                <c:ptCount val="1"/>
                <c:pt idx="0">
                  <c:v>Uranium oxide</c:v>
                </c:pt>
              </c:strCache>
            </c:strRef>
          </c:tx>
          <c:spPr>
            <a:ln w="19050">
              <a:solidFill>
                <a:srgbClr val="B4C98B"/>
              </a:solidFill>
              <a:prstDash val="sysDash"/>
            </a:ln>
          </c:spPr>
          <c:marker>
            <c:symbol val="none"/>
          </c:marker>
          <c:cat>
            <c:strRef>
              <c:f>'Figure 6.4'!$C$3:$CU$3</c:f>
              <c:strCache>
                <c:ptCount val="97"/>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pt idx="94">
                  <c:v>12</c:v>
                </c:pt>
                <c:pt idx="95">
                  <c:v>12</c:v>
                </c:pt>
                <c:pt idx="96">
                  <c:v>12</c:v>
                </c:pt>
              </c:strCache>
            </c:strRef>
          </c:cat>
          <c:val>
            <c:numRef>
              <c:f>'Figure 6.4'!$C$8:$CU$8</c:f>
              <c:numCache>
                <c:formatCode>_-* #,##0_-;\-* #,##0_-;_-* "-"??_-;_-@_-</c:formatCode>
                <c:ptCount val="97"/>
                <c:pt idx="0">
                  <c:v>45.008800603469957</c:v>
                </c:pt>
                <c:pt idx="1">
                  <c:v>54.06084988684939</c:v>
                </c:pt>
                <c:pt idx="2">
                  <c:v>36.87871930265694</c:v>
                </c:pt>
                <c:pt idx="3">
                  <c:v>52.929343726426964</c:v>
                </c:pt>
                <c:pt idx="4">
                  <c:v>46.580336937390001</c:v>
                </c:pt>
                <c:pt idx="5">
                  <c:v>44.254463163188348</c:v>
                </c:pt>
                <c:pt idx="6">
                  <c:v>33.819461905959272</c:v>
                </c:pt>
                <c:pt idx="7">
                  <c:v>46.685106026317996</c:v>
                </c:pt>
                <c:pt idx="8">
                  <c:v>52.467592825412794</c:v>
                </c:pt>
                <c:pt idx="9">
                  <c:v>40.976182214399465</c:v>
                </c:pt>
                <c:pt idx="10">
                  <c:v>40.005712010728359</c:v>
                </c:pt>
                <c:pt idx="11">
                  <c:v>49.5614592238706</c:v>
                </c:pt>
                <c:pt idx="12">
                  <c:v>51.889891878300233</c:v>
                </c:pt>
                <c:pt idx="13">
                  <c:v>44.335504148855932</c:v>
                </c:pt>
                <c:pt idx="14">
                  <c:v>42.404081803704642</c:v>
                </c:pt>
                <c:pt idx="15">
                  <c:v>42.78920459307686</c:v>
                </c:pt>
                <c:pt idx="16">
                  <c:v>12.3641048529042</c:v>
                </c:pt>
                <c:pt idx="17">
                  <c:v>16.954123711340209</c:v>
                </c:pt>
                <c:pt idx="18">
                  <c:v>41.746005364177364</c:v>
                </c:pt>
                <c:pt idx="19">
                  <c:v>41.4926921465091</c:v>
                </c:pt>
                <c:pt idx="20">
                  <c:v>14.377349761126478</c:v>
                </c:pt>
                <c:pt idx="21">
                  <c:v>13.096608834129581</c:v>
                </c:pt>
                <c:pt idx="22">
                  <c:v>36.723614114491674</c:v>
                </c:pt>
                <c:pt idx="23">
                  <c:v>50.325424524348335</c:v>
                </c:pt>
                <c:pt idx="24">
                  <c:v>11.007572709747716</c:v>
                </c:pt>
                <c:pt idx="25">
                  <c:v>10.509116587042161</c:v>
                </c:pt>
                <c:pt idx="26">
                  <c:v>40.412335931606748</c:v>
                </c:pt>
                <c:pt idx="27">
                  <c:v>47.93887938982482</c:v>
                </c:pt>
                <c:pt idx="28">
                  <c:v>58.589017685022213</c:v>
                </c:pt>
                <c:pt idx="29">
                  <c:v>35.920036459642951</c:v>
                </c:pt>
                <c:pt idx="30">
                  <c:v>52.438403319084749</c:v>
                </c:pt>
                <c:pt idx="31">
                  <c:v>66.272529125806727</c:v>
                </c:pt>
                <c:pt idx="32">
                  <c:v>61.097720224624936</c:v>
                </c:pt>
                <c:pt idx="33">
                  <c:v>65.250405665912339</c:v>
                </c:pt>
                <c:pt idx="34">
                  <c:v>60.967068560891803</c:v>
                </c:pt>
                <c:pt idx="35">
                  <c:v>63.066610091358648</c:v>
                </c:pt>
                <c:pt idx="36">
                  <c:v>68.266343977872779</c:v>
                </c:pt>
                <c:pt idx="37">
                  <c:v>78.371511189338719</c:v>
                </c:pt>
                <c:pt idx="38">
                  <c:v>48.343076858603645</c:v>
                </c:pt>
                <c:pt idx="39">
                  <c:v>47.580776967563494</c:v>
                </c:pt>
                <c:pt idx="40">
                  <c:v>77.101757606235864</c:v>
                </c:pt>
                <c:pt idx="41">
                  <c:v>68.882694660967232</c:v>
                </c:pt>
                <c:pt idx="42">
                  <c:v>65.042475064956847</c:v>
                </c:pt>
                <c:pt idx="43">
                  <c:v>56.655061185147943</c:v>
                </c:pt>
                <c:pt idx="44">
                  <c:v>84.510003771687209</c:v>
                </c:pt>
                <c:pt idx="45">
                  <c:v>89.933785935797516</c:v>
                </c:pt>
                <c:pt idx="46">
                  <c:v>89.430894308943095</c:v>
                </c:pt>
                <c:pt idx="47">
                  <c:v>80.487441119772043</c:v>
                </c:pt>
                <c:pt idx="48">
                  <c:v>103.57568979968151</c:v>
                </c:pt>
                <c:pt idx="49">
                  <c:v>101.44917274327382</c:v>
                </c:pt>
                <c:pt idx="50">
                  <c:v>98.105774872181712</c:v>
                </c:pt>
                <c:pt idx="51">
                  <c:v>97.058083982901692</c:v>
                </c:pt>
                <c:pt idx="52">
                  <c:v>97.938144329896915</c:v>
                </c:pt>
                <c:pt idx="53">
                  <c:v>84.988684938395778</c:v>
                </c:pt>
                <c:pt idx="54">
                  <c:v>74.290357053055075</c:v>
                </c:pt>
                <c:pt idx="55">
                  <c:v>70.622747464588059</c:v>
                </c:pt>
                <c:pt idx="56">
                  <c:v>95.549409102338473</c:v>
                </c:pt>
                <c:pt idx="57">
                  <c:v>103.31908473723914</c:v>
                </c:pt>
                <c:pt idx="58">
                  <c:v>85.491576565250199</c:v>
                </c:pt>
                <c:pt idx="59">
                  <c:v>100</c:v>
                </c:pt>
                <c:pt idx="60">
                  <c:v>91.128153549576737</c:v>
                </c:pt>
                <c:pt idx="61">
                  <c:v>98.755343223535334</c:v>
                </c:pt>
                <c:pt idx="62">
                  <c:v>111.80328555862879</c:v>
                </c:pt>
                <c:pt idx="63">
                  <c:v>99.314810158410879</c:v>
                </c:pt>
                <c:pt idx="64">
                  <c:v>112.74591400553183</c:v>
                </c:pt>
                <c:pt idx="65">
                  <c:v>121.42079456877045</c:v>
                </c:pt>
                <c:pt idx="66">
                  <c:v>116.7823317408432</c:v>
                </c:pt>
                <c:pt idx="67">
                  <c:v>108.5265275333166</c:v>
                </c:pt>
                <c:pt idx="68">
                  <c:v>122.53122118850057</c:v>
                </c:pt>
                <c:pt idx="69">
                  <c:v>122.44740591735817</c:v>
                </c:pt>
                <c:pt idx="70">
                  <c:v>104.18238203000588</c:v>
                </c:pt>
                <c:pt idx="71">
                  <c:v>68.81233760791217</c:v>
                </c:pt>
                <c:pt idx="72">
                  <c:v>89.137540859944693</c:v>
                </c:pt>
                <c:pt idx="73">
                  <c:v>113.77923057581093</c:v>
                </c:pt>
                <c:pt idx="74">
                  <c:v>87.222361914340809</c:v>
                </c:pt>
                <c:pt idx="75">
                  <c:v>111.90595926577824</c:v>
                </c:pt>
                <c:pt idx="76">
                  <c:v>103.63758276758027</c:v>
                </c:pt>
                <c:pt idx="77">
                  <c:v>122.41220350347837</c:v>
                </c:pt>
                <c:pt idx="78">
                  <c:v>104.41413125471463</c:v>
                </c:pt>
                <c:pt idx="79">
                  <c:v>93.392423099488738</c:v>
                </c:pt>
                <c:pt idx="80">
                  <c:v>109.67102506076607</c:v>
                </c:pt>
                <c:pt idx="81">
                  <c:v>111.13779230575813</c:v>
                </c:pt>
                <c:pt idx="82">
                  <c:v>94.373061771854836</c:v>
                </c:pt>
                <c:pt idx="83">
                  <c:v>116.91936970916102</c:v>
                </c:pt>
                <c:pt idx="84">
                  <c:v>112.52200150867489</c:v>
                </c:pt>
                <c:pt idx="85">
                  <c:v>68.644707065627358</c:v>
                </c:pt>
                <c:pt idx="86">
                  <c:v>47.858519822311628</c:v>
                </c:pt>
                <c:pt idx="87">
                  <c:v>70.865811750901017</c:v>
                </c:pt>
                <c:pt idx="88">
                  <c:v>86.790713267957415</c:v>
                </c:pt>
                <c:pt idx="89">
                  <c:v>92.563490067890385</c:v>
                </c:pt>
                <c:pt idx="90">
                  <c:v>69.891459223870598</c:v>
                </c:pt>
                <c:pt idx="91">
                  <c:v>49.650071242980481</c:v>
                </c:pt>
                <c:pt idx="92">
                  <c:v>86.329729276674215</c:v>
                </c:pt>
                <c:pt idx="93">
                  <c:v>84.401978040398973</c:v>
                </c:pt>
                <c:pt idx="94">
                  <c:v>67.094124549492932</c:v>
                </c:pt>
                <c:pt idx="95">
                  <c:v>76.439527281870767</c:v>
                </c:pt>
                <c:pt idx="96">
                  <c:v>97.896236694325722</c:v>
                </c:pt>
              </c:numCache>
            </c:numRef>
          </c:val>
          <c:smooth val="0"/>
        </c:ser>
        <c:dLbls>
          <c:showLegendKey val="0"/>
          <c:showVal val="0"/>
          <c:showCatName val="0"/>
          <c:showSerName val="0"/>
          <c:showPercent val="0"/>
          <c:showBubbleSize val="0"/>
        </c:dLbls>
        <c:marker val="1"/>
        <c:smooth val="0"/>
        <c:axId val="194585344"/>
        <c:axId val="194586880"/>
      </c:lineChart>
      <c:catAx>
        <c:axId val="194585344"/>
        <c:scaling>
          <c:orientation val="minMax"/>
        </c:scaling>
        <c:delete val="0"/>
        <c:axPos val="b"/>
        <c:majorTickMark val="out"/>
        <c:minorTickMark val="none"/>
        <c:tickLblPos val="nextTo"/>
        <c:spPr>
          <a:ln>
            <a:solidFill>
              <a:schemeClr val="tx1"/>
            </a:solidFill>
          </a:ln>
        </c:spPr>
        <c:crossAx val="194586880"/>
        <c:crosses val="autoZero"/>
        <c:auto val="1"/>
        <c:lblAlgn val="ctr"/>
        <c:lblOffset val="100"/>
        <c:tickLblSkip val="8"/>
        <c:tickMarkSkip val="8"/>
        <c:noMultiLvlLbl val="0"/>
      </c:catAx>
      <c:valAx>
        <c:axId val="194586880"/>
        <c:scaling>
          <c:orientation val="minMax"/>
        </c:scaling>
        <c:delete val="0"/>
        <c:axPos val="l"/>
        <c:majorGridlines/>
        <c:title>
          <c:tx>
            <c:rich>
              <a:bodyPr rot="-5400000" vert="horz"/>
              <a:lstStyle/>
              <a:p>
                <a:pPr>
                  <a:defRPr b="1"/>
                </a:pPr>
                <a:r>
                  <a:rPr lang="en-US" b="1"/>
                  <a:t>Index, June 2003-100</a:t>
                </a:r>
              </a:p>
            </c:rich>
          </c:tx>
          <c:overlay val="0"/>
        </c:title>
        <c:numFmt formatCode="General" sourceLinked="1"/>
        <c:majorTickMark val="out"/>
        <c:minorTickMark val="none"/>
        <c:tickLblPos val="nextTo"/>
        <c:spPr>
          <a:ln>
            <a:solidFill>
              <a:schemeClr val="tx1"/>
            </a:solidFill>
          </a:ln>
        </c:spPr>
        <c:crossAx val="194585344"/>
        <c:crosses val="autoZero"/>
        <c:crossBetween val="between"/>
      </c:valAx>
      <c:spPr>
        <a:ln>
          <a:solidFill>
            <a:schemeClr val="tx1"/>
          </a:solidFill>
        </a:ln>
      </c:spPr>
    </c:plotArea>
    <c:legend>
      <c:legendPos val="r"/>
      <c:layout>
        <c:manualLayout>
          <c:xMode val="edge"/>
          <c:yMode val="edge"/>
          <c:x val="1.7832677165354326E-2"/>
          <c:y val="7.1485855934674098E-4"/>
          <c:w val="0.96827843394575674"/>
          <c:h val="6.8014727325750951E-2"/>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336181277176764"/>
          <c:y val="9.2592366020840075E-2"/>
          <c:w val="0.79187692285045563"/>
          <c:h val="0.77271908948256662"/>
        </c:manualLayout>
      </c:layout>
      <c:lineChart>
        <c:grouping val="standard"/>
        <c:varyColors val="0"/>
        <c:ser>
          <c:idx val="0"/>
          <c:order val="0"/>
          <c:tx>
            <c:strRef>
              <c:f>'Figure 6.4'!$B$9</c:f>
              <c:strCache>
                <c:ptCount val="1"/>
                <c:pt idx="0">
                  <c:v>Titanium (Rutile concentrate)</c:v>
                </c:pt>
              </c:strCache>
            </c:strRef>
          </c:tx>
          <c:spPr>
            <a:ln w="19050">
              <a:solidFill>
                <a:srgbClr val="344893"/>
              </a:solidFill>
              <a:prstDash val="solid"/>
            </a:ln>
          </c:spPr>
          <c:marker>
            <c:symbol val="none"/>
          </c:marker>
          <c:cat>
            <c:strRef>
              <c:f>'Figure 6.4'!$C$3:$CU$3</c:f>
              <c:strCache>
                <c:ptCount val="97"/>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pt idx="94">
                  <c:v>12</c:v>
                </c:pt>
                <c:pt idx="95">
                  <c:v>12</c:v>
                </c:pt>
                <c:pt idx="96">
                  <c:v>12</c:v>
                </c:pt>
              </c:strCache>
            </c:strRef>
          </c:cat>
          <c:val>
            <c:numRef>
              <c:f>'Figure 6.4'!$C$9:$CU$9</c:f>
              <c:numCache>
                <c:formatCode>_-* #,##0_-;\-* #,##0_-;_-* "-"??_-;_-@_-</c:formatCode>
                <c:ptCount val="97"/>
                <c:pt idx="0">
                  <c:v>134.17422059822454</c:v>
                </c:pt>
                <c:pt idx="1">
                  <c:v>135.97545265031738</c:v>
                </c:pt>
                <c:pt idx="2">
                  <c:v>154.59208769587519</c:v>
                </c:pt>
                <c:pt idx="3">
                  <c:v>154.59208769587519</c:v>
                </c:pt>
                <c:pt idx="4">
                  <c:v>144.5506289087204</c:v>
                </c:pt>
                <c:pt idx="5">
                  <c:v>115.35614737779026</c:v>
                </c:pt>
                <c:pt idx="6">
                  <c:v>139.62007823296557</c:v>
                </c:pt>
                <c:pt idx="7">
                  <c:v>148.97289953856605</c:v>
                </c:pt>
                <c:pt idx="8">
                  <c:v>141.59229850326753</c:v>
                </c:pt>
                <c:pt idx="9">
                  <c:v>140.22439275759493</c:v>
                </c:pt>
                <c:pt idx="10">
                  <c:v>124.51689972595037</c:v>
                </c:pt>
                <c:pt idx="11">
                  <c:v>110.71838474691398</c:v>
                </c:pt>
                <c:pt idx="12">
                  <c:v>106.52331763989413</c:v>
                </c:pt>
                <c:pt idx="13">
                  <c:v>107.67807368889513</c:v>
                </c:pt>
                <c:pt idx="14">
                  <c:v>100.75422200360714</c:v>
                </c:pt>
                <c:pt idx="15">
                  <c:v>99.903965521279844</c:v>
                </c:pt>
                <c:pt idx="16">
                  <c:v>123.47457428618274</c:v>
                </c:pt>
                <c:pt idx="17">
                  <c:v>105.20928489447918</c:v>
                </c:pt>
                <c:pt idx="18">
                  <c:v>98.667228819712847</c:v>
                </c:pt>
                <c:pt idx="19">
                  <c:v>106.31953716065864</c:v>
                </c:pt>
                <c:pt idx="20">
                  <c:v>122.34558358513104</c:v>
                </c:pt>
                <c:pt idx="21">
                  <c:v>110.45136204998478</c:v>
                </c:pt>
                <c:pt idx="22">
                  <c:v>111.30630314103014</c:v>
                </c:pt>
                <c:pt idx="23">
                  <c:v>142.01859789661069</c:v>
                </c:pt>
                <c:pt idx="24">
                  <c:v>151.90546459606958</c:v>
                </c:pt>
                <c:pt idx="25">
                  <c:v>140.66006136837419</c:v>
                </c:pt>
                <c:pt idx="26">
                  <c:v>133.91656711873139</c:v>
                </c:pt>
                <c:pt idx="27">
                  <c:v>128.81737052912655</c:v>
                </c:pt>
                <c:pt idx="28">
                  <c:v>116.9254912983393</c:v>
                </c:pt>
                <c:pt idx="29">
                  <c:v>99.086501299978892</c:v>
                </c:pt>
                <c:pt idx="30">
                  <c:v>117.65394795399713</c:v>
                </c:pt>
                <c:pt idx="31">
                  <c:v>133.28882955051179</c:v>
                </c:pt>
                <c:pt idx="32">
                  <c:v>95.891598154264159</c:v>
                </c:pt>
                <c:pt idx="33">
                  <c:v>103.84372145316564</c:v>
                </c:pt>
                <c:pt idx="34">
                  <c:v>126.60857751856275</c:v>
                </c:pt>
                <c:pt idx="35">
                  <c:v>135.24933829901858</c:v>
                </c:pt>
                <c:pt idx="36">
                  <c:v>133.32864872461528</c:v>
                </c:pt>
                <c:pt idx="37">
                  <c:v>151.65249572529453</c:v>
                </c:pt>
                <c:pt idx="38">
                  <c:v>144.34919073384395</c:v>
                </c:pt>
                <c:pt idx="39">
                  <c:v>150.27522076218582</c:v>
                </c:pt>
                <c:pt idx="40">
                  <c:v>137.99451900779991</c:v>
                </c:pt>
                <c:pt idx="41">
                  <c:v>114.14986063289064</c:v>
                </c:pt>
                <c:pt idx="42">
                  <c:v>125.71147494905487</c:v>
                </c:pt>
                <c:pt idx="43">
                  <c:v>107.94275408146535</c:v>
                </c:pt>
                <c:pt idx="44">
                  <c:v>82.226594523692384</c:v>
                </c:pt>
                <c:pt idx="45">
                  <c:v>110.69027709460568</c:v>
                </c:pt>
                <c:pt idx="46">
                  <c:v>116.26027686037524</c:v>
                </c:pt>
                <c:pt idx="47">
                  <c:v>130.60220645070621</c:v>
                </c:pt>
                <c:pt idx="48">
                  <c:v>114.88768650598456</c:v>
                </c:pt>
                <c:pt idx="49">
                  <c:v>114.23652589417469</c:v>
                </c:pt>
                <c:pt idx="50">
                  <c:v>129.57393483709274</c:v>
                </c:pt>
                <c:pt idx="51">
                  <c:v>121.21425057972034</c:v>
                </c:pt>
                <c:pt idx="52">
                  <c:v>114.7752558967512</c:v>
                </c:pt>
                <c:pt idx="53">
                  <c:v>110.54036961562787</c:v>
                </c:pt>
                <c:pt idx="54">
                  <c:v>116.2579345560162</c:v>
                </c:pt>
                <c:pt idx="55">
                  <c:v>135.52573021338392</c:v>
                </c:pt>
                <c:pt idx="56">
                  <c:v>124.25924624645727</c:v>
                </c:pt>
                <c:pt idx="57">
                  <c:v>131.08003653994803</c:v>
                </c:pt>
                <c:pt idx="58">
                  <c:v>123.28250532874242</c:v>
                </c:pt>
                <c:pt idx="59">
                  <c:v>100</c:v>
                </c:pt>
                <c:pt idx="60">
                  <c:v>85.039702058885538</c:v>
                </c:pt>
                <c:pt idx="61">
                  <c:v>93.083175227789098</c:v>
                </c:pt>
                <c:pt idx="62">
                  <c:v>89.115311643594978</c:v>
                </c:pt>
                <c:pt idx="63">
                  <c:v>88.581266249736487</c:v>
                </c:pt>
                <c:pt idx="64">
                  <c:v>100.22486121846674</c:v>
                </c:pt>
                <c:pt idx="65">
                  <c:v>100.57386456796196</c:v>
                </c:pt>
                <c:pt idx="66">
                  <c:v>96.903473637364442</c:v>
                </c:pt>
                <c:pt idx="67">
                  <c:v>108.59391469327522</c:v>
                </c:pt>
                <c:pt idx="68">
                  <c:v>109.46525191483381</c:v>
                </c:pt>
                <c:pt idx="69">
                  <c:v>99.049024430234454</c:v>
                </c:pt>
                <c:pt idx="70">
                  <c:v>103.82264071393436</c:v>
                </c:pt>
                <c:pt idx="71">
                  <c:v>119.15068043941629</c:v>
                </c:pt>
                <c:pt idx="72">
                  <c:v>160.87414798678938</c:v>
                </c:pt>
                <c:pt idx="73">
                  <c:v>159.63164921649917</c:v>
                </c:pt>
                <c:pt idx="74">
                  <c:v>153.9026069847516</c:v>
                </c:pt>
                <c:pt idx="75">
                  <c:v>177.95748717588361</c:v>
                </c:pt>
                <c:pt idx="76">
                  <c:v>187.16873960602439</c:v>
                </c:pt>
                <c:pt idx="77">
                  <c:v>211.77972969807701</c:v>
                </c:pt>
                <c:pt idx="78">
                  <c:v>200.18204389478367</c:v>
                </c:pt>
                <c:pt idx="79">
                  <c:v>180.61630712294755</c:v>
                </c:pt>
                <c:pt idx="80">
                  <c:v>191.18825100133512</c:v>
                </c:pt>
                <c:pt idx="81">
                  <c:v>189.27224603564983</c:v>
                </c:pt>
                <c:pt idx="82">
                  <c:v>184.31124540322767</c:v>
                </c:pt>
                <c:pt idx="83">
                  <c:v>155.49621717846014</c:v>
                </c:pt>
                <c:pt idx="84">
                  <c:v>172.88548473988706</c:v>
                </c:pt>
                <c:pt idx="85">
                  <c:v>193.73199353523995</c:v>
                </c:pt>
                <c:pt idx="86">
                  <c:v>219.12257278710794</c:v>
                </c:pt>
                <c:pt idx="87">
                  <c:v>260.11289907010519</c:v>
                </c:pt>
                <c:pt idx="88">
                  <c:v>263.62635560864777</c:v>
                </c:pt>
                <c:pt idx="89">
                  <c:v>262.45520342913358</c:v>
                </c:pt>
                <c:pt idx="90">
                  <c:v>260.58135994191082</c:v>
                </c:pt>
                <c:pt idx="91">
                  <c:v>285.8782470194177</c:v>
                </c:pt>
                <c:pt idx="92">
                  <c:v>297.12130794275407</c:v>
                </c:pt>
                <c:pt idx="93">
                  <c:v>267.37404258309323</c:v>
                </c:pt>
                <c:pt idx="94">
                  <c:v>230.01428805659006</c:v>
                </c:pt>
                <c:pt idx="95">
                  <c:v>268.7794251985103</c:v>
                </c:pt>
                <c:pt idx="96">
                  <c:v>263.56779799967211</c:v>
                </c:pt>
              </c:numCache>
            </c:numRef>
          </c:val>
          <c:smooth val="0"/>
        </c:ser>
        <c:ser>
          <c:idx val="1"/>
          <c:order val="1"/>
          <c:tx>
            <c:strRef>
              <c:f>'Figure 6.4'!$B$10</c:f>
              <c:strCache>
                <c:ptCount val="1"/>
                <c:pt idx="0">
                  <c:v>Alumina</c:v>
                </c:pt>
              </c:strCache>
            </c:strRef>
          </c:tx>
          <c:spPr>
            <a:ln w="19050">
              <a:solidFill>
                <a:srgbClr val="B4C98B"/>
              </a:solidFill>
              <a:prstDash val="sysDash"/>
            </a:ln>
          </c:spPr>
          <c:marker>
            <c:symbol val="none"/>
          </c:marker>
          <c:cat>
            <c:strRef>
              <c:f>'Figure 6.4'!$C$3:$CU$3</c:f>
              <c:strCache>
                <c:ptCount val="97"/>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pt idx="94">
                  <c:v>12</c:v>
                </c:pt>
                <c:pt idx="95">
                  <c:v>12</c:v>
                </c:pt>
                <c:pt idx="96">
                  <c:v>12</c:v>
                </c:pt>
              </c:strCache>
            </c:strRef>
          </c:cat>
          <c:val>
            <c:numRef>
              <c:f>'Figure 6.4'!$C$10:$CU$10</c:f>
              <c:numCache>
                <c:formatCode>_-* #,##0_-;\-* #,##0_-;_-* "-"??_-;_-@_-</c:formatCode>
                <c:ptCount val="97"/>
                <c:pt idx="0">
                  <c:v>62.981759653816219</c:v>
                </c:pt>
                <c:pt idx="1">
                  <c:v>65.430979151933371</c:v>
                </c:pt>
                <c:pt idx="2">
                  <c:v>62.882131852324974</c:v>
                </c:pt>
                <c:pt idx="3">
                  <c:v>63.472713732993178</c:v>
                </c:pt>
                <c:pt idx="4">
                  <c:v>66.471784498288955</c:v>
                </c:pt>
                <c:pt idx="5">
                  <c:v>66.70672444406317</c:v>
                </c:pt>
                <c:pt idx="6">
                  <c:v>66.159684670559017</c:v>
                </c:pt>
                <c:pt idx="7">
                  <c:v>65.987198332135449</c:v>
                </c:pt>
                <c:pt idx="8">
                  <c:v>68.450979925694867</c:v>
                </c:pt>
                <c:pt idx="9">
                  <c:v>69.286738472695717</c:v>
                </c:pt>
                <c:pt idx="10">
                  <c:v>65.721788523290599</c:v>
                </c:pt>
                <c:pt idx="11">
                  <c:v>70.525429719987244</c:v>
                </c:pt>
                <c:pt idx="12">
                  <c:v>72.863126635682562</c:v>
                </c:pt>
                <c:pt idx="13">
                  <c:v>72.350449562644528</c:v>
                </c:pt>
                <c:pt idx="14">
                  <c:v>69.057926141340303</c:v>
                </c:pt>
                <c:pt idx="15">
                  <c:v>69.84918138675846</c:v>
                </c:pt>
                <c:pt idx="16">
                  <c:v>37.540144885640693</c:v>
                </c:pt>
                <c:pt idx="17">
                  <c:v>38.64311548102134</c:v>
                </c:pt>
                <c:pt idx="18">
                  <c:v>74.346129474329985</c:v>
                </c:pt>
                <c:pt idx="19">
                  <c:v>75.091992313328248</c:v>
                </c:pt>
                <c:pt idx="20">
                  <c:v>77.506512692932759</c:v>
                </c:pt>
                <c:pt idx="21">
                  <c:v>75.786431250929667</c:v>
                </c:pt>
                <c:pt idx="22">
                  <c:v>76.234155611128628</c:v>
                </c:pt>
                <c:pt idx="23">
                  <c:v>77.110837010502721</c:v>
                </c:pt>
                <c:pt idx="24">
                  <c:v>77.746570998986186</c:v>
                </c:pt>
                <c:pt idx="25">
                  <c:v>76.959064411800682</c:v>
                </c:pt>
                <c:pt idx="26">
                  <c:v>76.955964559800606</c:v>
                </c:pt>
                <c:pt idx="27">
                  <c:v>79.285755651402667</c:v>
                </c:pt>
                <c:pt idx="28">
                  <c:v>80.784762377120316</c:v>
                </c:pt>
                <c:pt idx="29">
                  <c:v>79.231976823680185</c:v>
                </c:pt>
                <c:pt idx="30">
                  <c:v>79.749628077834643</c:v>
                </c:pt>
                <c:pt idx="31">
                  <c:v>80.446037463994259</c:v>
                </c:pt>
                <c:pt idx="32">
                  <c:v>80.282898741291888</c:v>
                </c:pt>
                <c:pt idx="33">
                  <c:v>80.281745307989539</c:v>
                </c:pt>
                <c:pt idx="34">
                  <c:v>76.916411409473866</c:v>
                </c:pt>
                <c:pt idx="35">
                  <c:v>80.970008571451231</c:v>
                </c:pt>
                <c:pt idx="36">
                  <c:v>82.388178846561885</c:v>
                </c:pt>
                <c:pt idx="37">
                  <c:v>81.34050096011309</c:v>
                </c:pt>
                <c:pt idx="38">
                  <c:v>79.743668672439128</c:v>
                </c:pt>
                <c:pt idx="39">
                  <c:v>82.88578919708786</c:v>
                </c:pt>
                <c:pt idx="40">
                  <c:v>84.866258207098483</c:v>
                </c:pt>
                <c:pt idx="41">
                  <c:v>85.381770803671472</c:v>
                </c:pt>
                <c:pt idx="42">
                  <c:v>84.628987364859057</c:v>
                </c:pt>
                <c:pt idx="43">
                  <c:v>86.521579175146201</c:v>
                </c:pt>
                <c:pt idx="44">
                  <c:v>89.07962991131302</c:v>
                </c:pt>
                <c:pt idx="45">
                  <c:v>88.966545387960892</c:v>
                </c:pt>
                <c:pt idx="46">
                  <c:v>89.151310985082517</c:v>
                </c:pt>
                <c:pt idx="47">
                  <c:v>94.137290762993729</c:v>
                </c:pt>
                <c:pt idx="48">
                  <c:v>96.214912498867591</c:v>
                </c:pt>
                <c:pt idx="49">
                  <c:v>97.289696067921838</c:v>
                </c:pt>
                <c:pt idx="50">
                  <c:v>94.920688244039582</c:v>
                </c:pt>
                <c:pt idx="51">
                  <c:v>98.415038463396158</c:v>
                </c:pt>
                <c:pt idx="52">
                  <c:v>98.978658840621705</c:v>
                </c:pt>
                <c:pt idx="53">
                  <c:v>99.691672860363212</c:v>
                </c:pt>
                <c:pt idx="54">
                  <c:v>97.976613659197469</c:v>
                </c:pt>
                <c:pt idx="55">
                  <c:v>97.843464202356429</c:v>
                </c:pt>
                <c:pt idx="56">
                  <c:v>99.99255074325562</c:v>
                </c:pt>
                <c:pt idx="57">
                  <c:v>97.843223903751763</c:v>
                </c:pt>
                <c:pt idx="58">
                  <c:v>96.574038763529103</c:v>
                </c:pt>
                <c:pt idx="59">
                  <c:v>100</c:v>
                </c:pt>
                <c:pt idx="60">
                  <c:v>99.117455314672213</c:v>
                </c:pt>
                <c:pt idx="61">
                  <c:v>101.50648001232251</c:v>
                </c:pt>
                <c:pt idx="62">
                  <c:v>100.12026945163137</c:v>
                </c:pt>
                <c:pt idx="63">
                  <c:v>100.30587585357068</c:v>
                </c:pt>
                <c:pt idx="64">
                  <c:v>99.299409418119339</c:v>
                </c:pt>
                <c:pt idx="65">
                  <c:v>101.59678422795304</c:v>
                </c:pt>
                <c:pt idx="66">
                  <c:v>104.26984187630919</c:v>
                </c:pt>
                <c:pt idx="67">
                  <c:v>107.21885844225469</c:v>
                </c:pt>
                <c:pt idx="68">
                  <c:v>106.5125968133041</c:v>
                </c:pt>
                <c:pt idx="69">
                  <c:v>107.41994031463258</c:v>
                </c:pt>
                <c:pt idx="70">
                  <c:v>106.49683322483853</c:v>
                </c:pt>
                <c:pt idx="71">
                  <c:v>107.9323530592055</c:v>
                </c:pt>
                <c:pt idx="72">
                  <c:v>110.24400160615588</c:v>
                </c:pt>
                <c:pt idx="73">
                  <c:v>115.33405470974452</c:v>
                </c:pt>
                <c:pt idx="74">
                  <c:v>106.86970456968649</c:v>
                </c:pt>
                <c:pt idx="75">
                  <c:v>112.24446346007404</c:v>
                </c:pt>
                <c:pt idx="76">
                  <c:v>115.38680025346697</c:v>
                </c:pt>
                <c:pt idx="77">
                  <c:v>118.31363725820255</c:v>
                </c:pt>
                <c:pt idx="78">
                  <c:v>115.15166806880904</c:v>
                </c:pt>
                <c:pt idx="79">
                  <c:v>116.33184660586632</c:v>
                </c:pt>
                <c:pt idx="80">
                  <c:v>115.65636722817243</c:v>
                </c:pt>
                <c:pt idx="81">
                  <c:v>120.14658695481353</c:v>
                </c:pt>
                <c:pt idx="82">
                  <c:v>115.57332003040257</c:v>
                </c:pt>
                <c:pt idx="83">
                  <c:v>119.53399372195867</c:v>
                </c:pt>
                <c:pt idx="84">
                  <c:v>121.0600580705608</c:v>
                </c:pt>
                <c:pt idx="85">
                  <c:v>122.97016764912753</c:v>
                </c:pt>
                <c:pt idx="86">
                  <c:v>118.98827559078015</c:v>
                </c:pt>
                <c:pt idx="87">
                  <c:v>118.93913452612755</c:v>
                </c:pt>
                <c:pt idx="88">
                  <c:v>121.61137515922788</c:v>
                </c:pt>
                <c:pt idx="89">
                  <c:v>116.38079543163518</c:v>
                </c:pt>
                <c:pt idx="90">
                  <c:v>107.43748211277261</c:v>
                </c:pt>
                <c:pt idx="91">
                  <c:v>112.12239176890773</c:v>
                </c:pt>
                <c:pt idx="92">
                  <c:v>113.55389405090339</c:v>
                </c:pt>
                <c:pt idx="93">
                  <c:v>116.8829474257892</c:v>
                </c:pt>
                <c:pt idx="94">
                  <c:v>118.36828680281316</c:v>
                </c:pt>
                <c:pt idx="95">
                  <c:v>116.02226318512437</c:v>
                </c:pt>
                <c:pt idx="96">
                  <c:v>128.61624769403454</c:v>
                </c:pt>
              </c:numCache>
            </c:numRef>
          </c:val>
          <c:smooth val="0"/>
        </c:ser>
        <c:dLbls>
          <c:showLegendKey val="0"/>
          <c:showVal val="0"/>
          <c:showCatName val="0"/>
          <c:showSerName val="0"/>
          <c:showPercent val="0"/>
          <c:showBubbleSize val="0"/>
        </c:dLbls>
        <c:marker val="1"/>
        <c:smooth val="0"/>
        <c:axId val="194563072"/>
        <c:axId val="194626304"/>
      </c:lineChart>
      <c:catAx>
        <c:axId val="194563072"/>
        <c:scaling>
          <c:orientation val="minMax"/>
        </c:scaling>
        <c:delete val="0"/>
        <c:axPos val="b"/>
        <c:majorTickMark val="out"/>
        <c:minorTickMark val="none"/>
        <c:tickLblPos val="nextTo"/>
        <c:spPr>
          <a:ln>
            <a:solidFill>
              <a:schemeClr val="tx1"/>
            </a:solidFill>
          </a:ln>
        </c:spPr>
        <c:crossAx val="194626304"/>
        <c:crosses val="autoZero"/>
        <c:auto val="1"/>
        <c:lblAlgn val="ctr"/>
        <c:lblOffset val="100"/>
        <c:tickLblSkip val="8"/>
        <c:tickMarkSkip val="8"/>
        <c:noMultiLvlLbl val="0"/>
      </c:catAx>
      <c:valAx>
        <c:axId val="194626304"/>
        <c:scaling>
          <c:orientation val="minMax"/>
        </c:scaling>
        <c:delete val="0"/>
        <c:axPos val="l"/>
        <c:majorGridlines/>
        <c:title>
          <c:tx>
            <c:rich>
              <a:bodyPr rot="-5400000" vert="horz"/>
              <a:lstStyle/>
              <a:p>
                <a:pPr>
                  <a:defRPr b="1"/>
                </a:pPr>
                <a:r>
                  <a:rPr lang="en-US" b="1"/>
                  <a:t>Index, June 2003=100</a:t>
                </a:r>
              </a:p>
            </c:rich>
          </c:tx>
          <c:overlay val="0"/>
        </c:title>
        <c:numFmt formatCode="_-* #,##0_-;\-* #,##0_-;_-* &quot;-&quot;??_-;_-@_-" sourceLinked="1"/>
        <c:majorTickMark val="out"/>
        <c:minorTickMark val="none"/>
        <c:tickLblPos val="nextTo"/>
        <c:spPr>
          <a:ln>
            <a:solidFill>
              <a:schemeClr val="tx1"/>
            </a:solidFill>
          </a:ln>
        </c:spPr>
        <c:crossAx val="194563072"/>
        <c:crosses val="autoZero"/>
        <c:crossBetween val="between"/>
      </c:valAx>
      <c:spPr>
        <a:ln>
          <a:solidFill>
            <a:schemeClr val="tx1"/>
          </a:solidFill>
        </a:ln>
      </c:spPr>
    </c:plotArea>
    <c:legend>
      <c:legendPos val="r"/>
      <c:layout>
        <c:manualLayout>
          <c:xMode val="edge"/>
          <c:yMode val="edge"/>
          <c:x val="1.1068241469816244E-2"/>
          <c:y val="1.429717118693482E-3"/>
          <c:w val="0.98059842519685037"/>
          <c:h val="8.9733158355205594E-2"/>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386556018129622"/>
          <c:y val="0.19898129541825776"/>
          <c:w val="0.79120934295272927"/>
          <c:h val="0.63718671812052075"/>
        </c:manualLayout>
      </c:layout>
      <c:lineChart>
        <c:grouping val="standard"/>
        <c:varyColors val="0"/>
        <c:ser>
          <c:idx val="0"/>
          <c:order val="0"/>
          <c:tx>
            <c:strRef>
              <c:f>'Figure 6.4'!$B$11</c:f>
              <c:strCache>
                <c:ptCount val="1"/>
                <c:pt idx="0">
                  <c:v>Crude oil and condensate</c:v>
                </c:pt>
              </c:strCache>
            </c:strRef>
          </c:tx>
          <c:spPr>
            <a:ln w="19050">
              <a:solidFill>
                <a:srgbClr val="344893"/>
              </a:solidFill>
              <a:prstDash val="solid"/>
            </a:ln>
          </c:spPr>
          <c:marker>
            <c:symbol val="none"/>
          </c:marker>
          <c:cat>
            <c:strRef>
              <c:f>'Figure 6.4'!$C$3:$CU$3</c:f>
              <c:strCache>
                <c:ptCount val="97"/>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pt idx="94">
                  <c:v>12</c:v>
                </c:pt>
                <c:pt idx="95">
                  <c:v>12</c:v>
                </c:pt>
                <c:pt idx="96">
                  <c:v>12</c:v>
                </c:pt>
              </c:strCache>
            </c:strRef>
          </c:cat>
          <c:val>
            <c:numRef>
              <c:f>'Figure 6.4'!$C$11:$CU$11</c:f>
              <c:numCache>
                <c:formatCode>_-* #,##0_-;\-* #,##0_-;_-* "-"??_-;_-@_-</c:formatCode>
                <c:ptCount val="97"/>
                <c:pt idx="0">
                  <c:v>98.031215269242239</c:v>
                </c:pt>
                <c:pt idx="1">
                  <c:v>87.749698279009223</c:v>
                </c:pt>
                <c:pt idx="2">
                  <c:v>87.428409952485083</c:v>
                </c:pt>
                <c:pt idx="3">
                  <c:v>83.706498048193012</c:v>
                </c:pt>
                <c:pt idx="4">
                  <c:v>90.10417048265505</c:v>
                </c:pt>
                <c:pt idx="5">
                  <c:v>97.936195579373774</c:v>
                </c:pt>
                <c:pt idx="6">
                  <c:v>110.42456444676989</c:v>
                </c:pt>
                <c:pt idx="7">
                  <c:v>105.68323098273503</c:v>
                </c:pt>
                <c:pt idx="8">
                  <c:v>105.18559662183654</c:v>
                </c:pt>
                <c:pt idx="9">
                  <c:v>101.71444726255625</c:v>
                </c:pt>
                <c:pt idx="10">
                  <c:v>102.76640946589133</c:v>
                </c:pt>
                <c:pt idx="11">
                  <c:v>93.997021823706007</c:v>
                </c:pt>
                <c:pt idx="12">
                  <c:v>101.00171116288082</c:v>
                </c:pt>
                <c:pt idx="13">
                  <c:v>101.53297253978967</c:v>
                </c:pt>
                <c:pt idx="14">
                  <c:v>95.875006031893378</c:v>
                </c:pt>
                <c:pt idx="15">
                  <c:v>97.096859196281471</c:v>
                </c:pt>
                <c:pt idx="16">
                  <c:v>98.963082791431404</c:v>
                </c:pt>
                <c:pt idx="17">
                  <c:v>100.33110357499898</c:v>
                </c:pt>
                <c:pt idx="18">
                  <c:v>91.529983752416229</c:v>
                </c:pt>
                <c:pt idx="19">
                  <c:v>97.03919303246208</c:v>
                </c:pt>
                <c:pt idx="20">
                  <c:v>92.167570671683862</c:v>
                </c:pt>
                <c:pt idx="21">
                  <c:v>83.577611329803233</c:v>
                </c:pt>
                <c:pt idx="22">
                  <c:v>93.768062520480001</c:v>
                </c:pt>
                <c:pt idx="23">
                  <c:v>95.878025136636609</c:v>
                </c:pt>
                <c:pt idx="24">
                  <c:v>104.11901891980726</c:v>
                </c:pt>
                <c:pt idx="25">
                  <c:v>100.77042752796967</c:v>
                </c:pt>
                <c:pt idx="26">
                  <c:v>92.853096931957964</c:v>
                </c:pt>
                <c:pt idx="27">
                  <c:v>96.01810401737994</c:v>
                </c:pt>
                <c:pt idx="28">
                  <c:v>96.616366781561069</c:v>
                </c:pt>
                <c:pt idx="29">
                  <c:v>88.851848361611431</c:v>
                </c:pt>
                <c:pt idx="30">
                  <c:v>94.85368963653768</c:v>
                </c:pt>
                <c:pt idx="31">
                  <c:v>101.81997697395764</c:v>
                </c:pt>
                <c:pt idx="32">
                  <c:v>100.83966482126522</c:v>
                </c:pt>
                <c:pt idx="33">
                  <c:v>95.871443740941103</c:v>
                </c:pt>
                <c:pt idx="34">
                  <c:v>93.657656765434766</c:v>
                </c:pt>
                <c:pt idx="35">
                  <c:v>101.84308133619766</c:v>
                </c:pt>
                <c:pt idx="36">
                  <c:v>111.23490984498476</c:v>
                </c:pt>
                <c:pt idx="37">
                  <c:v>108.92530734865254</c:v>
                </c:pt>
                <c:pt idx="38">
                  <c:v>100.7361941645632</c:v>
                </c:pt>
                <c:pt idx="39">
                  <c:v>108.11003537784413</c:v>
                </c:pt>
                <c:pt idx="40">
                  <c:v>109.93031552549981</c:v>
                </c:pt>
                <c:pt idx="41">
                  <c:v>73.269895079162438</c:v>
                </c:pt>
                <c:pt idx="42">
                  <c:v>84.874095752864932</c:v>
                </c:pt>
                <c:pt idx="43">
                  <c:v>84.337478307290283</c:v>
                </c:pt>
                <c:pt idx="44">
                  <c:v>99.598067469790621</c:v>
                </c:pt>
                <c:pt idx="45">
                  <c:v>111.33352972251774</c:v>
                </c:pt>
                <c:pt idx="46">
                  <c:v>132.37018418054802</c:v>
                </c:pt>
                <c:pt idx="47">
                  <c:v>129.96874531817701</c:v>
                </c:pt>
                <c:pt idx="48">
                  <c:v>132.376689782819</c:v>
                </c:pt>
                <c:pt idx="49">
                  <c:v>126.99578613824161</c:v>
                </c:pt>
                <c:pt idx="50">
                  <c:v>125.56502103141209</c:v>
                </c:pt>
                <c:pt idx="51">
                  <c:v>118.32078657405383</c:v>
                </c:pt>
                <c:pt idx="52">
                  <c:v>121.71770890625794</c:v>
                </c:pt>
                <c:pt idx="53">
                  <c:v>117.00702125020243</c:v>
                </c:pt>
                <c:pt idx="54">
                  <c:v>119.84256695148993</c:v>
                </c:pt>
                <c:pt idx="55">
                  <c:v>119.1808398265139</c:v>
                </c:pt>
                <c:pt idx="56">
                  <c:v>124.71829478942942</c:v>
                </c:pt>
                <c:pt idx="57">
                  <c:v>113.31421402092452</c:v>
                </c:pt>
                <c:pt idx="58">
                  <c:v>104.39162260331717</c:v>
                </c:pt>
                <c:pt idx="59">
                  <c:v>100</c:v>
                </c:pt>
                <c:pt idx="60">
                  <c:v>109.78178567792293</c:v>
                </c:pt>
                <c:pt idx="61">
                  <c:v>95.128882928718554</c:v>
                </c:pt>
                <c:pt idx="62">
                  <c:v>93.532117589961103</c:v>
                </c:pt>
                <c:pt idx="63">
                  <c:v>89.531841701895871</c:v>
                </c:pt>
                <c:pt idx="64">
                  <c:v>89.788667720869</c:v>
                </c:pt>
                <c:pt idx="65">
                  <c:v>80.896191557269375</c:v>
                </c:pt>
                <c:pt idx="66">
                  <c:v>79.711957195916128</c:v>
                </c:pt>
                <c:pt idx="67">
                  <c:v>94.598935304501339</c:v>
                </c:pt>
                <c:pt idx="68">
                  <c:v>86.877025421367222</c:v>
                </c:pt>
                <c:pt idx="69">
                  <c:v>83.70198833943428</c:v>
                </c:pt>
                <c:pt idx="70">
                  <c:v>67.514117156928009</c:v>
                </c:pt>
                <c:pt idx="71">
                  <c:v>69.069309802338324</c:v>
                </c:pt>
                <c:pt idx="84">
                  <c:v>79.454955944171502</c:v>
                </c:pt>
                <c:pt idx="85">
                  <c:v>75.200377696067235</c:v>
                </c:pt>
                <c:pt idx="86">
                  <c:v>76.615121063783022</c:v>
                </c:pt>
                <c:pt idx="87">
                  <c:v>91.762907864488014</c:v>
                </c:pt>
                <c:pt idx="88">
                  <c:v>91.761540629093304</c:v>
                </c:pt>
                <c:pt idx="89">
                  <c:v>80.874710475434455</c:v>
                </c:pt>
                <c:pt idx="90">
                  <c:v>67.154966824358084</c:v>
                </c:pt>
                <c:pt idx="91">
                  <c:v>73.018000167756114</c:v>
                </c:pt>
                <c:pt idx="92">
                  <c:v>72.62374868562442</c:v>
                </c:pt>
                <c:pt idx="93">
                  <c:v>75.213139320693841</c:v>
                </c:pt>
                <c:pt idx="94">
                  <c:v>65.564880185213113</c:v>
                </c:pt>
                <c:pt idx="95">
                  <c:v>69.466781680637453</c:v>
                </c:pt>
                <c:pt idx="96">
                  <c:v>74.759249614779918</c:v>
                </c:pt>
              </c:numCache>
            </c:numRef>
          </c:val>
          <c:smooth val="0"/>
        </c:ser>
        <c:ser>
          <c:idx val="1"/>
          <c:order val="1"/>
          <c:tx>
            <c:strRef>
              <c:f>'Figure 6.4'!$B$12</c:f>
              <c:strCache>
                <c:ptCount val="1"/>
                <c:pt idx="0">
                  <c:v>LPG (naturally occurring)</c:v>
                </c:pt>
              </c:strCache>
            </c:strRef>
          </c:tx>
          <c:spPr>
            <a:ln w="19050">
              <a:solidFill>
                <a:srgbClr val="B4C98B"/>
              </a:solidFill>
              <a:prstDash val="sysDash"/>
            </a:ln>
          </c:spPr>
          <c:marker>
            <c:symbol val="none"/>
          </c:marker>
          <c:cat>
            <c:strRef>
              <c:f>'Figure 6.4'!$C$3:$CU$3</c:f>
              <c:strCache>
                <c:ptCount val="97"/>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pt idx="94">
                  <c:v>12</c:v>
                </c:pt>
                <c:pt idx="95">
                  <c:v>12</c:v>
                </c:pt>
                <c:pt idx="96">
                  <c:v>12</c:v>
                </c:pt>
              </c:strCache>
            </c:strRef>
          </c:cat>
          <c:val>
            <c:numRef>
              <c:f>'Figure 6.4'!$C$12:$CU$12</c:f>
              <c:numCache>
                <c:formatCode>_-* #,##0_-;\-* #,##0_-;_-* "-"??_-;_-@_-</c:formatCode>
                <c:ptCount val="97"/>
                <c:pt idx="0">
                  <c:v>89.417261263799844</c:v>
                </c:pt>
                <c:pt idx="1">
                  <c:v>76.307778236235379</c:v>
                </c:pt>
                <c:pt idx="2">
                  <c:v>70.327590313350186</c:v>
                </c:pt>
                <c:pt idx="3">
                  <c:v>79.490256657978335</c:v>
                </c:pt>
                <c:pt idx="4">
                  <c:v>87.577113126088136</c:v>
                </c:pt>
                <c:pt idx="5">
                  <c:v>78.622849302753082</c:v>
                </c:pt>
                <c:pt idx="6">
                  <c:v>68.408525969386233</c:v>
                </c:pt>
                <c:pt idx="7">
                  <c:v>82.816981492849735</c:v>
                </c:pt>
                <c:pt idx="8">
                  <c:v>88.398646767370792</c:v>
                </c:pt>
                <c:pt idx="9">
                  <c:v>66.684781332501402</c:v>
                </c:pt>
                <c:pt idx="10">
                  <c:v>68.999768534825435</c:v>
                </c:pt>
                <c:pt idx="11">
                  <c:v>73.404986900412936</c:v>
                </c:pt>
                <c:pt idx="12">
                  <c:v>82.462571410360908</c:v>
                </c:pt>
                <c:pt idx="13">
                  <c:v>71.932583251985065</c:v>
                </c:pt>
                <c:pt idx="14">
                  <c:v>70.076333189086924</c:v>
                </c:pt>
                <c:pt idx="15">
                  <c:v>76.494795388140275</c:v>
                </c:pt>
                <c:pt idx="16">
                  <c:v>88.784925243457749</c:v>
                </c:pt>
                <c:pt idx="17">
                  <c:v>76.794526016350162</c:v>
                </c:pt>
                <c:pt idx="18">
                  <c:v>69.087490481414022</c:v>
                </c:pt>
                <c:pt idx="19">
                  <c:v>82.155963918269293</c:v>
                </c:pt>
                <c:pt idx="20">
                  <c:v>83.839537606381725</c:v>
                </c:pt>
                <c:pt idx="21">
                  <c:v>72.242293719242809</c:v>
                </c:pt>
                <c:pt idx="22">
                  <c:v>73.38997520974435</c:v>
                </c:pt>
                <c:pt idx="23">
                  <c:v>80.885589112414905</c:v>
                </c:pt>
                <c:pt idx="24">
                  <c:v>84.536113599082185</c:v>
                </c:pt>
                <c:pt idx="25">
                  <c:v>72.419247167906164</c:v>
                </c:pt>
                <c:pt idx="26">
                  <c:v>68.162552289324751</c:v>
                </c:pt>
                <c:pt idx="27">
                  <c:v>77.528757032012649</c:v>
                </c:pt>
                <c:pt idx="28">
                  <c:v>74.14131452091739</c:v>
                </c:pt>
                <c:pt idx="29">
                  <c:v>75.296795381431124</c:v>
                </c:pt>
                <c:pt idx="30">
                  <c:v>73.008225400116075</c:v>
                </c:pt>
                <c:pt idx="31">
                  <c:v>83.607317654083687</c:v>
                </c:pt>
                <c:pt idx="32">
                  <c:v>83.344654999480042</c:v>
                </c:pt>
                <c:pt idx="33">
                  <c:v>71.765274185594819</c:v>
                </c:pt>
                <c:pt idx="34">
                  <c:v>72.232481608582319</c:v>
                </c:pt>
                <c:pt idx="35">
                  <c:v>90.454325882838347</c:v>
                </c:pt>
                <c:pt idx="36">
                  <c:v>96.515694345205148</c:v>
                </c:pt>
                <c:pt idx="37">
                  <c:v>92.336909302551803</c:v>
                </c:pt>
                <c:pt idx="38">
                  <c:v>87.101099962764309</c:v>
                </c:pt>
                <c:pt idx="39">
                  <c:v>96.131344745572804</c:v>
                </c:pt>
                <c:pt idx="40">
                  <c:v>100.59266825673178</c:v>
                </c:pt>
                <c:pt idx="41">
                  <c:v>64.404010721198517</c:v>
                </c:pt>
                <c:pt idx="42">
                  <c:v>76.330337704335108</c:v>
                </c:pt>
                <c:pt idx="43">
                  <c:v>86.103199922174028</c:v>
                </c:pt>
                <c:pt idx="44">
                  <c:v>92.677817249858279</c:v>
                </c:pt>
                <c:pt idx="45">
                  <c:v>90.377841738202832</c:v>
                </c:pt>
                <c:pt idx="46">
                  <c:v>90.450635858316474</c:v>
                </c:pt>
                <c:pt idx="47">
                  <c:v>92.778789739048179</c:v>
                </c:pt>
                <c:pt idx="48">
                  <c:v>91.907860087688405</c:v>
                </c:pt>
                <c:pt idx="49">
                  <c:v>80.590471014857371</c:v>
                </c:pt>
                <c:pt idx="50">
                  <c:v>80.532017671862889</c:v>
                </c:pt>
                <c:pt idx="51">
                  <c:v>87.15242484929604</c:v>
                </c:pt>
                <c:pt idx="52">
                  <c:v>94.235175326483301</c:v>
                </c:pt>
                <c:pt idx="53">
                  <c:v>97.395932922063324</c:v>
                </c:pt>
                <c:pt idx="54">
                  <c:v>92.483420048909608</c:v>
                </c:pt>
                <c:pt idx="55">
                  <c:v>102.6733389019158</c:v>
                </c:pt>
                <c:pt idx="56">
                  <c:v>106.61965239969003</c:v>
                </c:pt>
                <c:pt idx="57">
                  <c:v>93.583298949013923</c:v>
                </c:pt>
                <c:pt idx="58">
                  <c:v>92.4116322991201</c:v>
                </c:pt>
                <c:pt idx="59">
                  <c:v>100</c:v>
                </c:pt>
                <c:pt idx="60">
                  <c:v>109.20686277469716</c:v>
                </c:pt>
                <c:pt idx="61">
                  <c:v>90.039701309287793</c:v>
                </c:pt>
                <c:pt idx="62">
                  <c:v>89.370716636307847</c:v>
                </c:pt>
                <c:pt idx="63">
                  <c:v>100.439616103267</c:v>
                </c:pt>
                <c:pt idx="64">
                  <c:v>104.48212183119142</c:v>
                </c:pt>
                <c:pt idx="65">
                  <c:v>93.237443014280402</c:v>
                </c:pt>
                <c:pt idx="66">
                  <c:v>92.179160754241011</c:v>
                </c:pt>
                <c:pt idx="67">
                  <c:v>98.232478254014595</c:v>
                </c:pt>
                <c:pt idx="68">
                  <c:v>109.01296875891057</c:v>
                </c:pt>
                <c:pt idx="69">
                  <c:v>97.10416939225297</c:v>
                </c:pt>
                <c:pt idx="70">
                  <c:v>88.582560944109545</c:v>
                </c:pt>
                <c:pt idx="71">
                  <c:v>101.30308184138931</c:v>
                </c:pt>
                <c:pt idx="72">
                  <c:v>108.43715720510833</c:v>
                </c:pt>
                <c:pt idx="73">
                  <c:v>95.834213907366959</c:v>
                </c:pt>
                <c:pt idx="74">
                  <c:v>87.002224078416376</c:v>
                </c:pt>
                <c:pt idx="75">
                  <c:v>90.304292840346051</c:v>
                </c:pt>
                <c:pt idx="76">
                  <c:v>96.046977366731426</c:v>
                </c:pt>
                <c:pt idx="77">
                  <c:v>84.071841422873462</c:v>
                </c:pt>
                <c:pt idx="78">
                  <c:v>69.487690413651748</c:v>
                </c:pt>
                <c:pt idx="79">
                  <c:v>83.399837638921042</c:v>
                </c:pt>
                <c:pt idx="80">
                  <c:v>88.570484500219706</c:v>
                </c:pt>
                <c:pt idx="81">
                  <c:v>78.354148426204546</c:v>
                </c:pt>
                <c:pt idx="82">
                  <c:v>72.957235970359037</c:v>
                </c:pt>
                <c:pt idx="83">
                  <c:v>89.655100117074412</c:v>
                </c:pt>
                <c:pt idx="84">
                  <c:v>92.619280042670098</c:v>
                </c:pt>
                <c:pt idx="85">
                  <c:v>84.743174293276439</c:v>
                </c:pt>
                <c:pt idx="86">
                  <c:v>80.237905944629503</c:v>
                </c:pt>
                <c:pt idx="87">
                  <c:v>85.97572634778146</c:v>
                </c:pt>
                <c:pt idx="88">
                  <c:v>94.133364195356606</c:v>
                </c:pt>
                <c:pt idx="89">
                  <c:v>79.461658967933687</c:v>
                </c:pt>
                <c:pt idx="90">
                  <c:v>76.579917544724793</c:v>
                </c:pt>
                <c:pt idx="91">
                  <c:v>77.520202884257358</c:v>
                </c:pt>
                <c:pt idx="92">
                  <c:v>86.627938182025559</c:v>
                </c:pt>
                <c:pt idx="93">
                  <c:v>80.190187218425976</c:v>
                </c:pt>
                <c:pt idx="94">
                  <c:v>76.13602436758012</c:v>
                </c:pt>
                <c:pt idx="95">
                  <c:v>77.02146252444642</c:v>
                </c:pt>
                <c:pt idx="96">
                  <c:v>85.976816582299293</c:v>
                </c:pt>
              </c:numCache>
            </c:numRef>
          </c:val>
          <c:smooth val="0"/>
        </c:ser>
        <c:ser>
          <c:idx val="2"/>
          <c:order val="2"/>
          <c:tx>
            <c:strRef>
              <c:f>'Figure 6.4'!$B$13</c:f>
              <c:strCache>
                <c:ptCount val="1"/>
                <c:pt idx="0">
                  <c:v>Natural gas</c:v>
                </c:pt>
              </c:strCache>
            </c:strRef>
          </c:tx>
          <c:spPr>
            <a:ln w="19050">
              <a:solidFill>
                <a:srgbClr val="7B905A"/>
              </a:solidFill>
              <a:prstDash val="dashDot"/>
            </a:ln>
          </c:spPr>
          <c:marker>
            <c:symbol val="none"/>
          </c:marker>
          <c:cat>
            <c:strRef>
              <c:f>'Figure 6.4'!$C$3:$CU$3</c:f>
              <c:strCache>
                <c:ptCount val="97"/>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pt idx="94">
                  <c:v>12</c:v>
                </c:pt>
                <c:pt idx="95">
                  <c:v>12</c:v>
                </c:pt>
                <c:pt idx="96">
                  <c:v>12</c:v>
                </c:pt>
              </c:strCache>
            </c:strRef>
          </c:cat>
          <c:val>
            <c:numRef>
              <c:f>'Figure 6.4'!$C$13:$CU$13</c:f>
              <c:numCache>
                <c:formatCode>_-* #,##0_-;\-* #,##0_-;_-* "-"??_-;_-@_-</c:formatCode>
                <c:ptCount val="97"/>
                <c:pt idx="0">
                  <c:v>54.667181203946669</c:v>
                </c:pt>
                <c:pt idx="1">
                  <c:v>44.201923602163241</c:v>
                </c:pt>
                <c:pt idx="2">
                  <c:v>41.062982599207288</c:v>
                </c:pt>
                <c:pt idx="3">
                  <c:v>51.944521461472419</c:v>
                </c:pt>
                <c:pt idx="4">
                  <c:v>64.526198881392375</c:v>
                </c:pt>
                <c:pt idx="5">
                  <c:v>59.090575634121159</c:v>
                </c:pt>
                <c:pt idx="6">
                  <c:v>56.802020223894267</c:v>
                </c:pt>
                <c:pt idx="7">
                  <c:v>63.99980388538097</c:v>
                </c:pt>
                <c:pt idx="8">
                  <c:v>69.20665918624843</c:v>
                </c:pt>
                <c:pt idx="9">
                  <c:v>62.136581179590493</c:v>
                </c:pt>
                <c:pt idx="10">
                  <c:v>57.577561081126852</c:v>
                </c:pt>
                <c:pt idx="11">
                  <c:v>67.915356346467362</c:v>
                </c:pt>
                <c:pt idx="12">
                  <c:v>73.415641454786027</c:v>
                </c:pt>
                <c:pt idx="13">
                  <c:v>65.046085110581515</c:v>
                </c:pt>
                <c:pt idx="14">
                  <c:v>63.621066651840458</c:v>
                </c:pt>
                <c:pt idx="15">
                  <c:v>72.433121812605194</c:v>
                </c:pt>
                <c:pt idx="16">
                  <c:v>81.529689161978624</c:v>
                </c:pt>
                <c:pt idx="17">
                  <c:v>67.866072207407512</c:v>
                </c:pt>
                <c:pt idx="18">
                  <c:v>65.473984823988943</c:v>
                </c:pt>
                <c:pt idx="19">
                  <c:v>76.614329287394654</c:v>
                </c:pt>
                <c:pt idx="20">
                  <c:v>82.298563095438098</c:v>
                </c:pt>
                <c:pt idx="21">
                  <c:v>73.911937966464166</c:v>
                </c:pt>
                <c:pt idx="22">
                  <c:v>77.998312100357154</c:v>
                </c:pt>
                <c:pt idx="23">
                  <c:v>83.492745401495398</c:v>
                </c:pt>
                <c:pt idx="24">
                  <c:v>97.092393952418831</c:v>
                </c:pt>
                <c:pt idx="25">
                  <c:v>83.84519208344166</c:v>
                </c:pt>
                <c:pt idx="26">
                  <c:v>83.509850684022723</c:v>
                </c:pt>
                <c:pt idx="27">
                  <c:v>89.524158048430806</c:v>
                </c:pt>
                <c:pt idx="28">
                  <c:v>99.10997784221118</c:v>
                </c:pt>
                <c:pt idx="29">
                  <c:v>89.916277793194681</c:v>
                </c:pt>
                <c:pt idx="30">
                  <c:v>83.029004889847926</c:v>
                </c:pt>
                <c:pt idx="31">
                  <c:v>92.738576414686534</c:v>
                </c:pt>
                <c:pt idx="32">
                  <c:v>97.02241558463993</c:v>
                </c:pt>
                <c:pt idx="33">
                  <c:v>89.731891120375309</c:v>
                </c:pt>
                <c:pt idx="34">
                  <c:v>80.666030551299855</c:v>
                </c:pt>
                <c:pt idx="35">
                  <c:v>89.249962559383377</c:v>
                </c:pt>
                <c:pt idx="36">
                  <c:v>102.07989772841604</c:v>
                </c:pt>
                <c:pt idx="37">
                  <c:v>90.574247206370359</c:v>
                </c:pt>
                <c:pt idx="38">
                  <c:v>83.80095680088877</c:v>
                </c:pt>
                <c:pt idx="39">
                  <c:v>92.454258880786512</c:v>
                </c:pt>
                <c:pt idx="40">
                  <c:v>103.47639927233203</c:v>
                </c:pt>
                <c:pt idx="41">
                  <c:v>89.644989958858503</c:v>
                </c:pt>
                <c:pt idx="42">
                  <c:v>84.880365824326802</c:v>
                </c:pt>
                <c:pt idx="43">
                  <c:v>95.265900156976841</c:v>
                </c:pt>
                <c:pt idx="44">
                  <c:v>103.411713079446</c:v>
                </c:pt>
                <c:pt idx="45">
                  <c:v>90.596997475450081</c:v>
                </c:pt>
                <c:pt idx="46">
                  <c:v>87.775282818084349</c:v>
                </c:pt>
                <c:pt idx="47">
                  <c:v>97.54934588110028</c:v>
                </c:pt>
                <c:pt idx="48">
                  <c:v>104.87622211221527</c:v>
                </c:pt>
                <c:pt idx="49">
                  <c:v>88.955316160002752</c:v>
                </c:pt>
                <c:pt idx="50">
                  <c:v>92.387857293280035</c:v>
                </c:pt>
                <c:pt idx="51">
                  <c:v>97.304494589389861</c:v>
                </c:pt>
                <c:pt idx="52">
                  <c:v>106.51014157115303</c:v>
                </c:pt>
                <c:pt idx="53">
                  <c:v>98.966991792749184</c:v>
                </c:pt>
                <c:pt idx="54">
                  <c:v>89.812198353634798</c:v>
                </c:pt>
                <c:pt idx="55">
                  <c:v>95.677461040772499</c:v>
                </c:pt>
                <c:pt idx="56">
                  <c:v>113.42594355524416</c:v>
                </c:pt>
                <c:pt idx="57">
                  <c:v>97.777079724364086</c:v>
                </c:pt>
                <c:pt idx="58">
                  <c:v>92.243618154130743</c:v>
                </c:pt>
                <c:pt idx="59">
                  <c:v>100</c:v>
                </c:pt>
                <c:pt idx="60">
                  <c:v>112.65481892671529</c:v>
                </c:pt>
                <c:pt idx="61">
                  <c:v>98.763930433813556</c:v>
                </c:pt>
                <c:pt idx="62">
                  <c:v>90.948385722417768</c:v>
                </c:pt>
                <c:pt idx="63">
                  <c:v>102.50307706513742</c:v>
                </c:pt>
                <c:pt idx="64">
                  <c:v>119.98395801881897</c:v>
                </c:pt>
                <c:pt idx="65">
                  <c:v>115.50199685316331</c:v>
                </c:pt>
                <c:pt idx="66">
                  <c:v>103.03667428537088</c:v>
                </c:pt>
                <c:pt idx="67">
                  <c:v>114.86756849382148</c:v>
                </c:pt>
                <c:pt idx="68">
                  <c:v>120.69853545446948</c:v>
                </c:pt>
                <c:pt idx="69">
                  <c:v>113.10346153251893</c:v>
                </c:pt>
                <c:pt idx="70">
                  <c:v>104.52157339887682</c:v>
                </c:pt>
                <c:pt idx="71">
                  <c:v>124.1804093904838</c:v>
                </c:pt>
                <c:pt idx="84">
                  <c:v>135.16168152403978</c:v>
                </c:pt>
                <c:pt idx="85">
                  <c:v>132.98822787625312</c:v>
                </c:pt>
                <c:pt idx="86">
                  <c:v>134.00161245568276</c:v>
                </c:pt>
                <c:pt idx="87">
                  <c:v>130.31246775265708</c:v>
                </c:pt>
                <c:pt idx="88">
                  <c:v>144.55545305092664</c:v>
                </c:pt>
                <c:pt idx="89">
                  <c:v>159.58598859882306</c:v>
                </c:pt>
                <c:pt idx="90">
                  <c:v>149.21458636448628</c:v>
                </c:pt>
                <c:pt idx="91">
                  <c:v>164.39785817158278</c:v>
                </c:pt>
                <c:pt idx="92">
                  <c:v>160.50749021354468</c:v>
                </c:pt>
                <c:pt idx="93">
                  <c:v>149.60881768775391</c:v>
                </c:pt>
                <c:pt idx="94">
                  <c:v>141.38503241838035</c:v>
                </c:pt>
                <c:pt idx="95">
                  <c:v>162.34224528274143</c:v>
                </c:pt>
                <c:pt idx="96">
                  <c:v>192.82632105442991</c:v>
                </c:pt>
              </c:numCache>
            </c:numRef>
          </c:val>
          <c:smooth val="0"/>
        </c:ser>
        <c:dLbls>
          <c:showLegendKey val="0"/>
          <c:showVal val="0"/>
          <c:showCatName val="0"/>
          <c:showSerName val="0"/>
          <c:showPercent val="0"/>
          <c:showBubbleSize val="0"/>
        </c:dLbls>
        <c:marker val="1"/>
        <c:smooth val="0"/>
        <c:axId val="199903872"/>
        <c:axId val="199909760"/>
      </c:lineChart>
      <c:catAx>
        <c:axId val="199903872"/>
        <c:scaling>
          <c:orientation val="minMax"/>
        </c:scaling>
        <c:delete val="0"/>
        <c:axPos val="b"/>
        <c:majorTickMark val="out"/>
        <c:minorTickMark val="none"/>
        <c:tickLblPos val="nextTo"/>
        <c:spPr>
          <a:ln>
            <a:solidFill>
              <a:schemeClr val="tx1"/>
            </a:solidFill>
          </a:ln>
        </c:spPr>
        <c:crossAx val="199909760"/>
        <c:crosses val="autoZero"/>
        <c:auto val="1"/>
        <c:lblAlgn val="ctr"/>
        <c:lblOffset val="100"/>
        <c:tickLblSkip val="8"/>
        <c:tickMarkSkip val="8"/>
        <c:noMultiLvlLbl val="0"/>
      </c:catAx>
      <c:valAx>
        <c:axId val="199909760"/>
        <c:scaling>
          <c:orientation val="minMax"/>
        </c:scaling>
        <c:delete val="0"/>
        <c:axPos val="l"/>
        <c:majorGridlines/>
        <c:title>
          <c:tx>
            <c:rich>
              <a:bodyPr rot="-5400000" vert="horz"/>
              <a:lstStyle/>
              <a:p>
                <a:pPr>
                  <a:defRPr b="1"/>
                </a:pPr>
                <a:r>
                  <a:rPr lang="en-US" b="1"/>
                  <a:t>Index, June 2003=100</a:t>
                </a:r>
              </a:p>
            </c:rich>
          </c:tx>
          <c:overlay val="0"/>
        </c:title>
        <c:numFmt formatCode="_-* #,##0_-;\-* #,##0_-;_-* &quot;-&quot;??_-;_-@_-" sourceLinked="1"/>
        <c:majorTickMark val="out"/>
        <c:minorTickMark val="none"/>
        <c:tickLblPos val="nextTo"/>
        <c:spPr>
          <a:ln>
            <a:solidFill>
              <a:schemeClr val="tx1"/>
            </a:solidFill>
          </a:ln>
        </c:spPr>
        <c:crossAx val="199903872"/>
        <c:crosses val="autoZero"/>
        <c:crossBetween val="between"/>
      </c:valAx>
      <c:spPr>
        <a:ln>
          <a:solidFill>
            <a:schemeClr val="tx1"/>
          </a:solidFill>
        </a:ln>
      </c:spPr>
    </c:plotArea>
    <c:legend>
      <c:legendPos val="r"/>
      <c:layout>
        <c:manualLayout>
          <c:xMode val="edge"/>
          <c:yMode val="edge"/>
          <c:x val="5.0269028871391128E-3"/>
          <c:y val="3.3869203849519109E-3"/>
          <c:w val="0.98663976377952778"/>
          <c:h val="0.28553237988108632"/>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336144474111805"/>
          <c:y val="0.2013146035705507"/>
          <c:w val="0.79187729086011216"/>
          <c:h val="0.65024141712153249"/>
        </c:manualLayout>
      </c:layout>
      <c:lineChart>
        <c:grouping val="standard"/>
        <c:varyColors val="0"/>
        <c:ser>
          <c:idx val="0"/>
          <c:order val="0"/>
          <c:tx>
            <c:strRef>
              <c:f>'Figure 6.4'!$B$14</c:f>
              <c:strCache>
                <c:ptCount val="1"/>
                <c:pt idx="0">
                  <c:v>Nickel</c:v>
                </c:pt>
              </c:strCache>
            </c:strRef>
          </c:tx>
          <c:spPr>
            <a:ln w="19050">
              <a:solidFill>
                <a:srgbClr val="344893"/>
              </a:solidFill>
              <a:prstDash val="solid"/>
            </a:ln>
          </c:spPr>
          <c:marker>
            <c:symbol val="none"/>
          </c:marker>
          <c:cat>
            <c:strRef>
              <c:f>'Figure 6.4'!$C$3:$CU$3</c:f>
              <c:strCache>
                <c:ptCount val="97"/>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pt idx="94">
                  <c:v>12</c:v>
                </c:pt>
                <c:pt idx="95">
                  <c:v>12</c:v>
                </c:pt>
                <c:pt idx="96">
                  <c:v>12</c:v>
                </c:pt>
              </c:strCache>
            </c:strRef>
          </c:cat>
          <c:val>
            <c:numRef>
              <c:f>'Figure 6.4'!$C$14:$CU$14</c:f>
              <c:numCache>
                <c:formatCode>General</c:formatCode>
                <c:ptCount val="97"/>
                <c:pt idx="4" formatCode="_-* #,##0_-;\-* #,##0_-;_-* &quot;-&quot;??_-;_-@_-">
                  <c:v>38.022123515611995</c:v>
                </c:pt>
                <c:pt idx="5" formatCode="_-* #,##0_-;\-* #,##0_-;_-* &quot;-&quot;??_-;_-@_-">
                  <c:v>33.489699416405074</c:v>
                </c:pt>
                <c:pt idx="6" formatCode="_-* #,##0_-;\-* #,##0_-;_-* &quot;-&quot;??_-;_-@_-">
                  <c:v>32.613794807353514</c:v>
                </c:pt>
                <c:pt idx="7" formatCode="_-* #,##0_-;\-* #,##0_-;_-* &quot;-&quot;??_-;_-@_-">
                  <c:v>40.278506211747306</c:v>
                </c:pt>
                <c:pt idx="8" formatCode="_-* #,##0_-;\-* #,##0_-;_-* &quot;-&quot;??_-;_-@_-">
                  <c:v>39.16232851791851</c:v>
                </c:pt>
                <c:pt idx="9" formatCode="_-* #,##0_-;\-* #,##0_-;_-* &quot;-&quot;??_-;_-@_-">
                  <c:v>36.102123138164828</c:v>
                </c:pt>
                <c:pt idx="10" formatCode="_-* #,##0_-;\-* #,##0_-;_-* &quot;-&quot;??_-;_-@_-">
                  <c:v>35.704580397897026</c:v>
                </c:pt>
                <c:pt idx="11" formatCode="_-* #,##0_-;\-* #,##0_-;_-* &quot;-&quot;??_-;_-@_-">
                  <c:v>39.867857666855286</c:v>
                </c:pt>
                <c:pt idx="12" formatCode="_-* #,##0_-;\-* #,##0_-;_-* &quot;-&quot;??_-;_-@_-">
                  <c:v>35.265535942985906</c:v>
                </c:pt>
                <c:pt idx="13" formatCode="_-* #,##0_-;\-* #,##0_-;_-* &quot;-&quot;??_-;_-@_-">
                  <c:v>36.755229068604763</c:v>
                </c:pt>
                <c:pt idx="14" formatCode="_-* #,##0_-;\-* #,##0_-;_-* &quot;-&quot;??_-;_-@_-">
                  <c:v>33.354272768621541</c:v>
                </c:pt>
                <c:pt idx="15" formatCode="_-* #,##0_-;\-* #,##0_-;_-* &quot;-&quot;??_-;_-@_-">
                  <c:v>31.648333866703176</c:v>
                </c:pt>
                <c:pt idx="16" formatCode="_-* #,##0_-;\-* #,##0_-;_-* &quot;-&quot;??_-;_-@_-">
                  <c:v>33.871952051277944</c:v>
                </c:pt>
                <c:pt idx="17" formatCode="_-* #,##0_-;\-* #,##0_-;_-* &quot;-&quot;??_-;_-@_-">
                  <c:v>27.552769921636685</c:v>
                </c:pt>
                <c:pt idx="18" formatCode="_-* #,##0_-;\-* #,##0_-;_-* &quot;-&quot;??_-;_-@_-">
                  <c:v>31.065125560925708</c:v>
                </c:pt>
                <c:pt idx="19" formatCode="_-* #,##0_-;\-* #,##0_-;_-* &quot;-&quot;??_-;_-@_-">
                  <c:v>36.281235801362392</c:v>
                </c:pt>
                <c:pt idx="20" formatCode="_-* #,##0_-;\-* #,##0_-;_-* &quot;-&quot;??_-;_-@_-">
                  <c:v>77.715667428062943</c:v>
                </c:pt>
                <c:pt idx="21" formatCode="_-* #,##0_-;\-* #,##0_-;_-* &quot;-&quot;??_-;_-@_-">
                  <c:v>87.147285937486927</c:v>
                </c:pt>
                <c:pt idx="22" formatCode="_-* #,##0_-;\-* #,##0_-;_-* &quot;-&quot;??_-;_-@_-">
                  <c:v>96.167517608358409</c:v>
                </c:pt>
                <c:pt idx="23" formatCode="_-* #,##0_-;\-* #,##0_-;_-* &quot;-&quot;??_-;_-@_-">
                  <c:v>108.45779824972415</c:v>
                </c:pt>
                <c:pt idx="24" formatCode="_-* #,##0_-;\-* #,##0_-;_-* &quot;-&quot;??_-;_-@_-">
                  <c:v>105.41088652446096</c:v>
                </c:pt>
                <c:pt idx="25" formatCode="_-* #,##0_-;\-* #,##0_-;_-* &quot;-&quot;??_-;_-@_-">
                  <c:v>111.98046597295168</c:v>
                </c:pt>
                <c:pt idx="26" formatCode="_-* #,##0_-;\-* #,##0_-;_-* &quot;-&quot;??_-;_-@_-">
                  <c:v>111.34784004653781</c:v>
                </c:pt>
                <c:pt idx="27" formatCode="_-* #,##0_-;\-* #,##0_-;_-* &quot;-&quot;??_-;_-@_-">
                  <c:v>98.354852372831033</c:v>
                </c:pt>
                <c:pt idx="28" formatCode="_-* #,##0_-;\-* #,##0_-;_-* &quot;-&quot;??_-;_-@_-">
                  <c:v>98.784191979417955</c:v>
                </c:pt>
                <c:pt idx="29" formatCode="_-* #,##0_-;\-* #,##0_-;_-* &quot;-&quot;??_-;_-@_-">
                  <c:v>111.15415372859813</c:v>
                </c:pt>
                <c:pt idx="30" formatCode="_-* #,##0_-;\-* #,##0_-;_-* &quot;-&quot;??_-;_-@_-">
                  <c:v>102.78948314223285</c:v>
                </c:pt>
                <c:pt idx="31" formatCode="_-* #,##0_-;\-* #,##0_-;_-* &quot;-&quot;??_-;_-@_-">
                  <c:v>98.260278702361958</c:v>
                </c:pt>
                <c:pt idx="32" formatCode="_-* #,##0_-;\-* #,##0_-;_-* &quot;-&quot;??_-;_-@_-">
                  <c:v>99.042623156502032</c:v>
                </c:pt>
                <c:pt idx="33" formatCode="_-* #,##0_-;\-* #,##0_-;_-* &quot;-&quot;??_-;_-@_-">
                  <c:v>99.997815699229278</c:v>
                </c:pt>
                <c:pt idx="34" formatCode="_-* #,##0_-;\-* #,##0_-;_-* &quot;-&quot;??_-;_-@_-">
                  <c:v>111.25421217830247</c:v>
                </c:pt>
                <c:pt idx="35" formatCode="_-* #,##0_-;\-* #,##0_-;_-* &quot;-&quot;??_-;_-@_-">
                  <c:v>107.25499337163011</c:v>
                </c:pt>
                <c:pt idx="36" formatCode="_-* #,##0_-;\-* #,##0_-;_-* &quot;-&quot;??_-;_-@_-">
                  <c:v>99.990736380431457</c:v>
                </c:pt>
                <c:pt idx="37" formatCode="_-* #,##0_-;\-* #,##0_-;_-* &quot;-&quot;??_-;_-@_-">
                  <c:v>86.279880442734182</c:v>
                </c:pt>
                <c:pt idx="38" formatCode="_-* #,##0_-;\-* #,##0_-;_-* &quot;-&quot;??_-;_-@_-">
                  <c:v>105.54541324032698</c:v>
                </c:pt>
                <c:pt idx="39" formatCode="_-* #,##0_-;\-* #,##0_-;_-* &quot;-&quot;??_-;_-@_-">
                  <c:v>116.09801272097451</c:v>
                </c:pt>
                <c:pt idx="40" formatCode="_-* #,##0_-;\-* #,##0_-;_-* &quot;-&quot;??_-;_-@_-">
                  <c:v>104.92677120744716</c:v>
                </c:pt>
                <c:pt idx="41" formatCode="_-* #,##0_-;\-* #,##0_-;_-* &quot;-&quot;??_-;_-@_-">
                  <c:v>92.977431520478021</c:v>
                </c:pt>
                <c:pt idx="42" formatCode="_-* #,##0_-;\-* #,##0_-;_-* &quot;-&quot;??_-;_-@_-">
                  <c:v>101.2591205205643</c:v>
                </c:pt>
                <c:pt idx="43" formatCode="_-* #,##0_-;\-* #,##0_-;_-* &quot;-&quot;??_-;_-@_-">
                  <c:v>114.30012349381269</c:v>
                </c:pt>
                <c:pt idx="44" formatCode="_-* #,##0_-;\-* #,##0_-;_-* &quot;-&quot;??_-;_-@_-">
                  <c:v>88.89508477937504</c:v>
                </c:pt>
                <c:pt idx="45" formatCode="_-* #,##0_-;\-* #,##0_-;_-* &quot;-&quot;??_-;_-@_-">
                  <c:v>96.238389431164606</c:v>
                </c:pt>
                <c:pt idx="46" formatCode="_-* #,##0_-;\-* #,##0_-;_-* &quot;-&quot;??_-;_-@_-">
                  <c:v>77.720033845303576</c:v>
                </c:pt>
                <c:pt idx="47" formatCode="_-* #,##0_-;\-* #,##0_-;_-* &quot;-&quot;??_-;_-@_-">
                  <c:v>87.149470238257621</c:v>
                </c:pt>
                <c:pt idx="48" formatCode="_-* #,##0_-;\-* #,##0_-;_-* &quot;-&quot;??_-;_-@_-">
                  <c:v>96.174070510670518</c:v>
                </c:pt>
                <c:pt idx="49" formatCode="_-* #,##0_-;\-* #,##0_-;_-* &quot;-&quot;??_-;_-@_-">
                  <c:v>108.44906104664135</c:v>
                </c:pt>
                <c:pt idx="50" formatCode="_-* #,##0_-;\-* #,##0_-;_-* &quot;-&quot;??_-;_-@_-">
                  <c:v>105.40433362214884</c:v>
                </c:pt>
                <c:pt idx="51" formatCode="_-* #,##0_-;\-* #,##0_-;_-* &quot;-&quot;??_-;_-@_-">
                  <c:v>111.97609737141026</c:v>
                </c:pt>
                <c:pt idx="52" formatCode="_-* #,##0_-;\-* #,##0_-;_-* &quot;-&quot;??_-;_-@_-">
                  <c:v>111.35657724962064</c:v>
                </c:pt>
                <c:pt idx="53" formatCode="_-* #,##0_-;\-* #,##0_-;_-* &quot;-&quot;??_-;_-@_-">
                  <c:v>98.354852372831033</c:v>
                </c:pt>
                <c:pt idx="54" formatCode="_-* #,##0_-;\-* #,##0_-;_-* &quot;-&quot;??_-;_-@_-">
                  <c:v>98.784532730338157</c:v>
                </c:pt>
                <c:pt idx="55" formatCode="_-* #,##0_-;\-* #,##0_-;_-* &quot;-&quot;??_-;_-@_-">
                  <c:v>111.15067850607196</c:v>
                </c:pt>
                <c:pt idx="56" formatCode="_-* #,##0_-;\-* #,##0_-;_-* &quot;-&quot;??_-;_-@_-">
                  <c:v>102.80040246178559</c:v>
                </c:pt>
                <c:pt idx="57" formatCode="_-* #,##0_-;\-* #,##0_-;_-* &quot;-&quot;??_-;_-@_-">
                  <c:v>98.269013721144006</c:v>
                </c:pt>
                <c:pt idx="58" formatCode="_-* #,##0_-;\-* #,##0_-;_-* &quot;-&quot;??_-;_-@_-">
                  <c:v>99.051358175284065</c:v>
                </c:pt>
                <c:pt idx="59" formatCode="_-* #,##0_-;\-* #,##0_-;_-* &quot;-&quot;??_-;_-@_-">
                  <c:v>100</c:v>
                </c:pt>
                <c:pt idx="60" formatCode="_-* #,##0_-;\-* #,##0_-;_-* &quot;-&quot;??_-;_-@_-">
                  <c:v>111.26294938138527</c:v>
                </c:pt>
                <c:pt idx="61" formatCode="_-* #,##0_-;\-* #,##0_-;_-* &quot;-&quot;??_-;_-@_-">
                  <c:v>107.25062477008871</c:v>
                </c:pt>
                <c:pt idx="62" formatCode="_-* #,##0_-;\-* #,##0_-;_-* &quot;-&quot;??_-;_-@_-">
                  <c:v>99.990736380431457</c:v>
                </c:pt>
                <c:pt idx="63" formatCode="_-* #,##0_-;\-* #,##0_-;_-* &quot;-&quot;??_-;_-@_-">
                  <c:v>86.286433345046277</c:v>
                </c:pt>
                <c:pt idx="64" formatCode="_-* #,##0_-;\-* #,##0_-;_-* &quot;-&quot;??_-;_-@_-">
                  <c:v>105.55026675663945</c:v>
                </c:pt>
                <c:pt idx="65" formatCode="_-* #,##0_-;\-* #,##0_-;_-* &quot;-&quot;??_-;_-@_-">
                  <c:v>116.09582842020382</c:v>
                </c:pt>
                <c:pt idx="66" formatCode="_-* #,##0_-;\-* #,##0_-;_-* &quot;-&quot;??_-;_-@_-">
                  <c:v>104.71707833345975</c:v>
                </c:pt>
                <c:pt idx="67" formatCode="_-* #,##0_-;\-* #,##0_-;_-* &quot;-&quot;??_-;_-@_-">
                  <c:v>92.759001443407783</c:v>
                </c:pt>
                <c:pt idx="68" formatCode="_-* #,##0_-;\-* #,##0_-;_-* &quot;-&quot;??_-;_-@_-">
                  <c:v>101.03597235382937</c:v>
                </c:pt>
                <c:pt idx="69" formatCode="_-* #,##0_-;\-* #,##0_-;_-* &quot;-&quot;??_-;_-@_-">
                  <c:v>114.08169341674244</c:v>
                </c:pt>
                <c:pt idx="70" formatCode="_-* #,##0_-;\-* #,##0_-;_-* &quot;-&quot;??_-;_-@_-">
                  <c:v>91.651126276808426</c:v>
                </c:pt>
                <c:pt idx="71" formatCode="_-* #,##0_-;\-* #,##0_-;_-* &quot;-&quot;??_-;_-@_-">
                  <c:v>98.883031589292216</c:v>
                </c:pt>
                <c:pt idx="72" formatCode="_-* #,##0_-;\-* #,##0_-;_-* &quot;-&quot;??_-;_-@_-">
                  <c:v>101.8849489029797</c:v>
                </c:pt>
                <c:pt idx="73" formatCode="_-* #,##0_-;\-* #,##0_-;_-* &quot;-&quot;??_-;_-@_-">
                  <c:v>111.71092981074933</c:v>
                </c:pt>
                <c:pt idx="74" formatCode="_-* #,##0_-;\-* #,##0_-;_-* &quot;-&quot;??_-;_-@_-">
                  <c:v>102.40508552400318</c:v>
                </c:pt>
                <c:pt idx="75" formatCode="_-* #,##0_-;\-* #,##0_-;_-* &quot;-&quot;??_-;_-@_-">
                  <c:v>101.4787301200507</c:v>
                </c:pt>
                <c:pt idx="76" formatCode="_-* #,##0_-;\-* #,##0_-;_-* &quot;-&quot;??_-;_-@_-">
                  <c:v>97.245676891982882</c:v>
                </c:pt>
                <c:pt idx="77" formatCode="_-* #,##0_-;\-* #,##0_-;_-* &quot;-&quot;??_-;_-@_-">
                  <c:v>102.40851443935301</c:v>
                </c:pt>
                <c:pt idx="78" formatCode="_-* #,##0_-;\-* #,##0_-;_-* &quot;-&quot;??_-;_-@_-">
                  <c:v>106.10580773805496</c:v>
                </c:pt>
                <c:pt idx="79" formatCode="_-* #,##0_-;\-* #,##0_-;_-* &quot;-&quot;??_-;_-@_-">
                  <c:v>108.83181509989123</c:v>
                </c:pt>
                <c:pt idx="80" formatCode="_-* #,##0_-;\-* #,##0_-;_-* &quot;-&quot;??_-;_-@_-">
                  <c:v>113.0827070997632</c:v>
                </c:pt>
                <c:pt idx="81" formatCode="_-* #,##0_-;\-* #,##0_-;_-* &quot;-&quot;??_-;_-@_-">
                  <c:v>107.07151137879093</c:v>
                </c:pt>
                <c:pt idx="82" formatCode="_-* #,##0_-;\-* #,##0_-;_-* &quot;-&quot;??_-;_-@_-">
                  <c:v>99.533004018926448</c:v>
                </c:pt>
                <c:pt idx="83" formatCode="_-* #,##0_-;\-* #,##0_-;_-* &quot;-&quot;??_-;_-@_-">
                  <c:v>84.170573998492742</c:v>
                </c:pt>
                <c:pt idx="84" formatCode="_-* #,##0_-;\-* #,##0_-;_-* &quot;-&quot;??_-;_-@_-">
                  <c:v>88.08726798044728</c:v>
                </c:pt>
                <c:pt idx="85" formatCode="_-* #,##0_-;\-* #,##0_-;_-* &quot;-&quot;??_-;_-@_-">
                  <c:v>90.32933137153033</c:v>
                </c:pt>
                <c:pt idx="86" formatCode="_-* #,##0_-;\-* #,##0_-;_-* &quot;-&quot;??_-;_-@_-">
                  <c:v>84.798924520198128</c:v>
                </c:pt>
                <c:pt idx="87" formatCode="_-* #,##0_-;\-* #,##0_-;_-* &quot;-&quot;??_-;_-@_-">
                  <c:v>85.187730057383106</c:v>
                </c:pt>
                <c:pt idx="88" formatCode="_-* #,##0_-;\-* #,##0_-;_-* &quot;-&quot;??_-;_-@_-">
                  <c:v>96.973071131907503</c:v>
                </c:pt>
                <c:pt idx="89" formatCode="_-* #,##0_-;\-* #,##0_-;_-* &quot;-&quot;??_-;_-@_-">
                  <c:v>107.26118149571349</c:v>
                </c:pt>
                <c:pt idx="90" formatCode="_-* #,##0_-;\-* #,##0_-;_-* &quot;-&quot;??_-;_-@_-">
                  <c:v>104.76987725168917</c:v>
                </c:pt>
                <c:pt idx="91" formatCode="_-* #,##0_-;\-* #,##0_-;_-* &quot;-&quot;??_-;_-@_-">
                  <c:v>116.21646717929664</c:v>
                </c:pt>
                <c:pt idx="92" formatCode="_-* #,##0_-;\-* #,##0_-;_-* &quot;-&quot;??_-;_-@_-">
                  <c:v>115.12957894697524</c:v>
                </c:pt>
                <c:pt idx="93" formatCode="_-* #,##0_-;\-* #,##0_-;_-* &quot;-&quot;??_-;_-@_-">
                  <c:v>133.53973956276107</c:v>
                </c:pt>
                <c:pt idx="94" formatCode="_-* #,##0_-;\-* #,##0_-;_-* &quot;-&quot;??_-;_-@_-">
                  <c:v>130.10536350583482</c:v>
                </c:pt>
                <c:pt idx="95" formatCode="_-* #,##0_-;\-* #,##0_-;_-* &quot;-&quot;??_-;_-@_-">
                  <c:v>137.53373562668756</c:v>
                </c:pt>
                <c:pt idx="96" formatCode="_-* #,##0_-;\-* #,##0_-;_-* &quot;-&quot;??_-;_-@_-">
                  <c:v>135.82571374194399</c:v>
                </c:pt>
              </c:numCache>
            </c:numRef>
          </c:val>
          <c:smooth val="0"/>
        </c:ser>
        <c:ser>
          <c:idx val="1"/>
          <c:order val="1"/>
          <c:tx>
            <c:strRef>
              <c:f>'Figure 6.4'!$B$15</c:f>
              <c:strCache>
                <c:ptCount val="1"/>
                <c:pt idx="0">
                  <c:v>Copper</c:v>
                </c:pt>
              </c:strCache>
            </c:strRef>
          </c:tx>
          <c:spPr>
            <a:ln w="19050">
              <a:solidFill>
                <a:srgbClr val="B4C98B"/>
              </a:solidFill>
              <a:prstDash val="sysDash"/>
            </a:ln>
          </c:spPr>
          <c:marker>
            <c:symbol val="none"/>
          </c:marker>
          <c:cat>
            <c:strRef>
              <c:f>'Figure 6.4'!$C$3:$CU$3</c:f>
              <c:strCache>
                <c:ptCount val="97"/>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pt idx="94">
                  <c:v>12</c:v>
                </c:pt>
                <c:pt idx="95">
                  <c:v>12</c:v>
                </c:pt>
                <c:pt idx="96">
                  <c:v>12</c:v>
                </c:pt>
              </c:strCache>
            </c:strRef>
          </c:cat>
          <c:val>
            <c:numRef>
              <c:f>'Figure 6.4'!$C$15:$CU$15</c:f>
              <c:numCache>
                <c:formatCode>General</c:formatCode>
                <c:ptCount val="97"/>
                <c:pt idx="4" formatCode="_-* #,##0_-;\-* #,##0_-;_-* &quot;-&quot;??_-;_-@_-">
                  <c:v>32.356611124786731</c:v>
                </c:pt>
                <c:pt idx="5" formatCode="_-* #,##0_-;\-* #,##0_-;_-* &quot;-&quot;??_-;_-@_-">
                  <c:v>30.221375276931305</c:v>
                </c:pt>
                <c:pt idx="6" formatCode="_-* #,##0_-;\-* #,##0_-;_-* &quot;-&quot;??_-;_-@_-">
                  <c:v>28.900168917485082</c:v>
                </c:pt>
                <c:pt idx="7" formatCode="_-* #,##0_-;\-* #,##0_-;_-* &quot;-&quot;??_-;_-@_-">
                  <c:v>34.559329083516538</c:v>
                </c:pt>
                <c:pt idx="8" formatCode="_-* #,##0_-;\-* #,##0_-;_-* &quot;-&quot;??_-;_-@_-">
                  <c:v>39.0908164911</c:v>
                </c:pt>
                <c:pt idx="9" formatCode="_-* #,##0_-;\-* #,##0_-;_-* &quot;-&quot;??_-;_-@_-">
                  <c:v>33.876019658939477</c:v>
                </c:pt>
                <c:pt idx="10" formatCode="_-* #,##0_-;\-* #,##0_-;_-* &quot;-&quot;??_-;_-@_-">
                  <c:v>31.796382279791874</c:v>
                </c:pt>
                <c:pt idx="11" formatCode="_-* #,##0_-;\-* #,##0_-;_-* &quot;-&quot;??_-;_-@_-">
                  <c:v>33.074722644280158</c:v>
                </c:pt>
                <c:pt idx="12" formatCode="_-* #,##0_-;\-* #,##0_-;_-* &quot;-&quot;??_-;_-@_-">
                  <c:v>39.961293279800358</c:v>
                </c:pt>
                <c:pt idx="13" formatCode="_-* #,##0_-;\-* #,##0_-;_-* &quot;-&quot;??_-;_-@_-">
                  <c:v>33.746997258273993</c:v>
                </c:pt>
                <c:pt idx="14" formatCode="_-* #,##0_-;\-* #,##0_-;_-* &quot;-&quot;??_-;_-@_-">
                  <c:v>35.307149708426351</c:v>
                </c:pt>
                <c:pt idx="15" formatCode="_-* #,##0_-;\-* #,##0_-;_-* &quot;-&quot;??_-;_-@_-">
                  <c:v>35.797774363588523</c:v>
                </c:pt>
                <c:pt idx="16" formatCode="_-* #,##0_-;\-* #,##0_-;_-* &quot;-&quot;??_-;_-@_-">
                  <c:v>47.131551918783792</c:v>
                </c:pt>
                <c:pt idx="17" formatCode="_-* #,##0_-;\-* #,##0_-;_-* &quot;-&quot;??_-;_-@_-">
                  <c:v>43.61438854416896</c:v>
                </c:pt>
                <c:pt idx="18" formatCode="_-* #,##0_-;\-* #,##0_-;_-* &quot;-&quot;??_-;_-@_-">
                  <c:v>44.431114346102596</c:v>
                </c:pt>
                <c:pt idx="19" formatCode="_-* #,##0_-;\-* #,##0_-;_-* &quot;-&quot;??_-;_-@_-">
                  <c:v>41.417115840046179</c:v>
                </c:pt>
                <c:pt idx="20" formatCode="_-* #,##0_-;\-* #,##0_-;_-* &quot;-&quot;??_-;_-@_-">
                  <c:v>50.020175453488278</c:v>
                </c:pt>
                <c:pt idx="21" formatCode="_-* #,##0_-;\-* #,##0_-;_-* &quot;-&quot;??_-;_-@_-">
                  <c:v>43.214440322895541</c:v>
                </c:pt>
                <c:pt idx="22" formatCode="_-* #,##0_-;\-* #,##0_-;_-* &quot;-&quot;??_-;_-@_-">
                  <c:v>46.009376618085213</c:v>
                </c:pt>
                <c:pt idx="23" formatCode="_-* #,##0_-;\-* #,##0_-;_-* &quot;-&quot;??_-;_-@_-">
                  <c:v>42.745067864085094</c:v>
                </c:pt>
                <c:pt idx="24" formatCode="_-* #,##0_-;\-* #,##0_-;_-* &quot;-&quot;??_-;_-@_-">
                  <c:v>49.731744179137422</c:v>
                </c:pt>
                <c:pt idx="25" formatCode="_-* #,##0_-;\-* #,##0_-;_-* &quot;-&quot;??_-;_-@_-">
                  <c:v>39.081504808630925</c:v>
                </c:pt>
                <c:pt idx="26" formatCode="_-* #,##0_-;\-* #,##0_-;_-* &quot;-&quot;??_-;_-@_-">
                  <c:v>35.852585116587022</c:v>
                </c:pt>
                <c:pt idx="27" formatCode="_-* #,##0_-;\-* #,##0_-;_-* &quot;-&quot;??_-;_-@_-">
                  <c:v>31.768370837542129</c:v>
                </c:pt>
                <c:pt idx="28" formatCode="_-* #,##0_-;\-* #,##0_-;_-* &quot;-&quot;??_-;_-@_-">
                  <c:v>41.474293135498996</c:v>
                </c:pt>
                <c:pt idx="29" formatCode="_-* #,##0_-;\-* #,##0_-;_-* &quot;-&quot;??_-;_-@_-">
                  <c:v>39.772385810931262</c:v>
                </c:pt>
                <c:pt idx="30" formatCode="_-* #,##0_-;\-* #,##0_-;_-* &quot;-&quot;??_-;_-@_-">
                  <c:v>48.834129820302351</c:v>
                </c:pt>
                <c:pt idx="31" formatCode="_-* #,##0_-;\-* #,##0_-;_-* &quot;-&quot;??_-;_-@_-">
                  <c:v>55.957241382237363</c:v>
                </c:pt>
                <c:pt idx="32" formatCode="_-* #,##0_-;\-* #,##0_-;_-* &quot;-&quot;??_-;_-@_-">
                  <c:v>59.578640002037197</c:v>
                </c:pt>
                <c:pt idx="33" formatCode="_-* #,##0_-;\-* #,##0_-;_-* &quot;-&quot;??_-;_-@_-">
                  <c:v>61.697748049809448</c:v>
                </c:pt>
                <c:pt idx="34" formatCode="_-* #,##0_-;\-* #,##0_-;_-* &quot;-&quot;??_-;_-@_-">
                  <c:v>53.913538014922466</c:v>
                </c:pt>
                <c:pt idx="35" formatCode="_-* #,##0_-;\-* #,##0_-;_-* &quot;-&quot;??_-;_-@_-">
                  <c:v>56.8263035931041</c:v>
                </c:pt>
                <c:pt idx="36" formatCode="_-* #,##0_-;\-* #,##0_-;_-* &quot;-&quot;??_-;_-@_-">
                  <c:v>61.315306979942115</c:v>
                </c:pt>
                <c:pt idx="37" formatCode="_-* #,##0_-;\-* #,##0_-;_-* &quot;-&quot;??_-;_-@_-">
                  <c:v>60.980060946107692</c:v>
                </c:pt>
                <c:pt idx="38" formatCode="_-* #,##0_-;\-* #,##0_-;_-* &quot;-&quot;??_-;_-@_-">
                  <c:v>58.075783683759319</c:v>
                </c:pt>
                <c:pt idx="39" formatCode="_-* #,##0_-;\-* #,##0_-;_-* &quot;-&quot;??_-;_-@_-">
                  <c:v>64.232359157619541</c:v>
                </c:pt>
                <c:pt idx="40" formatCode="_-* #,##0_-;\-* #,##0_-;_-* &quot;-&quot;??_-;_-@_-">
                  <c:v>70.657165411810638</c:v>
                </c:pt>
                <c:pt idx="41" formatCode="_-* #,##0_-;\-* #,##0_-;_-* &quot;-&quot;??_-;_-@_-">
                  <c:v>69.293088813248559</c:v>
                </c:pt>
                <c:pt idx="42" formatCode="_-* #,##0_-;\-* #,##0_-;_-* &quot;-&quot;??_-;_-@_-">
                  <c:v>71.640961216884975</c:v>
                </c:pt>
                <c:pt idx="43" formatCode="_-* #,##0_-;\-* #,##0_-;_-* &quot;-&quot;??_-;_-@_-">
                  <c:v>80.355193576042595</c:v>
                </c:pt>
                <c:pt idx="44" formatCode="_-* #,##0_-;\-* #,##0_-;_-* &quot;-&quot;??_-;_-@_-">
                  <c:v>82.333777555195269</c:v>
                </c:pt>
                <c:pt idx="45" formatCode="_-* #,##0_-;\-* #,##0_-;_-* &quot;-&quot;??_-;_-@_-">
                  <c:v>78.824113607619125</c:v>
                </c:pt>
                <c:pt idx="46" formatCode="_-* #,##0_-;\-* #,##0_-;_-* &quot;-&quot;??_-;_-@_-">
                  <c:v>82.791529509629996</c:v>
                </c:pt>
                <c:pt idx="47" formatCode="_-* #,##0_-;\-* #,##0_-;_-* &quot;-&quot;??_-;_-@_-">
                  <c:v>92.659321444032287</c:v>
                </c:pt>
                <c:pt idx="48" formatCode="_-* #,##0_-;\-* #,##0_-;_-* &quot;-&quot;??_-;_-@_-">
                  <c:v>87.868596626743312</c:v>
                </c:pt>
                <c:pt idx="49" formatCode="_-* #,##0_-;\-* #,##0_-;_-* &quot;-&quot;??_-;_-@_-">
                  <c:v>92.701448955512745</c:v>
                </c:pt>
                <c:pt idx="50" formatCode="_-* #,##0_-;\-* #,##0_-;_-* &quot;-&quot;??_-;_-@_-">
                  <c:v>93.878994813639039</c:v>
                </c:pt>
                <c:pt idx="51" formatCode="_-* #,##0_-;\-* #,##0_-;_-* &quot;-&quot;??_-;_-@_-">
                  <c:v>96.938688894736401</c:v>
                </c:pt>
                <c:pt idx="52" formatCode="_-* #,##0_-;\-* #,##0_-;_-* &quot;-&quot;??_-;_-@_-">
                  <c:v>95.969480260421548</c:v>
                </c:pt>
                <c:pt idx="53" formatCode="_-* #,##0_-;\-* #,##0_-;_-* &quot;-&quot;??_-;_-@_-">
                  <c:v>94.483354412650982</c:v>
                </c:pt>
                <c:pt idx="54" formatCode="_-* #,##0_-;\-* #,##0_-;_-* &quot;-&quot;??_-;_-@_-">
                  <c:v>96.210573895033491</c:v>
                </c:pt>
                <c:pt idx="55" formatCode="_-* #,##0_-;\-* #,##0_-;_-* &quot;-&quot;??_-;_-@_-">
                  <c:v>87.642285394154968</c:v>
                </c:pt>
                <c:pt idx="56" formatCode="_-* #,##0_-;\-* #,##0_-;_-* &quot;-&quot;??_-;_-@_-">
                  <c:v>92.797239599691039</c:v>
                </c:pt>
                <c:pt idx="57" formatCode="_-* #,##0_-;\-* #,##0_-;_-* &quot;-&quot;??_-;_-@_-">
                  <c:v>93.559914777309032</c:v>
                </c:pt>
                <c:pt idx="58" formatCode="_-* #,##0_-;\-* #,##0_-;_-* &quot;-&quot;??_-;_-@_-">
                  <c:v>88.668302082183871</c:v>
                </c:pt>
                <c:pt idx="59" formatCode="_-* #,##0_-;\-* #,##0_-;_-* &quot;-&quot;??_-;_-@_-">
                  <c:v>100</c:v>
                </c:pt>
                <c:pt idx="60" formatCode="_-* #,##0_-;\-* #,##0_-;_-* &quot;-&quot;??_-;_-@_-">
                  <c:v>82.609512006722753</c:v>
                </c:pt>
                <c:pt idx="61" formatCode="_-* #,##0_-;\-* #,##0_-;_-* &quot;-&quot;??_-;_-@_-">
                  <c:v>81.151860214414867</c:v>
                </c:pt>
                <c:pt idx="62" formatCode="_-* #,##0_-;\-* #,##0_-;_-* &quot;-&quot;??_-;_-@_-">
                  <c:v>88.19529917069157</c:v>
                </c:pt>
                <c:pt idx="63" formatCode="_-* #,##0_-;\-* #,##0_-;_-* &quot;-&quot;??_-;_-@_-">
                  <c:v>92.161464743780215</c:v>
                </c:pt>
                <c:pt idx="64" formatCode="_-* #,##0_-;\-* #,##0_-;_-* &quot;-&quot;??_-;_-@_-">
                  <c:v>96.367425239158322</c:v>
                </c:pt>
                <c:pt idx="65" formatCode="_-* #,##0_-;\-* #,##0_-;_-* &quot;-&quot;??_-;_-@_-">
                  <c:v>94.799208888964358</c:v>
                </c:pt>
                <c:pt idx="66" formatCode="_-* #,##0_-;\-* #,##0_-;_-* &quot;-&quot;??_-;_-@_-">
                  <c:v>94.366729197259971</c:v>
                </c:pt>
                <c:pt idx="67" formatCode="_-* #,##0_-;\-* #,##0_-;_-* &quot;-&quot;??_-;_-@_-">
                  <c:v>94.328956191801993</c:v>
                </c:pt>
                <c:pt idx="68" formatCode="_-* #,##0_-;\-* #,##0_-;_-* &quot;-&quot;??_-;_-@_-">
                  <c:v>99.564124981962351</c:v>
                </c:pt>
                <c:pt idx="69" formatCode="_-* #,##0_-;\-* #,##0_-;_-* &quot;-&quot;??_-;_-@_-">
                  <c:v>105.69014251882285</c:v>
                </c:pt>
                <c:pt idx="70" formatCode="_-* #,##0_-;\-* #,##0_-;_-* &quot;-&quot;??_-;_-@_-">
                  <c:v>92.865146126357061</c:v>
                </c:pt>
                <c:pt idx="71" formatCode="_-* #,##0_-;\-* #,##0_-;_-* &quot;-&quot;??_-;_-@_-">
                  <c:v>99.26788275938172</c:v>
                </c:pt>
                <c:pt idx="72" formatCode="_-* #,##0_-;\-* #,##0_-;_-* &quot;-&quot;??_-;_-@_-">
                  <c:v>91.572502949689778</c:v>
                </c:pt>
                <c:pt idx="73" formatCode="_-* #,##0_-;\-* #,##0_-;_-* &quot;-&quot;??_-;_-@_-">
                  <c:v>89.302295665017112</c:v>
                </c:pt>
                <c:pt idx="74" formatCode="_-* #,##0_-;\-* #,##0_-;_-* &quot;-&quot;??_-;_-@_-">
                  <c:v>93.269967914166159</c:v>
                </c:pt>
                <c:pt idx="75" formatCode="_-* #,##0_-;\-* #,##0_-;_-* &quot;-&quot;??_-;_-@_-">
                  <c:v>90.241665322683332</c:v>
                </c:pt>
                <c:pt idx="76" formatCode="_-* #,##0_-;\-* #,##0_-;_-* &quot;-&quot;??_-;_-@_-">
                  <c:v>84.902534908198874</c:v>
                </c:pt>
                <c:pt idx="77" formatCode="_-* #,##0_-;\-* #,##0_-;_-* &quot;-&quot;??_-;_-@_-">
                  <c:v>101.05442929232912</c:v>
                </c:pt>
                <c:pt idx="78" formatCode="_-* #,##0_-;\-* #,##0_-;_-* &quot;-&quot;??_-;_-@_-">
                  <c:v>87.152933986367785</c:v>
                </c:pt>
                <c:pt idx="79" formatCode="_-* #,##0_-;\-* #,##0_-;_-* &quot;-&quot;??_-;_-@_-">
                  <c:v>93.104516632854896</c:v>
                </c:pt>
                <c:pt idx="80" formatCode="_-* #,##0_-;\-* #,##0_-;_-* &quot;-&quot;??_-;_-@_-">
                  <c:v>99.636402991282509</c:v>
                </c:pt>
                <c:pt idx="81" formatCode="_-* #,##0_-;\-* #,##0_-;_-* &quot;-&quot;??_-;_-@_-">
                  <c:v>96.46784201546572</c:v>
                </c:pt>
                <c:pt idx="82" formatCode="_-* #,##0_-;\-* #,##0_-;_-* &quot;-&quot;??_-;_-@_-">
                  <c:v>84.006315306979957</c:v>
                </c:pt>
                <c:pt idx="83" formatCode="_-* #,##0_-;\-* #,##0_-;_-* &quot;-&quot;??_-;_-@_-">
                  <c:v>97.488095137043871</c:v>
                </c:pt>
                <c:pt idx="84" formatCode="_-* #,##0_-;\-* #,##0_-;_-* &quot;-&quot;??_-;_-@_-">
                  <c:v>90.646088159648244</c:v>
                </c:pt>
                <c:pt idx="85" formatCode="_-* #,##0_-;\-* #,##0_-;_-* &quot;-&quot;??_-;_-@_-">
                  <c:v>90.836905499579828</c:v>
                </c:pt>
                <c:pt idx="86" formatCode="_-* #,##0_-;\-* #,##0_-;_-* &quot;-&quot;??_-;_-@_-">
                  <c:v>77.88751283857772</c:v>
                </c:pt>
                <c:pt idx="87" formatCode="_-* #,##0_-;\-* #,##0_-;_-* &quot;-&quot;??_-;_-@_-">
                  <c:v>88.049300138359555</c:v>
                </c:pt>
                <c:pt idx="88" formatCode="_-* #,##0_-;\-* #,##0_-;_-* &quot;-&quot;??_-;_-@_-">
                  <c:v>100.10992369004067</c:v>
                </c:pt>
                <c:pt idx="89" formatCode="_-* #,##0_-;\-* #,##0_-;_-* &quot;-&quot;??_-;_-@_-">
                  <c:v>103.4891222232597</c:v>
                </c:pt>
                <c:pt idx="90" formatCode="_-* #,##0_-;\-* #,##0_-;_-* &quot;-&quot;??_-;_-@_-">
                  <c:v>98.616404519179355</c:v>
                </c:pt>
                <c:pt idx="91" formatCode="_-* #,##0_-;\-* #,##0_-;_-* &quot;-&quot;??_-;_-@_-">
                  <c:v>101.6225415715268</c:v>
                </c:pt>
                <c:pt idx="92" formatCode="_-* #,##0_-;\-* #,##0_-;_-* &quot;-&quot;??_-;_-@_-">
                  <c:v>99.755112088210595</c:v>
                </c:pt>
                <c:pt idx="93" formatCode="_-* #,##0_-;\-* #,##0_-;_-* &quot;-&quot;??_-;_-@_-">
                  <c:v>107.22185911093379</c:v>
                </c:pt>
                <c:pt idx="94" formatCode="_-* #,##0_-;\-* #,##0_-;_-* &quot;-&quot;??_-;_-@_-">
                  <c:v>90.055089169757835</c:v>
                </c:pt>
                <c:pt idx="95" formatCode="_-* #,##0_-;\-* #,##0_-;_-* &quot;-&quot;??_-;_-@_-">
                  <c:v>95.660772946039799</c:v>
                </c:pt>
                <c:pt idx="96" formatCode="_-* #,##0_-;\-* #,##0_-;_-* &quot;-&quot;??_-;_-@_-">
                  <c:v>100.59375769253624</c:v>
                </c:pt>
              </c:numCache>
            </c:numRef>
          </c:val>
          <c:smooth val="0"/>
        </c:ser>
        <c:dLbls>
          <c:showLegendKey val="0"/>
          <c:showVal val="0"/>
          <c:showCatName val="0"/>
          <c:showSerName val="0"/>
          <c:showPercent val="0"/>
          <c:showBubbleSize val="0"/>
        </c:dLbls>
        <c:marker val="1"/>
        <c:smooth val="0"/>
        <c:axId val="199947776"/>
        <c:axId val="199949312"/>
      </c:lineChart>
      <c:catAx>
        <c:axId val="199947776"/>
        <c:scaling>
          <c:orientation val="minMax"/>
        </c:scaling>
        <c:delete val="0"/>
        <c:axPos val="b"/>
        <c:majorTickMark val="out"/>
        <c:minorTickMark val="none"/>
        <c:tickLblPos val="nextTo"/>
        <c:spPr>
          <a:ln>
            <a:solidFill>
              <a:schemeClr val="tx1"/>
            </a:solidFill>
          </a:ln>
        </c:spPr>
        <c:crossAx val="199949312"/>
        <c:crosses val="autoZero"/>
        <c:auto val="1"/>
        <c:lblAlgn val="ctr"/>
        <c:lblOffset val="100"/>
        <c:tickLblSkip val="8"/>
        <c:tickMarkSkip val="8"/>
        <c:noMultiLvlLbl val="0"/>
      </c:catAx>
      <c:valAx>
        <c:axId val="199949312"/>
        <c:scaling>
          <c:orientation val="minMax"/>
        </c:scaling>
        <c:delete val="0"/>
        <c:axPos val="l"/>
        <c:majorGridlines/>
        <c:title>
          <c:tx>
            <c:rich>
              <a:bodyPr rot="-5400000" vert="horz"/>
              <a:lstStyle/>
              <a:p>
                <a:pPr>
                  <a:defRPr b="1"/>
                </a:pPr>
                <a:r>
                  <a:rPr lang="en-US" b="1"/>
                  <a:t>Index, June 2003=100</a:t>
                </a:r>
              </a:p>
            </c:rich>
          </c:tx>
          <c:overlay val="0"/>
        </c:title>
        <c:numFmt formatCode="General" sourceLinked="1"/>
        <c:majorTickMark val="out"/>
        <c:minorTickMark val="none"/>
        <c:tickLblPos val="nextTo"/>
        <c:spPr>
          <a:ln>
            <a:solidFill>
              <a:schemeClr val="tx1"/>
            </a:solidFill>
          </a:ln>
        </c:spPr>
        <c:crossAx val="199947776"/>
        <c:crosses val="autoZero"/>
        <c:crossBetween val="between"/>
      </c:valAx>
      <c:spPr>
        <a:ln>
          <a:solidFill>
            <a:schemeClr val="tx1"/>
          </a:solidFill>
        </a:ln>
      </c:spPr>
    </c:plotArea>
    <c:legend>
      <c:legendPos val="r"/>
      <c:layout>
        <c:manualLayout>
          <c:xMode val="edge"/>
          <c:yMode val="edge"/>
          <c:x val="1.2340099804218862E-2"/>
          <c:y val="2.3845458022450354E-2"/>
          <c:w val="0.98122244094488187"/>
          <c:h val="9.576820249507631E-2"/>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47632679947375"/>
          <c:y val="0.1087560711560191"/>
          <c:w val="0.80172858080085219"/>
          <c:h val="0.73170915549190541"/>
        </c:manualLayout>
      </c:layout>
      <c:lineChart>
        <c:grouping val="standard"/>
        <c:varyColors val="0"/>
        <c:ser>
          <c:idx val="0"/>
          <c:order val="0"/>
          <c:tx>
            <c:strRef>
              <c:f>'Figure 6.4'!$B$16</c:f>
              <c:strCache>
                <c:ptCount val="1"/>
                <c:pt idx="0">
                  <c:v>Lead</c:v>
                </c:pt>
              </c:strCache>
            </c:strRef>
          </c:tx>
          <c:spPr>
            <a:ln w="19050">
              <a:solidFill>
                <a:srgbClr val="344893"/>
              </a:solidFill>
              <a:prstDash val="solid"/>
            </a:ln>
          </c:spPr>
          <c:marker>
            <c:symbol val="none"/>
          </c:marker>
          <c:cat>
            <c:strRef>
              <c:f>'Figure 6.4'!$C$3:$CU$3</c:f>
              <c:strCache>
                <c:ptCount val="97"/>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pt idx="94">
                  <c:v>12</c:v>
                </c:pt>
                <c:pt idx="95">
                  <c:v>12</c:v>
                </c:pt>
                <c:pt idx="96">
                  <c:v>12</c:v>
                </c:pt>
              </c:strCache>
            </c:strRef>
          </c:cat>
          <c:val>
            <c:numRef>
              <c:f>'Figure 6.4'!$C$16:$CU$16</c:f>
              <c:numCache>
                <c:formatCode>General</c:formatCode>
                <c:ptCount val="97"/>
                <c:pt idx="4" formatCode="_-* #,##0_-;\-* #,##0_-;_-* &quot;-&quot;??_-;_-@_-">
                  <c:v>75.706036688376926</c:v>
                </c:pt>
                <c:pt idx="5" formatCode="_-* #,##0_-;\-* #,##0_-;_-* &quot;-&quot;??_-;_-@_-">
                  <c:v>63.637548820963538</c:v>
                </c:pt>
                <c:pt idx="6" formatCode="_-* #,##0_-;\-* #,##0_-;_-* &quot;-&quot;??_-;_-@_-">
                  <c:v>73.792309238365803</c:v>
                </c:pt>
                <c:pt idx="7" formatCode="_-* #,##0_-;\-* #,##0_-;_-* &quot;-&quot;??_-;_-@_-">
                  <c:v>70.941545214051729</c:v>
                </c:pt>
                <c:pt idx="8" formatCode="_-* #,##0_-;\-* #,##0_-;_-* &quot;-&quot;??_-;_-@_-">
                  <c:v>87.628401171159908</c:v>
                </c:pt>
                <c:pt idx="9" formatCode="_-* #,##0_-;\-* #,##0_-;_-* &quot;-&quot;??_-;_-@_-">
                  <c:v>74.716851991678013</c:v>
                </c:pt>
                <c:pt idx="10" formatCode="_-* #,##0_-;\-* #,##0_-;_-* &quot;-&quot;??_-;_-@_-">
                  <c:v>74.886333389464994</c:v>
                </c:pt>
                <c:pt idx="11" formatCode="_-* #,##0_-;\-* #,##0_-;_-* &quot;-&quot;??_-;_-@_-">
                  <c:v>72.035026155542653</c:v>
                </c:pt>
                <c:pt idx="12" formatCode="_-* #,##0_-;\-* #,##0_-;_-* &quot;-&quot;??_-;_-@_-">
                  <c:v>89.166770781841578</c:v>
                </c:pt>
                <c:pt idx="13" formatCode="_-* #,##0_-;\-* #,##0_-;_-* &quot;-&quot;??_-;_-@_-">
                  <c:v>70.51077999467654</c:v>
                </c:pt>
                <c:pt idx="14" formatCode="_-* #,##0_-;\-* #,##0_-;_-* &quot;-&quot;??_-;_-@_-">
                  <c:v>71.172193100151546</c:v>
                </c:pt>
                <c:pt idx="15" formatCode="_-* #,##0_-;\-* #,##0_-;_-* &quot;-&quot;??_-;_-@_-">
                  <c:v>73.883540205659145</c:v>
                </c:pt>
                <c:pt idx="16" formatCode="_-* #,##0_-;\-* #,##0_-;_-* &quot;-&quot;??_-;_-@_-">
                  <c:v>90.491277683319652</c:v>
                </c:pt>
                <c:pt idx="17" formatCode="_-* #,##0_-;\-* #,##0_-;_-* &quot;-&quot;??_-;_-@_-">
                  <c:v>72.434712723598651</c:v>
                </c:pt>
                <c:pt idx="18" formatCode="_-* #,##0_-;\-* #,##0_-;_-* &quot;-&quot;??_-;_-@_-">
                  <c:v>70.648061556512801</c:v>
                </c:pt>
                <c:pt idx="19" formatCode="_-* #,##0_-;\-* #,##0_-;_-* &quot;-&quot;??_-;_-@_-">
                  <c:v>70.686481142478442</c:v>
                </c:pt>
                <c:pt idx="20" formatCode="_-* #,##0_-;\-* #,##0_-;_-* &quot;-&quot;??_-;_-@_-">
                  <c:v>82.79792330966751</c:v>
                </c:pt>
                <c:pt idx="21" formatCode="_-* #,##0_-;\-* #,##0_-;_-* &quot;-&quot;??_-;_-@_-">
                  <c:v>69.391115263646782</c:v>
                </c:pt>
                <c:pt idx="22" formatCode="_-* #,##0_-;\-* #,##0_-;_-* &quot;-&quot;??_-;_-@_-">
                  <c:v>63.89863925993123</c:v>
                </c:pt>
                <c:pt idx="23" formatCode="_-* #,##0_-;\-* #,##0_-;_-* &quot;-&quot;??_-;_-@_-">
                  <c:v>75.2423676333987</c:v>
                </c:pt>
                <c:pt idx="24" formatCode="_-* #,##0_-;\-* #,##0_-;_-* &quot;-&quot;??_-;_-@_-">
                  <c:v>80.388503511850104</c:v>
                </c:pt>
                <c:pt idx="25" formatCode="_-* #,##0_-;\-* #,##0_-;_-* &quot;-&quot;??_-;_-@_-">
                  <c:v>58.5735587291068</c:v>
                </c:pt>
                <c:pt idx="26" formatCode="_-* #,##0_-;\-* #,##0_-;_-* &quot;-&quot;??_-;_-@_-">
                  <c:v>57.156569305397866</c:v>
                </c:pt>
                <c:pt idx="27" formatCode="_-* #,##0_-;\-* #,##0_-;_-* &quot;-&quot;??_-;_-@_-">
                  <c:v>52.085110081427118</c:v>
                </c:pt>
                <c:pt idx="28" formatCode="_-* #,##0_-;\-* #,##0_-;_-* &quot;-&quot;??_-;_-@_-">
                  <c:v>70.607380045738239</c:v>
                </c:pt>
                <c:pt idx="29" formatCode="_-* #,##0_-;\-* #,##0_-;_-* &quot;-&quot;??_-;_-@_-">
                  <c:v>72.745390594868852</c:v>
                </c:pt>
                <c:pt idx="30" formatCode="_-* #,##0_-;\-* #,##0_-;_-* &quot;-&quot;??_-;_-@_-">
                  <c:v>71.220331792428738</c:v>
                </c:pt>
                <c:pt idx="31" formatCode="_-* #,##0_-;\-* #,##0_-;_-* &quot;-&quot;??_-;_-@_-">
                  <c:v>66.222511692586806</c:v>
                </c:pt>
                <c:pt idx="32" formatCode="_-* #,##0_-;\-* #,##0_-;_-* &quot;-&quot;??_-;_-@_-">
                  <c:v>74.246499285679363</c:v>
                </c:pt>
                <c:pt idx="33" formatCode="_-* #,##0_-;\-* #,##0_-;_-* &quot;-&quot;??_-;_-@_-">
                  <c:v>74.610484488649618</c:v>
                </c:pt>
                <c:pt idx="34" formatCode="_-* #,##0_-;\-* #,##0_-;_-* &quot;-&quot;??_-;_-@_-">
                  <c:v>65.507860243031985</c:v>
                </c:pt>
                <c:pt idx="35" formatCode="_-* #,##0_-;\-* #,##0_-;_-* &quot;-&quot;??_-;_-@_-">
                  <c:v>67.86426441270892</c:v>
                </c:pt>
                <c:pt idx="36" formatCode="_-* #,##0_-;\-* #,##0_-;_-* &quot;-&quot;??_-;_-@_-">
                  <c:v>71.979367269448261</c:v>
                </c:pt>
                <c:pt idx="37" formatCode="_-* #,##0_-;\-* #,##0_-;_-* &quot;-&quot;??_-;_-@_-">
                  <c:v>82.491319510459491</c:v>
                </c:pt>
                <c:pt idx="38" formatCode="_-* #,##0_-;\-* #,##0_-;_-* &quot;-&quot;??_-;_-@_-">
                  <c:v>76.821168335225508</c:v>
                </c:pt>
                <c:pt idx="39" formatCode="_-* #,##0_-;\-* #,##0_-;_-* &quot;-&quot;??_-;_-@_-">
                  <c:v>80.865674584852044</c:v>
                </c:pt>
                <c:pt idx="40" formatCode="_-* #,##0_-;\-* #,##0_-;_-* &quot;-&quot;??_-;_-@_-">
                  <c:v>95.27787887512153</c:v>
                </c:pt>
                <c:pt idx="41" formatCode="_-* #,##0_-;\-* #,##0_-;_-* &quot;-&quot;??_-;_-@_-">
                  <c:v>83.654822886507219</c:v>
                </c:pt>
                <c:pt idx="42" formatCode="_-* #,##0_-;\-* #,##0_-;_-* &quot;-&quot;??_-;_-@_-">
                  <c:v>86.916796584297984</c:v>
                </c:pt>
                <c:pt idx="43" formatCode="_-* #,##0_-;\-* #,##0_-;_-* &quot;-&quot;??_-;_-@_-">
                  <c:v>93.347311927253344</c:v>
                </c:pt>
                <c:pt idx="44" formatCode="_-* #,##0_-;\-* #,##0_-;_-* &quot;-&quot;??_-;_-@_-">
                  <c:v>93.776447517803675</c:v>
                </c:pt>
                <c:pt idx="45" formatCode="_-* #,##0_-;\-* #,##0_-;_-* &quot;-&quot;??_-;_-@_-">
                  <c:v>93.630324133173261</c:v>
                </c:pt>
                <c:pt idx="46" formatCode="_-* #,##0_-;\-* #,##0_-;_-* &quot;-&quot;??_-;_-@_-">
                  <c:v>93.964832609959188</c:v>
                </c:pt>
                <c:pt idx="47" formatCode="_-* #,##0_-;\-* #,##0_-;_-* &quot;-&quot;??_-;_-@_-">
                  <c:v>93.187336697611499</c:v>
                </c:pt>
                <c:pt idx="48" formatCode="_-* #,##0_-;\-* #,##0_-;_-* &quot;-&quot;??_-;_-@_-">
                  <c:v>98.84242032473071</c:v>
                </c:pt>
                <c:pt idx="49" formatCode="_-* #,##0_-;\-* #,##0_-;_-* &quot;-&quot;??_-;_-@_-">
                  <c:v>93.900299308494169</c:v>
                </c:pt>
                <c:pt idx="50" formatCode="_-* #,##0_-;\-* #,##0_-;_-* &quot;-&quot;??_-;_-@_-">
                  <c:v>93.788778375911903</c:v>
                </c:pt>
                <c:pt idx="51" formatCode="_-* #,##0_-;\-* #,##0_-;_-* &quot;-&quot;??_-;_-@_-">
                  <c:v>106.64236709018907</c:v>
                </c:pt>
                <c:pt idx="52" formatCode="_-* #,##0_-;\-* #,##0_-;_-* &quot;-&quot;??_-;_-@_-">
                  <c:v>106.69994730866799</c:v>
                </c:pt>
                <c:pt idx="53" formatCode="_-* #,##0_-;\-* #,##0_-;_-* &quot;-&quot;??_-;_-@_-">
                  <c:v>105.2216838411438</c:v>
                </c:pt>
                <c:pt idx="54" formatCode="_-* #,##0_-;\-* #,##0_-;_-* &quot;-&quot;??_-;_-@_-">
                  <c:v>99.942419781521096</c:v>
                </c:pt>
                <c:pt idx="55" formatCode="_-* #,##0_-;\-* #,##0_-;_-* &quot;-&quot;??_-;_-@_-">
                  <c:v>92.552596270322809</c:v>
                </c:pt>
                <c:pt idx="56" formatCode="_-* #,##0_-;\-* #,##0_-;_-* &quot;-&quot;??_-;_-@_-">
                  <c:v>93.925286950475552</c:v>
                </c:pt>
                <c:pt idx="57" formatCode="_-* #,##0_-;\-* #,##0_-;_-* &quot;-&quot;??_-;_-@_-">
                  <c:v>90.486770129990049</c:v>
                </c:pt>
                <c:pt idx="58" formatCode="_-* #,##0_-;\-* #,##0_-;_-* &quot;-&quot;??_-;_-@_-">
                  <c:v>93.380447713359132</c:v>
                </c:pt>
                <c:pt idx="59" formatCode="_-* #,##0_-;\-* #,##0_-;_-* &quot;-&quot;??_-;_-@_-">
                  <c:v>100</c:v>
                </c:pt>
                <c:pt idx="60" formatCode="_-* #,##0_-;\-* #,##0_-;_-* &quot;-&quot;??_-;_-@_-">
                  <c:v>92.128892775855391</c:v>
                </c:pt>
                <c:pt idx="61" formatCode="_-* #,##0_-;\-* #,##0_-;_-* &quot;-&quot;??_-;_-@_-">
                  <c:v>88.075462678783865</c:v>
                </c:pt>
                <c:pt idx="62" formatCode="_-* #,##0_-;\-* #,##0_-;_-* &quot;-&quot;??_-;_-@_-">
                  <c:v>92.232102601430796</c:v>
                </c:pt>
                <c:pt idx="63" formatCode="_-* #,##0_-;\-* #,##0_-;_-* &quot;-&quot;??_-;_-@_-">
                  <c:v>95.647804618368085</c:v>
                </c:pt>
                <c:pt idx="64" formatCode="_-* #,##0_-;\-* #,##0_-;_-* &quot;-&quot;??_-;_-@_-">
                  <c:v>89.077141196473463</c:v>
                </c:pt>
                <c:pt idx="65" formatCode="_-* #,##0_-;\-* #,##0_-;_-* &quot;-&quot;??_-;_-@_-">
                  <c:v>88.941882004008889</c:v>
                </c:pt>
                <c:pt idx="66" formatCode="_-* #,##0_-;\-* #,##0_-;_-* &quot;-&quot;??_-;_-@_-">
                  <c:v>98.237284821093908</c:v>
                </c:pt>
                <c:pt idx="67" formatCode="_-* #,##0_-;\-* #,##0_-;_-* &quot;-&quot;??_-;_-@_-">
                  <c:v>94.433731143836454</c:v>
                </c:pt>
                <c:pt idx="68" formatCode="_-* #,##0_-;\-* #,##0_-;_-* &quot;-&quot;??_-;_-@_-">
                  <c:v>115.14685671760161</c:v>
                </c:pt>
                <c:pt idx="69" formatCode="_-* #,##0_-;\-* #,##0_-;_-* &quot;-&quot;??_-;_-@_-">
                  <c:v>109.07866218337671</c:v>
                </c:pt>
                <c:pt idx="70" formatCode="_-* #,##0_-;\-* #,##0_-;_-* &quot;-&quot;??_-;_-@_-">
                  <c:v>97.783704798170461</c:v>
                </c:pt>
                <c:pt idx="71" formatCode="_-* #,##0_-;\-* #,##0_-;_-* &quot;-&quot;??_-;_-@_-">
                  <c:v>91.766571967124946</c:v>
                </c:pt>
                <c:pt idx="72" formatCode="_-* #,##0_-;\-* #,##0_-;_-* &quot;-&quot;??_-;_-@_-">
                  <c:v>90.974029148627565</c:v>
                </c:pt>
                <c:pt idx="73" formatCode="_-* #,##0_-;\-* #,##0_-;_-* &quot;-&quot;??_-;_-@_-">
                  <c:v>82.352206245824078</c:v>
                </c:pt>
                <c:pt idx="74" formatCode="_-* #,##0_-;\-* #,##0_-;_-* &quot;-&quot;??_-;_-@_-">
                  <c:v>90.161930784231714</c:v>
                </c:pt>
                <c:pt idx="75" formatCode="_-* #,##0_-;\-* #,##0_-;_-* &quot;-&quot;??_-;_-@_-">
                  <c:v>85.215464091128823</c:v>
                </c:pt>
                <c:pt idx="76" formatCode="_-* #,##0_-;\-* #,##0_-;_-* &quot;-&quot;??_-;_-@_-">
                  <c:v>85.912402018566908</c:v>
                </c:pt>
                <c:pt idx="77" formatCode="_-* #,##0_-;\-* #,##0_-;_-* &quot;-&quot;??_-;_-@_-">
                  <c:v>86.716352238838397</c:v>
                </c:pt>
                <c:pt idx="78" formatCode="_-* #,##0_-;\-* #,##0_-;_-* &quot;-&quot;??_-;_-@_-">
                  <c:v>91.87141142152521</c:v>
                </c:pt>
                <c:pt idx="79" formatCode="_-* #,##0_-;\-* #,##0_-;_-* &quot;-&quot;??_-;_-@_-">
                  <c:v>83.573341445263466</c:v>
                </c:pt>
                <c:pt idx="80" formatCode="_-* #,##0_-;\-* #,##0_-;_-* &quot;-&quot;??_-;_-@_-">
                  <c:v>87.229685318673901</c:v>
                </c:pt>
                <c:pt idx="81" formatCode="_-* #,##0_-;\-* #,##0_-;_-* &quot;-&quot;??_-;_-@_-">
                  <c:v>90.316202312986505</c:v>
                </c:pt>
                <c:pt idx="82" formatCode="_-* #,##0_-;\-* #,##0_-;_-* &quot;-&quot;??_-;_-@_-">
                  <c:v>64.857929777408458</c:v>
                </c:pt>
                <c:pt idx="83" formatCode="_-* #,##0_-;\-* #,##0_-;_-* &quot;-&quot;??_-;_-@_-">
                  <c:v>81.412453623479678</c:v>
                </c:pt>
                <c:pt idx="84" formatCode="_-* #,##0_-;\-* #,##0_-;_-* &quot;-&quot;??_-;_-@_-">
                  <c:v>81.779895736347783</c:v>
                </c:pt>
                <c:pt idx="85" formatCode="_-* #,##0_-;\-* #,##0_-;_-* &quot;-&quot;??_-;_-@_-">
                  <c:v>79.953392615608578</c:v>
                </c:pt>
                <c:pt idx="86" formatCode="_-* #,##0_-;\-* #,##0_-;_-* &quot;-&quot;??_-;_-@_-">
                  <c:v>79.937096327359825</c:v>
                </c:pt>
                <c:pt idx="87" formatCode="_-* #,##0_-;\-* #,##0_-;_-* &quot;-&quot;??_-;_-@_-">
                  <c:v>93.473849704136541</c:v>
                </c:pt>
                <c:pt idx="88" formatCode="_-* #,##0_-;\-* #,##0_-;_-* &quot;-&quot;??_-;_-@_-">
                  <c:v>100.80464826371248</c:v>
                </c:pt>
                <c:pt idx="89" formatCode="_-* #,##0_-;\-* #,##0_-;_-* &quot;-&quot;??_-;_-@_-">
                  <c:v>112.20547023585182</c:v>
                </c:pt>
                <c:pt idx="90" formatCode="_-* #,##0_-;\-* #,##0_-;_-* &quot;-&quot;??_-;_-@_-">
                  <c:v>76.06928177116481</c:v>
                </c:pt>
                <c:pt idx="91" formatCode="_-* #,##0_-;\-* #,##0_-;_-* &quot;-&quot;??_-;_-@_-">
                  <c:v>89.273783074675009</c:v>
                </c:pt>
                <c:pt idx="92" formatCode="_-* #,##0_-;\-* #,##0_-;_-* &quot;-&quot;??_-;_-@_-">
                  <c:v>85.235019637027321</c:v>
                </c:pt>
                <c:pt idx="93" formatCode="_-* #,##0_-;\-* #,##0_-;_-* &quot;-&quot;??_-;_-@_-">
                  <c:v>87.019463200265079</c:v>
                </c:pt>
                <c:pt idx="94" formatCode="_-* #,##0_-;\-* #,##0_-;_-* &quot;-&quot;??_-;_-@_-">
                  <c:v>79.466138912048933</c:v>
                </c:pt>
                <c:pt idx="95" formatCode="_-* #,##0_-;\-* #,##0_-;_-* &quot;-&quot;??_-;_-@_-">
                  <c:v>92.947600632295959</c:v>
                </c:pt>
                <c:pt idx="96" formatCode="_-* #,##0_-;\-* #,##0_-;_-* &quot;-&quot;??_-;_-@_-">
                  <c:v>82.987056491626419</c:v>
                </c:pt>
              </c:numCache>
            </c:numRef>
          </c:val>
          <c:smooth val="0"/>
        </c:ser>
        <c:ser>
          <c:idx val="1"/>
          <c:order val="1"/>
          <c:tx>
            <c:strRef>
              <c:f>'Figure 6.4'!$B$17</c:f>
              <c:strCache>
                <c:ptCount val="1"/>
                <c:pt idx="0">
                  <c:v>Silver</c:v>
                </c:pt>
              </c:strCache>
            </c:strRef>
          </c:tx>
          <c:spPr>
            <a:ln w="19050">
              <a:solidFill>
                <a:srgbClr val="B4C98B"/>
              </a:solidFill>
              <a:prstDash val="sysDash"/>
            </a:ln>
          </c:spPr>
          <c:marker>
            <c:symbol val="none"/>
          </c:marker>
          <c:cat>
            <c:strRef>
              <c:f>'Figure 6.4'!$C$3:$CU$3</c:f>
              <c:strCache>
                <c:ptCount val="97"/>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pt idx="94">
                  <c:v>12</c:v>
                </c:pt>
                <c:pt idx="95">
                  <c:v>12</c:v>
                </c:pt>
                <c:pt idx="96">
                  <c:v>12</c:v>
                </c:pt>
              </c:strCache>
            </c:strRef>
          </c:cat>
          <c:val>
            <c:numRef>
              <c:f>'Figure 6.4'!$C$17:$CU$17</c:f>
              <c:numCache>
                <c:formatCode>General</c:formatCode>
                <c:ptCount val="97"/>
                <c:pt idx="4" formatCode="_-* #,##0_-;\-* #,##0_-;_-* &quot;-&quot;??_-;_-@_-">
                  <c:v>64.120157552914591</c:v>
                </c:pt>
                <c:pt idx="5" formatCode="_-* #,##0_-;\-* #,##0_-;_-* &quot;-&quot;??_-;_-@_-">
                  <c:v>57.312172303348575</c:v>
                </c:pt>
                <c:pt idx="6" formatCode="_-* #,##0_-;\-* #,##0_-;_-* &quot;-&quot;??_-;_-@_-">
                  <c:v>59.28026178618628</c:v>
                </c:pt>
                <c:pt idx="7" formatCode="_-* #,##0_-;\-* #,##0_-;_-* &quot;-&quot;??_-;_-@_-">
                  <c:v>56.486695575538583</c:v>
                </c:pt>
                <c:pt idx="8" formatCode="_-* #,##0_-;\-* #,##0_-;_-* &quot;-&quot;??_-;_-@_-">
                  <c:v>68.230618479493458</c:v>
                </c:pt>
                <c:pt idx="9" formatCode="_-* #,##0_-;\-* #,##0_-;_-* &quot;-&quot;??_-;_-@_-">
                  <c:v>55.079473134599453</c:v>
                </c:pt>
                <c:pt idx="10" formatCode="_-* #,##0_-;\-* #,##0_-;_-* &quot;-&quot;??_-;_-@_-">
                  <c:v>61.092332651060119</c:v>
                </c:pt>
                <c:pt idx="11" formatCode="_-* #,##0_-;\-* #,##0_-;_-* &quot;-&quot;??_-;_-@_-">
                  <c:v>53.953679797564099</c:v>
                </c:pt>
                <c:pt idx="12" formatCode="_-* #,##0_-;\-* #,##0_-;_-* &quot;-&quot;??_-;_-@_-">
                  <c:v>70.221669665624049</c:v>
                </c:pt>
                <c:pt idx="13" formatCode="_-* #,##0_-;\-* #,##0_-;_-* &quot;-&quot;??_-;_-@_-">
                  <c:v>56.381725968059868</c:v>
                </c:pt>
                <c:pt idx="14" formatCode="_-* #,##0_-;\-* #,##0_-;_-* &quot;-&quot;??_-;_-@_-">
                  <c:v>56.918219908490371</c:v>
                </c:pt>
                <c:pt idx="15" formatCode="_-* #,##0_-;\-* #,##0_-;_-* &quot;-&quot;??_-;_-@_-">
                  <c:v>50.188980215786515</c:v>
                </c:pt>
                <c:pt idx="16" formatCode="_-* #,##0_-;\-* #,##0_-;_-* &quot;-&quot;??_-;_-@_-">
                  <c:v>64.678604646929813</c:v>
                </c:pt>
                <c:pt idx="17" formatCode="_-* #,##0_-;\-* #,##0_-;_-* &quot;-&quot;??_-;_-@_-">
                  <c:v>53.304318177991597</c:v>
                </c:pt>
                <c:pt idx="18" formatCode="_-* #,##0_-;\-* #,##0_-;_-* &quot;-&quot;??_-;_-@_-">
                  <c:v>49.154409089989727</c:v>
                </c:pt>
                <c:pt idx="19" formatCode="_-* #,##0_-;\-* #,##0_-;_-* &quot;-&quot;??_-;_-@_-">
                  <c:v>49.163219889249014</c:v>
                </c:pt>
                <c:pt idx="20" formatCode="_-* #,##0_-;\-* #,##0_-;_-* &quot;-&quot;??_-;_-@_-">
                  <c:v>63.35070423395431</c:v>
                </c:pt>
                <c:pt idx="21" formatCode="_-* #,##0_-;\-* #,##0_-;_-* &quot;-&quot;??_-;_-@_-">
                  <c:v>48.841379128188841</c:v>
                </c:pt>
                <c:pt idx="22" formatCode="_-* #,##0_-;\-* #,##0_-;_-* &quot;-&quot;??_-;_-@_-">
                  <c:v>51.565884188793042</c:v>
                </c:pt>
                <c:pt idx="23" formatCode="_-* #,##0_-;\-* #,##0_-;_-* &quot;-&quot;??_-;_-@_-">
                  <c:v>53.84362414577361</c:v>
                </c:pt>
                <c:pt idx="24" formatCode="_-* #,##0_-;\-* #,##0_-;_-* &quot;-&quot;??_-;_-@_-">
                  <c:v>61.832351878646016</c:v>
                </c:pt>
                <c:pt idx="25" formatCode="_-* #,##0_-;\-* #,##0_-;_-* &quot;-&quot;??_-;_-@_-">
                  <c:v>44.014089683374046</c:v>
                </c:pt>
                <c:pt idx="26" formatCode="_-* #,##0_-;\-* #,##0_-;_-* &quot;-&quot;??_-;_-@_-">
                  <c:v>38.5815159114848</c:v>
                </c:pt>
                <c:pt idx="27" formatCode="_-* #,##0_-;\-* #,##0_-;_-* &quot;-&quot;??_-;_-@_-">
                  <c:v>37.604959360446657</c:v>
                </c:pt>
                <c:pt idx="28" formatCode="_-* #,##0_-;\-* #,##0_-;_-* &quot;-&quot;??_-;_-@_-">
                  <c:v>58.723790254020443</c:v>
                </c:pt>
                <c:pt idx="29" formatCode="_-* #,##0_-;\-* #,##0_-;_-* &quot;-&quot;??_-;_-@_-">
                  <c:v>58.933236292785857</c:v>
                </c:pt>
                <c:pt idx="30" formatCode="_-* #,##0_-;\-* #,##0_-;_-* &quot;-&quot;??_-;_-@_-">
                  <c:v>55.339467535291469</c:v>
                </c:pt>
                <c:pt idx="31" formatCode="_-* #,##0_-;\-* #,##0_-;_-* &quot;-&quot;??_-;_-@_-">
                  <c:v>52.044153888650648</c:v>
                </c:pt>
                <c:pt idx="32" formatCode="_-* #,##0_-;\-* #,##0_-;_-* &quot;-&quot;??_-;_-@_-">
                  <c:v>58.076551445873378</c:v>
                </c:pt>
                <c:pt idx="33" formatCode="_-* #,##0_-;\-* #,##0_-;_-* &quot;-&quot;??_-;_-@_-">
                  <c:v>57.062067799555237</c:v>
                </c:pt>
                <c:pt idx="34" formatCode="_-* #,##0_-;\-* #,##0_-;_-* &quot;-&quot;??_-;_-@_-">
                  <c:v>52.055142662982519</c:v>
                </c:pt>
                <c:pt idx="35" formatCode="_-* #,##0_-;\-* #,##0_-;_-* &quot;-&quot;??_-;_-@_-">
                  <c:v>54.583439861258896</c:v>
                </c:pt>
                <c:pt idx="36" formatCode="_-* #,##0_-;\-* #,##0_-;_-* &quot;-&quot;??_-;_-@_-">
                  <c:v>53.62521873951993</c:v>
                </c:pt>
                <c:pt idx="37" formatCode="_-* #,##0_-;\-* #,##0_-;_-* &quot;-&quot;??_-;_-@_-">
                  <c:v>82.855358462291065</c:v>
                </c:pt>
                <c:pt idx="38" formatCode="_-* #,##0_-;\-* #,##0_-;_-* &quot;-&quot;??_-;_-@_-">
                  <c:v>77.580746782994012</c:v>
                </c:pt>
                <c:pt idx="39" formatCode="_-* #,##0_-;\-* #,##0_-;_-* &quot;-&quot;??_-;_-@_-">
                  <c:v>78.679624216180898</c:v>
                </c:pt>
                <c:pt idx="40" formatCode="_-* #,##0_-;\-* #,##0_-;_-* &quot;-&quot;??_-;_-@_-">
                  <c:v>87.910194654950715</c:v>
                </c:pt>
                <c:pt idx="41" formatCode="_-* #,##0_-;\-* #,##0_-;_-* &quot;-&quot;??_-;_-@_-">
                  <c:v>79.778501649367769</c:v>
                </c:pt>
                <c:pt idx="42" formatCode="_-* #,##0_-;\-* #,##0_-;_-* &quot;-&quot;??_-;_-@_-">
                  <c:v>86.591541735126455</c:v>
                </c:pt>
                <c:pt idx="43" formatCode="_-* #,##0_-;\-* #,##0_-;_-* &quot;-&quot;??_-;_-@_-">
                  <c:v>96.041887660533661</c:v>
                </c:pt>
                <c:pt idx="44" formatCode="_-* #,##0_-;\-* #,##0_-;_-* &quot;-&quot;??_-;_-@_-">
                  <c:v>96.863847980557466</c:v>
                </c:pt>
                <c:pt idx="45" formatCode="_-* #,##0_-;\-* #,##0_-;_-* &quot;-&quot;??_-;_-@_-">
                  <c:v>97.575920557262549</c:v>
                </c:pt>
                <c:pt idx="46" formatCode="_-* #,##0_-;\-* #,##0_-;_-* &quot;-&quot;??_-;_-@_-">
                  <c:v>107.41087358428517</c:v>
                </c:pt>
                <c:pt idx="47" formatCode="_-* #,##0_-;\-* #,##0_-;_-* &quot;-&quot;??_-;_-@_-">
                  <c:v>113.35580049782621</c:v>
                </c:pt>
                <c:pt idx="48" formatCode="_-* #,##0_-;\-* #,##0_-;_-* &quot;-&quot;??_-;_-@_-">
                  <c:v>123.48964818667564</c:v>
                </c:pt>
                <c:pt idx="49" formatCode="_-* #,##0_-;\-* #,##0_-;_-* &quot;-&quot;??_-;_-@_-">
                  <c:v>108.23063614944257</c:v>
                </c:pt>
                <c:pt idx="50" formatCode="_-* #,##0_-;\-* #,##0_-;_-* &quot;-&quot;??_-;_-@_-">
                  <c:v>98.474802297609415</c:v>
                </c:pt>
                <c:pt idx="51" formatCode="_-* #,##0_-;\-* #,##0_-;_-* &quot;-&quot;??_-;_-@_-">
                  <c:v>113.97249051333067</c:v>
                </c:pt>
                <c:pt idx="52" formatCode="_-* #,##0_-;\-* #,##0_-;_-* &quot;-&quot;??_-;_-@_-">
                  <c:v>111.47166525088394</c:v>
                </c:pt>
                <c:pt idx="53" formatCode="_-* #,##0_-;\-* #,##0_-;_-* &quot;-&quot;??_-;_-@_-">
                  <c:v>109.10951832050543</c:v>
                </c:pt>
                <c:pt idx="54" formatCode="_-* #,##0_-;\-* #,##0_-;_-* &quot;-&quot;??_-;_-@_-">
                  <c:v>117.58120400391641</c:v>
                </c:pt>
                <c:pt idx="55" formatCode="_-* #,##0_-;\-* #,##0_-;_-* &quot;-&quot;??_-;_-@_-">
                  <c:v>124.66346906080588</c:v>
                </c:pt>
                <c:pt idx="56" formatCode="_-* #,##0_-;\-* #,##0_-;_-* &quot;-&quot;??_-;_-@_-">
                  <c:v>110.2106954843845</c:v>
                </c:pt>
                <c:pt idx="57" formatCode="_-* #,##0_-;\-* #,##0_-;_-* &quot;-&quot;??_-;_-@_-">
                  <c:v>102.67931746234765</c:v>
                </c:pt>
                <c:pt idx="58" formatCode="_-* #,##0_-;\-* #,##0_-;_-* &quot;-&quot;??_-;_-@_-">
                  <c:v>103.34814855273041</c:v>
                </c:pt>
                <c:pt idx="59" formatCode="_-* #,##0_-;\-* #,##0_-;_-* &quot;-&quot;??_-;_-@_-">
                  <c:v>100</c:v>
                </c:pt>
                <c:pt idx="60" formatCode="_-* #,##0_-;\-* #,##0_-;_-* &quot;-&quot;??_-;_-@_-">
                  <c:v>104.58851678488797</c:v>
                </c:pt>
                <c:pt idx="61" formatCode="_-* #,##0_-;\-* #,##0_-;_-* &quot;-&quot;??_-;_-@_-">
                  <c:v>102.63756979000799</c:v>
                </c:pt>
                <c:pt idx="62" formatCode="_-* #,##0_-;\-* #,##0_-;_-* &quot;-&quot;??_-;_-@_-">
                  <c:v>125.21356710385925</c:v>
                </c:pt>
                <c:pt idx="63" formatCode="_-* #,##0_-;\-* #,##0_-;_-* &quot;-&quot;??_-;_-@_-">
                  <c:v>119.32446316392407</c:v>
                </c:pt>
                <c:pt idx="64" formatCode="_-* #,##0_-;\-* #,##0_-;_-* &quot;-&quot;??_-;_-@_-">
                  <c:v>121.84506822016816</c:v>
                </c:pt>
                <c:pt idx="65" formatCode="_-* #,##0_-;\-* #,##0_-;_-* &quot;-&quot;??_-;_-@_-">
                  <c:v>122.02484456823753</c:v>
                </c:pt>
                <c:pt idx="66" formatCode="_-* #,##0_-;\-* #,##0_-;_-* &quot;-&quot;??_-;_-@_-">
                  <c:v>135.56784960580595</c:v>
                </c:pt>
                <c:pt idx="67" formatCode="_-* #,##0_-;\-* #,##0_-;_-* &quot;-&quot;??_-;_-@_-">
                  <c:v>126.56672477508556</c:v>
                </c:pt>
                <c:pt idx="68" formatCode="_-* #,##0_-;\-* #,##0_-;_-* &quot;-&quot;??_-;_-@_-">
                  <c:v>132.93362062297035</c:v>
                </c:pt>
                <c:pt idx="69" formatCode="_-* #,##0_-;\-* #,##0_-;_-* &quot;-&quot;??_-;_-@_-">
                  <c:v>136.05135567640821</c:v>
                </c:pt>
                <c:pt idx="70" formatCode="_-* #,##0_-;\-* #,##0_-;_-* &quot;-&quot;??_-;_-@_-">
                  <c:v>118.27459566425732</c:v>
                </c:pt>
                <c:pt idx="71" formatCode="_-* #,##0_-;\-* #,##0_-;_-* &quot;-&quot;??_-;_-@_-">
                  <c:v>100.24597294442006</c:v>
                </c:pt>
                <c:pt idx="72" formatCode="_-* #,##0_-;\-* #,##0_-;_-* &quot;-&quot;??_-;_-@_-">
                  <c:v>86.431325405367801</c:v>
                </c:pt>
                <c:pt idx="73" formatCode="_-* #,##0_-;\-* #,##0_-;_-* &quot;-&quot;??_-;_-@_-">
                  <c:v>74.788499225266136</c:v>
                </c:pt>
                <c:pt idx="74" formatCode="_-* #,##0_-;\-* #,##0_-;_-* &quot;-&quot;??_-;_-@_-">
                  <c:v>104.09534059287371</c:v>
                </c:pt>
                <c:pt idx="75" formatCode="_-* #,##0_-;\-* #,##0_-;_-* &quot;-&quot;??_-;_-@_-">
                  <c:v>102.54768161597327</c:v>
                </c:pt>
                <c:pt idx="76" formatCode="_-* #,##0_-;\-* #,##0_-;_-* &quot;-&quot;??_-;_-@_-">
                  <c:v>104.33225856746878</c:v>
                </c:pt>
                <c:pt idx="77" formatCode="_-* #,##0_-;\-* #,##0_-;_-* &quot;-&quot;??_-;_-@_-">
                  <c:v>101.89934393039302</c:v>
                </c:pt>
                <c:pt idx="78" formatCode="_-* #,##0_-;\-* #,##0_-;_-* &quot;-&quot;??_-;_-@_-">
                  <c:v>109.96466473901148</c:v>
                </c:pt>
                <c:pt idx="79" formatCode="_-* #,##0_-;\-* #,##0_-;_-* &quot;-&quot;??_-;_-@_-">
                  <c:v>94.184125471987926</c:v>
                </c:pt>
                <c:pt idx="80" formatCode="_-* #,##0_-;\-* #,##0_-;_-* &quot;-&quot;??_-;_-@_-">
                  <c:v>99.145337307340057</c:v>
                </c:pt>
                <c:pt idx="81" formatCode="_-* #,##0_-;\-* #,##0_-;_-* &quot;-&quot;??_-;_-@_-">
                  <c:v>120.03082157797664</c:v>
                </c:pt>
                <c:pt idx="82" formatCode="_-* #,##0_-;\-* #,##0_-;_-* &quot;-&quot;??_-;_-@_-">
                  <c:v>76.763841299162877</c:v>
                </c:pt>
                <c:pt idx="83" formatCode="_-* #,##0_-;\-* #,##0_-;_-* &quot;-&quot;??_-;_-@_-">
                  <c:v>94.232695854534782</c:v>
                </c:pt>
                <c:pt idx="84" formatCode="_-* #,##0_-;\-* #,##0_-;_-* &quot;-&quot;??_-;_-@_-">
                  <c:v>99.8623284594361</c:v>
                </c:pt>
                <c:pt idx="85" formatCode="_-* #,##0_-;\-* #,##0_-;_-* &quot;-&quot;??_-;_-@_-">
                  <c:v>99.111303974356815</c:v>
                </c:pt>
                <c:pt idx="86" formatCode="_-* #,##0_-;\-* #,##0_-;_-* &quot;-&quot;??_-;_-@_-">
                  <c:v>101.26287412109119</c:v>
                </c:pt>
                <c:pt idx="87" formatCode="_-* #,##0_-;\-* #,##0_-;_-* &quot;-&quot;??_-;_-@_-">
                  <c:v>97.311970197811064</c:v>
                </c:pt>
                <c:pt idx="88" formatCode="_-* #,##0_-;\-* #,##0_-;_-* &quot;-&quot;??_-;_-@_-">
                  <c:v>106.53236026242151</c:v>
                </c:pt>
                <c:pt idx="89" formatCode="_-* #,##0_-;\-* #,##0_-;_-* &quot;-&quot;??_-;_-@_-">
                  <c:v>107.89975712149445</c:v>
                </c:pt>
                <c:pt idx="90" formatCode="_-* #,##0_-;\-* #,##0_-;_-* &quot;-&quot;??_-;_-@_-">
                  <c:v>74.631037517501909</c:v>
                </c:pt>
                <c:pt idx="91" formatCode="_-* #,##0_-;\-* #,##0_-;_-* &quot;-&quot;??_-;_-@_-">
                  <c:v>104.69436945027199</c:v>
                </c:pt>
                <c:pt idx="92" formatCode="_-* #,##0_-;\-* #,##0_-;_-* &quot;-&quot;??_-;_-@_-">
                  <c:v>94.1570930871315</c:v>
                </c:pt>
                <c:pt idx="93" formatCode="_-* #,##0_-;\-* #,##0_-;_-* &quot;-&quot;??_-;_-@_-">
                  <c:v>105.63135146898232</c:v>
                </c:pt>
                <c:pt idx="94" formatCode="_-* #,##0_-;\-* #,##0_-;_-* &quot;-&quot;??_-;_-@_-">
                  <c:v>93.544321218399517</c:v>
                </c:pt>
                <c:pt idx="95" formatCode="_-* #,##0_-;\-* #,##0_-;_-* &quot;-&quot;??_-;_-@_-">
                  <c:v>115.94358037111196</c:v>
                </c:pt>
                <c:pt idx="96" formatCode="_-* #,##0_-;\-* #,##0_-;_-* &quot;-&quot;??_-;_-@_-">
                  <c:v>85.34480070041306</c:v>
                </c:pt>
              </c:numCache>
            </c:numRef>
          </c:val>
          <c:smooth val="0"/>
        </c:ser>
        <c:dLbls>
          <c:showLegendKey val="0"/>
          <c:showVal val="0"/>
          <c:showCatName val="0"/>
          <c:showSerName val="0"/>
          <c:showPercent val="0"/>
          <c:showBubbleSize val="0"/>
        </c:dLbls>
        <c:marker val="1"/>
        <c:smooth val="0"/>
        <c:axId val="84128128"/>
        <c:axId val="84129664"/>
      </c:lineChart>
      <c:catAx>
        <c:axId val="84128128"/>
        <c:scaling>
          <c:orientation val="minMax"/>
        </c:scaling>
        <c:delete val="0"/>
        <c:axPos val="b"/>
        <c:majorTickMark val="out"/>
        <c:minorTickMark val="none"/>
        <c:tickLblPos val="nextTo"/>
        <c:spPr>
          <a:ln>
            <a:solidFill>
              <a:schemeClr val="tx1"/>
            </a:solidFill>
          </a:ln>
        </c:spPr>
        <c:crossAx val="84129664"/>
        <c:crosses val="autoZero"/>
        <c:auto val="1"/>
        <c:lblAlgn val="ctr"/>
        <c:lblOffset val="100"/>
        <c:tickLblSkip val="8"/>
        <c:tickMarkSkip val="8"/>
        <c:noMultiLvlLbl val="0"/>
      </c:catAx>
      <c:valAx>
        <c:axId val="84129664"/>
        <c:scaling>
          <c:orientation val="minMax"/>
        </c:scaling>
        <c:delete val="0"/>
        <c:axPos val="l"/>
        <c:majorGridlines/>
        <c:title>
          <c:tx>
            <c:rich>
              <a:bodyPr rot="-5400000" vert="horz"/>
              <a:lstStyle/>
              <a:p>
                <a:pPr>
                  <a:defRPr b="1"/>
                </a:pPr>
                <a:r>
                  <a:rPr lang="en-US" b="1"/>
                  <a:t>Index, June 2003=100</a:t>
                </a:r>
              </a:p>
            </c:rich>
          </c:tx>
          <c:layout>
            <c:manualLayout>
              <c:xMode val="edge"/>
              <c:yMode val="edge"/>
              <c:x val="3.7266622257275142E-4"/>
              <c:y val="0.19348071723942095"/>
            </c:manualLayout>
          </c:layout>
          <c:overlay val="0"/>
        </c:title>
        <c:numFmt formatCode="General" sourceLinked="1"/>
        <c:majorTickMark val="out"/>
        <c:minorTickMark val="none"/>
        <c:tickLblPos val="nextTo"/>
        <c:spPr>
          <a:ln>
            <a:solidFill>
              <a:schemeClr val="tx1"/>
            </a:solidFill>
          </a:ln>
        </c:spPr>
        <c:crossAx val="84128128"/>
        <c:crosses val="autoZero"/>
        <c:crossBetween val="between"/>
      </c:valAx>
      <c:spPr>
        <a:ln>
          <a:solidFill>
            <a:schemeClr val="tx1"/>
          </a:solidFill>
        </a:ln>
      </c:spPr>
    </c:plotArea>
    <c:legend>
      <c:legendPos val="r"/>
      <c:layout>
        <c:manualLayout>
          <c:xMode val="edge"/>
          <c:yMode val="edge"/>
          <c:x val="5.5551181102362398E-3"/>
          <c:y val="7.1485855934674098E-4"/>
          <c:w val="0.98888932633420823"/>
          <c:h val="5.8755468066491685E-2"/>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398959268691209"/>
          <c:y val="0.11330537101344676"/>
          <c:w val="0.80122480600184387"/>
          <c:h val="0.73463818741564457"/>
        </c:manualLayout>
      </c:layout>
      <c:lineChart>
        <c:grouping val="standard"/>
        <c:varyColors val="0"/>
        <c:ser>
          <c:idx val="0"/>
          <c:order val="0"/>
          <c:tx>
            <c:strRef>
              <c:f>'Figure 6.4'!$B$18</c:f>
              <c:strCache>
                <c:ptCount val="1"/>
                <c:pt idx="0">
                  <c:v>Gold</c:v>
                </c:pt>
              </c:strCache>
            </c:strRef>
          </c:tx>
          <c:spPr>
            <a:ln w="19050">
              <a:solidFill>
                <a:srgbClr val="344893"/>
              </a:solidFill>
            </a:ln>
          </c:spPr>
          <c:marker>
            <c:symbol val="none"/>
          </c:marker>
          <c:cat>
            <c:strRef>
              <c:f>'Figure 6.4'!$C$3:$CU$3</c:f>
              <c:strCache>
                <c:ptCount val="97"/>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pt idx="94">
                  <c:v>12</c:v>
                </c:pt>
                <c:pt idx="95">
                  <c:v>12</c:v>
                </c:pt>
                <c:pt idx="96">
                  <c:v>12</c:v>
                </c:pt>
              </c:strCache>
            </c:strRef>
          </c:cat>
          <c:val>
            <c:numRef>
              <c:f>'Figure 6.4'!$C$18:$CU$18</c:f>
              <c:numCache>
                <c:formatCode>_-* #,##0_-;\-* #,##0_-;_-* "-"??_-;_-@_-</c:formatCode>
                <c:ptCount val="97"/>
                <c:pt idx="0">
                  <c:v>55.926779436407585</c:v>
                </c:pt>
                <c:pt idx="1">
                  <c:v>64.226362941006684</c:v>
                </c:pt>
                <c:pt idx="2">
                  <c:v>63.267517260390264</c:v>
                </c:pt>
                <c:pt idx="3">
                  <c:v>67.866173739947214</c:v>
                </c:pt>
                <c:pt idx="4">
                  <c:v>70.344776242957096</c:v>
                </c:pt>
                <c:pt idx="5">
                  <c:v>75.606204241127102</c:v>
                </c:pt>
                <c:pt idx="6">
                  <c:v>77.563281614736553</c:v>
                </c:pt>
                <c:pt idx="7">
                  <c:v>80.655762655478185</c:v>
                </c:pt>
                <c:pt idx="8">
                  <c:v>80.38685126063109</c:v>
                </c:pt>
                <c:pt idx="9">
                  <c:v>92.91431947310403</c:v>
                </c:pt>
                <c:pt idx="10">
                  <c:v>76.18884559662915</c:v>
                </c:pt>
                <c:pt idx="11">
                  <c:v>78.853513054659501</c:v>
                </c:pt>
                <c:pt idx="12">
                  <c:v>82.679388808620502</c:v>
                </c:pt>
                <c:pt idx="13">
                  <c:v>83.173751170864676</c:v>
                </c:pt>
                <c:pt idx="14">
                  <c:v>81.112097143703565</c:v>
                </c:pt>
                <c:pt idx="15">
                  <c:v>80.984432138069096</c:v>
                </c:pt>
                <c:pt idx="16">
                  <c:v>83.875908701854314</c:v>
                </c:pt>
                <c:pt idx="17">
                  <c:v>85.054772796436538</c:v>
                </c:pt>
                <c:pt idx="18">
                  <c:v>73.147160831863445</c:v>
                </c:pt>
                <c:pt idx="19">
                  <c:v>76.411221331342617</c:v>
                </c:pt>
                <c:pt idx="20">
                  <c:v>78.025319469181738</c:v>
                </c:pt>
                <c:pt idx="21">
                  <c:v>81.136340864087401</c:v>
                </c:pt>
                <c:pt idx="22">
                  <c:v>79.615508260300714</c:v>
                </c:pt>
                <c:pt idx="23">
                  <c:v>82.584333655653978</c:v>
                </c:pt>
                <c:pt idx="24">
                  <c:v>79.700162789723109</c:v>
                </c:pt>
                <c:pt idx="25">
                  <c:v>79.865458957162048</c:v>
                </c:pt>
                <c:pt idx="26">
                  <c:v>75.622716758909078</c:v>
                </c:pt>
                <c:pt idx="27">
                  <c:v>79.467151473529597</c:v>
                </c:pt>
                <c:pt idx="28">
                  <c:v>81.996566957617219</c:v>
                </c:pt>
                <c:pt idx="29">
                  <c:v>83.975093953566954</c:v>
                </c:pt>
                <c:pt idx="30">
                  <c:v>90.160203257248213</c:v>
                </c:pt>
                <c:pt idx="31">
                  <c:v>94.806797403165589</c:v>
                </c:pt>
                <c:pt idx="32">
                  <c:v>92.458846316225191</c:v>
                </c:pt>
                <c:pt idx="33">
                  <c:v>98.411331916400272</c:v>
                </c:pt>
                <c:pt idx="34">
                  <c:v>97.023570795422856</c:v>
                </c:pt>
                <c:pt idx="35">
                  <c:v>104.24345562833236</c:v>
                </c:pt>
                <c:pt idx="36">
                  <c:v>103.5709123042348</c:v>
                </c:pt>
                <c:pt idx="37">
                  <c:v>108.01189992137033</c:v>
                </c:pt>
                <c:pt idx="38">
                  <c:v>104.14283781227989</c:v>
                </c:pt>
                <c:pt idx="39">
                  <c:v>100.28086722262476</c:v>
                </c:pt>
                <c:pt idx="40">
                  <c:v>97.326578525370536</c:v>
                </c:pt>
                <c:pt idx="41">
                  <c:v>105.17521011568394</c:v>
                </c:pt>
                <c:pt idx="42">
                  <c:v>96.854008172146663</c:v>
                </c:pt>
                <c:pt idx="43">
                  <c:v>96.855444403460055</c:v>
                </c:pt>
                <c:pt idx="44">
                  <c:v>99.379241676602902</c:v>
                </c:pt>
                <c:pt idx="45">
                  <c:v>100.04574889058298</c:v>
                </c:pt>
                <c:pt idx="46">
                  <c:v>92.602817402611265</c:v>
                </c:pt>
                <c:pt idx="47">
                  <c:v>101.67826501432005</c:v>
                </c:pt>
                <c:pt idx="48">
                  <c:v>99.058407430012068</c:v>
                </c:pt>
                <c:pt idx="49">
                  <c:v>101.7612721219144</c:v>
                </c:pt>
                <c:pt idx="50">
                  <c:v>97.778238844623658</c:v>
                </c:pt>
                <c:pt idx="51">
                  <c:v>100.25679408441871</c:v>
                </c:pt>
                <c:pt idx="52">
                  <c:v>93.438760525558692</c:v>
                </c:pt>
                <c:pt idx="53">
                  <c:v>88.91827183499953</c:v>
                </c:pt>
                <c:pt idx="54">
                  <c:v>85.829645869986535</c:v>
                </c:pt>
                <c:pt idx="55">
                  <c:v>91.155240473009826</c:v>
                </c:pt>
                <c:pt idx="56">
                  <c:v>90.346881819178762</c:v>
                </c:pt>
                <c:pt idx="57">
                  <c:v>94.219830376993897</c:v>
                </c:pt>
                <c:pt idx="58">
                  <c:v>90.170813713168641</c:v>
                </c:pt>
                <c:pt idx="59">
                  <c:v>99.999999999999986</c:v>
                </c:pt>
                <c:pt idx="60">
                  <c:v>95.332506277777256</c:v>
                </c:pt>
                <c:pt idx="61">
                  <c:v>96.68174190284158</c:v>
                </c:pt>
                <c:pt idx="62">
                  <c:v>84.912638727993269</c:v>
                </c:pt>
                <c:pt idx="63">
                  <c:v>85.331560714689772</c:v>
                </c:pt>
                <c:pt idx="64">
                  <c:v>89.526230519257268</c:v>
                </c:pt>
                <c:pt idx="65">
                  <c:v>90.721153241782275</c:v>
                </c:pt>
                <c:pt idx="66">
                  <c:v>91.305836150863811</c:v>
                </c:pt>
                <c:pt idx="67">
                  <c:v>88.639258063791686</c:v>
                </c:pt>
                <c:pt idx="68">
                  <c:v>86.633357789240208</c:v>
                </c:pt>
                <c:pt idx="69">
                  <c:v>89.466330234427403</c:v>
                </c:pt>
                <c:pt idx="70">
                  <c:v>80.920100791033022</c:v>
                </c:pt>
                <c:pt idx="71">
                  <c:v>81.703831778766528</c:v>
                </c:pt>
                <c:pt idx="72">
                  <c:v>83.874563601624729</c:v>
                </c:pt>
                <c:pt idx="73">
                  <c:v>88.666842668721884</c:v>
                </c:pt>
                <c:pt idx="74">
                  <c:v>83.212576407913303</c:v>
                </c:pt>
                <c:pt idx="75">
                  <c:v>84.74543668499679</c:v>
                </c:pt>
                <c:pt idx="76">
                  <c:v>82.860609272512406</c:v>
                </c:pt>
                <c:pt idx="77">
                  <c:v>85.179310143648976</c:v>
                </c:pt>
                <c:pt idx="78">
                  <c:v>70.358501093713997</c:v>
                </c:pt>
                <c:pt idx="79">
                  <c:v>73.619984770768951</c:v>
                </c:pt>
                <c:pt idx="80">
                  <c:v>74.858459779108742</c:v>
                </c:pt>
                <c:pt idx="81">
                  <c:v>73.480245520902358</c:v>
                </c:pt>
                <c:pt idx="82">
                  <c:v>72.6071709089791</c:v>
                </c:pt>
                <c:pt idx="83">
                  <c:v>74.958503450650113</c:v>
                </c:pt>
                <c:pt idx="84">
                  <c:v>73.538709584329027</c:v>
                </c:pt>
                <c:pt idx="85">
                  <c:v>82.498496275743292</c:v>
                </c:pt>
                <c:pt idx="86">
                  <c:v>80.66967531781458</c:v>
                </c:pt>
                <c:pt idx="87">
                  <c:v>88.88666087597808</c:v>
                </c:pt>
                <c:pt idx="88">
                  <c:v>91.699613665504771</c:v>
                </c:pt>
                <c:pt idx="89">
                  <c:v>93.105246048716751</c:v>
                </c:pt>
                <c:pt idx="90">
                  <c:v>86.07084486808489</c:v>
                </c:pt>
                <c:pt idx="91">
                  <c:v>89.639092467075542</c:v>
                </c:pt>
                <c:pt idx="92">
                  <c:v>88.037223557240111</c:v>
                </c:pt>
                <c:pt idx="93">
                  <c:v>87.331117171748517</c:v>
                </c:pt>
                <c:pt idx="94">
                  <c:v>83.128167756550795</c:v>
                </c:pt>
                <c:pt idx="95">
                  <c:v>84.9607880337458</c:v>
                </c:pt>
                <c:pt idx="96">
                  <c:v>82.925064276091732</c:v>
                </c:pt>
              </c:numCache>
            </c:numRef>
          </c:val>
          <c:smooth val="0"/>
        </c:ser>
        <c:ser>
          <c:idx val="1"/>
          <c:order val="1"/>
          <c:tx>
            <c:strRef>
              <c:f>'Figure 6.4'!$B$19</c:f>
              <c:strCache>
                <c:ptCount val="1"/>
                <c:pt idx="0">
                  <c:v>Zinc</c:v>
                </c:pt>
              </c:strCache>
            </c:strRef>
          </c:tx>
          <c:spPr>
            <a:ln w="19050">
              <a:solidFill>
                <a:srgbClr val="B4C98B"/>
              </a:solidFill>
              <a:prstDash val="sysDash"/>
            </a:ln>
          </c:spPr>
          <c:marker>
            <c:symbol val="none"/>
          </c:marker>
          <c:cat>
            <c:strRef>
              <c:f>'Figure 6.4'!$C$3:$CU$3</c:f>
              <c:strCache>
                <c:ptCount val="97"/>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pt idx="94">
                  <c:v>12</c:v>
                </c:pt>
                <c:pt idx="95">
                  <c:v>12</c:v>
                </c:pt>
                <c:pt idx="96">
                  <c:v>12</c:v>
                </c:pt>
              </c:strCache>
            </c:strRef>
          </c:cat>
          <c:val>
            <c:numRef>
              <c:f>'Figure 6.4'!$C$19:$CU$19</c:f>
              <c:numCache>
                <c:formatCode>General</c:formatCode>
                <c:ptCount val="97"/>
                <c:pt idx="4" formatCode="_-* #,##0_-;\-* #,##0_-;_-* &quot;-&quot;??_-;_-@_-">
                  <c:v>57.045494042177012</c:v>
                </c:pt>
                <c:pt idx="5" formatCode="_-* #,##0_-;\-* #,##0_-;_-* &quot;-&quot;??_-;_-@_-">
                  <c:v>50.619457436385673</c:v>
                </c:pt>
                <c:pt idx="6" formatCode="_-* #,##0_-;\-* #,##0_-;_-* &quot;-&quot;??_-;_-@_-">
                  <c:v>54.865618412204284</c:v>
                </c:pt>
                <c:pt idx="7" formatCode="_-* #,##0_-;\-* #,##0_-;_-* &quot;-&quot;??_-;_-@_-">
                  <c:v>55.297412609780864</c:v>
                </c:pt>
                <c:pt idx="8" formatCode="_-* #,##0_-;\-* #,##0_-;_-* &quot;-&quot;??_-;_-@_-">
                  <c:v>62.786966585314865</c:v>
                </c:pt>
                <c:pt idx="9" formatCode="_-* #,##0_-;\-* #,##0_-;_-* &quot;-&quot;??_-;_-@_-">
                  <c:v>62.360612631944818</c:v>
                </c:pt>
                <c:pt idx="10" formatCode="_-* #,##0_-;\-* #,##0_-;_-* &quot;-&quot;??_-;_-@_-">
                  <c:v>59.161900156407022</c:v>
                </c:pt>
                <c:pt idx="11" formatCode="_-* #,##0_-;\-* #,##0_-;_-* &quot;-&quot;??_-;_-@_-">
                  <c:v>61.562256794638351</c:v>
                </c:pt>
                <c:pt idx="12" formatCode="_-* #,##0_-;\-* #,##0_-;_-* &quot;-&quot;??_-;_-@_-">
                  <c:v>69.437916990940494</c:v>
                </c:pt>
                <c:pt idx="13" formatCode="_-* #,##0_-;\-* #,##0_-;_-* &quot;-&quot;??_-;_-@_-">
                  <c:v>64.804088242775947</c:v>
                </c:pt>
                <c:pt idx="14" formatCode="_-* #,##0_-;\-* #,##0_-;_-* &quot;-&quot;??_-;_-@_-">
                  <c:v>64.149433937553042</c:v>
                </c:pt>
                <c:pt idx="15" formatCode="_-* #,##0_-;\-* #,##0_-;_-* &quot;-&quot;??_-;_-@_-">
                  <c:v>72.858087703788783</c:v>
                </c:pt>
                <c:pt idx="16" formatCode="_-* #,##0_-;\-* #,##0_-;_-* &quot;-&quot;??_-;_-@_-">
                  <c:v>67.268394951654869</c:v>
                </c:pt>
                <c:pt idx="17" formatCode="_-* #,##0_-;\-* #,##0_-;_-* &quot;-&quot;??_-;_-@_-">
                  <c:v>64.036535017794137</c:v>
                </c:pt>
                <c:pt idx="18" formatCode="_-* #,##0_-;\-* #,##0_-;_-* &quot;-&quot;??_-;_-@_-">
                  <c:v>58.099005140527048</c:v>
                </c:pt>
                <c:pt idx="19" formatCode="_-* #,##0_-;\-* #,##0_-;_-* &quot;-&quot;??_-;_-@_-">
                  <c:v>61.602570011661264</c:v>
                </c:pt>
                <c:pt idx="20" formatCode="_-* #,##0_-;\-* #,##0_-;_-* &quot;-&quot;??_-;_-@_-">
                  <c:v>72.046572016492007</c:v>
                </c:pt>
                <c:pt idx="21" formatCode="_-* #,##0_-;\-* #,##0_-;_-* &quot;-&quot;??_-;_-@_-">
                  <c:v>65.534242559332668</c:v>
                </c:pt>
                <c:pt idx="22" formatCode="_-* #,##0_-;\-* #,##0_-;_-* &quot;-&quot;??_-;_-@_-">
                  <c:v>58.437742953498514</c:v>
                </c:pt>
                <c:pt idx="23" formatCode="_-* #,##0_-;\-* #,##0_-;_-* &quot;-&quot;??_-;_-@_-">
                  <c:v>62.028631300042072</c:v>
                </c:pt>
                <c:pt idx="24" formatCode="_-* #,##0_-;\-* #,##0_-;_-* &quot;-&quot;??_-;_-@_-">
                  <c:v>65.914086958273828</c:v>
                </c:pt>
                <c:pt idx="25" formatCode="_-* #,##0_-;\-* #,##0_-;_-* &quot;-&quot;??_-;_-@_-">
                  <c:v>57.754937147548993</c:v>
                </c:pt>
                <c:pt idx="26" formatCode="_-* #,##0_-;\-* #,##0_-;_-* &quot;-&quot;??_-;_-@_-">
                  <c:v>55.568422404739067</c:v>
                </c:pt>
                <c:pt idx="27" formatCode="_-* #,##0_-;\-* #,##0_-;_-* &quot;-&quot;??_-;_-@_-">
                  <c:v>51.285131762210959</c:v>
                </c:pt>
                <c:pt idx="28" formatCode="_-* #,##0_-;\-* #,##0_-;_-* &quot;-&quot;??_-;_-@_-">
                  <c:v>66.36158104578621</c:v>
                </c:pt>
                <c:pt idx="29" formatCode="_-* #,##0_-;\-* #,##0_-;_-* &quot;-&quot;??_-;_-@_-">
                  <c:v>64.463205815016593</c:v>
                </c:pt>
                <c:pt idx="30" formatCode="_-* #,##0_-;\-* #,##0_-;_-* &quot;-&quot;??_-;_-@_-">
                  <c:v>65.515148057757273</c:v>
                </c:pt>
                <c:pt idx="31" formatCode="_-* #,##0_-;\-* #,##0_-;_-* &quot;-&quot;??_-;_-@_-">
                  <c:v>65.442182293516296</c:v>
                </c:pt>
                <c:pt idx="32" formatCode="_-* #,##0_-;\-* #,##0_-;_-* &quot;-&quot;??_-;_-@_-">
                  <c:v>72.561241534249618</c:v>
                </c:pt>
                <c:pt idx="33" formatCode="_-* #,##0_-;\-* #,##0_-;_-* &quot;-&quot;??_-;_-@_-">
                  <c:v>67.484400099737812</c:v>
                </c:pt>
                <c:pt idx="34" formatCode="_-* #,##0_-;\-* #,##0_-;_-* &quot;-&quot;??_-;_-@_-">
                  <c:v>60.730682221735293</c:v>
                </c:pt>
                <c:pt idx="35" formatCode="_-* #,##0_-;\-* #,##0_-;_-* &quot;-&quot;??_-;_-@_-">
                  <c:v>66.215193393125659</c:v>
                </c:pt>
                <c:pt idx="36" formatCode="_-* #,##0_-;\-* #,##0_-;_-* &quot;-&quot;??_-;_-@_-">
                  <c:v>64.304060034102264</c:v>
                </c:pt>
                <c:pt idx="37" formatCode="_-* #,##0_-;\-* #,##0_-;_-* &quot;-&quot;??_-;_-@_-">
                  <c:v>69.560375376850246</c:v>
                </c:pt>
                <c:pt idx="38" formatCode="_-* #,##0_-;\-* #,##0_-;_-* &quot;-&quot;??_-;_-@_-">
                  <c:v>62.581949974939619</c:v>
                </c:pt>
                <c:pt idx="39" formatCode="_-* #,##0_-;\-* #,##0_-;_-* &quot;-&quot;??_-;_-@_-">
                  <c:v>64.861671464659821</c:v>
                </c:pt>
                <c:pt idx="40" formatCode="_-* #,##0_-;\-* #,##0_-;_-* &quot;-&quot;??_-;_-@_-">
                  <c:v>73.201508156588375</c:v>
                </c:pt>
                <c:pt idx="41" formatCode="_-* #,##0_-;\-* #,##0_-;_-* &quot;-&quot;??_-;_-@_-">
                  <c:v>67.819696202659173</c:v>
                </c:pt>
                <c:pt idx="42" formatCode="_-* #,##0_-;\-* #,##0_-;_-* &quot;-&quot;??_-;_-@_-">
                  <c:v>71.025410473981282</c:v>
                </c:pt>
                <c:pt idx="43" formatCode="_-* #,##0_-;\-* #,##0_-;_-* &quot;-&quot;??_-;_-@_-">
                  <c:v>75.558947312746056</c:v>
                </c:pt>
                <c:pt idx="44" formatCode="_-* #,##0_-;\-* #,##0_-;_-* &quot;-&quot;??_-;_-@_-">
                  <c:v>71.780999947108739</c:v>
                </c:pt>
                <c:pt idx="45" formatCode="_-* #,##0_-;\-* #,##0_-;_-* &quot;-&quot;??_-;_-@_-">
                  <c:v>74.551494681909446</c:v>
                </c:pt>
                <c:pt idx="46" formatCode="_-* #,##0_-;\-* #,##0_-;_-* &quot;-&quot;??_-;_-@_-">
                  <c:v>79.806871330668628</c:v>
                </c:pt>
                <c:pt idx="47" formatCode="_-* #,##0_-;\-* #,##0_-;_-* &quot;-&quot;??_-;_-@_-">
                  <c:v>92.382650658244373</c:v>
                </c:pt>
                <c:pt idx="48" formatCode="_-* #,##0_-;\-* #,##0_-;_-* &quot;-&quot;??_-;_-@_-">
                  <c:v>93.937401930782983</c:v>
                </c:pt>
                <c:pt idx="49" formatCode="_-* #,##0_-;\-* #,##0_-;_-* &quot;-&quot;??_-;_-@_-">
                  <c:v>91.311980374822753</c:v>
                </c:pt>
                <c:pt idx="50" formatCode="_-* #,##0_-;\-* #,##0_-;_-* &quot;-&quot;??_-;_-@_-">
                  <c:v>89.864270944310562</c:v>
                </c:pt>
                <c:pt idx="51" formatCode="_-* #,##0_-;\-* #,##0_-;_-* &quot;-&quot;??_-;_-@_-">
                  <c:v>98.414071846484376</c:v>
                </c:pt>
                <c:pt idx="52" formatCode="_-* #,##0_-;\-* #,##0_-;_-* &quot;-&quot;??_-;_-@_-">
                  <c:v>94.22119529217386</c:v>
                </c:pt>
                <c:pt idx="53" formatCode="_-* #,##0_-;\-* #,##0_-;_-* &quot;-&quot;??_-;_-@_-">
                  <c:v>99.685893396399877</c:v>
                </c:pt>
                <c:pt idx="54" formatCode="_-* #,##0_-;\-* #,##0_-;_-* &quot;-&quot;??_-;_-@_-">
                  <c:v>93.332426625965581</c:v>
                </c:pt>
                <c:pt idx="55" formatCode="_-* #,##0_-;\-* #,##0_-;_-* &quot;-&quot;??_-;_-@_-">
                  <c:v>88.018365861460168</c:v>
                </c:pt>
                <c:pt idx="56" formatCode="_-* #,##0_-;\-* #,##0_-;_-* &quot;-&quot;??_-;_-@_-">
                  <c:v>93.365168836467774</c:v>
                </c:pt>
                <c:pt idx="57" formatCode="_-* #,##0_-;\-* #,##0_-;_-* &quot;-&quot;??_-;_-@_-">
                  <c:v>95.116877098334953</c:v>
                </c:pt>
                <c:pt idx="58" formatCode="_-* #,##0_-;\-* #,##0_-;_-* &quot;-&quot;??_-;_-@_-">
                  <c:v>96.505650549943198</c:v>
                </c:pt>
                <c:pt idx="59" formatCode="_-* #,##0_-;\-* #,##0_-;_-* &quot;-&quot;??_-;_-@_-">
                  <c:v>100</c:v>
                </c:pt>
                <c:pt idx="60" formatCode="_-* #,##0_-;\-* #,##0_-;_-* &quot;-&quot;??_-;_-@_-">
                  <c:v>94.442639425147533</c:v>
                </c:pt>
                <c:pt idx="61" formatCode="_-* #,##0_-;\-* #,##0_-;_-* &quot;-&quot;??_-;_-@_-">
                  <c:v>81.625575192486423</c:v>
                </c:pt>
                <c:pt idx="62" formatCode="_-* #,##0_-;\-* #,##0_-;_-* &quot;-&quot;??_-;_-@_-">
                  <c:v>80.932699645628546</c:v>
                </c:pt>
                <c:pt idx="63" formatCode="_-* #,##0_-;\-* #,##0_-;_-* &quot;-&quot;??_-;_-@_-">
                  <c:v>84.146977264312781</c:v>
                </c:pt>
                <c:pt idx="64" formatCode="_-* #,##0_-;\-* #,##0_-;_-* &quot;-&quot;??_-;_-@_-">
                  <c:v>84.946139063723905</c:v>
                </c:pt>
                <c:pt idx="65" formatCode="_-* #,##0_-;\-* #,##0_-;_-* &quot;-&quot;??_-;_-@_-">
                  <c:v>86.169690283874985</c:v>
                </c:pt>
                <c:pt idx="66" formatCode="_-* #,##0_-;\-* #,##0_-;_-* &quot;-&quot;??_-;_-@_-">
                  <c:v>82.019992897458962</c:v>
                </c:pt>
                <c:pt idx="67" formatCode="_-* #,##0_-;\-* #,##0_-;_-* &quot;-&quot;??_-;_-@_-">
                  <c:v>87.409864472434847</c:v>
                </c:pt>
                <c:pt idx="68" formatCode="_-* #,##0_-;\-* #,##0_-;_-* &quot;-&quot;??_-;_-@_-">
                  <c:v>89.711893733896503</c:v>
                </c:pt>
                <c:pt idx="69" formatCode="_-* #,##0_-;\-* #,##0_-;_-* &quot;-&quot;??_-;_-@_-">
                  <c:v>85.087434295198733</c:v>
                </c:pt>
                <c:pt idx="70" formatCode="_-* #,##0_-;\-* #,##0_-;_-* &quot;-&quot;??_-;_-@_-">
                  <c:v>87.124251651592658</c:v>
                </c:pt>
                <c:pt idx="71" formatCode="_-* #,##0_-;\-* #,##0_-;_-* &quot;-&quot;??_-;_-@_-">
                  <c:v>85.625917726380919</c:v>
                </c:pt>
                <c:pt idx="72" formatCode="_-* #,##0_-;\-* #,##0_-;_-* &quot;-&quot;??_-;_-@_-">
                  <c:v>81.563364992532257</c:v>
                </c:pt>
                <c:pt idx="73" formatCode="_-* #,##0_-;\-* #,##0_-;_-* &quot;-&quot;??_-;_-@_-">
                  <c:v>88.751287650393806</c:v>
                </c:pt>
                <c:pt idx="74" formatCode="_-* #,##0_-;\-* #,##0_-;_-* &quot;-&quot;??_-;_-@_-">
                  <c:v>81.562105676743712</c:v>
                </c:pt>
                <c:pt idx="75" formatCode="_-* #,##0_-;\-* #,##0_-;_-* &quot;-&quot;??_-;_-@_-">
                  <c:v>94.555725982958947</c:v>
                </c:pt>
                <c:pt idx="76" formatCode="_-* #,##0_-;\-* #,##0_-;_-* &quot;-&quot;??_-;_-@_-">
                  <c:v>98.627597653642823</c:v>
                </c:pt>
                <c:pt idx="77" formatCode="_-* #,##0_-;\-* #,##0_-;_-* &quot;-&quot;??_-;_-@_-">
                  <c:v>106.61191161618069</c:v>
                </c:pt>
                <c:pt idx="78" formatCode="_-* #,##0_-;\-* #,##0_-;_-* &quot;-&quot;??_-;_-@_-">
                  <c:v>91.940882679622518</c:v>
                </c:pt>
                <c:pt idx="79" formatCode="_-* #,##0_-;\-* #,##0_-;_-* &quot;-&quot;??_-;_-@_-">
                  <c:v>98.590573769459596</c:v>
                </c:pt>
                <c:pt idx="80" formatCode="_-* #,##0_-;\-* #,##0_-;_-* &quot;-&quot;??_-;_-@_-">
                  <c:v>93.225384783939191</c:v>
                </c:pt>
                <c:pt idx="81" formatCode="_-* #,##0_-;\-* #,##0_-;_-* &quot;-&quot;??_-;_-@_-">
                  <c:v>98.948219453406594</c:v>
                </c:pt>
                <c:pt idx="82" formatCode="_-* #,##0_-;\-* #,##0_-;_-* &quot;-&quot;??_-;_-@_-">
                  <c:v>73.203933107963408</c:v>
                </c:pt>
                <c:pt idx="83" formatCode="_-* #,##0_-;\-* #,##0_-;_-* &quot;-&quot;??_-;_-@_-">
                  <c:v>89.944867154777498</c:v>
                </c:pt>
                <c:pt idx="84" formatCode="_-* #,##0_-;\-* #,##0_-;_-* &quot;-&quot;??_-;_-@_-">
                  <c:v>92.868494689465336</c:v>
                </c:pt>
                <c:pt idx="85" formatCode="_-* #,##0_-;\-* #,##0_-;_-* &quot;-&quot;??_-;_-@_-">
                  <c:v>68.731407083903193</c:v>
                </c:pt>
                <c:pt idx="86" formatCode="_-* #,##0_-;\-* #,##0_-;_-* &quot;-&quot;??_-;_-@_-">
                  <c:v>84.609649885024481</c:v>
                </c:pt>
                <c:pt idx="87" formatCode="_-* #,##0_-;\-* #,##0_-;_-* &quot;-&quot;??_-;_-@_-">
                  <c:v>96.941192276311256</c:v>
                </c:pt>
                <c:pt idx="88" formatCode="_-* #,##0_-;\-* #,##0_-;_-* &quot;-&quot;??_-;_-@_-">
                  <c:v>92.623393612757624</c:v>
                </c:pt>
                <c:pt idx="89" formatCode="_-* #,##0_-;\-* #,##0_-;_-* &quot;-&quot;??_-;_-@_-">
                  <c:v>98.463896265600525</c:v>
                </c:pt>
                <c:pt idx="90" formatCode="_-* #,##0_-;\-* #,##0_-;_-* &quot;-&quot;??_-;_-@_-">
                  <c:v>84.824873511075197</c:v>
                </c:pt>
                <c:pt idx="91" formatCode="_-* #,##0_-;\-* #,##0_-;_-* &quot;-&quot;??_-;_-@_-">
                  <c:v>96.636589168373035</c:v>
                </c:pt>
                <c:pt idx="92" formatCode="_-* #,##0_-;\-* #,##0_-;_-* &quot;-&quot;??_-;_-@_-">
                  <c:v>100.9079666835415</c:v>
                </c:pt>
                <c:pt idx="93" formatCode="_-* #,##0_-;\-* #,##0_-;_-* &quot;-&quot;??_-;_-@_-">
                  <c:v>99.141650358527215</c:v>
                </c:pt>
                <c:pt idx="94" formatCode="_-* #,##0_-;\-* #,##0_-;_-* &quot;-&quot;??_-;_-@_-">
                  <c:v>93.978203762331844</c:v>
                </c:pt>
                <c:pt idx="95" formatCode="_-* #,##0_-;\-* #,##0_-;_-* &quot;-&quot;??_-;_-@_-">
                  <c:v>100.77590810017102</c:v>
                </c:pt>
                <c:pt idx="96" formatCode="_-* #,##0_-;\-* #,##0_-;_-* &quot;-&quot;??_-;_-@_-">
                  <c:v>89.878814552905126</c:v>
                </c:pt>
              </c:numCache>
            </c:numRef>
          </c:val>
          <c:smooth val="0"/>
        </c:ser>
        <c:dLbls>
          <c:showLegendKey val="0"/>
          <c:showVal val="0"/>
          <c:showCatName val="0"/>
          <c:showSerName val="0"/>
          <c:showPercent val="0"/>
          <c:showBubbleSize val="0"/>
        </c:dLbls>
        <c:marker val="1"/>
        <c:smooth val="0"/>
        <c:axId val="84143104"/>
        <c:axId val="200020736"/>
      </c:lineChart>
      <c:catAx>
        <c:axId val="84143104"/>
        <c:scaling>
          <c:orientation val="minMax"/>
        </c:scaling>
        <c:delete val="0"/>
        <c:axPos val="b"/>
        <c:majorTickMark val="out"/>
        <c:minorTickMark val="none"/>
        <c:tickLblPos val="nextTo"/>
        <c:spPr>
          <a:ln>
            <a:solidFill>
              <a:schemeClr val="tx1"/>
            </a:solidFill>
          </a:ln>
        </c:spPr>
        <c:crossAx val="200020736"/>
        <c:crosses val="autoZero"/>
        <c:auto val="1"/>
        <c:lblAlgn val="ctr"/>
        <c:lblOffset val="100"/>
        <c:tickLblSkip val="8"/>
        <c:tickMarkSkip val="8"/>
        <c:noMultiLvlLbl val="0"/>
      </c:catAx>
      <c:valAx>
        <c:axId val="200020736"/>
        <c:scaling>
          <c:orientation val="minMax"/>
        </c:scaling>
        <c:delete val="0"/>
        <c:axPos val="l"/>
        <c:majorGridlines/>
        <c:title>
          <c:tx>
            <c:rich>
              <a:bodyPr rot="-5400000" vert="horz"/>
              <a:lstStyle/>
              <a:p>
                <a:pPr>
                  <a:defRPr b="1"/>
                </a:pPr>
                <a:r>
                  <a:rPr lang="en-US" b="1"/>
                  <a:t>Index, June 2003=100</a:t>
                </a:r>
              </a:p>
            </c:rich>
          </c:tx>
          <c:overlay val="0"/>
        </c:title>
        <c:numFmt formatCode="_-* #,##0_-;\-* #,##0_-;_-* &quot;-&quot;??_-;_-@_-" sourceLinked="1"/>
        <c:majorTickMark val="out"/>
        <c:minorTickMark val="none"/>
        <c:tickLblPos val="nextTo"/>
        <c:spPr>
          <a:ln>
            <a:solidFill>
              <a:schemeClr val="tx1"/>
            </a:solidFill>
          </a:ln>
        </c:spPr>
        <c:crossAx val="84143104"/>
        <c:crosses val="autoZero"/>
        <c:crossBetween val="between"/>
      </c:valAx>
      <c:spPr>
        <a:ln>
          <a:solidFill>
            <a:schemeClr val="tx1"/>
          </a:solidFill>
        </a:ln>
      </c:spPr>
    </c:plotArea>
    <c:legend>
      <c:legendPos val="r"/>
      <c:layout>
        <c:manualLayout>
          <c:xMode val="edge"/>
          <c:yMode val="edge"/>
          <c:x val="3.0553368328958817E-3"/>
          <c:y val="7.1485855934674098E-4"/>
          <c:w val="0.98027799650043745"/>
          <c:h val="7.2644356955380573E-2"/>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196848547507177"/>
          <c:y val="0.23637448602937625"/>
          <c:w val="0.7451096358614151"/>
          <c:h val="0.65347266064283838"/>
        </c:manualLayout>
      </c:layout>
      <c:lineChart>
        <c:grouping val="standard"/>
        <c:varyColors val="0"/>
        <c:ser>
          <c:idx val="0"/>
          <c:order val="0"/>
          <c:tx>
            <c:strRef>
              <c:f>'Figure 6.5'!$B$4</c:f>
              <c:strCache>
                <c:ptCount val="1"/>
                <c:pt idx="0">
                  <c:v>Software</c:v>
                </c:pt>
              </c:strCache>
            </c:strRef>
          </c:tx>
          <c:spPr>
            <a:ln w="19050">
              <a:solidFill>
                <a:srgbClr val="344893"/>
              </a:solidFill>
              <a:prstDash val="solid"/>
            </a:ln>
          </c:spPr>
          <c:marker>
            <c:symbol val="none"/>
          </c:marker>
          <c:cat>
            <c:strRef>
              <c:f>'Figure 6.5'!$C$3:$AC$3</c:f>
              <c:strCache>
                <c:ptCount val="27"/>
                <c:pt idx="0">
                  <c:v>86</c:v>
                </c:pt>
                <c:pt idx="1">
                  <c:v>87</c:v>
                </c:pt>
                <c:pt idx="2">
                  <c:v>88</c:v>
                </c:pt>
                <c:pt idx="3">
                  <c:v>89</c:v>
                </c:pt>
                <c:pt idx="4">
                  <c:v>90</c:v>
                </c:pt>
                <c:pt idx="5">
                  <c:v>91</c:v>
                </c:pt>
                <c:pt idx="6">
                  <c:v>92</c:v>
                </c:pt>
                <c:pt idx="7">
                  <c:v>93</c:v>
                </c:pt>
                <c:pt idx="8">
                  <c:v>94</c:v>
                </c:pt>
                <c:pt idx="9">
                  <c:v>95</c:v>
                </c:pt>
                <c:pt idx="10">
                  <c:v>96</c:v>
                </c:pt>
                <c:pt idx="11">
                  <c:v>97</c:v>
                </c:pt>
                <c:pt idx="12">
                  <c:v>98</c:v>
                </c:pt>
                <c:pt idx="13">
                  <c:v>99</c:v>
                </c:pt>
                <c:pt idx="14">
                  <c:v>00</c:v>
                </c:pt>
                <c:pt idx="15">
                  <c:v>01</c:v>
                </c:pt>
                <c:pt idx="16">
                  <c:v>02</c:v>
                </c:pt>
                <c:pt idx="17">
                  <c:v>03</c:v>
                </c:pt>
                <c:pt idx="18">
                  <c:v>04</c:v>
                </c:pt>
                <c:pt idx="19">
                  <c:v>05</c:v>
                </c:pt>
                <c:pt idx="20">
                  <c:v>06</c:v>
                </c:pt>
                <c:pt idx="21">
                  <c:v>07</c:v>
                </c:pt>
                <c:pt idx="22">
                  <c:v>08</c:v>
                </c:pt>
                <c:pt idx="23">
                  <c:v>09</c:v>
                </c:pt>
                <c:pt idx="24">
                  <c:v>10</c:v>
                </c:pt>
                <c:pt idx="25">
                  <c:v>11</c:v>
                </c:pt>
                <c:pt idx="26">
                  <c:v>12</c:v>
                </c:pt>
              </c:strCache>
            </c:strRef>
          </c:cat>
          <c:val>
            <c:numRef>
              <c:f>'Figure 6.5'!$C$4:$AC$4</c:f>
              <c:numCache>
                <c:formatCode>#\ ##0</c:formatCode>
                <c:ptCount val="27"/>
                <c:pt idx="0">
                  <c:v>100</c:v>
                </c:pt>
                <c:pt idx="1">
                  <c:v>132.42320819112626</c:v>
                </c:pt>
                <c:pt idx="2">
                  <c:v>169.62457337883959</c:v>
                </c:pt>
                <c:pt idx="3">
                  <c:v>198.63481228668942</c:v>
                </c:pt>
                <c:pt idx="4">
                  <c:v>237.20136518771329</c:v>
                </c:pt>
                <c:pt idx="5">
                  <c:v>288.73720136518773</c:v>
                </c:pt>
                <c:pt idx="6">
                  <c:v>338.90784982935151</c:v>
                </c:pt>
                <c:pt idx="7">
                  <c:v>387.03071672354946</c:v>
                </c:pt>
                <c:pt idx="8">
                  <c:v>406.82593856655291</c:v>
                </c:pt>
                <c:pt idx="9">
                  <c:v>444.36860068259381</c:v>
                </c:pt>
                <c:pt idx="10">
                  <c:v>480.88737201365188</c:v>
                </c:pt>
                <c:pt idx="11">
                  <c:v>543.00341296928332</c:v>
                </c:pt>
                <c:pt idx="12">
                  <c:v>655.63139931740614</c:v>
                </c:pt>
                <c:pt idx="13">
                  <c:v>882.93515358361776</c:v>
                </c:pt>
                <c:pt idx="14">
                  <c:v>1312.6279863481229</c:v>
                </c:pt>
                <c:pt idx="15">
                  <c:v>1710.5802047781569</c:v>
                </c:pt>
                <c:pt idx="16">
                  <c:v>2264.1638225255974</c:v>
                </c:pt>
                <c:pt idx="17">
                  <c:v>2992.8327645051195</c:v>
                </c:pt>
                <c:pt idx="18">
                  <c:v>3736.1774744027302</c:v>
                </c:pt>
                <c:pt idx="19">
                  <c:v>4469.9658703071673</c:v>
                </c:pt>
                <c:pt idx="20">
                  <c:v>5139.9317406143346</c:v>
                </c:pt>
                <c:pt idx="21">
                  <c:v>5802.3890784982932</c:v>
                </c:pt>
                <c:pt idx="22">
                  <c:v>6507.1672354948805</c:v>
                </c:pt>
                <c:pt idx="23">
                  <c:v>7090.7849829351535</c:v>
                </c:pt>
                <c:pt idx="24">
                  <c:v>7702.3890784982941</c:v>
                </c:pt>
                <c:pt idx="25">
                  <c:v>8316.0409556313989</c:v>
                </c:pt>
                <c:pt idx="26">
                  <c:v>8975.7049909038269</c:v>
                </c:pt>
              </c:numCache>
            </c:numRef>
          </c:val>
          <c:smooth val="0"/>
        </c:ser>
        <c:ser>
          <c:idx val="1"/>
          <c:order val="1"/>
          <c:tx>
            <c:strRef>
              <c:f>'Figure 6.5'!$B$5</c:f>
              <c:strCache>
                <c:ptCount val="1"/>
                <c:pt idx="0">
                  <c:v>Computer equip.</c:v>
                </c:pt>
              </c:strCache>
            </c:strRef>
          </c:tx>
          <c:spPr>
            <a:ln w="19050">
              <a:solidFill>
                <a:srgbClr val="B4C98B"/>
              </a:solidFill>
              <a:prstDash val="sysDash"/>
            </a:ln>
          </c:spPr>
          <c:marker>
            <c:symbol val="none"/>
          </c:marker>
          <c:cat>
            <c:strRef>
              <c:f>'Figure 6.5'!$C$3:$AC$3</c:f>
              <c:strCache>
                <c:ptCount val="27"/>
                <c:pt idx="0">
                  <c:v>86</c:v>
                </c:pt>
                <c:pt idx="1">
                  <c:v>87</c:v>
                </c:pt>
                <c:pt idx="2">
                  <c:v>88</c:v>
                </c:pt>
                <c:pt idx="3">
                  <c:v>89</c:v>
                </c:pt>
                <c:pt idx="4">
                  <c:v>90</c:v>
                </c:pt>
                <c:pt idx="5">
                  <c:v>91</c:v>
                </c:pt>
                <c:pt idx="6">
                  <c:v>92</c:v>
                </c:pt>
                <c:pt idx="7">
                  <c:v>93</c:v>
                </c:pt>
                <c:pt idx="8">
                  <c:v>94</c:v>
                </c:pt>
                <c:pt idx="9">
                  <c:v>95</c:v>
                </c:pt>
                <c:pt idx="10">
                  <c:v>96</c:v>
                </c:pt>
                <c:pt idx="11">
                  <c:v>97</c:v>
                </c:pt>
                <c:pt idx="12">
                  <c:v>98</c:v>
                </c:pt>
                <c:pt idx="13">
                  <c:v>99</c:v>
                </c:pt>
                <c:pt idx="14">
                  <c:v>00</c:v>
                </c:pt>
                <c:pt idx="15">
                  <c:v>01</c:v>
                </c:pt>
                <c:pt idx="16">
                  <c:v>02</c:v>
                </c:pt>
                <c:pt idx="17">
                  <c:v>03</c:v>
                </c:pt>
                <c:pt idx="18">
                  <c:v>04</c:v>
                </c:pt>
                <c:pt idx="19">
                  <c:v>05</c:v>
                </c:pt>
                <c:pt idx="20">
                  <c:v>06</c:v>
                </c:pt>
                <c:pt idx="21">
                  <c:v>07</c:v>
                </c:pt>
                <c:pt idx="22">
                  <c:v>08</c:v>
                </c:pt>
                <c:pt idx="23">
                  <c:v>09</c:v>
                </c:pt>
                <c:pt idx="24">
                  <c:v>10</c:v>
                </c:pt>
                <c:pt idx="25">
                  <c:v>11</c:v>
                </c:pt>
                <c:pt idx="26">
                  <c:v>12</c:v>
                </c:pt>
              </c:strCache>
            </c:strRef>
          </c:cat>
          <c:val>
            <c:numRef>
              <c:f>'Figure 6.5'!$C$5:$AC$5</c:f>
              <c:numCache>
                <c:formatCode>#\ ##0</c:formatCode>
                <c:ptCount val="27"/>
                <c:pt idx="0">
                  <c:v>100</c:v>
                </c:pt>
                <c:pt idx="1">
                  <c:v>121.42857142857143</c:v>
                </c:pt>
                <c:pt idx="2">
                  <c:v>150</c:v>
                </c:pt>
                <c:pt idx="3">
                  <c:v>192.85714285714286</c:v>
                </c:pt>
                <c:pt idx="4">
                  <c:v>228.57142857142858</c:v>
                </c:pt>
                <c:pt idx="5">
                  <c:v>271.42857142857144</c:v>
                </c:pt>
                <c:pt idx="6">
                  <c:v>300</c:v>
                </c:pt>
                <c:pt idx="7">
                  <c:v>342.85714285714289</c:v>
                </c:pt>
                <c:pt idx="8">
                  <c:v>378.57142857142861</c:v>
                </c:pt>
                <c:pt idx="9">
                  <c:v>485.71428571428572</c:v>
                </c:pt>
                <c:pt idx="10">
                  <c:v>707.14285714285722</c:v>
                </c:pt>
                <c:pt idx="11">
                  <c:v>992.85714285714289</c:v>
                </c:pt>
                <c:pt idx="12">
                  <c:v>1928.5714285714287</c:v>
                </c:pt>
                <c:pt idx="13">
                  <c:v>2521.4285714285711</c:v>
                </c:pt>
                <c:pt idx="14">
                  <c:v>3014.2857142857147</c:v>
                </c:pt>
                <c:pt idx="15">
                  <c:v>3021.4285714285716</c:v>
                </c:pt>
                <c:pt idx="16">
                  <c:v>3100</c:v>
                </c:pt>
                <c:pt idx="17">
                  <c:v>3692.8571428571431</c:v>
                </c:pt>
                <c:pt idx="18">
                  <c:v>5257.1428571428569</c:v>
                </c:pt>
                <c:pt idx="19">
                  <c:v>6728.5714285714294</c:v>
                </c:pt>
                <c:pt idx="20">
                  <c:v>9207.1428571428569</c:v>
                </c:pt>
                <c:pt idx="21">
                  <c:v>12335.714285714286</c:v>
                </c:pt>
                <c:pt idx="22">
                  <c:v>19100</c:v>
                </c:pt>
                <c:pt idx="23">
                  <c:v>23221.428571428576</c:v>
                </c:pt>
                <c:pt idx="24">
                  <c:v>26514.285714285717</c:v>
                </c:pt>
                <c:pt idx="25">
                  <c:v>34235.71428571429</c:v>
                </c:pt>
                <c:pt idx="26">
                  <c:v>41954.555948672438</c:v>
                </c:pt>
              </c:numCache>
            </c:numRef>
          </c:val>
          <c:smooth val="0"/>
        </c:ser>
        <c:ser>
          <c:idx val="2"/>
          <c:order val="2"/>
          <c:tx>
            <c:strRef>
              <c:f>'Figure 6.5'!$B$14</c:f>
              <c:strCache>
                <c:ptCount val="1"/>
                <c:pt idx="0">
                  <c:v>Output</c:v>
                </c:pt>
              </c:strCache>
            </c:strRef>
          </c:tx>
          <c:spPr>
            <a:ln w="19050">
              <a:solidFill>
                <a:srgbClr val="7B905A"/>
              </a:solidFill>
              <a:prstDash val="dashDot"/>
            </a:ln>
          </c:spPr>
          <c:marker>
            <c:symbol val="none"/>
          </c:marker>
          <c:cat>
            <c:strRef>
              <c:f>'Figure 6.5'!$C$3:$AC$3</c:f>
              <c:strCache>
                <c:ptCount val="27"/>
                <c:pt idx="0">
                  <c:v>86</c:v>
                </c:pt>
                <c:pt idx="1">
                  <c:v>87</c:v>
                </c:pt>
                <c:pt idx="2">
                  <c:v>88</c:v>
                </c:pt>
                <c:pt idx="3">
                  <c:v>89</c:v>
                </c:pt>
                <c:pt idx="4">
                  <c:v>90</c:v>
                </c:pt>
                <c:pt idx="5">
                  <c:v>91</c:v>
                </c:pt>
                <c:pt idx="6">
                  <c:v>92</c:v>
                </c:pt>
                <c:pt idx="7">
                  <c:v>93</c:v>
                </c:pt>
                <c:pt idx="8">
                  <c:v>94</c:v>
                </c:pt>
                <c:pt idx="9">
                  <c:v>95</c:v>
                </c:pt>
                <c:pt idx="10">
                  <c:v>96</c:v>
                </c:pt>
                <c:pt idx="11">
                  <c:v>97</c:v>
                </c:pt>
                <c:pt idx="12">
                  <c:v>98</c:v>
                </c:pt>
                <c:pt idx="13">
                  <c:v>99</c:v>
                </c:pt>
                <c:pt idx="14">
                  <c:v>00</c:v>
                </c:pt>
                <c:pt idx="15">
                  <c:v>01</c:v>
                </c:pt>
                <c:pt idx="16">
                  <c:v>02</c:v>
                </c:pt>
                <c:pt idx="17">
                  <c:v>03</c:v>
                </c:pt>
                <c:pt idx="18">
                  <c:v>04</c:v>
                </c:pt>
                <c:pt idx="19">
                  <c:v>05</c:v>
                </c:pt>
                <c:pt idx="20">
                  <c:v>06</c:v>
                </c:pt>
                <c:pt idx="21">
                  <c:v>07</c:v>
                </c:pt>
                <c:pt idx="22">
                  <c:v>08</c:v>
                </c:pt>
                <c:pt idx="23">
                  <c:v>09</c:v>
                </c:pt>
                <c:pt idx="24">
                  <c:v>10</c:v>
                </c:pt>
                <c:pt idx="25">
                  <c:v>11</c:v>
                </c:pt>
                <c:pt idx="26">
                  <c:v>12</c:v>
                </c:pt>
              </c:strCache>
            </c:strRef>
          </c:cat>
          <c:val>
            <c:numRef>
              <c:f>'Figure 6.5'!$C$14:$AC$14</c:f>
              <c:numCache>
                <c:formatCode>#\ ##0</c:formatCode>
                <c:ptCount val="27"/>
                <c:pt idx="0">
                  <c:v>100</c:v>
                </c:pt>
                <c:pt idx="1">
                  <c:v>94.085150408964026</c:v>
                </c:pt>
                <c:pt idx="2">
                  <c:v>110.91416635758486</c:v>
                </c:pt>
                <c:pt idx="3">
                  <c:v>116.43664473812638</c:v>
                </c:pt>
                <c:pt idx="4">
                  <c:v>128.11408046537957</c:v>
                </c:pt>
                <c:pt idx="5">
                  <c:v>135.39734905420968</c:v>
                </c:pt>
                <c:pt idx="6">
                  <c:v>141.58939621683876</c:v>
                </c:pt>
                <c:pt idx="7">
                  <c:v>142.9988092216995</c:v>
                </c:pt>
                <c:pt idx="8">
                  <c:v>145.49553946161205</c:v>
                </c:pt>
                <c:pt idx="9">
                  <c:v>155.92168192554706</c:v>
                </c:pt>
                <c:pt idx="10">
                  <c:v>170.01190778300506</c:v>
                </c:pt>
                <c:pt idx="11">
                  <c:v>172.2412009291975</c:v>
                </c:pt>
                <c:pt idx="12">
                  <c:v>178.11896070431609</c:v>
                </c:pt>
                <c:pt idx="13">
                  <c:v>177.11948777012122</c:v>
                </c:pt>
                <c:pt idx="14">
                  <c:v>185.52521131434594</c:v>
                </c:pt>
                <c:pt idx="15">
                  <c:v>200.71056278915415</c:v>
                </c:pt>
                <c:pt idx="16">
                  <c:v>201.4386944384797</c:v>
                </c:pt>
                <c:pt idx="17">
                  <c:v>202.77392781150564</c:v>
                </c:pt>
                <c:pt idx="18">
                  <c:v>196.86103031604426</c:v>
                </c:pt>
                <c:pt idx="19">
                  <c:v>207.13295722958597</c:v>
                </c:pt>
                <c:pt idx="20">
                  <c:v>211.08009448142582</c:v>
                </c:pt>
                <c:pt idx="21">
                  <c:v>228.9632420403303</c:v>
                </c:pt>
                <c:pt idx="22">
                  <c:v>233.5897085521307</c:v>
                </c:pt>
                <c:pt idx="23">
                  <c:v>240.71290530384368</c:v>
                </c:pt>
                <c:pt idx="24">
                  <c:v>259.65604075975557</c:v>
                </c:pt>
                <c:pt idx="25">
                  <c:v>255.93729869014388</c:v>
                </c:pt>
                <c:pt idx="26">
                  <c:v>273.18991937845277</c:v>
                </c:pt>
              </c:numCache>
            </c:numRef>
          </c:val>
          <c:smooth val="0"/>
        </c:ser>
        <c:dLbls>
          <c:showLegendKey val="0"/>
          <c:showVal val="0"/>
          <c:showCatName val="0"/>
          <c:showSerName val="0"/>
          <c:showPercent val="0"/>
          <c:showBubbleSize val="0"/>
        </c:dLbls>
        <c:marker val="1"/>
        <c:smooth val="0"/>
        <c:axId val="200055424"/>
        <c:axId val="200069504"/>
      </c:lineChart>
      <c:catAx>
        <c:axId val="200055424"/>
        <c:scaling>
          <c:orientation val="minMax"/>
        </c:scaling>
        <c:delete val="0"/>
        <c:axPos val="b"/>
        <c:majorTickMark val="out"/>
        <c:minorTickMark val="none"/>
        <c:tickLblPos val="nextTo"/>
        <c:spPr>
          <a:ln>
            <a:solidFill>
              <a:schemeClr val="tx1"/>
            </a:solidFill>
          </a:ln>
        </c:spPr>
        <c:crossAx val="200069504"/>
        <c:crosses val="autoZero"/>
        <c:auto val="1"/>
        <c:lblAlgn val="ctr"/>
        <c:lblOffset val="100"/>
        <c:tickLblSkip val="2"/>
        <c:tickMarkSkip val="2"/>
        <c:noMultiLvlLbl val="0"/>
      </c:catAx>
      <c:valAx>
        <c:axId val="200069504"/>
        <c:scaling>
          <c:orientation val="minMax"/>
        </c:scaling>
        <c:delete val="0"/>
        <c:axPos val="l"/>
        <c:majorGridlines/>
        <c:title>
          <c:tx>
            <c:rich>
              <a:bodyPr rot="-5400000" vert="horz"/>
              <a:lstStyle/>
              <a:p>
                <a:pPr>
                  <a:defRPr b="1"/>
                </a:pPr>
                <a:r>
                  <a:rPr lang="en-US" b="1"/>
                  <a:t>Index, 1985-86=100</a:t>
                </a:r>
              </a:p>
            </c:rich>
          </c:tx>
          <c:layout>
            <c:manualLayout>
              <c:xMode val="edge"/>
              <c:yMode val="edge"/>
              <c:x val="2.2361329851212429E-3"/>
              <c:y val="0.2270933202999571"/>
            </c:manualLayout>
          </c:layout>
          <c:overlay val="0"/>
        </c:title>
        <c:numFmt formatCode="#\ ##0" sourceLinked="1"/>
        <c:majorTickMark val="out"/>
        <c:minorTickMark val="none"/>
        <c:tickLblPos val="nextTo"/>
        <c:spPr>
          <a:ln>
            <a:solidFill>
              <a:schemeClr val="tx1"/>
            </a:solidFill>
          </a:ln>
        </c:spPr>
        <c:crossAx val="200055424"/>
        <c:crosses val="autoZero"/>
        <c:crossBetween val="between"/>
      </c:valAx>
      <c:spPr>
        <a:ln>
          <a:solidFill>
            <a:schemeClr val="tx1"/>
          </a:solidFill>
        </a:ln>
      </c:spPr>
    </c:plotArea>
    <c:legend>
      <c:legendPos val="r"/>
      <c:layout>
        <c:manualLayout>
          <c:xMode val="edge"/>
          <c:yMode val="edge"/>
          <c:x val="0.27456867891513559"/>
          <c:y val="3.386920384951881E-3"/>
          <c:w val="0.51033930004644301"/>
          <c:h val="0.19597633579934867"/>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366924717490473"/>
          <c:y val="0.1216561912061877"/>
          <c:w val="0.78164523072540937"/>
          <c:h val="0.76237408007044549"/>
        </c:manualLayout>
      </c:layout>
      <c:lineChart>
        <c:grouping val="standard"/>
        <c:varyColors val="0"/>
        <c:ser>
          <c:idx val="0"/>
          <c:order val="0"/>
          <c:tx>
            <c:strRef>
              <c:f>'Figure 6.1'!$C$8</c:f>
              <c:strCache>
                <c:ptCount val="1"/>
                <c:pt idx="0">
                  <c:v>Thermal coal</c:v>
                </c:pt>
              </c:strCache>
            </c:strRef>
          </c:tx>
          <c:spPr>
            <a:ln w="19050">
              <a:solidFill>
                <a:srgbClr val="344893"/>
              </a:solidFill>
            </a:ln>
          </c:spPr>
          <c:marker>
            <c:symbol val="none"/>
          </c:marker>
          <c:cat>
            <c:strRef>
              <c:f>'Figure 6.1'!$D$3:$CS$3</c:f>
              <c:strCache>
                <c:ptCount val="94"/>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strCache>
            </c:strRef>
          </c:cat>
          <c:val>
            <c:numRef>
              <c:f>'Figure 6.1'!$D$8:$CS$8</c:f>
              <c:numCache>
                <c:formatCode>#\ ##0</c:formatCode>
                <c:ptCount val="94"/>
                <c:pt idx="0">
                  <c:v>126.69546533164838</c:v>
                </c:pt>
                <c:pt idx="1">
                  <c:v>135.13401920713656</c:v>
                </c:pt>
                <c:pt idx="2">
                  <c:v>135.78144047156138</c:v>
                </c:pt>
                <c:pt idx="3">
                  <c:v>141.42609953238374</c:v>
                </c:pt>
                <c:pt idx="4">
                  <c:v>148.24476777947442</c:v>
                </c:pt>
                <c:pt idx="5">
                  <c:v>148.56909912893332</c:v>
                </c:pt>
                <c:pt idx="6">
                  <c:v>150.634254833662</c:v>
                </c:pt>
                <c:pt idx="7">
                  <c:v>155.9190727394012</c:v>
                </c:pt>
                <c:pt idx="8">
                  <c:v>155.10856203393243</c:v>
                </c:pt>
                <c:pt idx="9">
                  <c:v>149.40861301931494</c:v>
                </c:pt>
                <c:pt idx="10">
                  <c:v>151.8446024599362</c:v>
                </c:pt>
                <c:pt idx="11">
                  <c:v>149.55325563513506</c:v>
                </c:pt>
                <c:pt idx="12">
                  <c:v>150.60521733993153</c:v>
                </c:pt>
                <c:pt idx="13">
                  <c:v>148.81831758639203</c:v>
                </c:pt>
                <c:pt idx="14">
                  <c:v>147.17747184887637</c:v>
                </c:pt>
                <c:pt idx="15">
                  <c:v>144.0733242012837</c:v>
                </c:pt>
                <c:pt idx="16">
                  <c:v>141.52341992317702</c:v>
                </c:pt>
                <c:pt idx="17">
                  <c:v>135.19667177982367</c:v>
                </c:pt>
                <c:pt idx="18">
                  <c:v>134.34777425673312</c:v>
                </c:pt>
                <c:pt idx="19">
                  <c:v>128.43773981334664</c:v>
                </c:pt>
                <c:pt idx="20">
                  <c:v>124.42337408299605</c:v>
                </c:pt>
                <c:pt idx="21">
                  <c:v>130.3048437389692</c:v>
                </c:pt>
                <c:pt idx="22">
                  <c:v>125.83700364399672</c:v>
                </c:pt>
                <c:pt idx="23">
                  <c:v>128.39322924744786</c:v>
                </c:pt>
                <c:pt idx="24">
                  <c:v>126.21101769935301</c:v>
                </c:pt>
                <c:pt idx="25">
                  <c:v>129.85960947375247</c:v>
                </c:pt>
                <c:pt idx="26">
                  <c:v>126.2758635781372</c:v>
                </c:pt>
                <c:pt idx="27">
                  <c:v>136.82042126092571</c:v>
                </c:pt>
                <c:pt idx="28">
                  <c:v>148.82121922762198</c:v>
                </c:pt>
                <c:pt idx="29">
                  <c:v>146.80775221530291</c:v>
                </c:pt>
                <c:pt idx="30">
                  <c:v>150.86286287263769</c:v>
                </c:pt>
                <c:pt idx="31">
                  <c:v>151.36218953833685</c:v>
                </c:pt>
                <c:pt idx="32">
                  <c:v>149.15082033405034</c:v>
                </c:pt>
                <c:pt idx="33">
                  <c:v>144.13798767379399</c:v>
                </c:pt>
                <c:pt idx="34">
                  <c:v>139.99270210412439</c:v>
                </c:pt>
                <c:pt idx="35">
                  <c:v>134.65815159384181</c:v>
                </c:pt>
                <c:pt idx="36">
                  <c:v>133.53867072761324</c:v>
                </c:pt>
                <c:pt idx="37">
                  <c:v>128.68646307024386</c:v>
                </c:pt>
                <c:pt idx="38">
                  <c:v>128.45316153739492</c:v>
                </c:pt>
                <c:pt idx="39">
                  <c:v>120.84842958959142</c:v>
                </c:pt>
                <c:pt idx="40">
                  <c:v>115.13404484410235</c:v>
                </c:pt>
                <c:pt idx="41">
                  <c:v>106.98243524411824</c:v>
                </c:pt>
                <c:pt idx="42">
                  <c:v>109.46501976734324</c:v>
                </c:pt>
                <c:pt idx="43">
                  <c:v>108.88032857378229</c:v>
                </c:pt>
                <c:pt idx="44">
                  <c:v>101.66274680283516</c:v>
                </c:pt>
                <c:pt idx="45">
                  <c:v>96.403234120562146</c:v>
                </c:pt>
                <c:pt idx="46">
                  <c:v>92.698079621720439</c:v>
                </c:pt>
                <c:pt idx="47">
                  <c:v>94.523968715228065</c:v>
                </c:pt>
                <c:pt idx="48">
                  <c:v>93.647668305390681</c:v>
                </c:pt>
                <c:pt idx="49">
                  <c:v>98.117200275565025</c:v>
                </c:pt>
                <c:pt idx="50">
                  <c:v>94.979858177942518</c:v>
                </c:pt>
                <c:pt idx="51">
                  <c:v>113.25193562709754</c:v>
                </c:pt>
                <c:pt idx="52">
                  <c:v>117.25144010168358</c:v>
                </c:pt>
                <c:pt idx="53">
                  <c:v>122.63349392663831</c:v>
                </c:pt>
                <c:pt idx="54">
                  <c:v>117.61281698652169</c:v>
                </c:pt>
                <c:pt idx="55">
                  <c:v>114.75961744818618</c:v>
                </c:pt>
                <c:pt idx="56">
                  <c:v>105.78918402405377</c:v>
                </c:pt>
                <c:pt idx="57">
                  <c:v>99.847990261550891</c:v>
                </c:pt>
                <c:pt idx="58">
                  <c:v>99.797111328824471</c:v>
                </c:pt>
                <c:pt idx="59">
                  <c:v>100</c:v>
                </c:pt>
                <c:pt idx="60">
                  <c:v>102.47080553357378</c:v>
                </c:pt>
                <c:pt idx="61">
                  <c:v>102.63853701630218</c:v>
                </c:pt>
                <c:pt idx="62">
                  <c:v>123.31508212463557</c:v>
                </c:pt>
                <c:pt idx="63">
                  <c:v>149.32528430157353</c:v>
                </c:pt>
                <c:pt idx="64">
                  <c:v>167.4446947552394</c:v>
                </c:pt>
                <c:pt idx="65">
                  <c:v>176.84446851170375</c:v>
                </c:pt>
                <c:pt idx="66">
                  <c:v>181.09004998493177</c:v>
                </c:pt>
                <c:pt idx="67">
                  <c:v>195.14661089357762</c:v>
                </c:pt>
                <c:pt idx="68">
                  <c:v>195.90509463952841</c:v>
                </c:pt>
                <c:pt idx="69">
                  <c:v>193.42096443851298</c:v>
                </c:pt>
                <c:pt idx="70">
                  <c:v>182.88237857767891</c:v>
                </c:pt>
                <c:pt idx="71">
                  <c:v>184.40217612130013</c:v>
                </c:pt>
                <c:pt idx="72">
                  <c:v>182.65439707611819</c:v>
                </c:pt>
                <c:pt idx="73">
                  <c:v>184.78385707432395</c:v>
                </c:pt>
                <c:pt idx="74">
                  <c:v>186.51258782839218</c:v>
                </c:pt>
                <c:pt idx="75">
                  <c:v>197.21680036970881</c:v>
                </c:pt>
                <c:pt idx="76">
                  <c:v>219.9909078470177</c:v>
                </c:pt>
                <c:pt idx="77">
                  <c:v>231.10282490396918</c:v>
                </c:pt>
                <c:pt idx="78">
                  <c:v>281.61186576287236</c:v>
                </c:pt>
                <c:pt idx="79">
                  <c:v>377.17808391851429</c:v>
                </c:pt>
                <c:pt idx="80">
                  <c:v>413.51475500708318</c:v>
                </c:pt>
                <c:pt idx="81">
                  <c:v>450.3588324480927</c:v>
                </c:pt>
                <c:pt idx="82">
                  <c:v>359.57358262322242</c:v>
                </c:pt>
                <c:pt idx="83">
                  <c:v>291.20833711166347</c:v>
                </c:pt>
                <c:pt idx="84">
                  <c:v>302.96833164702605</c:v>
                </c:pt>
                <c:pt idx="85">
                  <c:v>282.20254267709731</c:v>
                </c:pt>
                <c:pt idx="86">
                  <c:v>308.03047303468963</c:v>
                </c:pt>
                <c:pt idx="87">
                  <c:v>345.61240849203796</c:v>
                </c:pt>
                <c:pt idx="88">
                  <c:v>370.90152475549093</c:v>
                </c:pt>
                <c:pt idx="89">
                  <c:v>372.15893459354209</c:v>
                </c:pt>
                <c:pt idx="90">
                  <c:v>411.81399769247429</c:v>
                </c:pt>
                <c:pt idx="91">
                  <c:v>437.93122739643809</c:v>
                </c:pt>
                <c:pt idx="92">
                  <c:v>417.35020334748901</c:v>
                </c:pt>
                <c:pt idx="93">
                  <c:v>450.64207409284904</c:v>
                </c:pt>
              </c:numCache>
            </c:numRef>
          </c:val>
          <c:smooth val="0"/>
        </c:ser>
        <c:ser>
          <c:idx val="1"/>
          <c:order val="1"/>
          <c:tx>
            <c:strRef>
              <c:f>'Figure 6.1'!$C$7</c:f>
              <c:strCache>
                <c:ptCount val="1"/>
                <c:pt idx="0">
                  <c:v>Metallurgical coal</c:v>
                </c:pt>
              </c:strCache>
            </c:strRef>
          </c:tx>
          <c:spPr>
            <a:ln w="19050">
              <a:solidFill>
                <a:srgbClr val="86A20B"/>
              </a:solidFill>
              <a:prstDash val="sysDash"/>
            </a:ln>
          </c:spPr>
          <c:marker>
            <c:symbol val="none"/>
          </c:marker>
          <c:cat>
            <c:strRef>
              <c:f>'Figure 6.1'!$D$3:$CS$3</c:f>
              <c:strCache>
                <c:ptCount val="94"/>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strCache>
            </c:strRef>
          </c:cat>
          <c:val>
            <c:numRef>
              <c:f>'Figure 6.1'!$D$7:$CS$7</c:f>
              <c:numCache>
                <c:formatCode>#\ ##0</c:formatCode>
                <c:ptCount val="94"/>
                <c:pt idx="0">
                  <c:v>105.41086863912699</c:v>
                </c:pt>
                <c:pt idx="1">
                  <c:v>105.23879153973007</c:v>
                </c:pt>
                <c:pt idx="2">
                  <c:v>105.13363099306686</c:v>
                </c:pt>
                <c:pt idx="3">
                  <c:v>112.35814356775623</c:v>
                </c:pt>
                <c:pt idx="4">
                  <c:v>115.44995347419125</c:v>
                </c:pt>
                <c:pt idx="5">
                  <c:v>115.79533310626579</c:v>
                </c:pt>
                <c:pt idx="6">
                  <c:v>115.3589630620607</c:v>
                </c:pt>
                <c:pt idx="7">
                  <c:v>119.9523586367666</c:v>
                </c:pt>
                <c:pt idx="8">
                  <c:v>121.15624431998562</c:v>
                </c:pt>
                <c:pt idx="9">
                  <c:v>120.95724499132679</c:v>
                </c:pt>
                <c:pt idx="10">
                  <c:v>121.26687384173584</c:v>
                </c:pt>
                <c:pt idx="11">
                  <c:v>120.30201991174035</c:v>
                </c:pt>
                <c:pt idx="12">
                  <c:v>118.93103614863385</c:v>
                </c:pt>
                <c:pt idx="13">
                  <c:v>116.82944047930236</c:v>
                </c:pt>
                <c:pt idx="14">
                  <c:v>116.21558680142739</c:v>
                </c:pt>
                <c:pt idx="15">
                  <c:v>115.61056613005016</c:v>
                </c:pt>
                <c:pt idx="16">
                  <c:v>114.33103041364319</c:v>
                </c:pt>
                <c:pt idx="17">
                  <c:v>115.53558936982526</c:v>
                </c:pt>
                <c:pt idx="18">
                  <c:v>113.25999231263741</c:v>
                </c:pt>
                <c:pt idx="19">
                  <c:v>107.76301530767502</c:v>
                </c:pt>
                <c:pt idx="20">
                  <c:v>106.75332294648726</c:v>
                </c:pt>
                <c:pt idx="21">
                  <c:v>106.43476777576082</c:v>
                </c:pt>
                <c:pt idx="22">
                  <c:v>103.62251031637805</c:v>
                </c:pt>
                <c:pt idx="23">
                  <c:v>100.75187494170318</c:v>
                </c:pt>
                <c:pt idx="24">
                  <c:v>100.8740823032491</c:v>
                </c:pt>
                <c:pt idx="25">
                  <c:v>102.07665865349985</c:v>
                </c:pt>
                <c:pt idx="26">
                  <c:v>100.51975851112158</c:v>
                </c:pt>
                <c:pt idx="27">
                  <c:v>109.42232248037018</c:v>
                </c:pt>
                <c:pt idx="28">
                  <c:v>117.23886213774894</c:v>
                </c:pt>
                <c:pt idx="29">
                  <c:v>114.80944029772837</c:v>
                </c:pt>
                <c:pt idx="30">
                  <c:v>117.62454609790184</c:v>
                </c:pt>
                <c:pt idx="31">
                  <c:v>118.14213763803522</c:v>
                </c:pt>
                <c:pt idx="32">
                  <c:v>120.50429792461628</c:v>
                </c:pt>
                <c:pt idx="33">
                  <c:v>120.52094047578301</c:v>
                </c:pt>
                <c:pt idx="34">
                  <c:v>117.93607582966553</c:v>
                </c:pt>
                <c:pt idx="35">
                  <c:v>114.60493610030531</c:v>
                </c:pt>
                <c:pt idx="36">
                  <c:v>115.06402582359807</c:v>
                </c:pt>
                <c:pt idx="37">
                  <c:v>116.40498328420374</c:v>
                </c:pt>
                <c:pt idx="38">
                  <c:v>114.83019485029689</c:v>
                </c:pt>
                <c:pt idx="39">
                  <c:v>110.21527900076747</c:v>
                </c:pt>
                <c:pt idx="40">
                  <c:v>105.06924421225142</c:v>
                </c:pt>
                <c:pt idx="41">
                  <c:v>100.77252242106832</c:v>
                </c:pt>
                <c:pt idx="42">
                  <c:v>99.421828136650035</c:v>
                </c:pt>
                <c:pt idx="43">
                  <c:v>86.360891518681541</c:v>
                </c:pt>
                <c:pt idx="44">
                  <c:v>85.636462233376378</c:v>
                </c:pt>
                <c:pt idx="45">
                  <c:v>85.303283039917687</c:v>
                </c:pt>
                <c:pt idx="46">
                  <c:v>82.541061774127456</c:v>
                </c:pt>
                <c:pt idx="47">
                  <c:v>82.431167110572659</c:v>
                </c:pt>
                <c:pt idx="48">
                  <c:v>79.477425911871677</c:v>
                </c:pt>
                <c:pt idx="49">
                  <c:v>83.637318713560433</c:v>
                </c:pt>
                <c:pt idx="50">
                  <c:v>77.548261277669098</c:v>
                </c:pt>
                <c:pt idx="51">
                  <c:v>92.709488731073293</c:v>
                </c:pt>
                <c:pt idx="52">
                  <c:v>96.590883668297522</c:v>
                </c:pt>
                <c:pt idx="53">
                  <c:v>101.34328398453314</c:v>
                </c:pt>
                <c:pt idx="54">
                  <c:v>101.73726675559665</c:v>
                </c:pt>
                <c:pt idx="55">
                  <c:v>97.861905786011491</c:v>
                </c:pt>
                <c:pt idx="56">
                  <c:v>99.198158532860191</c:v>
                </c:pt>
                <c:pt idx="57">
                  <c:v>102.36952970069468</c:v>
                </c:pt>
                <c:pt idx="58">
                  <c:v>99.683105544896236</c:v>
                </c:pt>
                <c:pt idx="59">
                  <c:v>100</c:v>
                </c:pt>
                <c:pt idx="60">
                  <c:v>100.08303349742904</c:v>
                </c:pt>
                <c:pt idx="61">
                  <c:v>97.043871277354071</c:v>
                </c:pt>
                <c:pt idx="62">
                  <c:v>104.34438376645548</c:v>
                </c:pt>
                <c:pt idx="63">
                  <c:v>122.14902799141885</c:v>
                </c:pt>
                <c:pt idx="64">
                  <c:v>130.19767441674821</c:v>
                </c:pt>
                <c:pt idx="65">
                  <c:v>143.48271827761195</c:v>
                </c:pt>
                <c:pt idx="66">
                  <c:v>144.33207039090726</c:v>
                </c:pt>
                <c:pt idx="67">
                  <c:v>241.61697286396176</c:v>
                </c:pt>
                <c:pt idx="68">
                  <c:v>259.14568723861913</c:v>
                </c:pt>
                <c:pt idx="69">
                  <c:v>266.48173391153773</c:v>
                </c:pt>
                <c:pt idx="70">
                  <c:v>264.97426479066218</c:v>
                </c:pt>
                <c:pt idx="71">
                  <c:v>253.05966771040269</c:v>
                </c:pt>
                <c:pt idx="72">
                  <c:v>226.81610499430599</c:v>
                </c:pt>
                <c:pt idx="73">
                  <c:v>227.92787528257313</c:v>
                </c:pt>
                <c:pt idx="74">
                  <c:v>230.52727301598617</c:v>
                </c:pt>
                <c:pt idx="75">
                  <c:v>210.68669782943931</c:v>
                </c:pt>
                <c:pt idx="76">
                  <c:v>217.91878083744655</c:v>
                </c:pt>
                <c:pt idx="77">
                  <c:v>205.3438482242926</c:v>
                </c:pt>
                <c:pt idx="78">
                  <c:v>236.12159066426642</c:v>
                </c:pt>
                <c:pt idx="79">
                  <c:v>529.52777505527968</c:v>
                </c:pt>
                <c:pt idx="80">
                  <c:v>638.33834068050737</c:v>
                </c:pt>
                <c:pt idx="81">
                  <c:v>662.57714566428592</c:v>
                </c:pt>
                <c:pt idx="82">
                  <c:v>491.76016446386427</c:v>
                </c:pt>
                <c:pt idx="83">
                  <c:v>322.41605644758596</c:v>
                </c:pt>
                <c:pt idx="84">
                  <c:v>316.98339734476406</c:v>
                </c:pt>
                <c:pt idx="85">
                  <c:v>309.75863762077836</c:v>
                </c:pt>
                <c:pt idx="86">
                  <c:v>330.77305877009718</c:v>
                </c:pt>
                <c:pt idx="87">
                  <c:v>448.24289096183952</c:v>
                </c:pt>
                <c:pt idx="88">
                  <c:v>504.18351192177727</c:v>
                </c:pt>
                <c:pt idx="89">
                  <c:v>471.0062500303103</c:v>
                </c:pt>
                <c:pt idx="90">
                  <c:v>529.19562697219726</c:v>
                </c:pt>
                <c:pt idx="91">
                  <c:v>673.66083699712169</c:v>
                </c:pt>
                <c:pt idx="92">
                  <c:v>600.43163146377651</c:v>
                </c:pt>
                <c:pt idx="93">
                  <c:v>603.0852367026572</c:v>
                </c:pt>
              </c:numCache>
            </c:numRef>
          </c:val>
          <c:smooth val="0"/>
        </c:ser>
        <c:dLbls>
          <c:showLegendKey val="0"/>
          <c:showVal val="0"/>
          <c:showCatName val="0"/>
          <c:showSerName val="0"/>
          <c:showPercent val="0"/>
          <c:showBubbleSize val="0"/>
        </c:dLbls>
        <c:marker val="1"/>
        <c:smooth val="0"/>
        <c:axId val="187301888"/>
        <c:axId val="187303424"/>
      </c:lineChart>
      <c:catAx>
        <c:axId val="187301888"/>
        <c:scaling>
          <c:orientation val="minMax"/>
        </c:scaling>
        <c:delete val="0"/>
        <c:axPos val="b"/>
        <c:majorTickMark val="out"/>
        <c:minorTickMark val="none"/>
        <c:tickLblPos val="nextTo"/>
        <c:spPr>
          <a:ln>
            <a:solidFill>
              <a:schemeClr val="tx1"/>
            </a:solidFill>
          </a:ln>
        </c:spPr>
        <c:txPr>
          <a:bodyPr/>
          <a:lstStyle/>
          <a:p>
            <a:pPr>
              <a:defRPr sz="800" baseline="0">
                <a:latin typeface="Arial" pitchFamily="34" charset="0"/>
              </a:defRPr>
            </a:pPr>
            <a:endParaRPr lang="en-US"/>
          </a:p>
        </c:txPr>
        <c:crossAx val="187303424"/>
        <c:crosses val="autoZero"/>
        <c:auto val="1"/>
        <c:lblAlgn val="ctr"/>
        <c:lblOffset val="100"/>
        <c:tickLblSkip val="8"/>
        <c:tickMarkSkip val="8"/>
        <c:noMultiLvlLbl val="0"/>
      </c:catAx>
      <c:valAx>
        <c:axId val="187303424"/>
        <c:scaling>
          <c:orientation val="minMax"/>
          <c:max val="1200"/>
        </c:scaling>
        <c:delete val="0"/>
        <c:axPos val="l"/>
        <c:majorGridlines/>
        <c:title>
          <c:tx>
            <c:rich>
              <a:bodyPr rot="-5400000" vert="horz"/>
              <a:lstStyle/>
              <a:p>
                <a:pPr>
                  <a:defRPr b="1"/>
                </a:pPr>
                <a:r>
                  <a:rPr lang="en-US" b="1"/>
                  <a:t>Index, June 2003=100</a:t>
                </a:r>
              </a:p>
            </c:rich>
          </c:tx>
          <c:overlay val="0"/>
        </c:title>
        <c:numFmt formatCode="#\ ##0" sourceLinked="1"/>
        <c:majorTickMark val="out"/>
        <c:minorTickMark val="none"/>
        <c:tickLblPos val="nextTo"/>
        <c:spPr>
          <a:ln>
            <a:solidFill>
              <a:schemeClr val="tx1"/>
            </a:solidFill>
          </a:ln>
        </c:spPr>
        <c:crossAx val="187301888"/>
        <c:crosses val="autoZero"/>
        <c:crossBetween val="between"/>
        <c:majorUnit val="200"/>
      </c:valAx>
      <c:spPr>
        <a:ln>
          <a:solidFill>
            <a:schemeClr val="tx1"/>
          </a:solidFill>
        </a:ln>
      </c:spPr>
    </c:plotArea>
    <c:legend>
      <c:legendPos val="r"/>
      <c:layout>
        <c:manualLayout>
          <c:xMode val="edge"/>
          <c:yMode val="edge"/>
          <c:x val="5.1100174978127516E-3"/>
          <c:y val="4.2457713619130973E-3"/>
          <c:w val="0.99211220472440942"/>
          <c:h val="8.4101049868766389E-2"/>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920539827011657"/>
          <c:y val="0.2363749290397883"/>
          <c:w val="0.76597578020994617"/>
          <c:h val="0.65347226760855548"/>
        </c:manualLayout>
      </c:layout>
      <c:lineChart>
        <c:grouping val="standard"/>
        <c:varyColors val="0"/>
        <c:ser>
          <c:idx val="0"/>
          <c:order val="0"/>
          <c:tx>
            <c:strRef>
              <c:f>'Figure 6.5'!$B$6</c:f>
              <c:strCache>
                <c:ptCount val="1"/>
                <c:pt idx="0">
                  <c:v>R&amp;D int. property</c:v>
                </c:pt>
              </c:strCache>
            </c:strRef>
          </c:tx>
          <c:spPr>
            <a:ln w="19050">
              <a:solidFill>
                <a:srgbClr val="344893"/>
              </a:solidFill>
              <a:prstDash val="solid"/>
            </a:ln>
          </c:spPr>
          <c:marker>
            <c:symbol val="none"/>
          </c:marker>
          <c:cat>
            <c:strRef>
              <c:f>'Figure 6.5'!$C$3:$AC$3</c:f>
              <c:strCache>
                <c:ptCount val="27"/>
                <c:pt idx="0">
                  <c:v>86</c:v>
                </c:pt>
                <c:pt idx="1">
                  <c:v>87</c:v>
                </c:pt>
                <c:pt idx="2">
                  <c:v>88</c:v>
                </c:pt>
                <c:pt idx="3">
                  <c:v>89</c:v>
                </c:pt>
                <c:pt idx="4">
                  <c:v>90</c:v>
                </c:pt>
                <c:pt idx="5">
                  <c:v>91</c:v>
                </c:pt>
                <c:pt idx="6">
                  <c:v>92</c:v>
                </c:pt>
                <c:pt idx="7">
                  <c:v>93</c:v>
                </c:pt>
                <c:pt idx="8">
                  <c:v>94</c:v>
                </c:pt>
                <c:pt idx="9">
                  <c:v>95</c:v>
                </c:pt>
                <c:pt idx="10">
                  <c:v>96</c:v>
                </c:pt>
                <c:pt idx="11">
                  <c:v>97</c:v>
                </c:pt>
                <c:pt idx="12">
                  <c:v>98</c:v>
                </c:pt>
                <c:pt idx="13">
                  <c:v>99</c:v>
                </c:pt>
                <c:pt idx="14">
                  <c:v>00</c:v>
                </c:pt>
                <c:pt idx="15">
                  <c:v>01</c:v>
                </c:pt>
                <c:pt idx="16">
                  <c:v>02</c:v>
                </c:pt>
                <c:pt idx="17">
                  <c:v>03</c:v>
                </c:pt>
                <c:pt idx="18">
                  <c:v>04</c:v>
                </c:pt>
                <c:pt idx="19">
                  <c:v>05</c:v>
                </c:pt>
                <c:pt idx="20">
                  <c:v>06</c:v>
                </c:pt>
                <c:pt idx="21">
                  <c:v>07</c:v>
                </c:pt>
                <c:pt idx="22">
                  <c:v>08</c:v>
                </c:pt>
                <c:pt idx="23">
                  <c:v>09</c:v>
                </c:pt>
                <c:pt idx="24">
                  <c:v>10</c:v>
                </c:pt>
                <c:pt idx="25">
                  <c:v>11</c:v>
                </c:pt>
                <c:pt idx="26">
                  <c:v>12</c:v>
                </c:pt>
              </c:strCache>
            </c:strRef>
          </c:cat>
          <c:val>
            <c:numRef>
              <c:f>'Figure 6.5'!$C$6:$AC$6</c:f>
              <c:numCache>
                <c:formatCode>#\ ##0</c:formatCode>
                <c:ptCount val="27"/>
                <c:pt idx="0">
                  <c:v>100</c:v>
                </c:pt>
                <c:pt idx="1">
                  <c:v>112.02058571253522</c:v>
                </c:pt>
                <c:pt idx="2">
                  <c:v>124.60482783972552</c:v>
                </c:pt>
                <c:pt idx="3">
                  <c:v>140.11354817628558</c:v>
                </c:pt>
                <c:pt idx="4">
                  <c:v>155.1117101662378</c:v>
                </c:pt>
                <c:pt idx="5">
                  <c:v>168.79875832210104</c:v>
                </c:pt>
                <c:pt idx="6">
                  <c:v>184.16452232161089</c:v>
                </c:pt>
                <c:pt idx="7">
                  <c:v>204.35404157987173</c:v>
                </c:pt>
                <c:pt idx="8">
                  <c:v>223.93905975574887</c:v>
                </c:pt>
                <c:pt idx="9">
                  <c:v>245.07617530531388</c:v>
                </c:pt>
                <c:pt idx="10">
                  <c:v>269.83212841563534</c:v>
                </c:pt>
                <c:pt idx="11">
                  <c:v>288.34293183024954</c:v>
                </c:pt>
                <c:pt idx="12">
                  <c:v>303.42278315565903</c:v>
                </c:pt>
                <c:pt idx="13">
                  <c:v>314.78576971776334</c:v>
                </c:pt>
                <c:pt idx="14">
                  <c:v>323.09357513376625</c:v>
                </c:pt>
                <c:pt idx="15">
                  <c:v>336.85414369154108</c:v>
                </c:pt>
                <c:pt idx="16">
                  <c:v>359.71490421925415</c:v>
                </c:pt>
                <c:pt idx="17">
                  <c:v>384.58930686598859</c:v>
                </c:pt>
                <c:pt idx="18">
                  <c:v>414.94506392190499</c:v>
                </c:pt>
                <c:pt idx="19">
                  <c:v>449.49556835355139</c:v>
                </c:pt>
                <c:pt idx="20">
                  <c:v>471.29845198709307</c:v>
                </c:pt>
                <c:pt idx="21">
                  <c:v>526.99424090185028</c:v>
                </c:pt>
                <c:pt idx="22">
                  <c:v>603.41869868888614</c:v>
                </c:pt>
                <c:pt idx="23">
                  <c:v>682.59200261405874</c:v>
                </c:pt>
                <c:pt idx="24">
                  <c:v>742.97267491728951</c:v>
                </c:pt>
                <c:pt idx="25">
                  <c:v>800.30225054119182</c:v>
                </c:pt>
                <c:pt idx="26">
                  <c:v>856.55270280776506</c:v>
                </c:pt>
              </c:numCache>
            </c:numRef>
          </c:val>
          <c:smooth val="0"/>
        </c:ser>
        <c:ser>
          <c:idx val="1"/>
          <c:order val="1"/>
          <c:tx>
            <c:strRef>
              <c:f>'Figure 6.5'!$B$7</c:f>
              <c:strCache>
                <c:ptCount val="1"/>
                <c:pt idx="0">
                  <c:v>Electric. &amp; electronic equip.</c:v>
                </c:pt>
              </c:strCache>
            </c:strRef>
          </c:tx>
          <c:spPr>
            <a:ln w="19050">
              <a:solidFill>
                <a:srgbClr val="B4C98B"/>
              </a:solidFill>
              <a:prstDash val="sysDash"/>
            </a:ln>
          </c:spPr>
          <c:marker>
            <c:symbol val="none"/>
          </c:marker>
          <c:cat>
            <c:strRef>
              <c:f>'Figure 6.5'!$C$3:$AC$3</c:f>
              <c:strCache>
                <c:ptCount val="27"/>
                <c:pt idx="0">
                  <c:v>86</c:v>
                </c:pt>
                <c:pt idx="1">
                  <c:v>87</c:v>
                </c:pt>
                <c:pt idx="2">
                  <c:v>88</c:v>
                </c:pt>
                <c:pt idx="3">
                  <c:v>89</c:v>
                </c:pt>
                <c:pt idx="4">
                  <c:v>90</c:v>
                </c:pt>
                <c:pt idx="5">
                  <c:v>91</c:v>
                </c:pt>
                <c:pt idx="6">
                  <c:v>92</c:v>
                </c:pt>
                <c:pt idx="7">
                  <c:v>93</c:v>
                </c:pt>
                <c:pt idx="8">
                  <c:v>94</c:v>
                </c:pt>
                <c:pt idx="9">
                  <c:v>95</c:v>
                </c:pt>
                <c:pt idx="10">
                  <c:v>96</c:v>
                </c:pt>
                <c:pt idx="11">
                  <c:v>97</c:v>
                </c:pt>
                <c:pt idx="12">
                  <c:v>98</c:v>
                </c:pt>
                <c:pt idx="13">
                  <c:v>99</c:v>
                </c:pt>
                <c:pt idx="14">
                  <c:v>00</c:v>
                </c:pt>
                <c:pt idx="15">
                  <c:v>01</c:v>
                </c:pt>
                <c:pt idx="16">
                  <c:v>02</c:v>
                </c:pt>
                <c:pt idx="17">
                  <c:v>03</c:v>
                </c:pt>
                <c:pt idx="18">
                  <c:v>04</c:v>
                </c:pt>
                <c:pt idx="19">
                  <c:v>05</c:v>
                </c:pt>
                <c:pt idx="20">
                  <c:v>06</c:v>
                </c:pt>
                <c:pt idx="21">
                  <c:v>07</c:v>
                </c:pt>
                <c:pt idx="22">
                  <c:v>08</c:v>
                </c:pt>
                <c:pt idx="23">
                  <c:v>09</c:v>
                </c:pt>
                <c:pt idx="24">
                  <c:v>10</c:v>
                </c:pt>
                <c:pt idx="25">
                  <c:v>11</c:v>
                </c:pt>
                <c:pt idx="26">
                  <c:v>12</c:v>
                </c:pt>
              </c:strCache>
            </c:strRef>
          </c:cat>
          <c:val>
            <c:numRef>
              <c:f>'Figure 6.5'!$C$7:$AC$7</c:f>
              <c:numCache>
                <c:formatCode>#\ ##0</c:formatCode>
                <c:ptCount val="27"/>
                <c:pt idx="0">
                  <c:v>100</c:v>
                </c:pt>
                <c:pt idx="1">
                  <c:v>105.69655950366609</c:v>
                </c:pt>
                <c:pt idx="2">
                  <c:v>112.69035532994923</c:v>
                </c:pt>
                <c:pt idx="3">
                  <c:v>120.47377326565143</c:v>
                </c:pt>
                <c:pt idx="4">
                  <c:v>126.73434856175972</c:v>
                </c:pt>
                <c:pt idx="5">
                  <c:v>133.44613649182176</c:v>
                </c:pt>
                <c:pt idx="6">
                  <c:v>137.39424703891709</c:v>
                </c:pt>
                <c:pt idx="7">
                  <c:v>143.42921601804849</c:v>
                </c:pt>
                <c:pt idx="8">
                  <c:v>148.95657078398196</c:v>
                </c:pt>
                <c:pt idx="9">
                  <c:v>156.51438240270727</c:v>
                </c:pt>
                <c:pt idx="10">
                  <c:v>171.17879300620416</c:v>
                </c:pt>
                <c:pt idx="11">
                  <c:v>185.27918781725887</c:v>
                </c:pt>
                <c:pt idx="12">
                  <c:v>231.13367174280879</c:v>
                </c:pt>
                <c:pt idx="13">
                  <c:v>249.57698815566835</c:v>
                </c:pt>
                <c:pt idx="14">
                  <c:v>263.45177664974619</c:v>
                </c:pt>
                <c:pt idx="15">
                  <c:v>269.2047377326565</c:v>
                </c:pt>
                <c:pt idx="16">
                  <c:v>275.97292724196274</c:v>
                </c:pt>
                <c:pt idx="17">
                  <c:v>306.09137055837567</c:v>
                </c:pt>
                <c:pt idx="18">
                  <c:v>353.86350817822898</c:v>
                </c:pt>
                <c:pt idx="19">
                  <c:v>391.08855047941341</c:v>
                </c:pt>
                <c:pt idx="20">
                  <c:v>472.92724196277493</c:v>
                </c:pt>
                <c:pt idx="21">
                  <c:v>544.9520586576424</c:v>
                </c:pt>
                <c:pt idx="22">
                  <c:v>674.28087986463618</c:v>
                </c:pt>
                <c:pt idx="23">
                  <c:v>766.94867456288773</c:v>
                </c:pt>
                <c:pt idx="24">
                  <c:v>851.38183869148327</c:v>
                </c:pt>
                <c:pt idx="25">
                  <c:v>989.79131415679637</c:v>
                </c:pt>
                <c:pt idx="26">
                  <c:v>1155.6841672043656</c:v>
                </c:pt>
              </c:numCache>
            </c:numRef>
          </c:val>
          <c:smooth val="0"/>
        </c:ser>
        <c:ser>
          <c:idx val="2"/>
          <c:order val="2"/>
          <c:tx>
            <c:strRef>
              <c:f>'Figure 6.5'!$B$14</c:f>
              <c:strCache>
                <c:ptCount val="1"/>
                <c:pt idx="0">
                  <c:v>Output</c:v>
                </c:pt>
              </c:strCache>
            </c:strRef>
          </c:tx>
          <c:spPr>
            <a:ln w="19050">
              <a:solidFill>
                <a:srgbClr val="7B905A"/>
              </a:solidFill>
              <a:prstDash val="dashDot"/>
            </a:ln>
          </c:spPr>
          <c:marker>
            <c:symbol val="none"/>
          </c:marker>
          <c:cat>
            <c:strRef>
              <c:f>'Figure 6.5'!$C$3:$AC$3</c:f>
              <c:strCache>
                <c:ptCount val="27"/>
                <c:pt idx="0">
                  <c:v>86</c:v>
                </c:pt>
                <c:pt idx="1">
                  <c:v>87</c:v>
                </c:pt>
                <c:pt idx="2">
                  <c:v>88</c:v>
                </c:pt>
                <c:pt idx="3">
                  <c:v>89</c:v>
                </c:pt>
                <c:pt idx="4">
                  <c:v>90</c:v>
                </c:pt>
                <c:pt idx="5">
                  <c:v>91</c:v>
                </c:pt>
                <c:pt idx="6">
                  <c:v>92</c:v>
                </c:pt>
                <c:pt idx="7">
                  <c:v>93</c:v>
                </c:pt>
                <c:pt idx="8">
                  <c:v>94</c:v>
                </c:pt>
                <c:pt idx="9">
                  <c:v>95</c:v>
                </c:pt>
                <c:pt idx="10">
                  <c:v>96</c:v>
                </c:pt>
                <c:pt idx="11">
                  <c:v>97</c:v>
                </c:pt>
                <c:pt idx="12">
                  <c:v>98</c:v>
                </c:pt>
                <c:pt idx="13">
                  <c:v>99</c:v>
                </c:pt>
                <c:pt idx="14">
                  <c:v>00</c:v>
                </c:pt>
                <c:pt idx="15">
                  <c:v>01</c:v>
                </c:pt>
                <c:pt idx="16">
                  <c:v>02</c:v>
                </c:pt>
                <c:pt idx="17">
                  <c:v>03</c:v>
                </c:pt>
                <c:pt idx="18">
                  <c:v>04</c:v>
                </c:pt>
                <c:pt idx="19">
                  <c:v>05</c:v>
                </c:pt>
                <c:pt idx="20">
                  <c:v>06</c:v>
                </c:pt>
                <c:pt idx="21">
                  <c:v>07</c:v>
                </c:pt>
                <c:pt idx="22">
                  <c:v>08</c:v>
                </c:pt>
                <c:pt idx="23">
                  <c:v>09</c:v>
                </c:pt>
                <c:pt idx="24">
                  <c:v>10</c:v>
                </c:pt>
                <c:pt idx="25">
                  <c:v>11</c:v>
                </c:pt>
                <c:pt idx="26">
                  <c:v>12</c:v>
                </c:pt>
              </c:strCache>
            </c:strRef>
          </c:cat>
          <c:val>
            <c:numRef>
              <c:f>'Figure 6.5'!$C$14:$AC$14</c:f>
              <c:numCache>
                <c:formatCode>#\ ##0</c:formatCode>
                <c:ptCount val="27"/>
                <c:pt idx="0">
                  <c:v>100</c:v>
                </c:pt>
                <c:pt idx="1">
                  <c:v>94.085150408964026</c:v>
                </c:pt>
                <c:pt idx="2">
                  <c:v>110.91416635758486</c:v>
                </c:pt>
                <c:pt idx="3">
                  <c:v>116.43664473812638</c:v>
                </c:pt>
                <c:pt idx="4">
                  <c:v>128.11408046537957</c:v>
                </c:pt>
                <c:pt idx="5">
                  <c:v>135.39734905420968</c:v>
                </c:pt>
                <c:pt idx="6">
                  <c:v>141.58939621683876</c:v>
                </c:pt>
                <c:pt idx="7">
                  <c:v>142.9988092216995</c:v>
                </c:pt>
                <c:pt idx="8">
                  <c:v>145.49553946161205</c:v>
                </c:pt>
                <c:pt idx="9">
                  <c:v>155.92168192554706</c:v>
                </c:pt>
                <c:pt idx="10">
                  <c:v>170.01190778300506</c:v>
                </c:pt>
                <c:pt idx="11">
                  <c:v>172.2412009291975</c:v>
                </c:pt>
                <c:pt idx="12">
                  <c:v>178.11896070431609</c:v>
                </c:pt>
                <c:pt idx="13">
                  <c:v>177.11948777012122</c:v>
                </c:pt>
                <c:pt idx="14">
                  <c:v>185.52521131434594</c:v>
                </c:pt>
                <c:pt idx="15">
                  <c:v>200.71056278915415</c:v>
                </c:pt>
                <c:pt idx="16">
                  <c:v>201.4386944384797</c:v>
                </c:pt>
                <c:pt idx="17">
                  <c:v>202.77392781150564</c:v>
                </c:pt>
                <c:pt idx="18">
                  <c:v>196.86103031604426</c:v>
                </c:pt>
                <c:pt idx="19">
                  <c:v>207.13295722958597</c:v>
                </c:pt>
                <c:pt idx="20">
                  <c:v>211.08009448142582</c:v>
                </c:pt>
                <c:pt idx="21">
                  <c:v>228.9632420403303</c:v>
                </c:pt>
                <c:pt idx="22">
                  <c:v>233.5897085521307</c:v>
                </c:pt>
                <c:pt idx="23">
                  <c:v>240.71290530384368</c:v>
                </c:pt>
                <c:pt idx="24">
                  <c:v>259.65604075975557</c:v>
                </c:pt>
                <c:pt idx="25">
                  <c:v>255.93729869014388</c:v>
                </c:pt>
                <c:pt idx="26">
                  <c:v>273.18991937845277</c:v>
                </c:pt>
              </c:numCache>
            </c:numRef>
          </c:val>
          <c:smooth val="0"/>
        </c:ser>
        <c:dLbls>
          <c:showLegendKey val="0"/>
          <c:showVal val="0"/>
          <c:showCatName val="0"/>
          <c:showSerName val="0"/>
          <c:showPercent val="0"/>
          <c:showBubbleSize val="0"/>
        </c:dLbls>
        <c:marker val="1"/>
        <c:smooth val="0"/>
        <c:axId val="200353664"/>
        <c:axId val="200355200"/>
      </c:lineChart>
      <c:catAx>
        <c:axId val="200353664"/>
        <c:scaling>
          <c:orientation val="minMax"/>
        </c:scaling>
        <c:delete val="0"/>
        <c:axPos val="b"/>
        <c:majorTickMark val="out"/>
        <c:minorTickMark val="none"/>
        <c:tickLblPos val="nextTo"/>
        <c:spPr>
          <a:ln>
            <a:solidFill>
              <a:schemeClr val="tx1"/>
            </a:solidFill>
          </a:ln>
        </c:spPr>
        <c:crossAx val="200355200"/>
        <c:crosses val="autoZero"/>
        <c:auto val="1"/>
        <c:lblAlgn val="ctr"/>
        <c:lblOffset val="100"/>
        <c:tickLblSkip val="2"/>
        <c:tickMarkSkip val="2"/>
        <c:noMultiLvlLbl val="0"/>
      </c:catAx>
      <c:valAx>
        <c:axId val="200355200"/>
        <c:scaling>
          <c:orientation val="minMax"/>
          <c:max val="1200"/>
        </c:scaling>
        <c:delete val="0"/>
        <c:axPos val="l"/>
        <c:majorGridlines/>
        <c:title>
          <c:tx>
            <c:rich>
              <a:bodyPr rot="-5400000" vert="horz"/>
              <a:lstStyle/>
              <a:p>
                <a:pPr>
                  <a:defRPr b="1"/>
                </a:pPr>
                <a:r>
                  <a:rPr lang="en-US" b="1"/>
                  <a:t>Index, 1985-86=100</a:t>
                </a:r>
              </a:p>
            </c:rich>
          </c:tx>
          <c:layout>
            <c:manualLayout>
              <c:xMode val="edge"/>
              <c:yMode val="edge"/>
              <c:x val="0"/>
              <c:y val="0.29349022638860867"/>
            </c:manualLayout>
          </c:layout>
          <c:overlay val="0"/>
        </c:title>
        <c:numFmt formatCode="#\ ##0" sourceLinked="1"/>
        <c:majorTickMark val="out"/>
        <c:minorTickMark val="none"/>
        <c:tickLblPos val="nextTo"/>
        <c:spPr>
          <a:ln>
            <a:solidFill>
              <a:schemeClr val="tx1"/>
            </a:solidFill>
          </a:ln>
        </c:spPr>
        <c:crossAx val="200353664"/>
        <c:crosses val="autoZero"/>
        <c:crossBetween val="between"/>
      </c:valAx>
      <c:spPr>
        <a:ln>
          <a:solidFill>
            <a:schemeClr val="tx1"/>
          </a:solidFill>
        </a:ln>
      </c:spPr>
    </c:plotArea>
    <c:legend>
      <c:legendPos val="r"/>
      <c:layout>
        <c:manualLayout>
          <c:xMode val="edge"/>
          <c:yMode val="edge"/>
          <c:x val="0.19623737491204249"/>
          <c:y val="2.1448239215496835E-3"/>
          <c:w val="0.69712935355530725"/>
          <c:h val="0.20104853479593293"/>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920613674756071"/>
          <c:y val="0.29019970733746775"/>
          <c:w val="0.76597504184673504"/>
          <c:h val="0.60175311292352307"/>
        </c:manualLayout>
      </c:layout>
      <c:lineChart>
        <c:grouping val="standard"/>
        <c:varyColors val="0"/>
        <c:ser>
          <c:idx val="0"/>
          <c:order val="0"/>
          <c:tx>
            <c:strRef>
              <c:f>'Figure 6.5'!$B$8</c:f>
              <c:strCache>
                <c:ptCount val="1"/>
                <c:pt idx="0">
                  <c:v>Industrial machinery &amp; equip.</c:v>
                </c:pt>
              </c:strCache>
            </c:strRef>
          </c:tx>
          <c:spPr>
            <a:ln w="19050">
              <a:solidFill>
                <a:srgbClr val="344893"/>
              </a:solidFill>
              <a:prstDash val="solid"/>
            </a:ln>
          </c:spPr>
          <c:marker>
            <c:symbol val="none"/>
          </c:marker>
          <c:cat>
            <c:strRef>
              <c:f>'Figure 6.5'!$C$3:$AC$3</c:f>
              <c:strCache>
                <c:ptCount val="27"/>
                <c:pt idx="0">
                  <c:v>86</c:v>
                </c:pt>
                <c:pt idx="1">
                  <c:v>87</c:v>
                </c:pt>
                <c:pt idx="2">
                  <c:v>88</c:v>
                </c:pt>
                <c:pt idx="3">
                  <c:v>89</c:v>
                </c:pt>
                <c:pt idx="4">
                  <c:v>90</c:v>
                </c:pt>
                <c:pt idx="5">
                  <c:v>91</c:v>
                </c:pt>
                <c:pt idx="6">
                  <c:v>92</c:v>
                </c:pt>
                <c:pt idx="7">
                  <c:v>93</c:v>
                </c:pt>
                <c:pt idx="8">
                  <c:v>94</c:v>
                </c:pt>
                <c:pt idx="9">
                  <c:v>95</c:v>
                </c:pt>
                <c:pt idx="10">
                  <c:v>96</c:v>
                </c:pt>
                <c:pt idx="11">
                  <c:v>97</c:v>
                </c:pt>
                <c:pt idx="12">
                  <c:v>98</c:v>
                </c:pt>
                <c:pt idx="13">
                  <c:v>99</c:v>
                </c:pt>
                <c:pt idx="14">
                  <c:v>00</c:v>
                </c:pt>
                <c:pt idx="15">
                  <c:v>01</c:v>
                </c:pt>
                <c:pt idx="16">
                  <c:v>02</c:v>
                </c:pt>
                <c:pt idx="17">
                  <c:v>03</c:v>
                </c:pt>
                <c:pt idx="18">
                  <c:v>04</c:v>
                </c:pt>
                <c:pt idx="19">
                  <c:v>05</c:v>
                </c:pt>
                <c:pt idx="20">
                  <c:v>06</c:v>
                </c:pt>
                <c:pt idx="21">
                  <c:v>07</c:v>
                </c:pt>
                <c:pt idx="22">
                  <c:v>08</c:v>
                </c:pt>
                <c:pt idx="23">
                  <c:v>09</c:v>
                </c:pt>
                <c:pt idx="24">
                  <c:v>10</c:v>
                </c:pt>
                <c:pt idx="25">
                  <c:v>11</c:v>
                </c:pt>
                <c:pt idx="26">
                  <c:v>12</c:v>
                </c:pt>
              </c:strCache>
            </c:strRef>
          </c:cat>
          <c:val>
            <c:numRef>
              <c:f>'Figure 6.5'!$C$8:$AC$8</c:f>
              <c:numCache>
                <c:formatCode>#\ ##0</c:formatCode>
                <c:ptCount val="27"/>
                <c:pt idx="0">
                  <c:v>100</c:v>
                </c:pt>
                <c:pt idx="1">
                  <c:v>104.97093408732178</c:v>
                </c:pt>
                <c:pt idx="2">
                  <c:v>111.02023706149825</c:v>
                </c:pt>
                <c:pt idx="3">
                  <c:v>117.85703591853844</c:v>
                </c:pt>
                <c:pt idx="4">
                  <c:v>123.29293905782811</c:v>
                </c:pt>
                <c:pt idx="5">
                  <c:v>128.53806372685312</c:v>
                </c:pt>
                <c:pt idx="6">
                  <c:v>131.53704994888335</c:v>
                </c:pt>
                <c:pt idx="7">
                  <c:v>135.67257965856641</c:v>
                </c:pt>
                <c:pt idx="8">
                  <c:v>138.43587319648043</c:v>
                </c:pt>
                <c:pt idx="9">
                  <c:v>139.74480171443969</c:v>
                </c:pt>
                <c:pt idx="10">
                  <c:v>145.28464917721436</c:v>
                </c:pt>
                <c:pt idx="11">
                  <c:v>152.69763323480723</c:v>
                </c:pt>
                <c:pt idx="12">
                  <c:v>167.47398183754743</c:v>
                </c:pt>
                <c:pt idx="13">
                  <c:v>173.90355848900029</c:v>
                </c:pt>
                <c:pt idx="14">
                  <c:v>177.73110501798709</c:v>
                </c:pt>
                <c:pt idx="15">
                  <c:v>177.70757852501723</c:v>
                </c:pt>
                <c:pt idx="16">
                  <c:v>179.64658930015099</c:v>
                </c:pt>
                <c:pt idx="17">
                  <c:v>184.99565829266101</c:v>
                </c:pt>
                <c:pt idx="18">
                  <c:v>193.87241796739656</c:v>
                </c:pt>
                <c:pt idx="19">
                  <c:v>203.11704644129711</c:v>
                </c:pt>
                <c:pt idx="20">
                  <c:v>219.69637991436355</c:v>
                </c:pt>
                <c:pt idx="21">
                  <c:v>237.33055578131481</c:v>
                </c:pt>
                <c:pt idx="22">
                  <c:v>266.23862707942112</c:v>
                </c:pt>
                <c:pt idx="23">
                  <c:v>290.54705512471179</c:v>
                </c:pt>
                <c:pt idx="24">
                  <c:v>309.84348465858773</c:v>
                </c:pt>
                <c:pt idx="25">
                  <c:v>337.91529607022017</c:v>
                </c:pt>
                <c:pt idx="26">
                  <c:v>378.88891217896884</c:v>
                </c:pt>
              </c:numCache>
            </c:numRef>
          </c:val>
          <c:smooth val="0"/>
        </c:ser>
        <c:ser>
          <c:idx val="1"/>
          <c:order val="1"/>
          <c:tx>
            <c:strRef>
              <c:f>'Figure 6.5'!$B$9</c:f>
              <c:strCache>
                <c:ptCount val="1"/>
                <c:pt idx="0">
                  <c:v>Road vehicles</c:v>
                </c:pt>
              </c:strCache>
            </c:strRef>
          </c:tx>
          <c:spPr>
            <a:ln w="19050">
              <a:solidFill>
                <a:srgbClr val="B4C98B"/>
              </a:solidFill>
              <a:prstDash val="sysDash"/>
            </a:ln>
          </c:spPr>
          <c:marker>
            <c:symbol val="none"/>
          </c:marker>
          <c:cat>
            <c:strRef>
              <c:f>'Figure 6.5'!$C$3:$AC$3</c:f>
              <c:strCache>
                <c:ptCount val="27"/>
                <c:pt idx="0">
                  <c:v>86</c:v>
                </c:pt>
                <c:pt idx="1">
                  <c:v>87</c:v>
                </c:pt>
                <c:pt idx="2">
                  <c:v>88</c:v>
                </c:pt>
                <c:pt idx="3">
                  <c:v>89</c:v>
                </c:pt>
                <c:pt idx="4">
                  <c:v>90</c:v>
                </c:pt>
                <c:pt idx="5">
                  <c:v>91</c:v>
                </c:pt>
                <c:pt idx="6">
                  <c:v>92</c:v>
                </c:pt>
                <c:pt idx="7">
                  <c:v>93</c:v>
                </c:pt>
                <c:pt idx="8">
                  <c:v>94</c:v>
                </c:pt>
                <c:pt idx="9">
                  <c:v>95</c:v>
                </c:pt>
                <c:pt idx="10">
                  <c:v>96</c:v>
                </c:pt>
                <c:pt idx="11">
                  <c:v>97</c:v>
                </c:pt>
                <c:pt idx="12">
                  <c:v>98</c:v>
                </c:pt>
                <c:pt idx="13">
                  <c:v>99</c:v>
                </c:pt>
                <c:pt idx="14">
                  <c:v>00</c:v>
                </c:pt>
                <c:pt idx="15">
                  <c:v>01</c:v>
                </c:pt>
                <c:pt idx="16">
                  <c:v>02</c:v>
                </c:pt>
                <c:pt idx="17">
                  <c:v>03</c:v>
                </c:pt>
                <c:pt idx="18">
                  <c:v>04</c:v>
                </c:pt>
                <c:pt idx="19">
                  <c:v>05</c:v>
                </c:pt>
                <c:pt idx="20">
                  <c:v>06</c:v>
                </c:pt>
                <c:pt idx="21">
                  <c:v>07</c:v>
                </c:pt>
                <c:pt idx="22">
                  <c:v>08</c:v>
                </c:pt>
                <c:pt idx="23">
                  <c:v>09</c:v>
                </c:pt>
                <c:pt idx="24">
                  <c:v>10</c:v>
                </c:pt>
                <c:pt idx="25">
                  <c:v>11</c:v>
                </c:pt>
                <c:pt idx="26">
                  <c:v>12</c:v>
                </c:pt>
              </c:strCache>
            </c:strRef>
          </c:cat>
          <c:val>
            <c:numRef>
              <c:f>'Figure 6.5'!$C$9:$AC$9</c:f>
              <c:numCache>
                <c:formatCode>#\ ##0</c:formatCode>
                <c:ptCount val="27"/>
                <c:pt idx="0">
                  <c:v>100</c:v>
                </c:pt>
                <c:pt idx="1">
                  <c:v>104.50883173225907</c:v>
                </c:pt>
                <c:pt idx="2">
                  <c:v>109.83885962193989</c:v>
                </c:pt>
                <c:pt idx="3">
                  <c:v>115.60272699101333</c:v>
                </c:pt>
                <c:pt idx="4">
                  <c:v>120.0650759219089</c:v>
                </c:pt>
                <c:pt idx="5">
                  <c:v>124.72885032537961</c:v>
                </c:pt>
                <c:pt idx="6">
                  <c:v>126.60365664704059</c:v>
                </c:pt>
                <c:pt idx="7">
                  <c:v>129.57855593430432</c:v>
                </c:pt>
                <c:pt idx="8">
                  <c:v>130.75612023551287</c:v>
                </c:pt>
                <c:pt idx="9">
                  <c:v>139.85125503563683</c:v>
                </c:pt>
                <c:pt idx="10">
                  <c:v>155.90331577316394</c:v>
                </c:pt>
                <c:pt idx="11">
                  <c:v>172.60613572977999</c:v>
                </c:pt>
                <c:pt idx="12">
                  <c:v>217.67895878524948</c:v>
                </c:pt>
                <c:pt idx="13">
                  <c:v>240.98233653548189</c:v>
                </c:pt>
                <c:pt idx="14">
                  <c:v>258.64580105361017</c:v>
                </c:pt>
                <c:pt idx="15">
                  <c:v>256.30616671831422</c:v>
                </c:pt>
                <c:pt idx="16">
                  <c:v>257.35977688255349</c:v>
                </c:pt>
                <c:pt idx="17">
                  <c:v>263.32506972420208</c:v>
                </c:pt>
                <c:pt idx="18">
                  <c:v>278.6024171056709</c:v>
                </c:pt>
                <c:pt idx="19">
                  <c:v>294.99535171986366</c:v>
                </c:pt>
                <c:pt idx="20">
                  <c:v>319.83266191509136</c:v>
                </c:pt>
                <c:pt idx="21">
                  <c:v>347.31949178803842</c:v>
                </c:pt>
                <c:pt idx="22">
                  <c:v>394.54601797334988</c:v>
                </c:pt>
                <c:pt idx="23">
                  <c:v>423.86117136659436</c:v>
                </c:pt>
                <c:pt idx="24">
                  <c:v>451.71986365044933</c:v>
                </c:pt>
                <c:pt idx="25">
                  <c:v>480.35326929036256</c:v>
                </c:pt>
                <c:pt idx="26">
                  <c:v>519.20638422206457</c:v>
                </c:pt>
              </c:numCache>
            </c:numRef>
          </c:val>
          <c:smooth val="0"/>
        </c:ser>
        <c:ser>
          <c:idx val="2"/>
          <c:order val="2"/>
          <c:tx>
            <c:strRef>
              <c:f>'Figure 6.5'!$B$10</c:f>
              <c:strCache>
                <c:ptCount val="1"/>
                <c:pt idx="0">
                  <c:v>Non-dwelling construct.</c:v>
                </c:pt>
              </c:strCache>
            </c:strRef>
          </c:tx>
          <c:spPr>
            <a:ln w="19050">
              <a:solidFill>
                <a:srgbClr val="7B905A"/>
              </a:solidFill>
              <a:prstDash val="dashDot"/>
            </a:ln>
          </c:spPr>
          <c:marker>
            <c:symbol val="none"/>
          </c:marker>
          <c:cat>
            <c:strRef>
              <c:f>'Figure 6.5'!$C$3:$AC$3</c:f>
              <c:strCache>
                <c:ptCount val="27"/>
                <c:pt idx="0">
                  <c:v>86</c:v>
                </c:pt>
                <c:pt idx="1">
                  <c:v>87</c:v>
                </c:pt>
                <c:pt idx="2">
                  <c:v>88</c:v>
                </c:pt>
                <c:pt idx="3">
                  <c:v>89</c:v>
                </c:pt>
                <c:pt idx="4">
                  <c:v>90</c:v>
                </c:pt>
                <c:pt idx="5">
                  <c:v>91</c:v>
                </c:pt>
                <c:pt idx="6">
                  <c:v>92</c:v>
                </c:pt>
                <c:pt idx="7">
                  <c:v>93</c:v>
                </c:pt>
                <c:pt idx="8">
                  <c:v>94</c:v>
                </c:pt>
                <c:pt idx="9">
                  <c:v>95</c:v>
                </c:pt>
                <c:pt idx="10">
                  <c:v>96</c:v>
                </c:pt>
                <c:pt idx="11">
                  <c:v>97</c:v>
                </c:pt>
                <c:pt idx="12">
                  <c:v>98</c:v>
                </c:pt>
                <c:pt idx="13">
                  <c:v>99</c:v>
                </c:pt>
                <c:pt idx="14">
                  <c:v>00</c:v>
                </c:pt>
                <c:pt idx="15">
                  <c:v>01</c:v>
                </c:pt>
                <c:pt idx="16">
                  <c:v>02</c:v>
                </c:pt>
                <c:pt idx="17">
                  <c:v>03</c:v>
                </c:pt>
                <c:pt idx="18">
                  <c:v>04</c:v>
                </c:pt>
                <c:pt idx="19">
                  <c:v>05</c:v>
                </c:pt>
                <c:pt idx="20">
                  <c:v>06</c:v>
                </c:pt>
                <c:pt idx="21">
                  <c:v>07</c:v>
                </c:pt>
                <c:pt idx="22">
                  <c:v>08</c:v>
                </c:pt>
                <c:pt idx="23">
                  <c:v>09</c:v>
                </c:pt>
                <c:pt idx="24">
                  <c:v>10</c:v>
                </c:pt>
                <c:pt idx="25">
                  <c:v>11</c:v>
                </c:pt>
                <c:pt idx="26">
                  <c:v>12</c:v>
                </c:pt>
              </c:strCache>
            </c:strRef>
          </c:cat>
          <c:val>
            <c:numRef>
              <c:f>'Figure 6.5'!$C$10:$AC$10</c:f>
              <c:numCache>
                <c:formatCode>#\ ##0</c:formatCode>
                <c:ptCount val="27"/>
                <c:pt idx="0">
                  <c:v>100</c:v>
                </c:pt>
                <c:pt idx="1">
                  <c:v>104.84140472399292</c:v>
                </c:pt>
                <c:pt idx="2">
                  <c:v>106.97304532595622</c:v>
                </c:pt>
                <c:pt idx="3">
                  <c:v>107.92949573689751</c:v>
                </c:pt>
                <c:pt idx="4">
                  <c:v>109.43887170304288</c:v>
                </c:pt>
                <c:pt idx="5">
                  <c:v>111.67076803754318</c:v>
                </c:pt>
                <c:pt idx="6">
                  <c:v>114.06707662504535</c:v>
                </c:pt>
                <c:pt idx="7">
                  <c:v>119.41887416922668</c:v>
                </c:pt>
                <c:pt idx="8">
                  <c:v>125.10396394367808</c:v>
                </c:pt>
                <c:pt idx="9">
                  <c:v>131.10393892442218</c:v>
                </c:pt>
                <c:pt idx="10">
                  <c:v>137.47580727309767</c:v>
                </c:pt>
                <c:pt idx="11">
                  <c:v>145.14921305504771</c:v>
                </c:pt>
                <c:pt idx="12">
                  <c:v>152.44268356538691</c:v>
                </c:pt>
                <c:pt idx="13">
                  <c:v>160.9220668049874</c:v>
                </c:pt>
                <c:pt idx="14">
                  <c:v>161.57596292861112</c:v>
                </c:pt>
                <c:pt idx="15">
                  <c:v>161.57721389140571</c:v>
                </c:pt>
                <c:pt idx="16">
                  <c:v>163.9733437699372</c:v>
                </c:pt>
                <c:pt idx="17">
                  <c:v>168.67321098917202</c:v>
                </c:pt>
                <c:pt idx="18">
                  <c:v>173.3743291712014</c:v>
                </c:pt>
                <c:pt idx="19">
                  <c:v>179.7626387451771</c:v>
                </c:pt>
                <c:pt idx="20">
                  <c:v>201.01113535596147</c:v>
                </c:pt>
                <c:pt idx="21">
                  <c:v>226.66016166013486</c:v>
                </c:pt>
                <c:pt idx="22">
                  <c:v>256.40948658699818</c:v>
                </c:pt>
                <c:pt idx="23">
                  <c:v>297.53220782423614</c:v>
                </c:pt>
                <c:pt idx="24">
                  <c:v>335.47873452603699</c:v>
                </c:pt>
                <c:pt idx="25">
                  <c:v>391.0995784255382</c:v>
                </c:pt>
                <c:pt idx="26">
                  <c:v>501.17504129717338</c:v>
                </c:pt>
              </c:numCache>
            </c:numRef>
          </c:val>
          <c:smooth val="0"/>
        </c:ser>
        <c:ser>
          <c:idx val="3"/>
          <c:order val="3"/>
          <c:tx>
            <c:strRef>
              <c:f>'Figure 6.5'!$B$14</c:f>
              <c:strCache>
                <c:ptCount val="1"/>
                <c:pt idx="0">
                  <c:v>Output</c:v>
                </c:pt>
              </c:strCache>
            </c:strRef>
          </c:tx>
          <c:spPr>
            <a:ln w="19050">
              <a:solidFill>
                <a:srgbClr val="39580D"/>
              </a:solidFill>
              <a:prstDash val="sysDot"/>
            </a:ln>
          </c:spPr>
          <c:marker>
            <c:symbol val="none"/>
          </c:marker>
          <c:cat>
            <c:strRef>
              <c:f>'Figure 6.5'!$C$3:$AC$3</c:f>
              <c:strCache>
                <c:ptCount val="27"/>
                <c:pt idx="0">
                  <c:v>86</c:v>
                </c:pt>
                <c:pt idx="1">
                  <c:v>87</c:v>
                </c:pt>
                <c:pt idx="2">
                  <c:v>88</c:v>
                </c:pt>
                <c:pt idx="3">
                  <c:v>89</c:v>
                </c:pt>
                <c:pt idx="4">
                  <c:v>90</c:v>
                </c:pt>
                <c:pt idx="5">
                  <c:v>91</c:v>
                </c:pt>
                <c:pt idx="6">
                  <c:v>92</c:v>
                </c:pt>
                <c:pt idx="7">
                  <c:v>93</c:v>
                </c:pt>
                <c:pt idx="8">
                  <c:v>94</c:v>
                </c:pt>
                <c:pt idx="9">
                  <c:v>95</c:v>
                </c:pt>
                <c:pt idx="10">
                  <c:v>96</c:v>
                </c:pt>
                <c:pt idx="11">
                  <c:v>97</c:v>
                </c:pt>
                <c:pt idx="12">
                  <c:v>98</c:v>
                </c:pt>
                <c:pt idx="13">
                  <c:v>99</c:v>
                </c:pt>
                <c:pt idx="14">
                  <c:v>00</c:v>
                </c:pt>
                <c:pt idx="15">
                  <c:v>01</c:v>
                </c:pt>
                <c:pt idx="16">
                  <c:v>02</c:v>
                </c:pt>
                <c:pt idx="17">
                  <c:v>03</c:v>
                </c:pt>
                <c:pt idx="18">
                  <c:v>04</c:v>
                </c:pt>
                <c:pt idx="19">
                  <c:v>05</c:v>
                </c:pt>
                <c:pt idx="20">
                  <c:v>06</c:v>
                </c:pt>
                <c:pt idx="21">
                  <c:v>07</c:v>
                </c:pt>
                <c:pt idx="22">
                  <c:v>08</c:v>
                </c:pt>
                <c:pt idx="23">
                  <c:v>09</c:v>
                </c:pt>
                <c:pt idx="24">
                  <c:v>10</c:v>
                </c:pt>
                <c:pt idx="25">
                  <c:v>11</c:v>
                </c:pt>
                <c:pt idx="26">
                  <c:v>12</c:v>
                </c:pt>
              </c:strCache>
            </c:strRef>
          </c:cat>
          <c:val>
            <c:numRef>
              <c:f>'Figure 6.5'!$C$14:$AC$14</c:f>
              <c:numCache>
                <c:formatCode>#\ ##0</c:formatCode>
                <c:ptCount val="27"/>
                <c:pt idx="0">
                  <c:v>100</c:v>
                </c:pt>
                <c:pt idx="1">
                  <c:v>94.085150408964026</c:v>
                </c:pt>
                <c:pt idx="2">
                  <c:v>110.91416635758486</c:v>
                </c:pt>
                <c:pt idx="3">
                  <c:v>116.43664473812638</c:v>
                </c:pt>
                <c:pt idx="4">
                  <c:v>128.11408046537957</c:v>
                </c:pt>
                <c:pt idx="5">
                  <c:v>135.39734905420968</c:v>
                </c:pt>
                <c:pt idx="6">
                  <c:v>141.58939621683876</c:v>
                </c:pt>
                <c:pt idx="7">
                  <c:v>142.9988092216995</c:v>
                </c:pt>
                <c:pt idx="8">
                  <c:v>145.49553946161205</c:v>
                </c:pt>
                <c:pt idx="9">
                  <c:v>155.92168192554706</c:v>
                </c:pt>
                <c:pt idx="10">
                  <c:v>170.01190778300506</c:v>
                </c:pt>
                <c:pt idx="11">
                  <c:v>172.2412009291975</c:v>
                </c:pt>
                <c:pt idx="12">
                  <c:v>178.11896070431609</c:v>
                </c:pt>
                <c:pt idx="13">
                  <c:v>177.11948777012122</c:v>
                </c:pt>
                <c:pt idx="14">
                  <c:v>185.52521131434594</c:v>
                </c:pt>
                <c:pt idx="15">
                  <c:v>200.71056278915415</c:v>
                </c:pt>
                <c:pt idx="16">
                  <c:v>201.4386944384797</c:v>
                </c:pt>
                <c:pt idx="17">
                  <c:v>202.77392781150564</c:v>
                </c:pt>
                <c:pt idx="18">
                  <c:v>196.86103031604426</c:v>
                </c:pt>
                <c:pt idx="19">
                  <c:v>207.13295722958597</c:v>
                </c:pt>
                <c:pt idx="20">
                  <c:v>211.08009448142582</c:v>
                </c:pt>
                <c:pt idx="21">
                  <c:v>228.9632420403303</c:v>
                </c:pt>
                <c:pt idx="22">
                  <c:v>233.5897085521307</c:v>
                </c:pt>
                <c:pt idx="23">
                  <c:v>240.71290530384368</c:v>
                </c:pt>
                <c:pt idx="24">
                  <c:v>259.65604075975557</c:v>
                </c:pt>
                <c:pt idx="25">
                  <c:v>255.93729869014388</c:v>
                </c:pt>
                <c:pt idx="26">
                  <c:v>273.18991937845277</c:v>
                </c:pt>
              </c:numCache>
            </c:numRef>
          </c:val>
          <c:smooth val="0"/>
        </c:ser>
        <c:dLbls>
          <c:showLegendKey val="0"/>
          <c:showVal val="0"/>
          <c:showCatName val="0"/>
          <c:showSerName val="0"/>
          <c:showPercent val="0"/>
          <c:showBubbleSize val="0"/>
        </c:dLbls>
        <c:marker val="1"/>
        <c:smooth val="0"/>
        <c:axId val="200391296"/>
        <c:axId val="200405376"/>
      </c:lineChart>
      <c:catAx>
        <c:axId val="200391296"/>
        <c:scaling>
          <c:orientation val="minMax"/>
        </c:scaling>
        <c:delete val="0"/>
        <c:axPos val="b"/>
        <c:majorTickMark val="out"/>
        <c:minorTickMark val="none"/>
        <c:tickLblPos val="nextTo"/>
        <c:spPr>
          <a:ln>
            <a:solidFill>
              <a:schemeClr val="tx1"/>
            </a:solidFill>
          </a:ln>
        </c:spPr>
        <c:crossAx val="200405376"/>
        <c:crosses val="autoZero"/>
        <c:auto val="1"/>
        <c:lblAlgn val="ctr"/>
        <c:lblOffset val="100"/>
        <c:tickLblSkip val="2"/>
        <c:tickMarkSkip val="2"/>
        <c:noMultiLvlLbl val="0"/>
      </c:catAx>
      <c:valAx>
        <c:axId val="200405376"/>
        <c:scaling>
          <c:orientation val="minMax"/>
          <c:max val="1200"/>
        </c:scaling>
        <c:delete val="0"/>
        <c:axPos val="l"/>
        <c:majorGridlines/>
        <c:title>
          <c:tx>
            <c:rich>
              <a:bodyPr rot="-5400000" vert="horz"/>
              <a:lstStyle/>
              <a:p>
                <a:pPr>
                  <a:defRPr b="1"/>
                </a:pPr>
                <a:r>
                  <a:rPr lang="en-US" b="1"/>
                  <a:t>Index, 1985-86=100</a:t>
                </a:r>
              </a:p>
            </c:rich>
          </c:tx>
          <c:layout>
            <c:manualLayout>
              <c:xMode val="edge"/>
              <c:yMode val="edge"/>
              <c:x val="4.1558773342429967E-3"/>
              <c:y val="0.31719657166747961"/>
            </c:manualLayout>
          </c:layout>
          <c:overlay val="0"/>
        </c:title>
        <c:numFmt formatCode="#\ ##0" sourceLinked="1"/>
        <c:majorTickMark val="out"/>
        <c:minorTickMark val="none"/>
        <c:tickLblPos val="nextTo"/>
        <c:spPr>
          <a:ln>
            <a:solidFill>
              <a:schemeClr val="tx1"/>
            </a:solidFill>
          </a:ln>
        </c:spPr>
        <c:crossAx val="200391296"/>
        <c:crosses val="autoZero"/>
        <c:crossBetween val="between"/>
        <c:majorUnit val="200"/>
      </c:valAx>
      <c:spPr>
        <a:ln>
          <a:solidFill>
            <a:schemeClr val="tx1"/>
          </a:solidFill>
        </a:ln>
      </c:spPr>
    </c:plotArea>
    <c:legend>
      <c:legendPos val="r"/>
      <c:layout>
        <c:manualLayout>
          <c:xMode val="edge"/>
          <c:yMode val="edge"/>
          <c:x val="0.20510622462337938"/>
          <c:y val="2.8594342373869969E-3"/>
          <c:w val="0.72368611016237283"/>
          <c:h val="0.26386812863443782"/>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460357607702319"/>
          <c:y val="0.2926480384642185"/>
          <c:w val="0.77066438660107051"/>
          <c:h val="0.59930479620396659"/>
        </c:manualLayout>
      </c:layout>
      <c:lineChart>
        <c:grouping val="standard"/>
        <c:varyColors val="0"/>
        <c:ser>
          <c:idx val="0"/>
          <c:order val="0"/>
          <c:tx>
            <c:strRef>
              <c:f>'Figure 6.5'!$B$12</c:f>
              <c:strCache>
                <c:ptCount val="1"/>
                <c:pt idx="0">
                  <c:v>Other plant &amp; equipment</c:v>
                </c:pt>
              </c:strCache>
            </c:strRef>
          </c:tx>
          <c:spPr>
            <a:ln w="19050">
              <a:solidFill>
                <a:srgbClr val="344893"/>
              </a:solidFill>
              <a:prstDash val="solid"/>
            </a:ln>
          </c:spPr>
          <c:marker>
            <c:symbol val="none"/>
          </c:marker>
          <c:cat>
            <c:strRef>
              <c:f>'Figure 6.5'!$C$3:$AC$3</c:f>
              <c:strCache>
                <c:ptCount val="27"/>
                <c:pt idx="0">
                  <c:v>86</c:v>
                </c:pt>
                <c:pt idx="1">
                  <c:v>87</c:v>
                </c:pt>
                <c:pt idx="2">
                  <c:v>88</c:v>
                </c:pt>
                <c:pt idx="3">
                  <c:v>89</c:v>
                </c:pt>
                <c:pt idx="4">
                  <c:v>90</c:v>
                </c:pt>
                <c:pt idx="5">
                  <c:v>91</c:v>
                </c:pt>
                <c:pt idx="6">
                  <c:v>92</c:v>
                </c:pt>
                <c:pt idx="7">
                  <c:v>93</c:v>
                </c:pt>
                <c:pt idx="8">
                  <c:v>94</c:v>
                </c:pt>
                <c:pt idx="9">
                  <c:v>95</c:v>
                </c:pt>
                <c:pt idx="10">
                  <c:v>96</c:v>
                </c:pt>
                <c:pt idx="11">
                  <c:v>97</c:v>
                </c:pt>
                <c:pt idx="12">
                  <c:v>98</c:v>
                </c:pt>
                <c:pt idx="13">
                  <c:v>99</c:v>
                </c:pt>
                <c:pt idx="14">
                  <c:v>00</c:v>
                </c:pt>
                <c:pt idx="15">
                  <c:v>01</c:v>
                </c:pt>
                <c:pt idx="16">
                  <c:v>02</c:v>
                </c:pt>
                <c:pt idx="17">
                  <c:v>03</c:v>
                </c:pt>
                <c:pt idx="18">
                  <c:v>04</c:v>
                </c:pt>
                <c:pt idx="19">
                  <c:v>05</c:v>
                </c:pt>
                <c:pt idx="20">
                  <c:v>06</c:v>
                </c:pt>
                <c:pt idx="21">
                  <c:v>07</c:v>
                </c:pt>
                <c:pt idx="22">
                  <c:v>08</c:v>
                </c:pt>
                <c:pt idx="23">
                  <c:v>09</c:v>
                </c:pt>
                <c:pt idx="24">
                  <c:v>10</c:v>
                </c:pt>
                <c:pt idx="25">
                  <c:v>11</c:v>
                </c:pt>
                <c:pt idx="26">
                  <c:v>12</c:v>
                </c:pt>
              </c:strCache>
            </c:strRef>
          </c:cat>
          <c:val>
            <c:numRef>
              <c:f>'Figure 6.5'!$C$12:$AC$12</c:f>
              <c:numCache>
                <c:formatCode>#\ ##0</c:formatCode>
                <c:ptCount val="27"/>
                <c:pt idx="0">
                  <c:v>100</c:v>
                </c:pt>
                <c:pt idx="1">
                  <c:v>104.5464480874317</c:v>
                </c:pt>
                <c:pt idx="2">
                  <c:v>110.51366120218579</c:v>
                </c:pt>
                <c:pt idx="3">
                  <c:v>117.63934426229508</c:v>
                </c:pt>
                <c:pt idx="4">
                  <c:v>122.97892271662764</c:v>
                </c:pt>
                <c:pt idx="5">
                  <c:v>127.98438719750195</c:v>
                </c:pt>
                <c:pt idx="6">
                  <c:v>130.79781420765028</c:v>
                </c:pt>
                <c:pt idx="7">
                  <c:v>135.45979703356755</c:v>
                </c:pt>
                <c:pt idx="8">
                  <c:v>138.76658860265417</c:v>
                </c:pt>
                <c:pt idx="9">
                  <c:v>156.15612802498046</c:v>
                </c:pt>
                <c:pt idx="10">
                  <c:v>179.85948477751757</c:v>
                </c:pt>
                <c:pt idx="11">
                  <c:v>202.15768930523029</c:v>
                </c:pt>
                <c:pt idx="12">
                  <c:v>243.4192037470726</c:v>
                </c:pt>
                <c:pt idx="13">
                  <c:v>260.59953161592512</c:v>
                </c:pt>
                <c:pt idx="14">
                  <c:v>272.98048399687747</c:v>
                </c:pt>
                <c:pt idx="15">
                  <c:v>276.52146760343481</c:v>
                </c:pt>
                <c:pt idx="16">
                  <c:v>281.54254488680721</c:v>
                </c:pt>
                <c:pt idx="17">
                  <c:v>289.53942232630754</c:v>
                </c:pt>
                <c:pt idx="18">
                  <c:v>304.45589383294305</c:v>
                </c:pt>
                <c:pt idx="19">
                  <c:v>316.28103044496487</c:v>
                </c:pt>
                <c:pt idx="20">
                  <c:v>338.14207650273227</c:v>
                </c:pt>
                <c:pt idx="21">
                  <c:v>359.85636221701793</c:v>
                </c:pt>
                <c:pt idx="22">
                  <c:v>402.55113192818112</c:v>
                </c:pt>
                <c:pt idx="23">
                  <c:v>429.6487119437939</c:v>
                </c:pt>
                <c:pt idx="24">
                  <c:v>451.82201405152227</c:v>
                </c:pt>
                <c:pt idx="25">
                  <c:v>476.78688524590166</c:v>
                </c:pt>
                <c:pt idx="26">
                  <c:v>509.42598782035731</c:v>
                </c:pt>
              </c:numCache>
            </c:numRef>
          </c:val>
          <c:smooth val="0"/>
        </c:ser>
        <c:ser>
          <c:idx val="1"/>
          <c:order val="1"/>
          <c:tx>
            <c:strRef>
              <c:f>'Figure 6.5'!$B$13</c:f>
              <c:strCache>
                <c:ptCount val="1"/>
                <c:pt idx="0">
                  <c:v>Other transport equipment</c:v>
                </c:pt>
              </c:strCache>
            </c:strRef>
          </c:tx>
          <c:spPr>
            <a:ln w="19050">
              <a:solidFill>
                <a:srgbClr val="B4C98B"/>
              </a:solidFill>
              <a:prstDash val="sysDash"/>
            </a:ln>
          </c:spPr>
          <c:marker>
            <c:symbol val="none"/>
          </c:marker>
          <c:cat>
            <c:strRef>
              <c:f>'Figure 6.5'!$C$3:$AC$3</c:f>
              <c:strCache>
                <c:ptCount val="27"/>
                <c:pt idx="0">
                  <c:v>86</c:v>
                </c:pt>
                <c:pt idx="1">
                  <c:v>87</c:v>
                </c:pt>
                <c:pt idx="2">
                  <c:v>88</c:v>
                </c:pt>
                <c:pt idx="3">
                  <c:v>89</c:v>
                </c:pt>
                <c:pt idx="4">
                  <c:v>90</c:v>
                </c:pt>
                <c:pt idx="5">
                  <c:v>91</c:v>
                </c:pt>
                <c:pt idx="6">
                  <c:v>92</c:v>
                </c:pt>
                <c:pt idx="7">
                  <c:v>93</c:v>
                </c:pt>
                <c:pt idx="8">
                  <c:v>94</c:v>
                </c:pt>
                <c:pt idx="9">
                  <c:v>95</c:v>
                </c:pt>
                <c:pt idx="10">
                  <c:v>96</c:v>
                </c:pt>
                <c:pt idx="11">
                  <c:v>97</c:v>
                </c:pt>
                <c:pt idx="12">
                  <c:v>98</c:v>
                </c:pt>
                <c:pt idx="13">
                  <c:v>99</c:v>
                </c:pt>
                <c:pt idx="14">
                  <c:v>00</c:v>
                </c:pt>
                <c:pt idx="15">
                  <c:v>01</c:v>
                </c:pt>
                <c:pt idx="16">
                  <c:v>02</c:v>
                </c:pt>
                <c:pt idx="17">
                  <c:v>03</c:v>
                </c:pt>
                <c:pt idx="18">
                  <c:v>04</c:v>
                </c:pt>
                <c:pt idx="19">
                  <c:v>05</c:v>
                </c:pt>
                <c:pt idx="20">
                  <c:v>06</c:v>
                </c:pt>
                <c:pt idx="21">
                  <c:v>07</c:v>
                </c:pt>
                <c:pt idx="22">
                  <c:v>08</c:v>
                </c:pt>
                <c:pt idx="23">
                  <c:v>09</c:v>
                </c:pt>
                <c:pt idx="24">
                  <c:v>10</c:v>
                </c:pt>
                <c:pt idx="25">
                  <c:v>11</c:v>
                </c:pt>
                <c:pt idx="26">
                  <c:v>12</c:v>
                </c:pt>
              </c:strCache>
            </c:strRef>
          </c:cat>
          <c:val>
            <c:numRef>
              <c:f>'Figure 6.5'!$C$13:$AC$13</c:f>
              <c:numCache>
                <c:formatCode>#\ ##0</c:formatCode>
                <c:ptCount val="27"/>
                <c:pt idx="0">
                  <c:v>100</c:v>
                </c:pt>
                <c:pt idx="1">
                  <c:v>104.04193891505849</c:v>
                </c:pt>
                <c:pt idx="2">
                  <c:v>110.04406625132958</c:v>
                </c:pt>
                <c:pt idx="3">
                  <c:v>117.32259535025072</c:v>
                </c:pt>
                <c:pt idx="4">
                  <c:v>121.91156359215924</c:v>
                </c:pt>
                <c:pt idx="5">
                  <c:v>126.10545509800941</c:v>
                </c:pt>
                <c:pt idx="6">
                  <c:v>127.33627108342196</c:v>
                </c:pt>
                <c:pt idx="7">
                  <c:v>129.49399787266373</c:v>
                </c:pt>
                <c:pt idx="8">
                  <c:v>130.32973712201792</c:v>
                </c:pt>
                <c:pt idx="9">
                  <c:v>161.54079927062753</c:v>
                </c:pt>
                <c:pt idx="10">
                  <c:v>213.69092843032973</c:v>
                </c:pt>
                <c:pt idx="11">
                  <c:v>259.33748670414832</c:v>
                </c:pt>
                <c:pt idx="12">
                  <c:v>295.47181279440815</c:v>
                </c:pt>
                <c:pt idx="13">
                  <c:v>309.87691840145874</c:v>
                </c:pt>
                <c:pt idx="14">
                  <c:v>340.02431241452661</c:v>
                </c:pt>
                <c:pt idx="15">
                  <c:v>361.55599452970671</c:v>
                </c:pt>
                <c:pt idx="16">
                  <c:v>366.35769639872359</c:v>
                </c:pt>
                <c:pt idx="17">
                  <c:v>376.78164412703234</c:v>
                </c:pt>
                <c:pt idx="18">
                  <c:v>402.02096945752925</c:v>
                </c:pt>
                <c:pt idx="19">
                  <c:v>421.7900015195259</c:v>
                </c:pt>
                <c:pt idx="20">
                  <c:v>443.91429873879349</c:v>
                </c:pt>
                <c:pt idx="21">
                  <c:v>449.53654459808536</c:v>
                </c:pt>
                <c:pt idx="22">
                  <c:v>472.07111381249047</c:v>
                </c:pt>
                <c:pt idx="23">
                  <c:v>499.33140860051662</c:v>
                </c:pt>
                <c:pt idx="24">
                  <c:v>502.55280352530008</c:v>
                </c:pt>
                <c:pt idx="25">
                  <c:v>519.41954110317579</c:v>
                </c:pt>
                <c:pt idx="26">
                  <c:v>551.11961893445971</c:v>
                </c:pt>
              </c:numCache>
            </c:numRef>
          </c:val>
          <c:smooth val="0"/>
        </c:ser>
        <c:ser>
          <c:idx val="2"/>
          <c:order val="2"/>
          <c:tx>
            <c:strRef>
              <c:f>'Figure 6.5'!$B$14</c:f>
              <c:strCache>
                <c:ptCount val="1"/>
                <c:pt idx="0">
                  <c:v>Output</c:v>
                </c:pt>
              </c:strCache>
            </c:strRef>
          </c:tx>
          <c:spPr>
            <a:ln w="19050">
              <a:solidFill>
                <a:srgbClr val="7B905A"/>
              </a:solidFill>
              <a:prstDash val="dashDot"/>
            </a:ln>
          </c:spPr>
          <c:marker>
            <c:symbol val="none"/>
          </c:marker>
          <c:cat>
            <c:strRef>
              <c:f>'Figure 6.5'!$C$3:$AC$3</c:f>
              <c:strCache>
                <c:ptCount val="27"/>
                <c:pt idx="0">
                  <c:v>86</c:v>
                </c:pt>
                <c:pt idx="1">
                  <c:v>87</c:v>
                </c:pt>
                <c:pt idx="2">
                  <c:v>88</c:v>
                </c:pt>
                <c:pt idx="3">
                  <c:v>89</c:v>
                </c:pt>
                <c:pt idx="4">
                  <c:v>90</c:v>
                </c:pt>
                <c:pt idx="5">
                  <c:v>91</c:v>
                </c:pt>
                <c:pt idx="6">
                  <c:v>92</c:v>
                </c:pt>
                <c:pt idx="7">
                  <c:v>93</c:v>
                </c:pt>
                <c:pt idx="8">
                  <c:v>94</c:v>
                </c:pt>
                <c:pt idx="9">
                  <c:v>95</c:v>
                </c:pt>
                <c:pt idx="10">
                  <c:v>96</c:v>
                </c:pt>
                <c:pt idx="11">
                  <c:v>97</c:v>
                </c:pt>
                <c:pt idx="12">
                  <c:v>98</c:v>
                </c:pt>
                <c:pt idx="13">
                  <c:v>99</c:v>
                </c:pt>
                <c:pt idx="14">
                  <c:v>00</c:v>
                </c:pt>
                <c:pt idx="15">
                  <c:v>01</c:v>
                </c:pt>
                <c:pt idx="16">
                  <c:v>02</c:v>
                </c:pt>
                <c:pt idx="17">
                  <c:v>03</c:v>
                </c:pt>
                <c:pt idx="18">
                  <c:v>04</c:v>
                </c:pt>
                <c:pt idx="19">
                  <c:v>05</c:v>
                </c:pt>
                <c:pt idx="20">
                  <c:v>06</c:v>
                </c:pt>
                <c:pt idx="21">
                  <c:v>07</c:v>
                </c:pt>
                <c:pt idx="22">
                  <c:v>08</c:v>
                </c:pt>
                <c:pt idx="23">
                  <c:v>09</c:v>
                </c:pt>
                <c:pt idx="24">
                  <c:v>10</c:v>
                </c:pt>
                <c:pt idx="25">
                  <c:v>11</c:v>
                </c:pt>
                <c:pt idx="26">
                  <c:v>12</c:v>
                </c:pt>
              </c:strCache>
            </c:strRef>
          </c:cat>
          <c:val>
            <c:numRef>
              <c:f>'Figure 6.5'!$C$14:$AC$14</c:f>
              <c:numCache>
                <c:formatCode>#\ ##0</c:formatCode>
                <c:ptCount val="27"/>
                <c:pt idx="0">
                  <c:v>100</c:v>
                </c:pt>
                <c:pt idx="1">
                  <c:v>94.085150408964026</c:v>
                </c:pt>
                <c:pt idx="2">
                  <c:v>110.91416635758486</c:v>
                </c:pt>
                <c:pt idx="3">
                  <c:v>116.43664473812638</c:v>
                </c:pt>
                <c:pt idx="4">
                  <c:v>128.11408046537957</c:v>
                </c:pt>
                <c:pt idx="5">
                  <c:v>135.39734905420968</c:v>
                </c:pt>
                <c:pt idx="6">
                  <c:v>141.58939621683876</c:v>
                </c:pt>
                <c:pt idx="7">
                  <c:v>142.9988092216995</c:v>
                </c:pt>
                <c:pt idx="8">
                  <c:v>145.49553946161205</c:v>
                </c:pt>
                <c:pt idx="9">
                  <c:v>155.92168192554706</c:v>
                </c:pt>
                <c:pt idx="10">
                  <c:v>170.01190778300506</c:v>
                </c:pt>
                <c:pt idx="11">
                  <c:v>172.2412009291975</c:v>
                </c:pt>
                <c:pt idx="12">
                  <c:v>178.11896070431609</c:v>
                </c:pt>
                <c:pt idx="13">
                  <c:v>177.11948777012122</c:v>
                </c:pt>
                <c:pt idx="14">
                  <c:v>185.52521131434594</c:v>
                </c:pt>
                <c:pt idx="15">
                  <c:v>200.71056278915415</c:v>
                </c:pt>
                <c:pt idx="16">
                  <c:v>201.4386944384797</c:v>
                </c:pt>
                <c:pt idx="17">
                  <c:v>202.77392781150564</c:v>
                </c:pt>
                <c:pt idx="18">
                  <c:v>196.86103031604426</c:v>
                </c:pt>
                <c:pt idx="19">
                  <c:v>207.13295722958597</c:v>
                </c:pt>
                <c:pt idx="20">
                  <c:v>211.08009448142582</c:v>
                </c:pt>
                <c:pt idx="21">
                  <c:v>228.9632420403303</c:v>
                </c:pt>
                <c:pt idx="22">
                  <c:v>233.5897085521307</c:v>
                </c:pt>
                <c:pt idx="23">
                  <c:v>240.71290530384368</c:v>
                </c:pt>
                <c:pt idx="24">
                  <c:v>259.65604075975557</c:v>
                </c:pt>
                <c:pt idx="25">
                  <c:v>255.93729869014388</c:v>
                </c:pt>
                <c:pt idx="26">
                  <c:v>273.18991937845277</c:v>
                </c:pt>
              </c:numCache>
            </c:numRef>
          </c:val>
          <c:smooth val="0"/>
        </c:ser>
        <c:dLbls>
          <c:showLegendKey val="0"/>
          <c:showVal val="0"/>
          <c:showCatName val="0"/>
          <c:showSerName val="0"/>
          <c:showPercent val="0"/>
          <c:showBubbleSize val="0"/>
        </c:dLbls>
        <c:marker val="1"/>
        <c:smooth val="0"/>
        <c:axId val="200160768"/>
        <c:axId val="200162304"/>
      </c:lineChart>
      <c:catAx>
        <c:axId val="200160768"/>
        <c:scaling>
          <c:orientation val="minMax"/>
        </c:scaling>
        <c:delete val="0"/>
        <c:axPos val="b"/>
        <c:majorTickMark val="out"/>
        <c:minorTickMark val="none"/>
        <c:tickLblPos val="nextTo"/>
        <c:spPr>
          <a:ln>
            <a:solidFill>
              <a:schemeClr val="tx1"/>
            </a:solidFill>
          </a:ln>
        </c:spPr>
        <c:crossAx val="200162304"/>
        <c:crosses val="autoZero"/>
        <c:auto val="1"/>
        <c:lblAlgn val="ctr"/>
        <c:lblOffset val="100"/>
        <c:tickLblSkip val="2"/>
        <c:tickMarkSkip val="2"/>
        <c:noMultiLvlLbl val="0"/>
      </c:catAx>
      <c:valAx>
        <c:axId val="200162304"/>
        <c:scaling>
          <c:orientation val="minMax"/>
          <c:max val="1200"/>
        </c:scaling>
        <c:delete val="0"/>
        <c:axPos val="l"/>
        <c:majorGridlines/>
        <c:title>
          <c:tx>
            <c:rich>
              <a:bodyPr rot="-5400000" vert="horz"/>
              <a:lstStyle/>
              <a:p>
                <a:pPr>
                  <a:defRPr b="1"/>
                </a:pPr>
                <a:r>
                  <a:rPr lang="en-US" b="1"/>
                  <a:t>Index, 1985-86=100</a:t>
                </a:r>
              </a:p>
            </c:rich>
          </c:tx>
          <c:layout>
            <c:manualLayout>
              <c:xMode val="edge"/>
              <c:yMode val="edge"/>
              <c:x val="0"/>
              <c:y val="0.32082837432931505"/>
            </c:manualLayout>
          </c:layout>
          <c:overlay val="0"/>
        </c:title>
        <c:numFmt formatCode="#\ ##0" sourceLinked="1"/>
        <c:majorTickMark val="out"/>
        <c:minorTickMark val="none"/>
        <c:tickLblPos val="nextTo"/>
        <c:spPr>
          <a:ln>
            <a:solidFill>
              <a:schemeClr val="tx1"/>
            </a:solidFill>
          </a:ln>
        </c:spPr>
        <c:crossAx val="200160768"/>
        <c:crosses val="autoZero"/>
        <c:crossBetween val="between"/>
        <c:majorUnit val="200"/>
      </c:valAx>
      <c:spPr>
        <a:ln>
          <a:solidFill>
            <a:schemeClr val="tx1"/>
          </a:solidFill>
        </a:ln>
      </c:spPr>
    </c:plotArea>
    <c:legend>
      <c:legendPos val="r"/>
      <c:layout>
        <c:manualLayout>
          <c:xMode val="edge"/>
          <c:yMode val="edge"/>
          <c:x val="7.9104542631984298E-2"/>
          <c:y val="3.3869203849519109E-3"/>
          <c:w val="0.76373447868234656"/>
          <c:h val="0.20917140669254872"/>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148072159994086"/>
          <c:y val="0.18780766959124279"/>
          <c:w val="0.84572436017520558"/>
          <c:h val="0.73946898733925459"/>
        </c:manualLayout>
      </c:layout>
      <c:lineChart>
        <c:grouping val="standard"/>
        <c:varyColors val="0"/>
        <c:ser>
          <c:idx val="0"/>
          <c:order val="0"/>
          <c:tx>
            <c:strRef>
              <c:f>Sheet1!$B$3</c:f>
              <c:strCache>
                <c:ptCount val="1"/>
                <c:pt idx="0">
                  <c:v>Metal ore mining</c:v>
                </c:pt>
              </c:strCache>
            </c:strRef>
          </c:tx>
          <c:spPr>
            <a:ln w="19050">
              <a:solidFill>
                <a:srgbClr val="344893"/>
              </a:solidFill>
            </a:ln>
          </c:spPr>
          <c:marker>
            <c:symbol val="none"/>
          </c:marker>
          <c:cat>
            <c:numRef>
              <c:f>Sheet1!$A$4:$A$31</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Sheet1!$B$4:$B$31</c:f>
              <c:numCache>
                <c:formatCode>0.00</c:formatCode>
                <c:ptCount val="28"/>
                <c:pt idx="0">
                  <c:v>37.940692725000005</c:v>
                </c:pt>
                <c:pt idx="1">
                  <c:v>39.472775999999996</c:v>
                </c:pt>
                <c:pt idx="2">
                  <c:v>36.441779750000002</c:v>
                </c:pt>
                <c:pt idx="3">
                  <c:v>38.11978835</c:v>
                </c:pt>
                <c:pt idx="4">
                  <c:v>41.547245750000002</c:v>
                </c:pt>
                <c:pt idx="5">
                  <c:v>40.073255424999999</c:v>
                </c:pt>
                <c:pt idx="6">
                  <c:v>36.006488924999999</c:v>
                </c:pt>
                <c:pt idx="7">
                  <c:v>35.184135299999994</c:v>
                </c:pt>
                <c:pt idx="8">
                  <c:v>31.184555074999999</c:v>
                </c:pt>
                <c:pt idx="9">
                  <c:v>31.118923450000004</c:v>
                </c:pt>
                <c:pt idx="10">
                  <c:v>32.218792200000003</c:v>
                </c:pt>
                <c:pt idx="11">
                  <c:v>36.872555675000001</c:v>
                </c:pt>
                <c:pt idx="12">
                  <c:v>30.892312574999998</c:v>
                </c:pt>
                <c:pt idx="13">
                  <c:v>32.166732875000001</c:v>
                </c:pt>
                <c:pt idx="14">
                  <c:v>29.878896824999998</c:v>
                </c:pt>
                <c:pt idx="15">
                  <c:v>29.280260275</c:v>
                </c:pt>
                <c:pt idx="16">
                  <c:v>30.256902100000001</c:v>
                </c:pt>
                <c:pt idx="17">
                  <c:v>34.767775274999998</c:v>
                </c:pt>
                <c:pt idx="18">
                  <c:v>36.362918100000002</c:v>
                </c:pt>
                <c:pt idx="19">
                  <c:v>34.700151300000002</c:v>
                </c:pt>
                <c:pt idx="20">
                  <c:v>39.250830225000001</c:v>
                </c:pt>
                <c:pt idx="21">
                  <c:v>44.892561275000006</c:v>
                </c:pt>
                <c:pt idx="22">
                  <c:v>44.4333308</c:v>
                </c:pt>
                <c:pt idx="23">
                  <c:v>49.641371124999999</c:v>
                </c:pt>
                <c:pt idx="24">
                  <c:v>47.366899050000001</c:v>
                </c:pt>
                <c:pt idx="25">
                  <c:v>60.083381799999998</c:v>
                </c:pt>
                <c:pt idx="26">
                  <c:v>77.611781925000003</c:v>
                </c:pt>
                <c:pt idx="27">
                  <c:v>85.672292374999998</c:v>
                </c:pt>
              </c:numCache>
            </c:numRef>
          </c:val>
          <c:smooth val="0"/>
        </c:ser>
        <c:ser>
          <c:idx val="1"/>
          <c:order val="1"/>
          <c:tx>
            <c:strRef>
              <c:f>Sheet1!$C$3</c:f>
              <c:strCache>
                <c:ptCount val="1"/>
                <c:pt idx="0">
                  <c:v>Coal mining</c:v>
                </c:pt>
              </c:strCache>
            </c:strRef>
          </c:tx>
          <c:spPr>
            <a:ln w="19050">
              <a:solidFill>
                <a:srgbClr val="39580D"/>
              </a:solidFill>
              <a:prstDash val="sysDot"/>
            </a:ln>
          </c:spPr>
          <c:marker>
            <c:symbol val="none"/>
          </c:marker>
          <c:cat>
            <c:numRef>
              <c:f>Sheet1!$A$4:$A$31</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Sheet1!$C$4:$C$31</c:f>
              <c:numCache>
                <c:formatCode>0.00</c:formatCode>
                <c:ptCount val="28"/>
                <c:pt idx="0">
                  <c:v>34.555041074999998</c:v>
                </c:pt>
                <c:pt idx="1">
                  <c:v>34.100487025</c:v>
                </c:pt>
                <c:pt idx="2">
                  <c:v>36.635682225000004</c:v>
                </c:pt>
                <c:pt idx="3">
                  <c:v>32.299412175000001</c:v>
                </c:pt>
                <c:pt idx="4">
                  <c:v>30.563591424999998</c:v>
                </c:pt>
                <c:pt idx="5">
                  <c:v>29.636142675000002</c:v>
                </c:pt>
                <c:pt idx="6">
                  <c:v>29.587504325000001</c:v>
                </c:pt>
                <c:pt idx="7">
                  <c:v>24.34197515</c:v>
                </c:pt>
                <c:pt idx="8">
                  <c:v>27.975752274999998</c:v>
                </c:pt>
                <c:pt idx="9">
                  <c:v>24.050609850000001</c:v>
                </c:pt>
                <c:pt idx="10">
                  <c:v>24.257269725</c:v>
                </c:pt>
                <c:pt idx="11">
                  <c:v>21.878836475000004</c:v>
                </c:pt>
                <c:pt idx="12">
                  <c:v>23.131018274999999</c:v>
                </c:pt>
                <c:pt idx="13">
                  <c:v>20.701868349999998</c:v>
                </c:pt>
                <c:pt idx="14">
                  <c:v>18.424575399999998</c:v>
                </c:pt>
                <c:pt idx="15">
                  <c:v>18.189787074999998</c:v>
                </c:pt>
                <c:pt idx="16">
                  <c:v>20.061348500000001</c:v>
                </c:pt>
                <c:pt idx="17">
                  <c:v>18.8061212</c:v>
                </c:pt>
                <c:pt idx="18">
                  <c:v>21.181914325000001</c:v>
                </c:pt>
                <c:pt idx="19">
                  <c:v>20.516354674999999</c:v>
                </c:pt>
                <c:pt idx="20">
                  <c:v>26.740524000000001</c:v>
                </c:pt>
                <c:pt idx="21">
                  <c:v>29.010919349999998</c:v>
                </c:pt>
                <c:pt idx="22">
                  <c:v>25.249582050000001</c:v>
                </c:pt>
                <c:pt idx="23">
                  <c:v>30.875011675</c:v>
                </c:pt>
                <c:pt idx="24">
                  <c:v>38.625554824999995</c:v>
                </c:pt>
                <c:pt idx="25">
                  <c:v>42.122009649999995</c:v>
                </c:pt>
                <c:pt idx="26">
                  <c:v>50.690379149999998</c:v>
                </c:pt>
                <c:pt idx="27">
                  <c:v>52.999879</c:v>
                </c:pt>
              </c:numCache>
            </c:numRef>
          </c:val>
          <c:smooth val="0"/>
        </c:ser>
        <c:ser>
          <c:idx val="2"/>
          <c:order val="2"/>
          <c:tx>
            <c:strRef>
              <c:f>Sheet1!$D$3</c:f>
              <c:strCache>
                <c:ptCount val="1"/>
                <c:pt idx="0">
                  <c:v>Exploration &amp; other mining support services</c:v>
                </c:pt>
              </c:strCache>
            </c:strRef>
          </c:tx>
          <c:spPr>
            <a:ln w="19050">
              <a:solidFill>
                <a:srgbClr val="B4C98B"/>
              </a:solidFill>
              <a:prstDash val="sysDash"/>
            </a:ln>
          </c:spPr>
          <c:marker>
            <c:symbol val="none"/>
          </c:marker>
          <c:cat>
            <c:numRef>
              <c:f>Sheet1!$A$4:$A$31</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Sheet1!$D$4:$D$31</c:f>
              <c:numCache>
                <c:formatCode>0.00</c:formatCode>
                <c:ptCount val="28"/>
                <c:pt idx="0">
                  <c:v>12.37609595</c:v>
                </c:pt>
                <c:pt idx="1">
                  <c:v>13.04423575</c:v>
                </c:pt>
                <c:pt idx="2">
                  <c:v>13.554318500000001</c:v>
                </c:pt>
                <c:pt idx="3">
                  <c:v>12.407686699999999</c:v>
                </c:pt>
                <c:pt idx="4">
                  <c:v>15.068300849999998</c:v>
                </c:pt>
                <c:pt idx="5">
                  <c:v>14.94986355</c:v>
                </c:pt>
                <c:pt idx="6">
                  <c:v>13.3859554</c:v>
                </c:pt>
                <c:pt idx="7">
                  <c:v>13.191282299999999</c:v>
                </c:pt>
                <c:pt idx="8">
                  <c:v>14.461051175</c:v>
                </c:pt>
                <c:pt idx="9">
                  <c:v>15.040149249999999</c:v>
                </c:pt>
                <c:pt idx="10">
                  <c:v>13.144111625000001</c:v>
                </c:pt>
                <c:pt idx="11">
                  <c:v>14.3232634</c:v>
                </c:pt>
                <c:pt idx="12">
                  <c:v>14.920522625</c:v>
                </c:pt>
                <c:pt idx="13">
                  <c:v>15.301660850000001</c:v>
                </c:pt>
                <c:pt idx="14">
                  <c:v>14.7285577</c:v>
                </c:pt>
                <c:pt idx="15">
                  <c:v>15.176584224999999</c:v>
                </c:pt>
                <c:pt idx="16">
                  <c:v>13.068313874999999</c:v>
                </c:pt>
                <c:pt idx="17">
                  <c:v>14.578182074999999</c:v>
                </c:pt>
                <c:pt idx="18">
                  <c:v>15.5500825</c:v>
                </c:pt>
                <c:pt idx="19">
                  <c:v>20.150048775000002</c:v>
                </c:pt>
                <c:pt idx="20">
                  <c:v>20.831791449999997</c:v>
                </c:pt>
                <c:pt idx="21">
                  <c:v>24.357263375000002</c:v>
                </c:pt>
                <c:pt idx="22">
                  <c:v>30.397342574999996</c:v>
                </c:pt>
                <c:pt idx="23">
                  <c:v>40.676702274999997</c:v>
                </c:pt>
                <c:pt idx="24">
                  <c:v>32.542750349999999</c:v>
                </c:pt>
                <c:pt idx="25">
                  <c:v>34.821056175000002</c:v>
                </c:pt>
                <c:pt idx="26">
                  <c:v>44.998943650000001</c:v>
                </c:pt>
                <c:pt idx="27">
                  <c:v>54.327225799999994</c:v>
                </c:pt>
              </c:numCache>
            </c:numRef>
          </c:val>
          <c:smooth val="0"/>
        </c:ser>
        <c:ser>
          <c:idx val="3"/>
          <c:order val="3"/>
          <c:tx>
            <c:strRef>
              <c:f>Sheet1!$E$3</c:f>
              <c:strCache>
                <c:ptCount val="1"/>
                <c:pt idx="0">
                  <c:v>Non-metallic mineral mining &amp; quarrying</c:v>
                </c:pt>
              </c:strCache>
            </c:strRef>
          </c:tx>
          <c:spPr>
            <a:ln w="19050">
              <a:solidFill>
                <a:srgbClr val="604A7B"/>
              </a:solidFill>
              <a:prstDash val="lgDashDotDot"/>
            </a:ln>
          </c:spPr>
          <c:marker>
            <c:symbol val="none"/>
          </c:marker>
          <c:cat>
            <c:numRef>
              <c:f>Sheet1!$A$4:$A$31</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Sheet1!$E$4:$E$31</c:f>
              <c:numCache>
                <c:formatCode>0.00</c:formatCode>
                <c:ptCount val="28"/>
                <c:pt idx="0">
                  <c:v>12.11520035</c:v>
                </c:pt>
                <c:pt idx="1">
                  <c:v>12.52263595</c:v>
                </c:pt>
                <c:pt idx="2">
                  <c:v>12.8439327</c:v>
                </c:pt>
                <c:pt idx="3">
                  <c:v>9.589397224999999</c:v>
                </c:pt>
                <c:pt idx="4">
                  <c:v>13.059105725</c:v>
                </c:pt>
                <c:pt idx="5">
                  <c:v>9.336712125</c:v>
                </c:pt>
                <c:pt idx="6">
                  <c:v>8.5178828499999995</c:v>
                </c:pt>
                <c:pt idx="7">
                  <c:v>10.043241325</c:v>
                </c:pt>
                <c:pt idx="8">
                  <c:v>10.830978775</c:v>
                </c:pt>
                <c:pt idx="9">
                  <c:v>12.137961525</c:v>
                </c:pt>
                <c:pt idx="10">
                  <c:v>11.2627598</c:v>
                </c:pt>
                <c:pt idx="11">
                  <c:v>12.247683175000001</c:v>
                </c:pt>
                <c:pt idx="12">
                  <c:v>9.1491173500000009</c:v>
                </c:pt>
                <c:pt idx="13">
                  <c:v>9.9031495500000002</c:v>
                </c:pt>
                <c:pt idx="14">
                  <c:v>8.7713852999999986</c:v>
                </c:pt>
                <c:pt idx="15">
                  <c:v>10.5892964</c:v>
                </c:pt>
                <c:pt idx="16">
                  <c:v>8.8708553999999999</c:v>
                </c:pt>
                <c:pt idx="17">
                  <c:v>9.3353591750000007</c:v>
                </c:pt>
                <c:pt idx="18">
                  <c:v>8.3906790750000013</c:v>
                </c:pt>
                <c:pt idx="19">
                  <c:v>11.31176215</c:v>
                </c:pt>
                <c:pt idx="20">
                  <c:v>10.44357675</c:v>
                </c:pt>
                <c:pt idx="21">
                  <c:v>10.287685974999999</c:v>
                </c:pt>
                <c:pt idx="22">
                  <c:v>9.4558169000000003</c:v>
                </c:pt>
                <c:pt idx="23">
                  <c:v>10.971904050000001</c:v>
                </c:pt>
                <c:pt idx="24">
                  <c:v>10.237356525000001</c:v>
                </c:pt>
                <c:pt idx="25">
                  <c:v>11.561218674999999</c:v>
                </c:pt>
                <c:pt idx="26">
                  <c:v>10.545626299999999</c:v>
                </c:pt>
                <c:pt idx="27">
                  <c:v>16.743075075</c:v>
                </c:pt>
              </c:numCache>
            </c:numRef>
          </c:val>
          <c:smooth val="0"/>
        </c:ser>
        <c:ser>
          <c:idx val="4"/>
          <c:order val="4"/>
          <c:tx>
            <c:strRef>
              <c:f>Sheet1!$F$3</c:f>
              <c:strCache>
                <c:ptCount val="1"/>
                <c:pt idx="0">
                  <c:v> Oil &amp; gas extraction</c:v>
                </c:pt>
              </c:strCache>
            </c:strRef>
          </c:tx>
          <c:spPr>
            <a:ln w="25400">
              <a:solidFill>
                <a:srgbClr val="7B905A"/>
              </a:solidFill>
              <a:prstDash val="dashDot"/>
            </a:ln>
          </c:spPr>
          <c:marker>
            <c:symbol val="none"/>
          </c:marker>
          <c:cat>
            <c:numRef>
              <c:f>Sheet1!$A$4:$A$31</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Sheet1!$F$4:$F$31</c:f>
              <c:numCache>
                <c:formatCode>0.00</c:formatCode>
                <c:ptCount val="28"/>
                <c:pt idx="0">
                  <c:v>2.6438053750000003</c:v>
                </c:pt>
                <c:pt idx="1">
                  <c:v>2.8842280249999996</c:v>
                </c:pt>
                <c:pt idx="2">
                  <c:v>2.3578505999999999</c:v>
                </c:pt>
                <c:pt idx="3">
                  <c:v>3.2908720499999999</c:v>
                </c:pt>
                <c:pt idx="4">
                  <c:v>2.8636372000000003</c:v>
                </c:pt>
                <c:pt idx="5">
                  <c:v>4.5440799250000001</c:v>
                </c:pt>
                <c:pt idx="6">
                  <c:v>4.7192599999999993</c:v>
                </c:pt>
                <c:pt idx="7">
                  <c:v>5.6395164250000001</c:v>
                </c:pt>
                <c:pt idx="8">
                  <c:v>4.4593487500000002</c:v>
                </c:pt>
                <c:pt idx="9">
                  <c:v>3.9521590749999995</c:v>
                </c:pt>
                <c:pt idx="10">
                  <c:v>3.9852891249999995</c:v>
                </c:pt>
                <c:pt idx="11">
                  <c:v>3.1825701500000001</c:v>
                </c:pt>
                <c:pt idx="12">
                  <c:v>4.1246646250000003</c:v>
                </c:pt>
                <c:pt idx="13">
                  <c:v>5.9251567249999999</c:v>
                </c:pt>
                <c:pt idx="14">
                  <c:v>4.7330922500000003</c:v>
                </c:pt>
                <c:pt idx="15">
                  <c:v>5.4219764750000001</c:v>
                </c:pt>
                <c:pt idx="16">
                  <c:v>4.3575634499999998</c:v>
                </c:pt>
                <c:pt idx="17">
                  <c:v>3.8936503499999997</c:v>
                </c:pt>
                <c:pt idx="18">
                  <c:v>5.3738030750000005</c:v>
                </c:pt>
                <c:pt idx="19">
                  <c:v>6.1446423999999995</c:v>
                </c:pt>
                <c:pt idx="20">
                  <c:v>7.8195513749999996</c:v>
                </c:pt>
                <c:pt idx="21">
                  <c:v>9.426790024999999</c:v>
                </c:pt>
                <c:pt idx="22">
                  <c:v>10.522255999999999</c:v>
                </c:pt>
                <c:pt idx="23">
                  <c:v>13.133265625</c:v>
                </c:pt>
                <c:pt idx="24">
                  <c:v>13.182415350000001</c:v>
                </c:pt>
                <c:pt idx="25">
                  <c:v>15.72171415</c:v>
                </c:pt>
                <c:pt idx="26">
                  <c:v>13.590962374999998</c:v>
                </c:pt>
                <c:pt idx="27">
                  <c:v>17.112789325000001</c:v>
                </c:pt>
              </c:numCache>
            </c:numRef>
          </c:val>
          <c:smooth val="0"/>
        </c:ser>
        <c:ser>
          <c:idx val="5"/>
          <c:order val="5"/>
          <c:tx>
            <c:strRef>
              <c:f>Sheet1!$G$3</c:f>
              <c:strCache>
                <c:ptCount val="1"/>
                <c:pt idx="0">
                  <c:v>Mining (not further defined)</c:v>
                </c:pt>
              </c:strCache>
            </c:strRef>
          </c:tx>
          <c:spPr>
            <a:ln w="25400">
              <a:solidFill>
                <a:srgbClr val="604A7B"/>
              </a:solidFill>
              <a:prstDash val="dash"/>
            </a:ln>
          </c:spPr>
          <c:marker>
            <c:symbol val="none"/>
          </c:marker>
          <c:cat>
            <c:numRef>
              <c:f>Sheet1!$A$4:$A$31</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Sheet1!$G$4:$G$31</c:f>
              <c:numCache>
                <c:formatCode>General</c:formatCode>
                <c:ptCount val="28"/>
                <c:pt idx="15" formatCode="0.00">
                  <c:v>0.47299305000000003</c:v>
                </c:pt>
                <c:pt idx="16" formatCode="0.00">
                  <c:v>1.8294507</c:v>
                </c:pt>
                <c:pt idx="17" formatCode="0.00">
                  <c:v>1.8260736249999998</c:v>
                </c:pt>
                <c:pt idx="18" formatCode="0.00">
                  <c:v>2.212671625</c:v>
                </c:pt>
                <c:pt idx="19" formatCode="0.00">
                  <c:v>8.8625674249999999</c:v>
                </c:pt>
                <c:pt idx="20" formatCode="0.00">
                  <c:v>14.785904374999999</c:v>
                </c:pt>
                <c:pt idx="21" formatCode="0.00">
                  <c:v>14.5701938</c:v>
                </c:pt>
                <c:pt idx="22" formatCode="0.00">
                  <c:v>17.933136325</c:v>
                </c:pt>
                <c:pt idx="23" formatCode="0.00">
                  <c:v>20.198588399999998</c:v>
                </c:pt>
                <c:pt idx="24" formatCode="0.00">
                  <c:v>22.008393424999998</c:v>
                </c:pt>
                <c:pt idx="25" formatCode="0.00">
                  <c:v>23.966821400000001</c:v>
                </c:pt>
                <c:pt idx="26" formatCode="0.00">
                  <c:v>24.833678299999995</c:v>
                </c:pt>
                <c:pt idx="27" formatCode="0.00">
                  <c:v>38.629684474999998</c:v>
                </c:pt>
              </c:numCache>
            </c:numRef>
          </c:val>
          <c:smooth val="0"/>
        </c:ser>
        <c:dLbls>
          <c:showLegendKey val="0"/>
          <c:showVal val="0"/>
          <c:showCatName val="0"/>
          <c:showSerName val="0"/>
          <c:showPercent val="0"/>
          <c:showBubbleSize val="0"/>
        </c:dLbls>
        <c:marker val="1"/>
        <c:smooth val="0"/>
        <c:axId val="200223360"/>
        <c:axId val="200229248"/>
      </c:lineChart>
      <c:catAx>
        <c:axId val="200223360"/>
        <c:scaling>
          <c:orientation val="minMax"/>
        </c:scaling>
        <c:delete val="0"/>
        <c:axPos val="b"/>
        <c:numFmt formatCode="General" sourceLinked="1"/>
        <c:majorTickMark val="out"/>
        <c:minorTickMark val="none"/>
        <c:tickLblPos val="nextTo"/>
        <c:spPr>
          <a:ln>
            <a:solidFill>
              <a:schemeClr val="tx1"/>
            </a:solidFill>
          </a:ln>
        </c:spPr>
        <c:crossAx val="200229248"/>
        <c:crosses val="autoZero"/>
        <c:auto val="1"/>
        <c:lblAlgn val="ctr"/>
        <c:lblOffset val="100"/>
        <c:tickLblSkip val="3"/>
        <c:noMultiLvlLbl val="0"/>
      </c:catAx>
      <c:valAx>
        <c:axId val="200229248"/>
        <c:scaling>
          <c:orientation val="minMax"/>
          <c:max val="90"/>
        </c:scaling>
        <c:delete val="0"/>
        <c:axPos val="l"/>
        <c:majorGridlines>
          <c:spPr>
            <a:ln w="3175">
              <a:solidFill>
                <a:sysClr val="window" lastClr="FFFFFF">
                  <a:lumMod val="50000"/>
                </a:sysClr>
              </a:solidFill>
              <a:prstDash val="solid"/>
            </a:ln>
          </c:spPr>
        </c:majorGridlines>
        <c:title>
          <c:tx>
            <c:rich>
              <a:bodyPr rot="-5400000" vert="horz"/>
              <a:lstStyle/>
              <a:p>
                <a:pPr>
                  <a:defRPr/>
                </a:pPr>
                <a:r>
                  <a:rPr lang="en-US"/>
                  <a:t>Persons employed ('000s)</a:t>
                </a:r>
              </a:p>
            </c:rich>
          </c:tx>
          <c:layout>
            <c:manualLayout>
              <c:xMode val="edge"/>
              <c:yMode val="edge"/>
              <c:x val="1.1597257661365616E-3"/>
              <c:y val="0.29756067704906491"/>
            </c:manualLayout>
          </c:layout>
          <c:overlay val="0"/>
        </c:title>
        <c:numFmt formatCode="0" sourceLinked="0"/>
        <c:majorTickMark val="out"/>
        <c:minorTickMark val="none"/>
        <c:tickLblPos val="nextTo"/>
        <c:spPr>
          <a:ln w="9525">
            <a:solidFill>
              <a:schemeClr val="tx1"/>
            </a:solidFill>
            <a:prstDash val="sysDot"/>
          </a:ln>
        </c:spPr>
        <c:crossAx val="200223360"/>
        <c:crosses val="autoZero"/>
        <c:crossBetween val="midCat"/>
      </c:valAx>
      <c:spPr>
        <a:ln>
          <a:solidFill>
            <a:schemeClr val="tx1"/>
          </a:solidFill>
        </a:ln>
      </c:spPr>
    </c:plotArea>
    <c:legend>
      <c:legendPos val="t"/>
      <c:layout>
        <c:manualLayout>
          <c:xMode val="edge"/>
          <c:yMode val="edge"/>
          <c:x val="2.1109269000604468E-2"/>
          <c:y val="4.0390033086168972E-4"/>
          <c:w val="0.97889079886140995"/>
          <c:h val="0.16369016834419212"/>
        </c:manualLayout>
      </c:layout>
      <c:overlay val="0"/>
      <c:spPr>
        <a:ln>
          <a:noFill/>
        </a:ln>
      </c:spPr>
    </c:legend>
    <c:plotVisOnly val="1"/>
    <c:dispBlanksAs val="gap"/>
    <c:showDLblsOverMax val="0"/>
  </c:chart>
  <c:spPr>
    <a:ln>
      <a:noFill/>
    </a:ln>
  </c:spPr>
  <c:txPr>
    <a:bodyPr/>
    <a:lstStyle/>
    <a:p>
      <a:pPr>
        <a:defRPr sz="900"/>
      </a:pPr>
      <a:endParaRPr lang="en-US"/>
    </a:p>
  </c:tx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08434688891145"/>
          <c:y val="0.1053707888283876"/>
          <c:w val="0.83294614768898567"/>
          <c:h val="0.79899592196993074"/>
        </c:manualLayout>
      </c:layout>
      <c:lineChart>
        <c:grouping val="standard"/>
        <c:varyColors val="0"/>
        <c:ser>
          <c:idx val="0"/>
          <c:order val="0"/>
          <c:tx>
            <c:strRef>
              <c:f>Sheet1!$B$3</c:f>
              <c:strCache>
                <c:ptCount val="1"/>
                <c:pt idx="0">
                  <c:v>NSW</c:v>
                </c:pt>
              </c:strCache>
            </c:strRef>
          </c:tx>
          <c:spPr>
            <a:ln w="19050">
              <a:solidFill>
                <a:srgbClr val="344893"/>
              </a:solidFill>
            </a:ln>
          </c:spPr>
          <c:marker>
            <c:symbol val="none"/>
          </c:marker>
          <c:cat>
            <c:numRef>
              <c:f>Sheet1!$A$4:$A$31</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Sheet1!$B$4:$B$31</c:f>
              <c:numCache>
                <c:formatCode>0.0</c:formatCode>
                <c:ptCount val="28"/>
                <c:pt idx="0">
                  <c:v>32.502216099999998</c:v>
                </c:pt>
                <c:pt idx="1">
                  <c:v>30.133464400000001</c:v>
                </c:pt>
                <c:pt idx="2">
                  <c:v>30.504558299999999</c:v>
                </c:pt>
                <c:pt idx="3">
                  <c:v>31.919201749999999</c:v>
                </c:pt>
                <c:pt idx="4">
                  <c:v>29.738880675000001</c:v>
                </c:pt>
                <c:pt idx="5">
                  <c:v>27.1668199</c:v>
                </c:pt>
                <c:pt idx="6">
                  <c:v>26.111939274999997</c:v>
                </c:pt>
                <c:pt idx="7">
                  <c:v>22.260917925000001</c:v>
                </c:pt>
                <c:pt idx="8">
                  <c:v>28.510575849999999</c:v>
                </c:pt>
                <c:pt idx="9">
                  <c:v>23.692478850000001</c:v>
                </c:pt>
                <c:pt idx="10">
                  <c:v>25.319050025000003</c:v>
                </c:pt>
                <c:pt idx="11">
                  <c:v>23.648206125000002</c:v>
                </c:pt>
                <c:pt idx="12">
                  <c:v>23.810766000000001</c:v>
                </c:pt>
                <c:pt idx="13">
                  <c:v>18.602966200000001</c:v>
                </c:pt>
                <c:pt idx="14">
                  <c:v>17.339556625</c:v>
                </c:pt>
                <c:pt idx="15">
                  <c:v>14.936256749999998</c:v>
                </c:pt>
                <c:pt idx="16">
                  <c:v>16.914673174999997</c:v>
                </c:pt>
                <c:pt idx="17">
                  <c:v>15.663232625000001</c:v>
                </c:pt>
                <c:pt idx="18">
                  <c:v>17.440238475000001</c:v>
                </c:pt>
                <c:pt idx="19">
                  <c:v>19.799129775000001</c:v>
                </c:pt>
                <c:pt idx="20">
                  <c:v>20.747883574999999</c:v>
                </c:pt>
                <c:pt idx="21">
                  <c:v>22.380035475000003</c:v>
                </c:pt>
                <c:pt idx="22">
                  <c:v>23.516155024999996</c:v>
                </c:pt>
                <c:pt idx="23">
                  <c:v>30.243106999999995</c:v>
                </c:pt>
                <c:pt idx="24">
                  <c:v>32.691380199999998</c:v>
                </c:pt>
                <c:pt idx="25">
                  <c:v>34.369094625000002</c:v>
                </c:pt>
                <c:pt idx="26">
                  <c:v>41.0216487</c:v>
                </c:pt>
                <c:pt idx="27">
                  <c:v>48.132659200000006</c:v>
                </c:pt>
              </c:numCache>
            </c:numRef>
          </c:val>
          <c:smooth val="0"/>
        </c:ser>
        <c:ser>
          <c:idx val="1"/>
          <c:order val="1"/>
          <c:tx>
            <c:strRef>
              <c:f>Sheet1!$C$3</c:f>
              <c:strCache>
                <c:ptCount val="1"/>
                <c:pt idx="0">
                  <c:v>Vic</c:v>
                </c:pt>
              </c:strCache>
            </c:strRef>
          </c:tx>
          <c:spPr>
            <a:ln w="19050">
              <a:solidFill>
                <a:srgbClr val="B4C98B"/>
              </a:solidFill>
              <a:prstDash val="sysDash"/>
            </a:ln>
          </c:spPr>
          <c:marker>
            <c:symbol val="none"/>
          </c:marker>
          <c:cat>
            <c:numRef>
              <c:f>Sheet1!$A$4:$A$31</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Sheet1!$C$4:$C$31</c:f>
              <c:numCache>
                <c:formatCode>0.0</c:formatCode>
                <c:ptCount val="28"/>
                <c:pt idx="0">
                  <c:v>6.7328235000000003</c:v>
                </c:pt>
                <c:pt idx="1">
                  <c:v>6.0930986499999999</c:v>
                </c:pt>
                <c:pt idx="2">
                  <c:v>7.3052483499999994</c:v>
                </c:pt>
                <c:pt idx="3">
                  <c:v>6.1997639250000001</c:v>
                </c:pt>
                <c:pt idx="4">
                  <c:v>8.3275270250000002</c:v>
                </c:pt>
                <c:pt idx="5">
                  <c:v>7.3742234999999994</c:v>
                </c:pt>
                <c:pt idx="6">
                  <c:v>4.3146787</c:v>
                </c:pt>
                <c:pt idx="7">
                  <c:v>5.6847110750000001</c:v>
                </c:pt>
                <c:pt idx="8">
                  <c:v>5.029577025</c:v>
                </c:pt>
                <c:pt idx="9">
                  <c:v>6.7179305750000005</c:v>
                </c:pt>
                <c:pt idx="10">
                  <c:v>5.978257975</c:v>
                </c:pt>
                <c:pt idx="11">
                  <c:v>4.1329893249999996</c:v>
                </c:pt>
                <c:pt idx="12">
                  <c:v>3.2382085749999998</c:v>
                </c:pt>
                <c:pt idx="13">
                  <c:v>3.9879484249999999</c:v>
                </c:pt>
                <c:pt idx="14">
                  <c:v>3.9641876000000003</c:v>
                </c:pt>
                <c:pt idx="15">
                  <c:v>7.3409152749999995</c:v>
                </c:pt>
                <c:pt idx="16">
                  <c:v>4.1965822749999999</c:v>
                </c:pt>
                <c:pt idx="17">
                  <c:v>6.1677216000000001</c:v>
                </c:pt>
                <c:pt idx="18">
                  <c:v>7.3663838999999998</c:v>
                </c:pt>
                <c:pt idx="19">
                  <c:v>6.9883028749999996</c:v>
                </c:pt>
                <c:pt idx="20">
                  <c:v>7.8096716500000003</c:v>
                </c:pt>
                <c:pt idx="21">
                  <c:v>8.4837382750000003</c:v>
                </c:pt>
                <c:pt idx="22">
                  <c:v>9.1321642499999989</c:v>
                </c:pt>
                <c:pt idx="23">
                  <c:v>9.5445592749999992</c:v>
                </c:pt>
                <c:pt idx="24">
                  <c:v>11.5330709</c:v>
                </c:pt>
                <c:pt idx="25">
                  <c:v>10.953611325000001</c:v>
                </c:pt>
                <c:pt idx="26">
                  <c:v>11.641730900000001</c:v>
                </c:pt>
                <c:pt idx="27">
                  <c:v>12.369194674999999</c:v>
                </c:pt>
              </c:numCache>
            </c:numRef>
          </c:val>
          <c:smooth val="0"/>
        </c:ser>
        <c:ser>
          <c:idx val="2"/>
          <c:order val="2"/>
          <c:tx>
            <c:strRef>
              <c:f>Sheet1!$D$3</c:f>
              <c:strCache>
                <c:ptCount val="1"/>
                <c:pt idx="0">
                  <c:v>Qld</c:v>
                </c:pt>
              </c:strCache>
            </c:strRef>
          </c:tx>
          <c:spPr>
            <a:ln w="19050">
              <a:solidFill>
                <a:srgbClr val="7B905A"/>
              </a:solidFill>
              <a:prstDash val="dashDot"/>
            </a:ln>
          </c:spPr>
          <c:marker>
            <c:symbol val="none"/>
          </c:marker>
          <c:cat>
            <c:numRef>
              <c:f>Sheet1!$A$4:$A$31</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Sheet1!$D$4:$D$31</c:f>
              <c:numCache>
                <c:formatCode>0.0</c:formatCode>
                <c:ptCount val="28"/>
                <c:pt idx="0">
                  <c:v>18.509370025000003</c:v>
                </c:pt>
                <c:pt idx="1">
                  <c:v>21.646101824999999</c:v>
                </c:pt>
                <c:pt idx="2">
                  <c:v>21.912018000000003</c:v>
                </c:pt>
                <c:pt idx="3">
                  <c:v>21.782293150000001</c:v>
                </c:pt>
                <c:pt idx="4">
                  <c:v>25.778352750000003</c:v>
                </c:pt>
                <c:pt idx="5">
                  <c:v>24.597240175</c:v>
                </c:pt>
                <c:pt idx="6">
                  <c:v>22.797268350000003</c:v>
                </c:pt>
                <c:pt idx="7">
                  <c:v>22.124242924999997</c:v>
                </c:pt>
                <c:pt idx="8">
                  <c:v>17.056666425</c:v>
                </c:pt>
                <c:pt idx="9">
                  <c:v>15.360126924999999</c:v>
                </c:pt>
                <c:pt idx="10">
                  <c:v>17.829253099999999</c:v>
                </c:pt>
                <c:pt idx="11">
                  <c:v>19.64948605</c:v>
                </c:pt>
                <c:pt idx="12">
                  <c:v>15.636867325000001</c:v>
                </c:pt>
                <c:pt idx="13">
                  <c:v>21.508278975</c:v>
                </c:pt>
                <c:pt idx="14">
                  <c:v>17.3075625</c:v>
                </c:pt>
                <c:pt idx="15">
                  <c:v>18.843064375000001</c:v>
                </c:pt>
                <c:pt idx="16">
                  <c:v>18.800388774999998</c:v>
                </c:pt>
                <c:pt idx="17">
                  <c:v>18.761536275000001</c:v>
                </c:pt>
                <c:pt idx="18">
                  <c:v>18.651804800000001</c:v>
                </c:pt>
                <c:pt idx="19">
                  <c:v>23.954470825000001</c:v>
                </c:pt>
                <c:pt idx="20">
                  <c:v>30.9280823</c:v>
                </c:pt>
                <c:pt idx="21">
                  <c:v>35.525846874999999</c:v>
                </c:pt>
                <c:pt idx="22">
                  <c:v>38.034674199999998</c:v>
                </c:pt>
                <c:pt idx="23">
                  <c:v>40.793749150000004</c:v>
                </c:pt>
                <c:pt idx="24">
                  <c:v>47.234028174999999</c:v>
                </c:pt>
                <c:pt idx="25">
                  <c:v>46.554738700000001</c:v>
                </c:pt>
                <c:pt idx="26">
                  <c:v>60.496688349999999</c:v>
                </c:pt>
                <c:pt idx="27">
                  <c:v>71.224033450000007</c:v>
                </c:pt>
              </c:numCache>
            </c:numRef>
          </c:val>
          <c:smooth val="0"/>
        </c:ser>
        <c:ser>
          <c:idx val="4"/>
          <c:order val="3"/>
          <c:tx>
            <c:strRef>
              <c:f>Sheet1!$E$3</c:f>
              <c:strCache>
                <c:ptCount val="1"/>
                <c:pt idx="0">
                  <c:v>SA</c:v>
                </c:pt>
              </c:strCache>
            </c:strRef>
          </c:tx>
          <c:spPr>
            <a:ln w="19050">
              <a:solidFill>
                <a:srgbClr val="39580D"/>
              </a:solidFill>
              <a:prstDash val="sysDot"/>
            </a:ln>
          </c:spPr>
          <c:marker>
            <c:symbol val="none"/>
          </c:marker>
          <c:cat>
            <c:numRef>
              <c:f>Sheet1!$A$4:$A$31</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Sheet1!$E$4:$E$31</c:f>
              <c:numCache>
                <c:formatCode>0.0</c:formatCode>
                <c:ptCount val="28"/>
                <c:pt idx="0">
                  <c:v>8.0821463999999992</c:v>
                </c:pt>
                <c:pt idx="1">
                  <c:v>9.0253853500000005</c:v>
                </c:pt>
                <c:pt idx="2">
                  <c:v>7.9068766249999998</c:v>
                </c:pt>
                <c:pt idx="3">
                  <c:v>3.9403847750000001</c:v>
                </c:pt>
                <c:pt idx="4">
                  <c:v>4.6061135250000005</c:v>
                </c:pt>
                <c:pt idx="5">
                  <c:v>5.0294810249999999</c:v>
                </c:pt>
                <c:pt idx="6">
                  <c:v>4.2809600750000003</c:v>
                </c:pt>
                <c:pt idx="7">
                  <c:v>4.4728622250000001</c:v>
                </c:pt>
                <c:pt idx="8">
                  <c:v>4.94948195</c:v>
                </c:pt>
                <c:pt idx="9">
                  <c:v>4.8852982000000003</c:v>
                </c:pt>
                <c:pt idx="10">
                  <c:v>3.3210588249999997</c:v>
                </c:pt>
                <c:pt idx="11">
                  <c:v>3.8728973999999994</c:v>
                </c:pt>
                <c:pt idx="12">
                  <c:v>3.4328384000000001</c:v>
                </c:pt>
                <c:pt idx="13">
                  <c:v>4.005779575</c:v>
                </c:pt>
                <c:pt idx="14">
                  <c:v>3.1824394500000004</c:v>
                </c:pt>
                <c:pt idx="15">
                  <c:v>3.7492030000000001</c:v>
                </c:pt>
                <c:pt idx="16">
                  <c:v>3.9053000500000001</c:v>
                </c:pt>
                <c:pt idx="17">
                  <c:v>3.6206361999999999</c:v>
                </c:pt>
                <c:pt idx="18">
                  <c:v>7.4296737500000001</c:v>
                </c:pt>
                <c:pt idx="19">
                  <c:v>6.1764014500000002</c:v>
                </c:pt>
                <c:pt idx="20">
                  <c:v>8.5898346500000002</c:v>
                </c:pt>
                <c:pt idx="21">
                  <c:v>10.437270250000001</c:v>
                </c:pt>
                <c:pt idx="22">
                  <c:v>10.56647705</c:v>
                </c:pt>
                <c:pt idx="23">
                  <c:v>9.6410626999999991</c:v>
                </c:pt>
                <c:pt idx="24">
                  <c:v>7.0831451249999997</c:v>
                </c:pt>
                <c:pt idx="25">
                  <c:v>7.1220338999999999</c:v>
                </c:pt>
                <c:pt idx="26">
                  <c:v>9.0063962499999999</c:v>
                </c:pt>
                <c:pt idx="27">
                  <c:v>12.947377075</c:v>
                </c:pt>
              </c:numCache>
            </c:numRef>
          </c:val>
          <c:smooth val="0"/>
        </c:ser>
        <c:ser>
          <c:idx val="3"/>
          <c:order val="4"/>
          <c:tx>
            <c:strRef>
              <c:f>Sheet1!$F$3</c:f>
              <c:strCache>
                <c:ptCount val="1"/>
                <c:pt idx="0">
                  <c:v>WA</c:v>
                </c:pt>
              </c:strCache>
            </c:strRef>
          </c:tx>
          <c:spPr>
            <a:ln w="25400">
              <a:solidFill>
                <a:srgbClr val="604A7B"/>
              </a:solidFill>
              <a:prstDash val="lgDashDotDot"/>
            </a:ln>
          </c:spPr>
          <c:marker>
            <c:symbol val="none"/>
          </c:marker>
          <c:cat>
            <c:numRef>
              <c:f>Sheet1!$A$4:$A$31</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Sheet1!$F$4:$F$31</c:f>
              <c:numCache>
                <c:formatCode>0.0</c:formatCode>
                <c:ptCount val="28"/>
                <c:pt idx="0">
                  <c:v>26.737334050000001</c:v>
                </c:pt>
                <c:pt idx="1">
                  <c:v>27.786656300000001</c:v>
                </c:pt>
                <c:pt idx="2">
                  <c:v>27.059087524999999</c:v>
                </c:pt>
                <c:pt idx="3">
                  <c:v>25.194992225</c:v>
                </c:pt>
                <c:pt idx="4">
                  <c:v>27.229898900000002</c:v>
                </c:pt>
                <c:pt idx="5">
                  <c:v>26.135539224999999</c:v>
                </c:pt>
                <c:pt idx="6">
                  <c:v>28.6849311</c:v>
                </c:pt>
                <c:pt idx="7">
                  <c:v>29.092949475000001</c:v>
                </c:pt>
                <c:pt idx="8">
                  <c:v>28.903345874999999</c:v>
                </c:pt>
                <c:pt idx="9">
                  <c:v>31.245004549999997</c:v>
                </c:pt>
                <c:pt idx="10">
                  <c:v>27.831689975</c:v>
                </c:pt>
                <c:pt idx="11">
                  <c:v>31.213136575</c:v>
                </c:pt>
                <c:pt idx="12">
                  <c:v>30.324927750000001</c:v>
                </c:pt>
                <c:pt idx="13">
                  <c:v>31.108488900000001</c:v>
                </c:pt>
                <c:pt idx="14">
                  <c:v>29.834157675</c:v>
                </c:pt>
                <c:pt idx="15">
                  <c:v>30.220865500000002</c:v>
                </c:pt>
                <c:pt idx="16">
                  <c:v>31.8021256</c:v>
                </c:pt>
                <c:pt idx="17">
                  <c:v>34.993105100000001</c:v>
                </c:pt>
                <c:pt idx="18">
                  <c:v>34.078367</c:v>
                </c:pt>
                <c:pt idx="19">
                  <c:v>40.265444325000004</c:v>
                </c:pt>
                <c:pt idx="20">
                  <c:v>47.930108400000002</c:v>
                </c:pt>
                <c:pt idx="21">
                  <c:v>51.484011074999998</c:v>
                </c:pt>
                <c:pt idx="22">
                  <c:v>51.493212724999999</c:v>
                </c:pt>
                <c:pt idx="23">
                  <c:v>68.708931199999995</c:v>
                </c:pt>
                <c:pt idx="24">
                  <c:v>58.749424149999996</c:v>
                </c:pt>
                <c:pt idx="25">
                  <c:v>81.934577600000011</c:v>
                </c:pt>
                <c:pt idx="26">
                  <c:v>92.087273875000008</c:v>
                </c:pt>
                <c:pt idx="27">
                  <c:v>111.67859035000001</c:v>
                </c:pt>
              </c:numCache>
            </c:numRef>
          </c:val>
          <c:smooth val="0"/>
        </c:ser>
        <c:ser>
          <c:idx val="5"/>
          <c:order val="5"/>
          <c:tx>
            <c:strRef>
              <c:f>Sheet1!$G$3</c:f>
              <c:strCache>
                <c:ptCount val="1"/>
                <c:pt idx="0">
                  <c:v>Tas</c:v>
                </c:pt>
              </c:strCache>
            </c:strRef>
          </c:tx>
          <c:spPr>
            <a:ln>
              <a:solidFill>
                <a:srgbClr val="604A7B"/>
              </a:solidFill>
              <a:prstDash val="dash"/>
            </a:ln>
          </c:spPr>
          <c:marker>
            <c:symbol val="none"/>
          </c:marker>
          <c:cat>
            <c:numRef>
              <c:f>Sheet1!$A$4:$A$31</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Sheet1!$G$4:$G$31</c:f>
              <c:numCache>
                <c:formatCode>0.0</c:formatCode>
                <c:ptCount val="28"/>
                <c:pt idx="0">
                  <c:v>3.2984641750000003</c:v>
                </c:pt>
                <c:pt idx="1">
                  <c:v>3.0271115750000002</c:v>
                </c:pt>
                <c:pt idx="2">
                  <c:v>2.4822687000000001</c:v>
                </c:pt>
                <c:pt idx="3">
                  <c:v>3.516379825</c:v>
                </c:pt>
                <c:pt idx="4">
                  <c:v>3.4679364250000004</c:v>
                </c:pt>
                <c:pt idx="5">
                  <c:v>3.22213035</c:v>
                </c:pt>
                <c:pt idx="6">
                  <c:v>2.8405343249999997</c:v>
                </c:pt>
                <c:pt idx="7">
                  <c:v>2.5660526749999999</c:v>
                </c:pt>
                <c:pt idx="8">
                  <c:v>2.1421509749999998</c:v>
                </c:pt>
                <c:pt idx="9">
                  <c:v>1.6130572000000001</c:v>
                </c:pt>
                <c:pt idx="10">
                  <c:v>1.436580325</c:v>
                </c:pt>
                <c:pt idx="11">
                  <c:v>2.39062895</c:v>
                </c:pt>
                <c:pt idx="12">
                  <c:v>2.2447701250000001</c:v>
                </c:pt>
                <c:pt idx="13">
                  <c:v>1.7090790500000002</c:v>
                </c:pt>
                <c:pt idx="14">
                  <c:v>2.273598625</c:v>
                </c:pt>
                <c:pt idx="15">
                  <c:v>2.1461325750000002</c:v>
                </c:pt>
                <c:pt idx="16">
                  <c:v>1.8378272500000001</c:v>
                </c:pt>
                <c:pt idx="17">
                  <c:v>1.8818270249999998</c:v>
                </c:pt>
                <c:pt idx="18">
                  <c:v>1.9257192249999999</c:v>
                </c:pt>
                <c:pt idx="19">
                  <c:v>2.1657549999999999</c:v>
                </c:pt>
                <c:pt idx="20">
                  <c:v>2.2040368249999998</c:v>
                </c:pt>
                <c:pt idx="21">
                  <c:v>2.2857829750000001</c:v>
                </c:pt>
                <c:pt idx="22">
                  <c:v>2.64899985</c:v>
                </c:pt>
                <c:pt idx="23">
                  <c:v>2.1876002250000002</c:v>
                </c:pt>
                <c:pt idx="24">
                  <c:v>3.085867275</c:v>
                </c:pt>
                <c:pt idx="25">
                  <c:v>3.3718804249999996</c:v>
                </c:pt>
                <c:pt idx="26">
                  <c:v>3.7725921500000004</c:v>
                </c:pt>
                <c:pt idx="27">
                  <c:v>4.5094855000000003</c:v>
                </c:pt>
              </c:numCache>
            </c:numRef>
          </c:val>
          <c:smooth val="0"/>
        </c:ser>
        <c:ser>
          <c:idx val="6"/>
          <c:order val="6"/>
          <c:tx>
            <c:strRef>
              <c:f>Sheet1!$H$3</c:f>
              <c:strCache>
                <c:ptCount val="1"/>
                <c:pt idx="0">
                  <c:v>NT</c:v>
                </c:pt>
              </c:strCache>
            </c:strRef>
          </c:tx>
          <c:spPr>
            <a:ln w="19050">
              <a:solidFill>
                <a:srgbClr val="C00000"/>
              </a:solidFill>
              <a:prstDash val="sysDash"/>
            </a:ln>
          </c:spPr>
          <c:marker>
            <c:symbol val="none"/>
          </c:marker>
          <c:cat>
            <c:numRef>
              <c:f>Sheet1!$A$4:$A$31</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Sheet1!$H$4:$H$31</c:f>
              <c:numCache>
                <c:formatCode>0.0</c:formatCode>
                <c:ptCount val="28"/>
                <c:pt idx="0">
                  <c:v>3.6824969999999997</c:v>
                </c:pt>
                <c:pt idx="1">
                  <c:v>3.9833962500000002</c:v>
                </c:pt>
                <c:pt idx="2">
                  <c:v>4.3649465999999997</c:v>
                </c:pt>
                <c:pt idx="3">
                  <c:v>3.0624866000000002</c:v>
                </c:pt>
                <c:pt idx="4">
                  <c:v>3.8541433999999999</c:v>
                </c:pt>
                <c:pt idx="5">
                  <c:v>4.8054443249999998</c:v>
                </c:pt>
                <c:pt idx="6">
                  <c:v>3.0348603249999999</c:v>
                </c:pt>
                <c:pt idx="7">
                  <c:v>1.9897963000000001</c:v>
                </c:pt>
                <c:pt idx="8">
                  <c:v>2.2422811999999999</c:v>
                </c:pt>
                <c:pt idx="9">
                  <c:v>2.7082591250000001</c:v>
                </c:pt>
                <c:pt idx="10">
                  <c:v>3.0880300749999998</c:v>
                </c:pt>
                <c:pt idx="11">
                  <c:v>3.5427409999999999</c:v>
                </c:pt>
                <c:pt idx="12">
                  <c:v>3.4133834749999998</c:v>
                </c:pt>
                <c:pt idx="13">
                  <c:v>2.9358362499999999</c:v>
                </c:pt>
                <c:pt idx="14">
                  <c:v>2.5351505249999997</c:v>
                </c:pt>
                <c:pt idx="15">
                  <c:v>1.87101805</c:v>
                </c:pt>
                <c:pt idx="16">
                  <c:v>0.98753690000000005</c:v>
                </c:pt>
                <c:pt idx="17">
                  <c:v>2.09562385</c:v>
                </c:pt>
                <c:pt idx="18">
                  <c:v>2.03849635</c:v>
                </c:pt>
                <c:pt idx="19">
                  <c:v>2.2883265499999998</c:v>
                </c:pt>
                <c:pt idx="20">
                  <c:v>1.598464975</c:v>
                </c:pt>
                <c:pt idx="21">
                  <c:v>1.8386782500000001</c:v>
                </c:pt>
                <c:pt idx="22">
                  <c:v>2.5092646999999997</c:v>
                </c:pt>
                <c:pt idx="23">
                  <c:v>4.3204136499999999</c:v>
                </c:pt>
                <c:pt idx="24">
                  <c:v>3.5864537749999998</c:v>
                </c:pt>
                <c:pt idx="25">
                  <c:v>3.6253514249999998</c:v>
                </c:pt>
                <c:pt idx="26">
                  <c:v>4.1479789250000003</c:v>
                </c:pt>
                <c:pt idx="27">
                  <c:v>4.4667174999999997</c:v>
                </c:pt>
              </c:numCache>
            </c:numRef>
          </c:val>
          <c:smooth val="0"/>
        </c:ser>
        <c:dLbls>
          <c:showLegendKey val="0"/>
          <c:showVal val="0"/>
          <c:showCatName val="0"/>
          <c:showSerName val="0"/>
          <c:showPercent val="0"/>
          <c:showBubbleSize val="0"/>
        </c:dLbls>
        <c:marker val="1"/>
        <c:smooth val="0"/>
        <c:axId val="200279552"/>
        <c:axId val="200281088"/>
      </c:lineChart>
      <c:catAx>
        <c:axId val="200279552"/>
        <c:scaling>
          <c:orientation val="minMax"/>
        </c:scaling>
        <c:delete val="0"/>
        <c:axPos val="b"/>
        <c:numFmt formatCode="General" sourceLinked="1"/>
        <c:majorTickMark val="out"/>
        <c:minorTickMark val="none"/>
        <c:tickLblPos val="nextTo"/>
        <c:spPr>
          <a:ln>
            <a:solidFill>
              <a:sysClr val="windowText" lastClr="000000"/>
            </a:solidFill>
          </a:ln>
        </c:spPr>
        <c:txPr>
          <a:bodyPr rot="0" vert="horz"/>
          <a:lstStyle/>
          <a:p>
            <a:pPr>
              <a:defRPr sz="900" b="0" i="0" u="none" strike="noStrike" baseline="0">
                <a:solidFill>
                  <a:srgbClr val="000000"/>
                </a:solidFill>
                <a:latin typeface="Arial"/>
                <a:ea typeface="Arial"/>
                <a:cs typeface="Arial"/>
              </a:defRPr>
            </a:pPr>
            <a:endParaRPr lang="en-US"/>
          </a:p>
        </c:txPr>
        <c:crossAx val="200281088"/>
        <c:crosses val="autoZero"/>
        <c:auto val="1"/>
        <c:lblAlgn val="ctr"/>
        <c:lblOffset val="100"/>
        <c:tickLblSkip val="3"/>
        <c:noMultiLvlLbl val="0"/>
      </c:catAx>
      <c:valAx>
        <c:axId val="200281088"/>
        <c:scaling>
          <c:orientation val="minMax"/>
        </c:scaling>
        <c:delete val="0"/>
        <c:axPos val="l"/>
        <c:majorGridlines>
          <c:spPr>
            <a:ln>
              <a:solidFill>
                <a:sysClr val="window" lastClr="FFFFFF">
                  <a:lumMod val="50000"/>
                </a:sysClr>
              </a:solidFill>
              <a:prstDash val="solid"/>
            </a:ln>
          </c:spPr>
        </c:majorGridlines>
        <c:title>
          <c:tx>
            <c:rich>
              <a:bodyPr/>
              <a:lstStyle/>
              <a:p>
                <a:pPr>
                  <a:defRPr sz="900" b="1" i="0" u="none" strike="noStrike" baseline="0">
                    <a:solidFill>
                      <a:srgbClr val="000000"/>
                    </a:solidFill>
                    <a:latin typeface="Arial"/>
                    <a:ea typeface="Arial"/>
                    <a:cs typeface="Arial"/>
                  </a:defRPr>
                </a:pPr>
                <a:r>
                  <a:rPr lang="en-AU" sz="900" b="1"/>
                  <a:t>Persons employed ('000s)</a:t>
                </a:r>
              </a:p>
            </c:rich>
          </c:tx>
          <c:layout>
            <c:manualLayout>
              <c:xMode val="edge"/>
              <c:yMode val="edge"/>
              <c:x val="1.3260124707185048E-2"/>
              <c:y val="0.1994249612603734"/>
            </c:manualLayout>
          </c:layout>
          <c:overlay val="0"/>
        </c:title>
        <c:numFmt formatCode="0" sourceLinked="0"/>
        <c:majorTickMark val="out"/>
        <c:minorTickMark val="none"/>
        <c:tickLblPos val="nextTo"/>
        <c:spPr>
          <a:ln>
            <a:solidFill>
              <a:sysClr val="windowText" lastClr="000000"/>
            </a:solidFill>
          </a:ln>
        </c:spPr>
        <c:txPr>
          <a:bodyPr rot="0" vert="horz"/>
          <a:lstStyle/>
          <a:p>
            <a:pPr>
              <a:defRPr sz="1000" b="0" i="0" u="none" strike="noStrike" baseline="0">
                <a:solidFill>
                  <a:srgbClr val="000000"/>
                </a:solidFill>
                <a:latin typeface="Arial"/>
                <a:ea typeface="Arial"/>
                <a:cs typeface="Arial"/>
              </a:defRPr>
            </a:pPr>
            <a:endParaRPr lang="en-US"/>
          </a:p>
        </c:txPr>
        <c:crossAx val="200279552"/>
        <c:crosses val="autoZero"/>
        <c:crossBetween val="midCat"/>
      </c:valAx>
      <c:spPr>
        <a:noFill/>
        <a:ln>
          <a:solidFill>
            <a:schemeClr val="tx1"/>
          </a:solidFill>
        </a:ln>
      </c:spPr>
    </c:plotArea>
    <c:legend>
      <c:legendPos val="b"/>
      <c:layout>
        <c:manualLayout>
          <c:xMode val="edge"/>
          <c:yMode val="edge"/>
          <c:x val="7.7185779751994602E-2"/>
          <c:y val="4.1852206490717589E-3"/>
          <c:w val="0.85586627686452199"/>
          <c:h val="7.4325205891756063E-2"/>
        </c:manualLayout>
      </c:layout>
      <c:overlay val="0"/>
      <c:txPr>
        <a:bodyPr/>
        <a:lstStyle/>
        <a:p>
          <a:pPr>
            <a:defRPr sz="900" b="0" i="0" u="none" strike="noStrike" baseline="0">
              <a:solidFill>
                <a:srgbClr val="000000"/>
              </a:solidFill>
              <a:latin typeface="Arial"/>
              <a:ea typeface="Arial"/>
              <a:cs typeface="Arial"/>
            </a:defRPr>
          </a:pPr>
          <a:endParaRPr lang="en-US"/>
        </a:p>
      </c:txPr>
    </c:legend>
    <c:plotVisOnly val="1"/>
    <c:dispBlanksAs val="gap"/>
    <c:showDLblsOverMax val="0"/>
  </c:chart>
  <c:spPr>
    <a:ln>
      <a:noFill/>
    </a:ln>
  </c:spPr>
  <c:txPr>
    <a:bodyPr/>
    <a:lstStyle/>
    <a:p>
      <a:pPr>
        <a:defRPr sz="1000" b="0" i="0" u="none" strike="noStrike" baseline="0">
          <a:solidFill>
            <a:srgbClr val="000000"/>
          </a:solidFill>
          <a:latin typeface="Arial"/>
          <a:ea typeface="Arial"/>
          <a:cs typeface="Arial"/>
        </a:defRPr>
      </a:pPr>
      <a:endParaRPr lang="en-US"/>
    </a:p>
  </c:txPr>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29833009377885"/>
          <c:y val="0.25177786073322972"/>
          <c:w val="0.82750202302705567"/>
          <c:h val="0.64645929732873797"/>
        </c:manualLayout>
      </c:layout>
      <c:lineChart>
        <c:grouping val="standard"/>
        <c:varyColors val="0"/>
        <c:ser>
          <c:idx val="0"/>
          <c:order val="0"/>
          <c:tx>
            <c:strRef>
              <c:f>Sheet1!$B$4</c:f>
              <c:strCache>
                <c:ptCount val="1"/>
                <c:pt idx="0">
                  <c:v>Managers</c:v>
                </c:pt>
              </c:strCache>
            </c:strRef>
          </c:tx>
          <c:spPr>
            <a:ln w="19050">
              <a:solidFill>
                <a:srgbClr val="344893"/>
              </a:solidFill>
            </a:ln>
          </c:spPr>
          <c:marker>
            <c:symbol val="none"/>
          </c:marker>
          <c:cat>
            <c:numRef>
              <c:f>Sheet1!$A$6:$A$20</c:f>
              <c:numCache>
                <c:formatCode>General</c:formatCode>
                <c:ptCount val="15"/>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numCache>
            </c:numRef>
          </c:cat>
          <c:val>
            <c:numRef>
              <c:f>Sheet1!$B$6:$B$20</c:f>
              <c:numCache>
                <c:formatCode>0.00</c:formatCode>
                <c:ptCount val="15"/>
                <c:pt idx="0">
                  <c:v>5.25</c:v>
                </c:pt>
                <c:pt idx="1">
                  <c:v>5.5</c:v>
                </c:pt>
                <c:pt idx="2">
                  <c:v>5.25</c:v>
                </c:pt>
                <c:pt idx="3">
                  <c:v>5.75</c:v>
                </c:pt>
                <c:pt idx="4">
                  <c:v>6</c:v>
                </c:pt>
                <c:pt idx="5">
                  <c:v>6.25</c:v>
                </c:pt>
                <c:pt idx="6">
                  <c:v>8.25</c:v>
                </c:pt>
                <c:pt idx="7">
                  <c:v>12.25</c:v>
                </c:pt>
                <c:pt idx="8">
                  <c:v>11.5</c:v>
                </c:pt>
                <c:pt idx="9">
                  <c:v>12.75</c:v>
                </c:pt>
                <c:pt idx="10">
                  <c:v>16.25</c:v>
                </c:pt>
                <c:pt idx="11">
                  <c:v>15.5</c:v>
                </c:pt>
                <c:pt idx="12">
                  <c:v>17.25</c:v>
                </c:pt>
                <c:pt idx="13">
                  <c:v>20.75</c:v>
                </c:pt>
                <c:pt idx="14">
                  <c:v>24.75</c:v>
                </c:pt>
              </c:numCache>
            </c:numRef>
          </c:val>
          <c:smooth val="0"/>
        </c:ser>
        <c:ser>
          <c:idx val="1"/>
          <c:order val="1"/>
          <c:tx>
            <c:strRef>
              <c:f>Sheet1!$C$4</c:f>
              <c:strCache>
                <c:ptCount val="1"/>
                <c:pt idx="0">
                  <c:v>Professionals</c:v>
                </c:pt>
              </c:strCache>
            </c:strRef>
          </c:tx>
          <c:spPr>
            <a:ln w="19050">
              <a:solidFill>
                <a:srgbClr val="39580D"/>
              </a:solidFill>
              <a:prstDash val="sysDot"/>
            </a:ln>
          </c:spPr>
          <c:marker>
            <c:symbol val="none"/>
          </c:marker>
          <c:cat>
            <c:numRef>
              <c:f>Sheet1!$A$6:$A$20</c:f>
              <c:numCache>
                <c:formatCode>General</c:formatCode>
                <c:ptCount val="15"/>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numCache>
            </c:numRef>
          </c:cat>
          <c:val>
            <c:numRef>
              <c:f>Sheet1!$C$6:$C$20</c:f>
              <c:numCache>
                <c:formatCode>0.00</c:formatCode>
                <c:ptCount val="15"/>
                <c:pt idx="0">
                  <c:v>13</c:v>
                </c:pt>
                <c:pt idx="1">
                  <c:v>12.75</c:v>
                </c:pt>
                <c:pt idx="2">
                  <c:v>14.75</c:v>
                </c:pt>
                <c:pt idx="3">
                  <c:v>16</c:v>
                </c:pt>
                <c:pt idx="4">
                  <c:v>18.75</c:v>
                </c:pt>
                <c:pt idx="5">
                  <c:v>15.5</c:v>
                </c:pt>
                <c:pt idx="6">
                  <c:v>18</c:v>
                </c:pt>
                <c:pt idx="7">
                  <c:v>22.75</c:v>
                </c:pt>
                <c:pt idx="8">
                  <c:v>23.25</c:v>
                </c:pt>
                <c:pt idx="9">
                  <c:v>23.75</c:v>
                </c:pt>
                <c:pt idx="10">
                  <c:v>29</c:v>
                </c:pt>
                <c:pt idx="11">
                  <c:v>27.5</c:v>
                </c:pt>
                <c:pt idx="12">
                  <c:v>35.25</c:v>
                </c:pt>
                <c:pt idx="13">
                  <c:v>40.25</c:v>
                </c:pt>
                <c:pt idx="14">
                  <c:v>46</c:v>
                </c:pt>
              </c:numCache>
            </c:numRef>
          </c:val>
          <c:smooth val="0"/>
        </c:ser>
        <c:ser>
          <c:idx val="2"/>
          <c:order val="2"/>
          <c:tx>
            <c:strRef>
              <c:f>Sheet1!$D$4</c:f>
              <c:strCache>
                <c:ptCount val="1"/>
                <c:pt idx="0">
                  <c:v>Technicians &amp; trades workers</c:v>
                </c:pt>
              </c:strCache>
            </c:strRef>
          </c:tx>
          <c:spPr>
            <a:ln w="19050">
              <a:solidFill>
                <a:srgbClr val="B4C98B"/>
              </a:solidFill>
              <a:prstDash val="sysDash"/>
            </a:ln>
          </c:spPr>
          <c:marker>
            <c:symbol val="none"/>
          </c:marker>
          <c:cat>
            <c:numRef>
              <c:f>Sheet1!$A$6:$A$20</c:f>
              <c:numCache>
                <c:formatCode>General</c:formatCode>
                <c:ptCount val="15"/>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numCache>
            </c:numRef>
          </c:cat>
          <c:val>
            <c:numRef>
              <c:f>Sheet1!$D$6:$D$20</c:f>
              <c:numCache>
                <c:formatCode>0.00</c:formatCode>
                <c:ptCount val="15"/>
                <c:pt idx="0">
                  <c:v>18.75</c:v>
                </c:pt>
                <c:pt idx="1">
                  <c:v>18.5</c:v>
                </c:pt>
                <c:pt idx="2">
                  <c:v>20</c:v>
                </c:pt>
                <c:pt idx="3">
                  <c:v>20.75</c:v>
                </c:pt>
                <c:pt idx="4">
                  <c:v>19</c:v>
                </c:pt>
                <c:pt idx="5">
                  <c:v>23.5</c:v>
                </c:pt>
                <c:pt idx="6">
                  <c:v>24.75</c:v>
                </c:pt>
                <c:pt idx="7">
                  <c:v>27.75</c:v>
                </c:pt>
                <c:pt idx="8">
                  <c:v>32.5</c:v>
                </c:pt>
                <c:pt idx="9">
                  <c:v>32.5</c:v>
                </c:pt>
                <c:pt idx="10">
                  <c:v>40.25</c:v>
                </c:pt>
                <c:pt idx="11">
                  <c:v>42.75</c:v>
                </c:pt>
                <c:pt idx="12">
                  <c:v>48.75</c:v>
                </c:pt>
                <c:pt idx="13">
                  <c:v>54.25</c:v>
                </c:pt>
                <c:pt idx="14">
                  <c:v>70.25</c:v>
                </c:pt>
              </c:numCache>
            </c:numRef>
          </c:val>
          <c:smooth val="0"/>
        </c:ser>
        <c:ser>
          <c:idx val="3"/>
          <c:order val="3"/>
          <c:tx>
            <c:strRef>
              <c:f>Sheet1!$E$4</c:f>
              <c:strCache>
                <c:ptCount val="1"/>
                <c:pt idx="0">
                  <c:v>Clerical &amp; adminstrative workers</c:v>
                </c:pt>
              </c:strCache>
            </c:strRef>
          </c:tx>
          <c:spPr>
            <a:ln w="19050">
              <a:solidFill>
                <a:srgbClr val="604A7B"/>
              </a:solidFill>
              <a:prstDash val="lgDashDotDot"/>
            </a:ln>
          </c:spPr>
          <c:marker>
            <c:symbol val="none"/>
          </c:marker>
          <c:cat>
            <c:numRef>
              <c:f>Sheet1!$A$6:$A$20</c:f>
              <c:numCache>
                <c:formatCode>General</c:formatCode>
                <c:ptCount val="15"/>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numCache>
            </c:numRef>
          </c:cat>
          <c:val>
            <c:numRef>
              <c:f>Sheet1!$E$6:$E$20</c:f>
              <c:numCache>
                <c:formatCode>0.00</c:formatCode>
                <c:ptCount val="15"/>
                <c:pt idx="0">
                  <c:v>7.75</c:v>
                </c:pt>
                <c:pt idx="1">
                  <c:v>5.75</c:v>
                </c:pt>
                <c:pt idx="2">
                  <c:v>7.5</c:v>
                </c:pt>
                <c:pt idx="3">
                  <c:v>5.75</c:v>
                </c:pt>
                <c:pt idx="4">
                  <c:v>6.25</c:v>
                </c:pt>
                <c:pt idx="5">
                  <c:v>5.75</c:v>
                </c:pt>
                <c:pt idx="6">
                  <c:v>9</c:v>
                </c:pt>
                <c:pt idx="7">
                  <c:v>10.75</c:v>
                </c:pt>
                <c:pt idx="8">
                  <c:v>10.75</c:v>
                </c:pt>
                <c:pt idx="9">
                  <c:v>11.5</c:v>
                </c:pt>
                <c:pt idx="10">
                  <c:v>13.75</c:v>
                </c:pt>
                <c:pt idx="11">
                  <c:v>13.25</c:v>
                </c:pt>
                <c:pt idx="12">
                  <c:v>15.25</c:v>
                </c:pt>
                <c:pt idx="13">
                  <c:v>20.75</c:v>
                </c:pt>
                <c:pt idx="14">
                  <c:v>21.75</c:v>
                </c:pt>
              </c:numCache>
            </c:numRef>
          </c:val>
          <c:smooth val="0"/>
        </c:ser>
        <c:ser>
          <c:idx val="4"/>
          <c:order val="4"/>
          <c:tx>
            <c:strRef>
              <c:f>Sheet1!$F$4</c:f>
              <c:strCache>
                <c:ptCount val="1"/>
                <c:pt idx="0">
                  <c:v>Machinery operators &amp; drivers</c:v>
                </c:pt>
              </c:strCache>
            </c:strRef>
          </c:tx>
          <c:spPr>
            <a:ln w="22225">
              <a:solidFill>
                <a:srgbClr val="7B905A"/>
              </a:solidFill>
              <a:prstDash val="dashDot"/>
            </a:ln>
          </c:spPr>
          <c:marker>
            <c:symbol val="none"/>
          </c:marker>
          <c:cat>
            <c:numRef>
              <c:f>Sheet1!$A$6:$A$20</c:f>
              <c:numCache>
                <c:formatCode>General</c:formatCode>
                <c:ptCount val="15"/>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numCache>
            </c:numRef>
          </c:cat>
          <c:val>
            <c:numRef>
              <c:f>Sheet1!$F$6:$F$20</c:f>
              <c:numCache>
                <c:formatCode>0.00</c:formatCode>
                <c:ptCount val="15"/>
                <c:pt idx="0">
                  <c:v>33.5</c:v>
                </c:pt>
                <c:pt idx="1">
                  <c:v>29.75</c:v>
                </c:pt>
                <c:pt idx="2">
                  <c:v>26.5</c:v>
                </c:pt>
                <c:pt idx="3">
                  <c:v>26.5</c:v>
                </c:pt>
                <c:pt idx="4">
                  <c:v>28.25</c:v>
                </c:pt>
                <c:pt idx="5">
                  <c:v>32</c:v>
                </c:pt>
                <c:pt idx="6">
                  <c:v>35</c:v>
                </c:pt>
                <c:pt idx="7">
                  <c:v>39</c:v>
                </c:pt>
                <c:pt idx="8">
                  <c:v>46.25</c:v>
                </c:pt>
                <c:pt idx="9">
                  <c:v>47.5</c:v>
                </c:pt>
                <c:pt idx="10">
                  <c:v>54.75</c:v>
                </c:pt>
                <c:pt idx="11">
                  <c:v>55.5</c:v>
                </c:pt>
                <c:pt idx="12">
                  <c:v>59.25</c:v>
                </c:pt>
                <c:pt idx="13">
                  <c:v>73.75</c:v>
                </c:pt>
                <c:pt idx="14">
                  <c:v>87</c:v>
                </c:pt>
              </c:numCache>
            </c:numRef>
          </c:val>
          <c:smooth val="0"/>
        </c:ser>
        <c:ser>
          <c:idx val="5"/>
          <c:order val="5"/>
          <c:tx>
            <c:strRef>
              <c:f>Sheet1!$G$4</c:f>
              <c:strCache>
                <c:ptCount val="1"/>
                <c:pt idx="0">
                  <c:v>Labourers</c:v>
                </c:pt>
              </c:strCache>
            </c:strRef>
          </c:tx>
          <c:spPr>
            <a:ln w="25400">
              <a:solidFill>
                <a:srgbClr val="604A7B"/>
              </a:solidFill>
              <a:prstDash val="dash"/>
            </a:ln>
          </c:spPr>
          <c:marker>
            <c:symbol val="none"/>
          </c:marker>
          <c:cat>
            <c:numRef>
              <c:f>Sheet1!$A$6:$A$20</c:f>
              <c:numCache>
                <c:formatCode>General</c:formatCode>
                <c:ptCount val="15"/>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numCache>
            </c:numRef>
          </c:cat>
          <c:val>
            <c:numRef>
              <c:f>Sheet1!$G$6:$G$20</c:f>
              <c:numCache>
                <c:formatCode>0.00</c:formatCode>
                <c:ptCount val="15"/>
                <c:pt idx="0">
                  <c:v>5.5</c:v>
                </c:pt>
                <c:pt idx="1">
                  <c:v>4</c:v>
                </c:pt>
                <c:pt idx="2">
                  <c:v>4.75</c:v>
                </c:pt>
                <c:pt idx="3">
                  <c:v>2.75</c:v>
                </c:pt>
                <c:pt idx="4">
                  <c:v>4</c:v>
                </c:pt>
                <c:pt idx="5">
                  <c:v>4.75</c:v>
                </c:pt>
                <c:pt idx="6">
                  <c:v>5.5</c:v>
                </c:pt>
                <c:pt idx="7">
                  <c:v>6.25</c:v>
                </c:pt>
                <c:pt idx="8">
                  <c:v>6.5</c:v>
                </c:pt>
                <c:pt idx="9">
                  <c:v>8.5</c:v>
                </c:pt>
                <c:pt idx="10">
                  <c:v>11.25</c:v>
                </c:pt>
                <c:pt idx="11">
                  <c:v>8.75</c:v>
                </c:pt>
                <c:pt idx="12">
                  <c:v>10.25</c:v>
                </c:pt>
                <c:pt idx="13">
                  <c:v>11</c:v>
                </c:pt>
                <c:pt idx="14">
                  <c:v>14.5</c:v>
                </c:pt>
              </c:numCache>
            </c:numRef>
          </c:val>
          <c:smooth val="0"/>
        </c:ser>
        <c:dLbls>
          <c:showLegendKey val="0"/>
          <c:showVal val="0"/>
          <c:showCatName val="0"/>
          <c:showSerName val="0"/>
          <c:showPercent val="0"/>
          <c:showBubbleSize val="0"/>
        </c:dLbls>
        <c:marker val="1"/>
        <c:smooth val="0"/>
        <c:axId val="200682496"/>
        <c:axId val="200688384"/>
      </c:lineChart>
      <c:catAx>
        <c:axId val="200682496"/>
        <c:scaling>
          <c:orientation val="minMax"/>
        </c:scaling>
        <c:delete val="0"/>
        <c:axPos val="b"/>
        <c:numFmt formatCode="General" sourceLinked="1"/>
        <c:majorTickMark val="out"/>
        <c:minorTickMark val="none"/>
        <c:tickLblPos val="nextTo"/>
        <c:spPr>
          <a:ln>
            <a:solidFill>
              <a:schemeClr val="tx1"/>
            </a:solidFill>
          </a:ln>
        </c:spPr>
        <c:txPr>
          <a:bodyPr/>
          <a:lstStyle/>
          <a:p>
            <a:pPr>
              <a:defRPr sz="900"/>
            </a:pPr>
            <a:endParaRPr lang="en-US"/>
          </a:p>
        </c:txPr>
        <c:crossAx val="200688384"/>
        <c:crosses val="autoZero"/>
        <c:auto val="1"/>
        <c:lblAlgn val="ctr"/>
        <c:lblOffset val="100"/>
        <c:tickLblSkip val="2"/>
        <c:noMultiLvlLbl val="0"/>
      </c:catAx>
      <c:valAx>
        <c:axId val="200688384"/>
        <c:scaling>
          <c:orientation val="minMax"/>
          <c:max val="90"/>
        </c:scaling>
        <c:delete val="0"/>
        <c:axPos val="l"/>
        <c:majorGridlines>
          <c:spPr>
            <a:ln w="3175">
              <a:solidFill>
                <a:sysClr val="window" lastClr="FFFFFF">
                  <a:lumMod val="50000"/>
                </a:sysClr>
              </a:solidFill>
              <a:prstDash val="solid"/>
            </a:ln>
          </c:spPr>
        </c:majorGridlines>
        <c:title>
          <c:tx>
            <c:rich>
              <a:bodyPr rot="-5400000" vert="horz"/>
              <a:lstStyle/>
              <a:p>
                <a:pPr>
                  <a:defRPr sz="900" b="1"/>
                </a:pPr>
                <a:r>
                  <a:rPr lang="en-US" sz="900" b="1"/>
                  <a:t>Persons employed ('000s)</a:t>
                </a:r>
              </a:p>
            </c:rich>
          </c:tx>
          <c:layout>
            <c:manualLayout>
              <c:xMode val="edge"/>
              <c:yMode val="edge"/>
              <c:x val="2.0319689186029444E-2"/>
              <c:y val="0.23909748326663136"/>
            </c:manualLayout>
          </c:layout>
          <c:overlay val="0"/>
        </c:title>
        <c:numFmt formatCode="0" sourceLinked="0"/>
        <c:majorTickMark val="out"/>
        <c:minorTickMark val="none"/>
        <c:tickLblPos val="nextTo"/>
        <c:spPr>
          <a:ln w="9525">
            <a:solidFill>
              <a:sysClr val="windowText" lastClr="000000"/>
            </a:solidFill>
            <a:prstDash val="sysDot"/>
          </a:ln>
        </c:spPr>
        <c:txPr>
          <a:bodyPr/>
          <a:lstStyle/>
          <a:p>
            <a:pPr>
              <a:defRPr sz="900"/>
            </a:pPr>
            <a:endParaRPr lang="en-US"/>
          </a:p>
        </c:txPr>
        <c:crossAx val="200682496"/>
        <c:crosses val="autoZero"/>
        <c:crossBetween val="midCat"/>
      </c:valAx>
      <c:spPr>
        <a:ln>
          <a:solidFill>
            <a:schemeClr val="tx1"/>
          </a:solidFill>
        </a:ln>
      </c:spPr>
    </c:plotArea>
    <c:legend>
      <c:legendPos val="b"/>
      <c:layout>
        <c:manualLayout>
          <c:xMode val="edge"/>
          <c:yMode val="edge"/>
          <c:x val="9.1131666666666666E-2"/>
          <c:y val="0"/>
          <c:w val="0.85934425925925928"/>
          <c:h val="0.17542073969565652"/>
        </c:manualLayout>
      </c:layout>
      <c:overlay val="0"/>
      <c:spPr>
        <a:ln>
          <a:noFill/>
        </a:ln>
      </c:spPr>
      <c:txPr>
        <a:bodyPr/>
        <a:lstStyle/>
        <a:p>
          <a:pPr>
            <a:defRPr sz="900"/>
          </a:pPr>
          <a:endParaRPr lang="en-US"/>
        </a:p>
      </c:txPr>
    </c:legend>
    <c:plotVisOnly val="1"/>
    <c:dispBlanksAs val="gap"/>
    <c:showDLblsOverMax val="0"/>
  </c:chart>
  <c:spPr>
    <a:ln>
      <a:noFill/>
    </a:ln>
  </c:spPr>
  <c:externalData r:id="rId2">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2173220907613284"/>
          <c:y val="4.0934724360144635E-2"/>
          <c:w val="0.70015361211638816"/>
          <c:h val="0.82478416954079092"/>
        </c:manualLayout>
      </c:layout>
      <c:lineChart>
        <c:grouping val="standard"/>
        <c:varyColors val="0"/>
        <c:ser>
          <c:idx val="0"/>
          <c:order val="0"/>
          <c:tx>
            <c:strRef>
              <c:f>Sheet1!$A$4</c:f>
              <c:strCache>
                <c:ptCount val="1"/>
                <c:pt idx="0">
                  <c:v>Weekly earnings - mining</c:v>
                </c:pt>
              </c:strCache>
            </c:strRef>
          </c:tx>
          <c:spPr>
            <a:ln w="19050">
              <a:solidFill>
                <a:srgbClr val="86A20B"/>
              </a:solidFill>
              <a:prstDash val="sysDash"/>
            </a:ln>
          </c:spPr>
          <c:marker>
            <c:symbol val="none"/>
          </c:marker>
          <c:cat>
            <c:numRef>
              <c:f>Sheet1!$B$3:$H$3</c:f>
              <c:numCache>
                <c:formatCode>General</c:formatCode>
                <c:ptCount val="7"/>
                <c:pt idx="0">
                  <c:v>2000</c:v>
                </c:pt>
                <c:pt idx="1">
                  <c:v>2002</c:v>
                </c:pt>
                <c:pt idx="2">
                  <c:v>2004</c:v>
                </c:pt>
                <c:pt idx="3">
                  <c:v>2006</c:v>
                </c:pt>
                <c:pt idx="4">
                  <c:v>2008</c:v>
                </c:pt>
                <c:pt idx="5">
                  <c:v>2010</c:v>
                </c:pt>
                <c:pt idx="6">
                  <c:v>2012</c:v>
                </c:pt>
              </c:numCache>
            </c:numRef>
          </c:cat>
          <c:val>
            <c:numRef>
              <c:f>Sheet1!$B$4:$H$4</c:f>
              <c:numCache>
                <c:formatCode>General</c:formatCode>
                <c:ptCount val="7"/>
                <c:pt idx="0">
                  <c:v>1332</c:v>
                </c:pt>
                <c:pt idx="1">
                  <c:v>1419</c:v>
                </c:pt>
                <c:pt idx="2">
                  <c:v>1527.5</c:v>
                </c:pt>
                <c:pt idx="3">
                  <c:v>1704.7</c:v>
                </c:pt>
                <c:pt idx="4">
                  <c:v>1990.4</c:v>
                </c:pt>
                <c:pt idx="5">
                  <c:v>2173.3000000000002</c:v>
                </c:pt>
                <c:pt idx="6">
                  <c:v>2282</c:v>
                </c:pt>
              </c:numCache>
            </c:numRef>
          </c:val>
          <c:smooth val="0"/>
        </c:ser>
        <c:ser>
          <c:idx val="1"/>
          <c:order val="1"/>
          <c:tx>
            <c:strRef>
              <c:f>Sheet1!$A$5</c:f>
              <c:strCache>
                <c:ptCount val="1"/>
                <c:pt idx="0">
                  <c:v>Weekly earnings - all industries</c:v>
                </c:pt>
              </c:strCache>
            </c:strRef>
          </c:tx>
          <c:spPr>
            <a:ln w="19050">
              <a:solidFill>
                <a:srgbClr val="344893"/>
              </a:solidFill>
            </a:ln>
          </c:spPr>
          <c:marker>
            <c:symbol val="none"/>
          </c:marker>
          <c:cat>
            <c:numRef>
              <c:f>Sheet1!$B$3:$H$3</c:f>
              <c:numCache>
                <c:formatCode>General</c:formatCode>
                <c:ptCount val="7"/>
                <c:pt idx="0">
                  <c:v>2000</c:v>
                </c:pt>
                <c:pt idx="1">
                  <c:v>2002</c:v>
                </c:pt>
                <c:pt idx="2">
                  <c:v>2004</c:v>
                </c:pt>
                <c:pt idx="3">
                  <c:v>2006</c:v>
                </c:pt>
                <c:pt idx="4">
                  <c:v>2008</c:v>
                </c:pt>
                <c:pt idx="5">
                  <c:v>2010</c:v>
                </c:pt>
                <c:pt idx="6">
                  <c:v>2012</c:v>
                </c:pt>
              </c:numCache>
            </c:numRef>
          </c:cat>
          <c:val>
            <c:numRef>
              <c:f>Sheet1!$B$5:$H$5</c:f>
              <c:numCache>
                <c:formatCode>General</c:formatCode>
                <c:ptCount val="7"/>
                <c:pt idx="0">
                  <c:v>784</c:v>
                </c:pt>
                <c:pt idx="1">
                  <c:v>845</c:v>
                </c:pt>
                <c:pt idx="2">
                  <c:v>916</c:v>
                </c:pt>
                <c:pt idx="3">
                  <c:v>1221</c:v>
                </c:pt>
                <c:pt idx="4">
                  <c:v>1194.4000000000001</c:v>
                </c:pt>
                <c:pt idx="5">
                  <c:v>1265.7</c:v>
                </c:pt>
                <c:pt idx="6">
                  <c:v>1374.4</c:v>
                </c:pt>
              </c:numCache>
            </c:numRef>
          </c:val>
          <c:smooth val="0"/>
        </c:ser>
        <c:dLbls>
          <c:showLegendKey val="0"/>
          <c:showVal val="0"/>
          <c:showCatName val="0"/>
          <c:showSerName val="0"/>
          <c:showPercent val="0"/>
          <c:showBubbleSize val="0"/>
        </c:dLbls>
        <c:marker val="1"/>
        <c:smooth val="0"/>
        <c:axId val="200726016"/>
        <c:axId val="200727552"/>
      </c:lineChart>
      <c:catAx>
        <c:axId val="200726016"/>
        <c:scaling>
          <c:orientation val="minMax"/>
        </c:scaling>
        <c:delete val="0"/>
        <c:axPos val="b"/>
        <c:numFmt formatCode="General" sourceLinked="1"/>
        <c:majorTickMark val="out"/>
        <c:minorTickMark val="none"/>
        <c:tickLblPos val="nextTo"/>
        <c:spPr>
          <a:ln>
            <a:solidFill>
              <a:schemeClr val="tx1"/>
            </a:solidFill>
          </a:ln>
        </c:spPr>
        <c:txPr>
          <a:bodyPr/>
          <a:lstStyle/>
          <a:p>
            <a:pPr>
              <a:defRPr sz="900"/>
            </a:pPr>
            <a:endParaRPr lang="en-US"/>
          </a:p>
        </c:txPr>
        <c:crossAx val="200727552"/>
        <c:crosses val="autoZero"/>
        <c:auto val="1"/>
        <c:lblAlgn val="ctr"/>
        <c:lblOffset val="100"/>
        <c:noMultiLvlLbl val="0"/>
      </c:catAx>
      <c:valAx>
        <c:axId val="200727552"/>
        <c:scaling>
          <c:orientation val="minMax"/>
        </c:scaling>
        <c:delete val="0"/>
        <c:axPos val="l"/>
        <c:majorGridlines>
          <c:spPr>
            <a:ln w="3175">
              <a:solidFill>
                <a:sysClr val="window" lastClr="FFFFFF">
                  <a:lumMod val="50000"/>
                </a:sysClr>
              </a:solidFill>
              <a:prstDash val="solid"/>
            </a:ln>
          </c:spPr>
        </c:majorGridlines>
        <c:title>
          <c:tx>
            <c:rich>
              <a:bodyPr rot="-5400000" vert="horz"/>
              <a:lstStyle/>
              <a:p>
                <a:pPr>
                  <a:defRPr sz="900" b="1"/>
                </a:pPr>
                <a:r>
                  <a:rPr lang="en-AU" sz="900" b="1"/>
                  <a:t>Average weekly earnings ($)</a:t>
                </a:r>
              </a:p>
            </c:rich>
          </c:tx>
          <c:layout>
            <c:manualLayout>
              <c:xMode val="edge"/>
              <c:yMode val="edge"/>
              <c:x val="2.6309498801150308E-3"/>
              <c:y val="7.3616975844121177E-2"/>
            </c:manualLayout>
          </c:layout>
          <c:overlay val="0"/>
        </c:title>
        <c:numFmt formatCode="General" sourceLinked="1"/>
        <c:majorTickMark val="out"/>
        <c:minorTickMark val="none"/>
        <c:tickLblPos val="nextTo"/>
        <c:spPr>
          <a:ln>
            <a:solidFill>
              <a:sysClr val="windowText" lastClr="000000"/>
            </a:solidFill>
          </a:ln>
        </c:spPr>
        <c:txPr>
          <a:bodyPr/>
          <a:lstStyle/>
          <a:p>
            <a:pPr>
              <a:defRPr sz="900"/>
            </a:pPr>
            <a:endParaRPr lang="en-US"/>
          </a:p>
        </c:txPr>
        <c:crossAx val="200726016"/>
        <c:crosses val="autoZero"/>
        <c:crossBetween val="midCat"/>
      </c:valAx>
      <c:spPr>
        <a:ln>
          <a:solidFill>
            <a:schemeClr val="tx1"/>
          </a:solidFill>
        </a:ln>
      </c:spPr>
    </c:plotArea>
    <c:plotVisOnly val="1"/>
    <c:dispBlanksAs val="gap"/>
    <c:showDLblsOverMax val="0"/>
  </c:chart>
  <c:spPr>
    <a:ln>
      <a:noFill/>
    </a:ln>
  </c:spPr>
  <c:externalData r:id="rId2">
    <c:autoUpdate val="0"/>
  </c:externalData>
  <c:userShapes r:id="rId3"/>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8866647275950665"/>
          <c:y val="4.0934724360144635E-2"/>
          <c:w val="0.73321941287682046"/>
          <c:h val="0.82478416954079092"/>
        </c:manualLayout>
      </c:layout>
      <c:lineChart>
        <c:grouping val="standard"/>
        <c:varyColors val="0"/>
        <c:ser>
          <c:idx val="0"/>
          <c:order val="0"/>
          <c:tx>
            <c:strRef>
              <c:f>Sheet1!$A$6</c:f>
              <c:strCache>
                <c:ptCount val="1"/>
                <c:pt idx="0">
                  <c:v>Hourly wage - mining</c:v>
                </c:pt>
              </c:strCache>
            </c:strRef>
          </c:tx>
          <c:spPr>
            <a:ln w="19050">
              <a:solidFill>
                <a:srgbClr val="86A20B"/>
              </a:solidFill>
              <a:prstDash val="sysDash"/>
            </a:ln>
          </c:spPr>
          <c:marker>
            <c:symbol val="none"/>
          </c:marker>
          <c:cat>
            <c:numRef>
              <c:f>Sheet1!$B$3:$H$3</c:f>
              <c:numCache>
                <c:formatCode>General</c:formatCode>
                <c:ptCount val="7"/>
                <c:pt idx="0">
                  <c:v>2000</c:v>
                </c:pt>
                <c:pt idx="1">
                  <c:v>2002</c:v>
                </c:pt>
                <c:pt idx="2">
                  <c:v>2004</c:v>
                </c:pt>
                <c:pt idx="3">
                  <c:v>2006</c:v>
                </c:pt>
                <c:pt idx="4">
                  <c:v>2008</c:v>
                </c:pt>
                <c:pt idx="5">
                  <c:v>2010</c:v>
                </c:pt>
                <c:pt idx="6">
                  <c:v>2012</c:v>
                </c:pt>
              </c:numCache>
            </c:numRef>
          </c:cat>
          <c:val>
            <c:numRef>
              <c:f>Sheet1!$B$6:$H$6</c:f>
              <c:numCache>
                <c:formatCode>General</c:formatCode>
                <c:ptCount val="7"/>
                <c:pt idx="0">
                  <c:v>28.2</c:v>
                </c:pt>
                <c:pt idx="1">
                  <c:v>31</c:v>
                </c:pt>
                <c:pt idx="2">
                  <c:v>33.700000000000003</c:v>
                </c:pt>
                <c:pt idx="3">
                  <c:v>45.5</c:v>
                </c:pt>
                <c:pt idx="4">
                  <c:v>45.3</c:v>
                </c:pt>
                <c:pt idx="5">
                  <c:v>49</c:v>
                </c:pt>
                <c:pt idx="6">
                  <c:v>52.3</c:v>
                </c:pt>
              </c:numCache>
            </c:numRef>
          </c:val>
          <c:smooth val="0"/>
        </c:ser>
        <c:ser>
          <c:idx val="1"/>
          <c:order val="1"/>
          <c:tx>
            <c:strRef>
              <c:f>Sheet1!$A$7</c:f>
              <c:strCache>
                <c:ptCount val="1"/>
                <c:pt idx="0">
                  <c:v>Hourly wage - all industries</c:v>
                </c:pt>
              </c:strCache>
            </c:strRef>
          </c:tx>
          <c:spPr>
            <a:ln w="19050">
              <a:solidFill>
                <a:srgbClr val="344893"/>
              </a:solidFill>
            </a:ln>
          </c:spPr>
          <c:marker>
            <c:symbol val="none"/>
          </c:marker>
          <c:cat>
            <c:numRef>
              <c:f>Sheet1!$B$3:$H$3</c:f>
              <c:numCache>
                <c:formatCode>General</c:formatCode>
                <c:ptCount val="7"/>
                <c:pt idx="0">
                  <c:v>2000</c:v>
                </c:pt>
                <c:pt idx="1">
                  <c:v>2002</c:v>
                </c:pt>
                <c:pt idx="2">
                  <c:v>2004</c:v>
                </c:pt>
                <c:pt idx="3">
                  <c:v>2006</c:v>
                </c:pt>
                <c:pt idx="4">
                  <c:v>2008</c:v>
                </c:pt>
                <c:pt idx="5">
                  <c:v>2010</c:v>
                </c:pt>
                <c:pt idx="6">
                  <c:v>2012</c:v>
                </c:pt>
              </c:numCache>
            </c:numRef>
          </c:cat>
          <c:val>
            <c:numRef>
              <c:f>Sheet1!$B$7:$H$7</c:f>
              <c:numCache>
                <c:formatCode>General</c:formatCode>
                <c:ptCount val="7"/>
                <c:pt idx="0">
                  <c:v>19.7</c:v>
                </c:pt>
                <c:pt idx="1">
                  <c:v>21.4</c:v>
                </c:pt>
                <c:pt idx="2">
                  <c:v>23.2</c:v>
                </c:pt>
                <c:pt idx="3">
                  <c:v>30.4</c:v>
                </c:pt>
                <c:pt idx="4">
                  <c:v>30.1</c:v>
                </c:pt>
                <c:pt idx="5">
                  <c:v>32.200000000000003</c:v>
                </c:pt>
                <c:pt idx="6">
                  <c:v>34.700000000000003</c:v>
                </c:pt>
              </c:numCache>
            </c:numRef>
          </c:val>
          <c:smooth val="0"/>
        </c:ser>
        <c:dLbls>
          <c:showLegendKey val="0"/>
          <c:showVal val="0"/>
          <c:showCatName val="0"/>
          <c:showSerName val="0"/>
          <c:showPercent val="0"/>
          <c:showBubbleSize val="0"/>
        </c:dLbls>
        <c:marker val="1"/>
        <c:smooth val="0"/>
        <c:axId val="200434048"/>
        <c:axId val="200435584"/>
      </c:lineChart>
      <c:catAx>
        <c:axId val="200434048"/>
        <c:scaling>
          <c:orientation val="minMax"/>
        </c:scaling>
        <c:delete val="0"/>
        <c:axPos val="b"/>
        <c:numFmt formatCode="General" sourceLinked="1"/>
        <c:majorTickMark val="out"/>
        <c:minorTickMark val="none"/>
        <c:tickLblPos val="nextTo"/>
        <c:spPr>
          <a:ln>
            <a:solidFill>
              <a:schemeClr val="tx1"/>
            </a:solidFill>
          </a:ln>
        </c:spPr>
        <c:txPr>
          <a:bodyPr/>
          <a:lstStyle/>
          <a:p>
            <a:pPr>
              <a:defRPr sz="900"/>
            </a:pPr>
            <a:endParaRPr lang="en-US"/>
          </a:p>
        </c:txPr>
        <c:crossAx val="200435584"/>
        <c:crosses val="autoZero"/>
        <c:auto val="1"/>
        <c:lblAlgn val="ctr"/>
        <c:lblOffset val="100"/>
        <c:noMultiLvlLbl val="0"/>
      </c:catAx>
      <c:valAx>
        <c:axId val="200435584"/>
        <c:scaling>
          <c:orientation val="minMax"/>
        </c:scaling>
        <c:delete val="0"/>
        <c:axPos val="l"/>
        <c:majorGridlines>
          <c:spPr>
            <a:ln w="3175">
              <a:solidFill>
                <a:sysClr val="window" lastClr="FFFFFF">
                  <a:lumMod val="50000"/>
                </a:sysClr>
              </a:solidFill>
              <a:prstDash val="solid"/>
            </a:ln>
          </c:spPr>
        </c:majorGridlines>
        <c:title>
          <c:tx>
            <c:rich>
              <a:bodyPr rot="-5400000" vert="horz"/>
              <a:lstStyle/>
              <a:p>
                <a:pPr>
                  <a:defRPr sz="900" b="1"/>
                </a:pPr>
                <a:r>
                  <a:rPr lang="en-AU" sz="900" b="1"/>
                  <a:t>Average hourly wage ($)</a:t>
                </a:r>
              </a:p>
            </c:rich>
          </c:tx>
          <c:layout>
            <c:manualLayout>
              <c:xMode val="edge"/>
              <c:yMode val="edge"/>
              <c:x val="1.1830760600835186E-2"/>
              <c:y val="6.0057807856662544E-2"/>
            </c:manualLayout>
          </c:layout>
          <c:overlay val="0"/>
        </c:title>
        <c:numFmt formatCode="General" sourceLinked="1"/>
        <c:majorTickMark val="out"/>
        <c:minorTickMark val="none"/>
        <c:tickLblPos val="nextTo"/>
        <c:spPr>
          <a:ln>
            <a:solidFill>
              <a:sysClr val="windowText" lastClr="000000"/>
            </a:solidFill>
          </a:ln>
        </c:spPr>
        <c:txPr>
          <a:bodyPr/>
          <a:lstStyle/>
          <a:p>
            <a:pPr>
              <a:defRPr sz="900"/>
            </a:pPr>
            <a:endParaRPr lang="en-US"/>
          </a:p>
        </c:txPr>
        <c:crossAx val="200434048"/>
        <c:crosses val="autoZero"/>
        <c:crossBetween val="midCat"/>
      </c:valAx>
      <c:spPr>
        <a:ln>
          <a:solidFill>
            <a:schemeClr val="tx1"/>
          </a:solidFill>
        </a:ln>
      </c:spPr>
    </c:plotArea>
    <c:plotVisOnly val="1"/>
    <c:dispBlanksAs val="gap"/>
    <c:showDLblsOverMax val="0"/>
  </c:chart>
  <c:spPr>
    <a:ln>
      <a:noFill/>
    </a:ln>
  </c:spPr>
  <c:externalData r:id="rId2">
    <c:autoUpdate val="0"/>
  </c:externalData>
  <c:userShapes r:id="rId3"/>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44170351851851852"/>
          <c:y val="0.10583333333333333"/>
          <c:w val="0.51769348678565918"/>
          <c:h val="0.72929479166666666"/>
        </c:manualLayout>
      </c:layout>
      <c:barChart>
        <c:barDir val="bar"/>
        <c:grouping val="clustered"/>
        <c:varyColors val="0"/>
        <c:ser>
          <c:idx val="0"/>
          <c:order val="0"/>
          <c:tx>
            <c:strRef>
              <c:f>Sheet1!$B$4</c:f>
              <c:strCache>
                <c:ptCount val="1"/>
                <c:pt idx="0">
                  <c:v>2012</c:v>
                </c:pt>
              </c:strCache>
            </c:strRef>
          </c:tx>
          <c:spPr>
            <a:pattFill prst="ltUpDiag">
              <a:fgClr>
                <a:srgbClr val="604A7B"/>
              </a:fgClr>
              <a:bgClr>
                <a:sysClr val="window" lastClr="FFFFFF"/>
              </a:bgClr>
            </a:pattFill>
            <a:ln>
              <a:solidFill>
                <a:srgbClr val="604A7B"/>
              </a:solidFill>
            </a:ln>
          </c:spPr>
          <c:invertIfNegative val="0"/>
          <c:cat>
            <c:strRef>
              <c:f>Sheet1!$A$5:$A$9</c:f>
              <c:strCache>
                <c:ptCount val="5"/>
                <c:pt idx="0">
                  <c:v>Exploration &amp; other mining support services</c:v>
                </c:pt>
                <c:pt idx="1">
                  <c:v>Non-metallic mineral mining &amp; quarrying</c:v>
                </c:pt>
                <c:pt idx="2">
                  <c:v>Metal ore mining</c:v>
                </c:pt>
                <c:pt idx="3">
                  <c:v>Oil &amp; gas extraction</c:v>
                </c:pt>
                <c:pt idx="4">
                  <c:v>Coal mining</c:v>
                </c:pt>
              </c:strCache>
            </c:strRef>
          </c:cat>
          <c:val>
            <c:numRef>
              <c:f>Sheet1!$B$5:$B$9</c:f>
              <c:numCache>
                <c:formatCode>#,##0</c:formatCode>
                <c:ptCount val="5"/>
                <c:pt idx="0">
                  <c:v>2030.2</c:v>
                </c:pt>
                <c:pt idx="1">
                  <c:v>1988.9</c:v>
                </c:pt>
                <c:pt idx="2">
                  <c:v>2278.6</c:v>
                </c:pt>
                <c:pt idx="3">
                  <c:v>2940.1</c:v>
                </c:pt>
                <c:pt idx="4">
                  <c:v>2357.4</c:v>
                </c:pt>
              </c:numCache>
            </c:numRef>
          </c:val>
        </c:ser>
        <c:ser>
          <c:idx val="1"/>
          <c:order val="1"/>
          <c:tx>
            <c:strRef>
              <c:f>Sheet1!$C$4</c:f>
              <c:strCache>
                <c:ptCount val="1"/>
                <c:pt idx="0">
                  <c:v>2010</c:v>
                </c:pt>
              </c:strCache>
            </c:strRef>
          </c:tx>
          <c:spPr>
            <a:pattFill prst="ltDnDiag">
              <a:fgClr>
                <a:srgbClr val="39580D"/>
              </a:fgClr>
              <a:bgClr>
                <a:sysClr val="window" lastClr="FFFFFF"/>
              </a:bgClr>
            </a:pattFill>
            <a:ln>
              <a:solidFill>
                <a:srgbClr val="39580D"/>
              </a:solidFill>
            </a:ln>
          </c:spPr>
          <c:invertIfNegative val="0"/>
          <c:cat>
            <c:strRef>
              <c:f>Sheet1!$A$5:$A$9</c:f>
              <c:strCache>
                <c:ptCount val="5"/>
                <c:pt idx="0">
                  <c:v>Exploration &amp; other mining support services</c:v>
                </c:pt>
                <c:pt idx="1">
                  <c:v>Non-metallic mineral mining &amp; quarrying</c:v>
                </c:pt>
                <c:pt idx="2">
                  <c:v>Metal ore mining</c:v>
                </c:pt>
                <c:pt idx="3">
                  <c:v>Oil &amp; gas extraction</c:v>
                </c:pt>
                <c:pt idx="4">
                  <c:v>Coal mining</c:v>
                </c:pt>
              </c:strCache>
            </c:strRef>
          </c:cat>
          <c:val>
            <c:numRef>
              <c:f>Sheet1!$C$5:$C$9</c:f>
              <c:numCache>
                <c:formatCode>#,##0</c:formatCode>
                <c:ptCount val="5"/>
                <c:pt idx="0">
                  <c:v>1943.2</c:v>
                </c:pt>
                <c:pt idx="1">
                  <c:v>1305.2</c:v>
                </c:pt>
                <c:pt idx="2">
                  <c:v>2036.2</c:v>
                </c:pt>
                <c:pt idx="3">
                  <c:v>2781.6</c:v>
                </c:pt>
                <c:pt idx="4">
                  <c:v>2273.1</c:v>
                </c:pt>
              </c:numCache>
            </c:numRef>
          </c:val>
        </c:ser>
        <c:ser>
          <c:idx val="2"/>
          <c:order val="2"/>
          <c:tx>
            <c:strRef>
              <c:f>Sheet1!$D$4</c:f>
              <c:strCache>
                <c:ptCount val="1"/>
                <c:pt idx="0">
                  <c:v>2008</c:v>
                </c:pt>
              </c:strCache>
            </c:strRef>
          </c:tx>
          <c:spPr>
            <a:pattFill prst="zigZag">
              <a:fgClr>
                <a:srgbClr val="7B905A"/>
              </a:fgClr>
              <a:bgClr>
                <a:sysClr val="window" lastClr="FFFFFF"/>
              </a:bgClr>
            </a:pattFill>
            <a:ln>
              <a:solidFill>
                <a:srgbClr val="7B905A"/>
              </a:solidFill>
            </a:ln>
          </c:spPr>
          <c:invertIfNegative val="0"/>
          <c:cat>
            <c:strRef>
              <c:f>Sheet1!$A$5:$A$9</c:f>
              <c:strCache>
                <c:ptCount val="5"/>
                <c:pt idx="0">
                  <c:v>Exploration &amp; other mining support services</c:v>
                </c:pt>
                <c:pt idx="1">
                  <c:v>Non-metallic mineral mining &amp; quarrying</c:v>
                </c:pt>
                <c:pt idx="2">
                  <c:v>Metal ore mining</c:v>
                </c:pt>
                <c:pt idx="3">
                  <c:v>Oil &amp; gas extraction</c:v>
                </c:pt>
                <c:pt idx="4">
                  <c:v>Coal mining</c:v>
                </c:pt>
              </c:strCache>
            </c:strRef>
          </c:cat>
          <c:val>
            <c:numRef>
              <c:f>Sheet1!$D$5:$D$9</c:f>
              <c:numCache>
                <c:formatCode>#,##0</c:formatCode>
                <c:ptCount val="5"/>
                <c:pt idx="0">
                  <c:v>1867.3</c:v>
                </c:pt>
                <c:pt idx="1">
                  <c:v>1329.6</c:v>
                </c:pt>
                <c:pt idx="2">
                  <c:v>1911.7</c:v>
                </c:pt>
                <c:pt idx="3">
                  <c:v>2454.3000000000002</c:v>
                </c:pt>
                <c:pt idx="4">
                  <c:v>2203.5</c:v>
                </c:pt>
              </c:numCache>
            </c:numRef>
          </c:val>
        </c:ser>
        <c:ser>
          <c:idx val="3"/>
          <c:order val="3"/>
          <c:tx>
            <c:strRef>
              <c:f>Sheet1!$E$4</c:f>
              <c:strCache>
                <c:ptCount val="1"/>
                <c:pt idx="0">
                  <c:v>2006</c:v>
                </c:pt>
              </c:strCache>
            </c:strRef>
          </c:tx>
          <c:spPr>
            <a:pattFill prst="pct60">
              <a:fgClr>
                <a:srgbClr val="B4C98B"/>
              </a:fgClr>
              <a:bgClr>
                <a:sysClr val="window" lastClr="FFFFFF"/>
              </a:bgClr>
            </a:pattFill>
            <a:ln>
              <a:solidFill>
                <a:srgbClr val="B4C98B"/>
              </a:solidFill>
            </a:ln>
          </c:spPr>
          <c:invertIfNegative val="0"/>
          <c:cat>
            <c:strRef>
              <c:f>Sheet1!$A$5:$A$9</c:f>
              <c:strCache>
                <c:ptCount val="5"/>
                <c:pt idx="0">
                  <c:v>Exploration &amp; other mining support services</c:v>
                </c:pt>
                <c:pt idx="1">
                  <c:v>Non-metallic mineral mining &amp; quarrying</c:v>
                </c:pt>
                <c:pt idx="2">
                  <c:v>Metal ore mining</c:v>
                </c:pt>
                <c:pt idx="3">
                  <c:v>Oil &amp; gas extraction</c:v>
                </c:pt>
                <c:pt idx="4">
                  <c:v>Coal mining</c:v>
                </c:pt>
              </c:strCache>
            </c:strRef>
          </c:cat>
          <c:val>
            <c:numRef>
              <c:f>Sheet1!$E$5:$E$9</c:f>
              <c:numCache>
                <c:formatCode>#,##0</c:formatCode>
                <c:ptCount val="5"/>
                <c:pt idx="0">
                  <c:v>1943.2</c:v>
                </c:pt>
                <c:pt idx="1">
                  <c:v>1305.2</c:v>
                </c:pt>
                <c:pt idx="2">
                  <c:v>2036.2</c:v>
                </c:pt>
                <c:pt idx="3">
                  <c:v>2781.6</c:v>
                </c:pt>
                <c:pt idx="4">
                  <c:v>2273.1</c:v>
                </c:pt>
              </c:numCache>
            </c:numRef>
          </c:val>
        </c:ser>
        <c:ser>
          <c:idx val="4"/>
          <c:order val="4"/>
          <c:tx>
            <c:strRef>
              <c:f>Sheet1!$F$4</c:f>
              <c:strCache>
                <c:ptCount val="1"/>
                <c:pt idx="0">
                  <c:v>2004</c:v>
                </c:pt>
              </c:strCache>
            </c:strRef>
          </c:tx>
          <c:spPr>
            <a:solidFill>
              <a:srgbClr val="344893"/>
            </a:solidFill>
            <a:ln>
              <a:solidFill>
                <a:schemeClr val="tx1"/>
              </a:solidFill>
            </a:ln>
          </c:spPr>
          <c:invertIfNegative val="0"/>
          <c:cat>
            <c:strRef>
              <c:f>Sheet1!$A$5:$A$9</c:f>
              <c:strCache>
                <c:ptCount val="5"/>
                <c:pt idx="0">
                  <c:v>Exploration &amp; other mining support services</c:v>
                </c:pt>
                <c:pt idx="1">
                  <c:v>Non-metallic mineral mining &amp; quarrying</c:v>
                </c:pt>
                <c:pt idx="2">
                  <c:v>Metal ore mining</c:v>
                </c:pt>
                <c:pt idx="3">
                  <c:v>Oil &amp; gas extraction</c:v>
                </c:pt>
                <c:pt idx="4">
                  <c:v>Coal mining</c:v>
                </c:pt>
              </c:strCache>
            </c:strRef>
          </c:cat>
          <c:val>
            <c:numRef>
              <c:f>Sheet1!$F$5:$F$9</c:f>
              <c:numCache>
                <c:formatCode>#,##0</c:formatCode>
                <c:ptCount val="5"/>
                <c:pt idx="0">
                  <c:v>1472.6</c:v>
                </c:pt>
                <c:pt idx="1">
                  <c:v>1124.7</c:v>
                </c:pt>
                <c:pt idx="2">
                  <c:v>1479.3</c:v>
                </c:pt>
                <c:pt idx="3">
                  <c:v>1660.4</c:v>
                </c:pt>
                <c:pt idx="4">
                  <c:v>1784.7</c:v>
                </c:pt>
              </c:numCache>
            </c:numRef>
          </c:val>
        </c:ser>
        <c:dLbls>
          <c:showLegendKey val="0"/>
          <c:showVal val="0"/>
          <c:showCatName val="0"/>
          <c:showSerName val="0"/>
          <c:showPercent val="0"/>
          <c:showBubbleSize val="0"/>
        </c:dLbls>
        <c:gapWidth val="150"/>
        <c:axId val="200476544"/>
        <c:axId val="200478080"/>
      </c:barChart>
      <c:catAx>
        <c:axId val="200476544"/>
        <c:scaling>
          <c:orientation val="minMax"/>
        </c:scaling>
        <c:delete val="0"/>
        <c:axPos val="l"/>
        <c:majorTickMark val="out"/>
        <c:minorTickMark val="none"/>
        <c:tickLblPos val="nextTo"/>
        <c:spPr>
          <a:ln>
            <a:solidFill>
              <a:schemeClr val="tx1"/>
            </a:solidFill>
          </a:ln>
        </c:spPr>
        <c:txPr>
          <a:bodyPr/>
          <a:lstStyle/>
          <a:p>
            <a:pPr>
              <a:defRPr sz="900"/>
            </a:pPr>
            <a:endParaRPr lang="en-US"/>
          </a:p>
        </c:txPr>
        <c:crossAx val="200478080"/>
        <c:crosses val="autoZero"/>
        <c:auto val="1"/>
        <c:lblAlgn val="ctr"/>
        <c:lblOffset val="100"/>
        <c:noMultiLvlLbl val="0"/>
      </c:catAx>
      <c:valAx>
        <c:axId val="200478080"/>
        <c:scaling>
          <c:orientation val="minMax"/>
          <c:max val="3000"/>
        </c:scaling>
        <c:delete val="0"/>
        <c:axPos val="b"/>
        <c:majorGridlines>
          <c:spPr>
            <a:ln>
              <a:solidFill>
                <a:sysClr val="window" lastClr="FFFFFF">
                  <a:lumMod val="50000"/>
                </a:sysClr>
              </a:solidFill>
              <a:prstDash val="solid"/>
            </a:ln>
          </c:spPr>
        </c:majorGridlines>
        <c:title>
          <c:tx>
            <c:rich>
              <a:bodyPr/>
              <a:lstStyle/>
              <a:p>
                <a:pPr>
                  <a:defRPr sz="900" b="1"/>
                </a:pPr>
                <a:r>
                  <a:rPr lang="en-AU" sz="900" b="1"/>
                  <a:t>Average weekly earnings ($)</a:t>
                </a:r>
              </a:p>
            </c:rich>
          </c:tx>
          <c:layout>
            <c:manualLayout>
              <c:xMode val="edge"/>
              <c:yMode val="edge"/>
              <c:x val="0.56906185185185187"/>
              <c:y val="0.92613611111111116"/>
            </c:manualLayout>
          </c:layout>
          <c:overlay val="0"/>
        </c:title>
        <c:numFmt formatCode="0" sourceLinked="0"/>
        <c:majorTickMark val="out"/>
        <c:minorTickMark val="none"/>
        <c:tickLblPos val="nextTo"/>
        <c:spPr>
          <a:ln>
            <a:solidFill>
              <a:sysClr val="windowText" lastClr="000000"/>
            </a:solidFill>
          </a:ln>
        </c:spPr>
        <c:txPr>
          <a:bodyPr/>
          <a:lstStyle/>
          <a:p>
            <a:pPr>
              <a:defRPr sz="900"/>
            </a:pPr>
            <a:endParaRPr lang="en-US"/>
          </a:p>
        </c:txPr>
        <c:crossAx val="200476544"/>
        <c:crosses val="autoZero"/>
        <c:crossBetween val="between"/>
        <c:majorUnit val="500"/>
      </c:valAx>
      <c:spPr>
        <a:ln>
          <a:solidFill>
            <a:schemeClr val="tx1"/>
          </a:solidFill>
        </a:ln>
      </c:spPr>
    </c:plotArea>
    <c:legend>
      <c:legendPos val="b"/>
      <c:layout>
        <c:manualLayout>
          <c:xMode val="edge"/>
          <c:yMode val="edge"/>
          <c:x val="0.27831261833011617"/>
          <c:y val="2.0562268027747372E-2"/>
          <c:w val="0.51563833333333331"/>
          <c:h val="5.4938418865292708E-2"/>
        </c:manualLayout>
      </c:layout>
      <c:overlay val="0"/>
      <c:spPr>
        <a:ln>
          <a:noFill/>
        </a:ln>
      </c:spPr>
      <c:txPr>
        <a:bodyPr/>
        <a:lstStyle/>
        <a:p>
          <a:pPr>
            <a:defRPr sz="900"/>
          </a:pPr>
          <a:endParaRPr lang="en-US"/>
        </a:p>
      </c:txPr>
    </c:legend>
    <c:plotVisOnly val="1"/>
    <c:dispBlanksAs val="gap"/>
    <c:showDLblsOverMax val="0"/>
  </c:chart>
  <c:spPr>
    <a:ln>
      <a:noFill/>
    </a:ln>
  </c:spPr>
  <c:externalData r:id="rId2">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772388888888889"/>
          <c:y val="8.1418533258481834E-2"/>
          <c:w val="0.85640574074074072"/>
          <c:h val="0.79676858574496379"/>
        </c:manualLayout>
      </c:layout>
      <c:barChart>
        <c:barDir val="col"/>
        <c:grouping val="clustered"/>
        <c:varyColors val="0"/>
        <c:ser>
          <c:idx val="0"/>
          <c:order val="0"/>
          <c:tx>
            <c:strRef>
              <c:f>'H:\Structural Adjustment\Work\Leonora\DATA\ABS\[ABS Migration.xlsx]Sheet1'!$A$5</c:f>
              <c:strCache>
                <c:ptCount val="1"/>
                <c:pt idx="0">
                  <c:v>2001-02</c:v>
                </c:pt>
              </c:strCache>
            </c:strRef>
          </c:tx>
          <c:spPr>
            <a:solidFill>
              <a:srgbClr val="344893"/>
            </a:solidFill>
            <a:ln>
              <a:solidFill>
                <a:srgbClr val="344893"/>
              </a:solidFill>
            </a:ln>
          </c:spPr>
          <c:invertIfNegative val="0"/>
          <c:cat>
            <c:strRef>
              <c:f>'H:\Structural Adjustment\Work\Leonora\DATA\ABS\[ABS Migration.xlsx]Sheet1'!$B$4:$I$4</c:f>
              <c:strCache>
                <c:ptCount val="8"/>
                <c:pt idx="0">
                  <c:v>NSW</c:v>
                </c:pt>
                <c:pt idx="1">
                  <c:v>Vic</c:v>
                </c:pt>
                <c:pt idx="2">
                  <c:v>Qld</c:v>
                </c:pt>
                <c:pt idx="3">
                  <c:v>SA</c:v>
                </c:pt>
                <c:pt idx="4">
                  <c:v>WA</c:v>
                </c:pt>
                <c:pt idx="5">
                  <c:v>Tas</c:v>
                </c:pt>
                <c:pt idx="6">
                  <c:v>NT</c:v>
                </c:pt>
                <c:pt idx="7">
                  <c:v>ACT</c:v>
                </c:pt>
              </c:strCache>
            </c:strRef>
          </c:cat>
          <c:val>
            <c:numRef>
              <c:f>'H:\Structural Adjustment\Work\Leonora\DATA\ABS\[ABS Migration.xlsx]Sheet1'!$B$5:$I$5</c:f>
              <c:numCache>
                <c:formatCode>General</c:formatCode>
                <c:ptCount val="8"/>
                <c:pt idx="0">
                  <c:v>-25.102</c:v>
                </c:pt>
                <c:pt idx="1">
                  <c:v>3.609</c:v>
                </c:pt>
                <c:pt idx="2">
                  <c:v>30.035</c:v>
                </c:pt>
                <c:pt idx="3">
                  <c:v>-1.3080000000000001</c:v>
                </c:pt>
                <c:pt idx="4">
                  <c:v>-3.5819999999999999</c:v>
                </c:pt>
                <c:pt idx="5">
                  <c:v>-1.423</c:v>
                </c:pt>
                <c:pt idx="6">
                  <c:v>-1.998</c:v>
                </c:pt>
                <c:pt idx="7">
                  <c:v>-0.19700000000000001</c:v>
                </c:pt>
              </c:numCache>
            </c:numRef>
          </c:val>
        </c:ser>
        <c:ser>
          <c:idx val="4"/>
          <c:order val="1"/>
          <c:tx>
            <c:strRef>
              <c:f>'H:\Structural Adjustment\Work\Leonora\DATA\ABS\[ABS Migration.xlsx]Sheet1'!$A$9</c:f>
              <c:strCache>
                <c:ptCount val="1"/>
                <c:pt idx="0">
                  <c:v>2005-06</c:v>
                </c:pt>
              </c:strCache>
            </c:strRef>
          </c:tx>
          <c:spPr>
            <a:pattFill prst="pct60">
              <a:fgClr>
                <a:srgbClr val="B4C98B"/>
              </a:fgClr>
              <a:bgClr>
                <a:sysClr val="window" lastClr="FFFFFF"/>
              </a:bgClr>
            </a:pattFill>
            <a:ln>
              <a:solidFill>
                <a:srgbClr val="B4C98B"/>
              </a:solidFill>
            </a:ln>
          </c:spPr>
          <c:invertIfNegative val="0"/>
          <c:cat>
            <c:strRef>
              <c:f>'H:\Structural Adjustment\Work\Leonora\DATA\ABS\[ABS Migration.xlsx]Sheet1'!$B$4:$I$4</c:f>
              <c:strCache>
                <c:ptCount val="8"/>
                <c:pt idx="0">
                  <c:v>NSW</c:v>
                </c:pt>
                <c:pt idx="1">
                  <c:v>Vic</c:v>
                </c:pt>
                <c:pt idx="2">
                  <c:v>Qld</c:v>
                </c:pt>
                <c:pt idx="3">
                  <c:v>SA</c:v>
                </c:pt>
                <c:pt idx="4">
                  <c:v>WA</c:v>
                </c:pt>
                <c:pt idx="5">
                  <c:v>Tas</c:v>
                </c:pt>
                <c:pt idx="6">
                  <c:v>NT</c:v>
                </c:pt>
                <c:pt idx="7">
                  <c:v>ACT</c:v>
                </c:pt>
              </c:strCache>
            </c:strRef>
          </c:cat>
          <c:val>
            <c:numRef>
              <c:f>'H:\Structural Adjustment\Work\Leonora\DATA\ABS\[ABS Migration.xlsx]Sheet1'!$B$9:$I$9</c:f>
              <c:numCache>
                <c:formatCode>General</c:formatCode>
                <c:ptCount val="8"/>
                <c:pt idx="0">
                  <c:v>-25.576000000000001</c:v>
                </c:pt>
                <c:pt idx="1">
                  <c:v>-1.831</c:v>
                </c:pt>
                <c:pt idx="2">
                  <c:v>26.606999999999999</c:v>
                </c:pt>
                <c:pt idx="3">
                  <c:v>-2.7109999999999999</c:v>
                </c:pt>
                <c:pt idx="4">
                  <c:v>3.9329999999999998</c:v>
                </c:pt>
                <c:pt idx="5">
                  <c:v>-8.2000000000000003E-2</c:v>
                </c:pt>
                <c:pt idx="6">
                  <c:v>-0.55300000000000005</c:v>
                </c:pt>
                <c:pt idx="7">
                  <c:v>0.25800000000000001</c:v>
                </c:pt>
              </c:numCache>
            </c:numRef>
          </c:val>
        </c:ser>
        <c:ser>
          <c:idx val="9"/>
          <c:order val="2"/>
          <c:tx>
            <c:strRef>
              <c:f>'H:\Structural Adjustment\Work\Leonora\DATA\ABS\[ABS Migration.xlsx]Sheet1'!$A$14</c:f>
              <c:strCache>
                <c:ptCount val="1"/>
                <c:pt idx="0">
                  <c:v>2010-11</c:v>
                </c:pt>
              </c:strCache>
            </c:strRef>
          </c:tx>
          <c:spPr>
            <a:pattFill prst="zigZag">
              <a:fgClr>
                <a:srgbClr val="7B905A"/>
              </a:fgClr>
              <a:bgClr>
                <a:sysClr val="window" lastClr="FFFFFF"/>
              </a:bgClr>
            </a:pattFill>
            <a:ln>
              <a:solidFill>
                <a:srgbClr val="7B905A"/>
              </a:solidFill>
            </a:ln>
          </c:spPr>
          <c:invertIfNegative val="0"/>
          <c:cat>
            <c:strRef>
              <c:f>'H:\Structural Adjustment\Work\Leonora\DATA\ABS\[ABS Migration.xlsx]Sheet1'!$B$4:$I$4</c:f>
              <c:strCache>
                <c:ptCount val="8"/>
                <c:pt idx="0">
                  <c:v>NSW</c:v>
                </c:pt>
                <c:pt idx="1">
                  <c:v>Vic</c:v>
                </c:pt>
                <c:pt idx="2">
                  <c:v>Qld</c:v>
                </c:pt>
                <c:pt idx="3">
                  <c:v>SA</c:v>
                </c:pt>
                <c:pt idx="4">
                  <c:v>WA</c:v>
                </c:pt>
                <c:pt idx="5">
                  <c:v>Tas</c:v>
                </c:pt>
                <c:pt idx="6">
                  <c:v>NT</c:v>
                </c:pt>
                <c:pt idx="7">
                  <c:v>ACT</c:v>
                </c:pt>
              </c:strCache>
            </c:strRef>
          </c:cat>
          <c:val>
            <c:numRef>
              <c:f>'H:\Structural Adjustment\Work\Leonora\DATA\ABS\[ABS Migration.xlsx]Sheet1'!$B$14:$I$14</c:f>
              <c:numCache>
                <c:formatCode>General</c:formatCode>
                <c:ptCount val="8"/>
                <c:pt idx="0">
                  <c:v>-13.218</c:v>
                </c:pt>
                <c:pt idx="1">
                  <c:v>3.7589999999999999</c:v>
                </c:pt>
                <c:pt idx="2">
                  <c:v>7.15</c:v>
                </c:pt>
                <c:pt idx="3">
                  <c:v>-2.613</c:v>
                </c:pt>
                <c:pt idx="4">
                  <c:v>6.1630000000000003</c:v>
                </c:pt>
                <c:pt idx="5">
                  <c:v>-4.7E-2</c:v>
                </c:pt>
                <c:pt idx="6">
                  <c:v>-2.5489999999999999</c:v>
                </c:pt>
                <c:pt idx="7">
                  <c:v>1.355</c:v>
                </c:pt>
              </c:numCache>
            </c:numRef>
          </c:val>
        </c:ser>
        <c:dLbls>
          <c:showLegendKey val="0"/>
          <c:showVal val="0"/>
          <c:showCatName val="0"/>
          <c:showSerName val="0"/>
          <c:showPercent val="0"/>
          <c:showBubbleSize val="0"/>
        </c:dLbls>
        <c:gapWidth val="125"/>
        <c:axId val="161485952"/>
        <c:axId val="161487488"/>
      </c:barChart>
      <c:catAx>
        <c:axId val="161485952"/>
        <c:scaling>
          <c:orientation val="minMax"/>
        </c:scaling>
        <c:delete val="0"/>
        <c:axPos val="b"/>
        <c:majorTickMark val="out"/>
        <c:minorTickMark val="none"/>
        <c:tickLblPos val="low"/>
        <c:spPr>
          <a:ln>
            <a:solidFill>
              <a:schemeClr val="tx1"/>
            </a:solidFill>
          </a:ln>
        </c:spPr>
        <c:txPr>
          <a:bodyPr/>
          <a:lstStyle/>
          <a:p>
            <a:pPr>
              <a:defRPr sz="900"/>
            </a:pPr>
            <a:endParaRPr lang="en-US"/>
          </a:p>
        </c:txPr>
        <c:crossAx val="161487488"/>
        <c:crosses val="autoZero"/>
        <c:auto val="1"/>
        <c:lblAlgn val="ctr"/>
        <c:lblOffset val="300"/>
        <c:noMultiLvlLbl val="0"/>
      </c:catAx>
      <c:valAx>
        <c:axId val="161487488"/>
        <c:scaling>
          <c:orientation val="minMax"/>
          <c:max val="40"/>
        </c:scaling>
        <c:delete val="0"/>
        <c:axPos val="l"/>
        <c:majorGridlines>
          <c:spPr>
            <a:ln>
              <a:solidFill>
                <a:sysClr val="window" lastClr="FFFFFF">
                  <a:lumMod val="50000"/>
                </a:sysClr>
              </a:solidFill>
              <a:prstDash val="solid"/>
            </a:ln>
          </c:spPr>
        </c:majorGridlines>
        <c:title>
          <c:tx>
            <c:rich>
              <a:bodyPr rot="-5400000" vert="horz"/>
              <a:lstStyle/>
              <a:p>
                <a:pPr marL="0" marR="0" indent="0" algn="ctr" defTabSz="914400" rtl="0" eaLnBrk="1" fontAlgn="auto" latinLnBrk="0" hangingPunct="1">
                  <a:lnSpc>
                    <a:spcPct val="100000"/>
                  </a:lnSpc>
                  <a:spcBef>
                    <a:spcPts val="0"/>
                  </a:spcBef>
                  <a:spcAft>
                    <a:spcPts val="0"/>
                  </a:spcAft>
                  <a:buClrTx/>
                  <a:buSzTx/>
                  <a:buFontTx/>
                  <a:buNone/>
                  <a:tabLst/>
                  <a:defRPr sz="900" b="1" i="0" u="none" strike="noStrike" kern="1200" baseline="0">
                    <a:solidFill>
                      <a:sysClr val="windowText" lastClr="000000"/>
                    </a:solidFill>
                    <a:latin typeface="+mn-lt"/>
                    <a:ea typeface="+mn-ea"/>
                    <a:cs typeface="+mn-cs"/>
                  </a:defRPr>
                </a:pPr>
                <a:r>
                  <a:rPr lang="en-US" sz="900" b="1"/>
                  <a:t>Net interstate migration (</a:t>
                </a:r>
                <a:r>
                  <a:rPr lang="en-AU" sz="1000">
                    <a:effectLst/>
                    <a:latin typeface="+mj-lt"/>
                  </a:rPr>
                  <a:t>’000s</a:t>
                </a:r>
                <a:r>
                  <a:rPr lang="en-US" sz="900" b="1"/>
                  <a:t>)</a:t>
                </a:r>
              </a:p>
            </c:rich>
          </c:tx>
          <c:layout>
            <c:manualLayout>
              <c:xMode val="edge"/>
              <c:yMode val="edge"/>
              <c:x val="1.4862037037037036E-2"/>
              <c:y val="0.13214812992125988"/>
            </c:manualLayout>
          </c:layout>
          <c:overlay val="0"/>
        </c:title>
        <c:numFmt formatCode="General" sourceLinked="1"/>
        <c:majorTickMark val="out"/>
        <c:minorTickMark val="none"/>
        <c:tickLblPos val="nextTo"/>
        <c:spPr>
          <a:ln>
            <a:solidFill>
              <a:sysClr val="windowText" lastClr="000000"/>
            </a:solidFill>
          </a:ln>
        </c:spPr>
        <c:txPr>
          <a:bodyPr/>
          <a:lstStyle/>
          <a:p>
            <a:pPr>
              <a:defRPr sz="900"/>
            </a:pPr>
            <a:endParaRPr lang="en-US"/>
          </a:p>
        </c:txPr>
        <c:crossAx val="161485952"/>
        <c:crosses val="autoZero"/>
        <c:crossBetween val="between"/>
      </c:valAx>
      <c:spPr>
        <a:ln>
          <a:solidFill>
            <a:schemeClr val="tx1"/>
          </a:solidFill>
        </a:ln>
      </c:spPr>
    </c:plotArea>
    <c:legend>
      <c:legendPos val="b"/>
      <c:layout>
        <c:manualLayout>
          <c:xMode val="edge"/>
          <c:yMode val="edge"/>
          <c:x val="0.32562401732925339"/>
          <c:y val="8.6830410403244919E-4"/>
          <c:w val="0.39579518518518519"/>
          <c:h val="8.9410622098808221E-2"/>
        </c:manualLayout>
      </c:layout>
      <c:overlay val="0"/>
      <c:spPr>
        <a:ln>
          <a:noFill/>
        </a:ln>
      </c:spPr>
      <c:txPr>
        <a:bodyPr/>
        <a:lstStyle/>
        <a:p>
          <a:pPr>
            <a:defRPr sz="900"/>
          </a:pPr>
          <a:endParaRPr lang="en-US"/>
        </a:p>
      </c:txPr>
    </c:legend>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612991664435849"/>
          <c:y val="0.10998959181826409"/>
          <c:w val="0.76895655249356332"/>
          <c:h val="0.77403776828402837"/>
        </c:manualLayout>
      </c:layout>
      <c:lineChart>
        <c:grouping val="standard"/>
        <c:varyColors val="0"/>
        <c:ser>
          <c:idx val="0"/>
          <c:order val="0"/>
          <c:tx>
            <c:strRef>
              <c:f>'Figure 6.1'!$C$9</c:f>
              <c:strCache>
                <c:ptCount val="1"/>
                <c:pt idx="0">
                  <c:v>Gold</c:v>
                </c:pt>
              </c:strCache>
            </c:strRef>
          </c:tx>
          <c:spPr>
            <a:ln w="19050">
              <a:solidFill>
                <a:srgbClr val="344893"/>
              </a:solidFill>
            </a:ln>
          </c:spPr>
          <c:marker>
            <c:symbol val="none"/>
          </c:marker>
          <c:cat>
            <c:strRef>
              <c:f>'Figure 6.1'!$D$3:$CS$3</c:f>
              <c:strCache>
                <c:ptCount val="94"/>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strCache>
            </c:strRef>
          </c:cat>
          <c:val>
            <c:numRef>
              <c:f>'Figure 6.1'!$D$9:$CS$9</c:f>
              <c:numCache>
                <c:formatCode>#\ ##0</c:formatCode>
                <c:ptCount val="94"/>
                <c:pt idx="0">
                  <c:v>115.71482884551021</c:v>
                </c:pt>
                <c:pt idx="1">
                  <c:v>117.39591594738204</c:v>
                </c:pt>
                <c:pt idx="2">
                  <c:v>109.1473819008643</c:v>
                </c:pt>
                <c:pt idx="3">
                  <c:v>103.140297323509</c:v>
                </c:pt>
                <c:pt idx="4">
                  <c:v>101.32472325348745</c:v>
                </c:pt>
                <c:pt idx="5">
                  <c:v>114.33633742197532</c:v>
                </c:pt>
                <c:pt idx="6">
                  <c:v>110.86769436844646</c:v>
                </c:pt>
                <c:pt idx="7">
                  <c:v>99.825753920985065</c:v>
                </c:pt>
                <c:pt idx="8">
                  <c:v>109.20621994942982</c:v>
                </c:pt>
                <c:pt idx="9">
                  <c:v>106.46884978521521</c:v>
                </c:pt>
                <c:pt idx="10">
                  <c:v>101.74219321711894</c:v>
                </c:pt>
                <c:pt idx="11">
                  <c:v>102.67239474682135</c:v>
                </c:pt>
                <c:pt idx="12">
                  <c:v>97.631935253042343</c:v>
                </c:pt>
                <c:pt idx="13">
                  <c:v>101.36394861919779</c:v>
                </c:pt>
                <c:pt idx="14">
                  <c:v>96.536426824989206</c:v>
                </c:pt>
                <c:pt idx="15">
                  <c:v>95.474540138973509</c:v>
                </c:pt>
                <c:pt idx="16">
                  <c:v>96.811938228846714</c:v>
                </c:pt>
                <c:pt idx="17">
                  <c:v>93.73881770629086</c:v>
                </c:pt>
                <c:pt idx="18">
                  <c:v>92.457354147377075</c:v>
                </c:pt>
                <c:pt idx="19">
                  <c:v>104.27543149618391</c:v>
                </c:pt>
                <c:pt idx="20">
                  <c:v>99.68018718792807</c:v>
                </c:pt>
                <c:pt idx="21">
                  <c:v>107.37743729786767</c:v>
                </c:pt>
                <c:pt idx="22">
                  <c:v>107.61393823498265</c:v>
                </c:pt>
                <c:pt idx="23">
                  <c:v>108.12064534524283</c:v>
                </c:pt>
                <c:pt idx="24">
                  <c:v>109.64826936775899</c:v>
                </c:pt>
                <c:pt idx="25">
                  <c:v>106.32805874043345</c:v>
                </c:pt>
                <c:pt idx="26">
                  <c:v>106.97865766063478</c:v>
                </c:pt>
                <c:pt idx="27">
                  <c:v>108.6084152894816</c:v>
                </c:pt>
                <c:pt idx="28">
                  <c:v>107.29004738578277</c:v>
                </c:pt>
                <c:pt idx="29">
                  <c:v>108.55398757292784</c:v>
                </c:pt>
                <c:pt idx="30">
                  <c:v>111.09517487235402</c:v>
                </c:pt>
                <c:pt idx="31">
                  <c:v>107.92859375200725</c:v>
                </c:pt>
                <c:pt idx="32">
                  <c:v>107.42346714380402</c:v>
                </c:pt>
                <c:pt idx="33">
                  <c:v>103.48141791459716</c:v>
                </c:pt>
                <c:pt idx="34">
                  <c:v>98.710780185379349</c:v>
                </c:pt>
                <c:pt idx="35">
                  <c:v>95.487081609115833</c:v>
                </c:pt>
                <c:pt idx="36">
                  <c:v>90.390907246425414</c:v>
                </c:pt>
                <c:pt idx="37">
                  <c:v>80.909654722780957</c:v>
                </c:pt>
                <c:pt idx="38">
                  <c:v>82.897334287574409</c:v>
                </c:pt>
                <c:pt idx="39">
                  <c:v>81.875309538918302</c:v>
                </c:pt>
                <c:pt idx="40">
                  <c:v>80.877482638187701</c:v>
                </c:pt>
                <c:pt idx="41">
                  <c:v>81.789311286772573</c:v>
                </c:pt>
                <c:pt idx="42">
                  <c:v>80.200036476788299</c:v>
                </c:pt>
                <c:pt idx="43">
                  <c:v>73.239998256712667</c:v>
                </c:pt>
                <c:pt idx="44">
                  <c:v>74.099645121111891</c:v>
                </c:pt>
                <c:pt idx="45">
                  <c:v>79.49370587680454</c:v>
                </c:pt>
                <c:pt idx="46">
                  <c:v>80.329163578894907</c:v>
                </c:pt>
                <c:pt idx="47">
                  <c:v>79.954795007468292</c:v>
                </c:pt>
                <c:pt idx="48">
                  <c:v>76.678918849736888</c:v>
                </c:pt>
                <c:pt idx="49">
                  <c:v>76.179051802713062</c:v>
                </c:pt>
                <c:pt idx="50">
                  <c:v>73.764064272386761</c:v>
                </c:pt>
                <c:pt idx="51">
                  <c:v>75.855719914974543</c:v>
                </c:pt>
                <c:pt idx="52">
                  <c:v>79.144880303166133</c:v>
                </c:pt>
                <c:pt idx="53">
                  <c:v>77.399415130184579</c:v>
                </c:pt>
                <c:pt idx="54">
                  <c:v>82.472031858954111</c:v>
                </c:pt>
                <c:pt idx="55">
                  <c:v>90.088368164687594</c:v>
                </c:pt>
                <c:pt idx="56">
                  <c:v>89.321761346122656</c:v>
                </c:pt>
                <c:pt idx="57">
                  <c:v>93.384388508979555</c:v>
                </c:pt>
                <c:pt idx="58">
                  <c:v>95.70522255344774</c:v>
                </c:pt>
                <c:pt idx="59">
                  <c:v>100</c:v>
                </c:pt>
                <c:pt idx="60">
                  <c:v>106.14918855116362</c:v>
                </c:pt>
                <c:pt idx="61">
                  <c:v>114.22253062699043</c:v>
                </c:pt>
                <c:pt idx="62">
                  <c:v>113.74686058734858</c:v>
                </c:pt>
                <c:pt idx="63">
                  <c:v>109.76925664611832</c:v>
                </c:pt>
                <c:pt idx="64">
                  <c:v>113.58545184980591</c:v>
                </c:pt>
                <c:pt idx="65">
                  <c:v>124.11292640966964</c:v>
                </c:pt>
                <c:pt idx="66">
                  <c:v>121.69803133913395</c:v>
                </c:pt>
                <c:pt idx="67">
                  <c:v>120.56260017440438</c:v>
                </c:pt>
                <c:pt idx="68">
                  <c:v>127.7447901324558</c:v>
                </c:pt>
                <c:pt idx="69">
                  <c:v>142.73059902554945</c:v>
                </c:pt>
                <c:pt idx="70">
                  <c:v>156.12243727202096</c:v>
                </c:pt>
                <c:pt idx="71">
                  <c:v>167.51969284969636</c:v>
                </c:pt>
                <c:pt idx="72">
                  <c:v>168.15073736472871</c:v>
                </c:pt>
                <c:pt idx="73">
                  <c:v>176.37774172873276</c:v>
                </c:pt>
                <c:pt idx="74">
                  <c:v>183.76829122581381</c:v>
                </c:pt>
                <c:pt idx="75">
                  <c:v>183.71880478461486</c:v>
                </c:pt>
                <c:pt idx="76">
                  <c:v>199.10935725161647</c:v>
                </c:pt>
                <c:pt idx="77">
                  <c:v>225.15876040969607</c:v>
                </c:pt>
                <c:pt idx="78">
                  <c:v>272.07141301658038</c:v>
                </c:pt>
                <c:pt idx="79">
                  <c:v>249.23116932334159</c:v>
                </c:pt>
                <c:pt idx="80">
                  <c:v>231.1271893677671</c:v>
                </c:pt>
                <c:pt idx="81">
                  <c:v>229.73189313774111</c:v>
                </c:pt>
                <c:pt idx="82">
                  <c:v>259.44459217846378</c:v>
                </c:pt>
                <c:pt idx="83">
                  <c:v>265.55763618527044</c:v>
                </c:pt>
                <c:pt idx="84">
                  <c:v>279.18463011711032</c:v>
                </c:pt>
                <c:pt idx="85">
                  <c:v>318.00897892769927</c:v>
                </c:pt>
                <c:pt idx="86">
                  <c:v>312.55733759457814</c:v>
                </c:pt>
                <c:pt idx="87">
                  <c:v>345.29019652113317</c:v>
                </c:pt>
                <c:pt idx="88">
                  <c:v>356.23954982290655</c:v>
                </c:pt>
                <c:pt idx="89">
                  <c:v>390.43581490001014</c:v>
                </c:pt>
                <c:pt idx="90">
                  <c:v>398.65518806019094</c:v>
                </c:pt>
                <c:pt idx="91">
                  <c:v>428.22319010472626</c:v>
                </c:pt>
                <c:pt idx="92">
                  <c:v>497.56039175192825</c:v>
                </c:pt>
                <c:pt idx="93">
                  <c:v>463.0624467401837</c:v>
                </c:pt>
              </c:numCache>
            </c:numRef>
          </c:val>
          <c:smooth val="0"/>
        </c:ser>
        <c:ser>
          <c:idx val="1"/>
          <c:order val="1"/>
          <c:tx>
            <c:strRef>
              <c:f>'Figure 6.1'!$C$10</c:f>
              <c:strCache>
                <c:ptCount val="1"/>
                <c:pt idx="0">
                  <c:v>Silver</c:v>
                </c:pt>
              </c:strCache>
            </c:strRef>
          </c:tx>
          <c:spPr>
            <a:ln w="19050">
              <a:solidFill>
                <a:srgbClr val="86A20B"/>
              </a:solidFill>
              <a:prstDash val="sysDash"/>
            </a:ln>
          </c:spPr>
          <c:marker>
            <c:symbol val="none"/>
          </c:marker>
          <c:cat>
            <c:strRef>
              <c:f>'Figure 6.1'!$D$3:$CS$3</c:f>
              <c:strCache>
                <c:ptCount val="94"/>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strCache>
            </c:strRef>
          </c:cat>
          <c:val>
            <c:numRef>
              <c:f>'Figure 6.1'!$D$10:$CS$10</c:f>
              <c:numCache>
                <c:formatCode>#\ ##0</c:formatCode>
                <c:ptCount val="94"/>
                <c:pt idx="0">
                  <c:v>140.51551803007635</c:v>
                </c:pt>
                <c:pt idx="1">
                  <c:v>134.99210930247901</c:v>
                </c:pt>
                <c:pt idx="2">
                  <c:v>131.01525501860894</c:v>
                </c:pt>
                <c:pt idx="3">
                  <c:v>116.65439232685584</c:v>
                </c:pt>
                <c:pt idx="4">
                  <c:v>113.34034709029744</c:v>
                </c:pt>
                <c:pt idx="5">
                  <c:v>123.06154645086876</c:v>
                </c:pt>
                <c:pt idx="6">
                  <c:v>111.79379264657018</c:v>
                </c:pt>
                <c:pt idx="7">
                  <c:v>108.25881106090789</c:v>
                </c:pt>
                <c:pt idx="8">
                  <c:v>105.82851122076505</c:v>
                </c:pt>
                <c:pt idx="9">
                  <c:v>89.921094085284707</c:v>
                </c:pt>
                <c:pt idx="10">
                  <c:v>87.711730594245779</c:v>
                </c:pt>
                <c:pt idx="11">
                  <c:v>96.991057256609309</c:v>
                </c:pt>
                <c:pt idx="12">
                  <c:v>89.258285037973039</c:v>
                </c:pt>
                <c:pt idx="13">
                  <c:v>86.386112499622413</c:v>
                </c:pt>
                <c:pt idx="14">
                  <c:v>90.58390313259639</c:v>
                </c:pt>
                <c:pt idx="15">
                  <c:v>89.700157736180827</c:v>
                </c:pt>
                <c:pt idx="16">
                  <c:v>83.2965184885458</c:v>
                </c:pt>
                <c:pt idx="17">
                  <c:v>82.330878394671544</c:v>
                </c:pt>
                <c:pt idx="18">
                  <c:v>80.57596683381297</c:v>
                </c:pt>
                <c:pt idx="19">
                  <c:v>96.656137856575569</c:v>
                </c:pt>
                <c:pt idx="20">
                  <c:v>93.202501057799054</c:v>
                </c:pt>
                <c:pt idx="21">
                  <c:v>109.77432925005843</c:v>
                </c:pt>
                <c:pt idx="22">
                  <c:v>120.07794510672029</c:v>
                </c:pt>
                <c:pt idx="23">
                  <c:v>119.03196880039391</c:v>
                </c:pt>
                <c:pt idx="24">
                  <c:v>122.03820949223507</c:v>
                </c:pt>
                <c:pt idx="25">
                  <c:v>105.6550761867185</c:v>
                </c:pt>
                <c:pt idx="26">
                  <c:v>102.69697863002884</c:v>
                </c:pt>
                <c:pt idx="27">
                  <c:v>118.50373009489428</c:v>
                </c:pt>
                <c:pt idx="28">
                  <c:v>120.07785363907175</c:v>
                </c:pt>
                <c:pt idx="29">
                  <c:v>114.43863339131939</c:v>
                </c:pt>
                <c:pt idx="30">
                  <c:v>122.17517080721711</c:v>
                </c:pt>
                <c:pt idx="31">
                  <c:v>114.0324302038654</c:v>
                </c:pt>
                <c:pt idx="32">
                  <c:v>111.27564432507046</c:v>
                </c:pt>
                <c:pt idx="33">
                  <c:v>106.54655435535271</c:v>
                </c:pt>
                <c:pt idx="34">
                  <c:v>114.82062062929354</c:v>
                </c:pt>
                <c:pt idx="35">
                  <c:v>104.84481841780551</c:v>
                </c:pt>
                <c:pt idx="36">
                  <c:v>104.36731862862298</c:v>
                </c:pt>
                <c:pt idx="37">
                  <c:v>126.27064692160282</c:v>
                </c:pt>
                <c:pt idx="38">
                  <c:v>136.35789760222377</c:v>
                </c:pt>
                <c:pt idx="39">
                  <c:v>116.22256229039655</c:v>
                </c:pt>
                <c:pt idx="40">
                  <c:v>111.05733822320266</c:v>
                </c:pt>
                <c:pt idx="41">
                  <c:v>107.97475010375612</c:v>
                </c:pt>
                <c:pt idx="42">
                  <c:v>114.85328076603618</c:v>
                </c:pt>
                <c:pt idx="43">
                  <c:v>112.25670688079393</c:v>
                </c:pt>
                <c:pt idx="44">
                  <c:v>116.62283002283189</c:v>
                </c:pt>
                <c:pt idx="45">
                  <c:v>115.13413991361672</c:v>
                </c:pt>
                <c:pt idx="46">
                  <c:v>112.75438544954916</c:v>
                </c:pt>
                <c:pt idx="47">
                  <c:v>111.61804772299375</c:v>
                </c:pt>
                <c:pt idx="48">
                  <c:v>109.25302463187541</c:v>
                </c:pt>
                <c:pt idx="49">
                  <c:v>103.044713222056</c:v>
                </c:pt>
                <c:pt idx="50">
                  <c:v>97.196929723558611</c:v>
                </c:pt>
                <c:pt idx="51">
                  <c:v>96.386112543809688</c:v>
                </c:pt>
                <c:pt idx="52">
                  <c:v>96.151499130014514</c:v>
                </c:pt>
                <c:pt idx="53">
                  <c:v>87.357228279972873</c:v>
                </c:pt>
                <c:pt idx="54">
                  <c:v>100.13332448173944</c:v>
                </c:pt>
                <c:pt idx="55">
                  <c:v>108.05321741563117</c:v>
                </c:pt>
                <c:pt idx="56">
                  <c:v>100.59968421832745</c:v>
                </c:pt>
                <c:pt idx="57">
                  <c:v>102.35704883547012</c:v>
                </c:pt>
                <c:pt idx="58">
                  <c:v>99.990268195694668</c:v>
                </c:pt>
                <c:pt idx="59">
                  <c:v>100</c:v>
                </c:pt>
                <c:pt idx="60">
                  <c:v>114.23664564819641</c:v>
                </c:pt>
                <c:pt idx="61">
                  <c:v>124.17674896439623</c:v>
                </c:pt>
                <c:pt idx="62">
                  <c:v>159.6361180981495</c:v>
                </c:pt>
                <c:pt idx="63">
                  <c:v>129.50887078000306</c:v>
                </c:pt>
                <c:pt idx="64">
                  <c:v>141.10300788755137</c:v>
                </c:pt>
                <c:pt idx="65">
                  <c:v>156.95423450230049</c:v>
                </c:pt>
                <c:pt idx="66">
                  <c:v>160.31299305812686</c:v>
                </c:pt>
                <c:pt idx="67">
                  <c:v>161.51451385669475</c:v>
                </c:pt>
                <c:pt idx="68">
                  <c:v>158.04983001952672</c:v>
                </c:pt>
                <c:pt idx="69">
                  <c:v>191.17069947087157</c:v>
                </c:pt>
                <c:pt idx="70">
                  <c:v>229.41598118513119</c:v>
                </c:pt>
                <c:pt idx="71">
                  <c:v>238.530915738217</c:v>
                </c:pt>
                <c:pt idx="72">
                  <c:v>257.98526932520969</c:v>
                </c:pt>
                <c:pt idx="73">
                  <c:v>295.18259028285519</c:v>
                </c:pt>
                <c:pt idx="74">
                  <c:v>291.28951064383841</c:v>
                </c:pt>
                <c:pt idx="75">
                  <c:v>290.40504941365174</c:v>
                </c:pt>
                <c:pt idx="76">
                  <c:v>283.53866362248186</c:v>
                </c:pt>
                <c:pt idx="77">
                  <c:v>315.90990864631704</c:v>
                </c:pt>
                <c:pt idx="78">
                  <c:v>430.94797715604534</c:v>
                </c:pt>
                <c:pt idx="79">
                  <c:v>374.90794287224958</c:v>
                </c:pt>
                <c:pt idx="80">
                  <c:v>274.14686027330202</c:v>
                </c:pt>
                <c:pt idx="81">
                  <c:v>227.23829544261912</c:v>
                </c:pt>
                <c:pt idx="82">
                  <c:v>289.79819209504853</c:v>
                </c:pt>
                <c:pt idx="83">
                  <c:v>323.76715576977216</c:v>
                </c:pt>
                <c:pt idx="84">
                  <c:v>362.10463361995977</c:v>
                </c:pt>
                <c:pt idx="85">
                  <c:v>390.45765353775164</c:v>
                </c:pt>
                <c:pt idx="86">
                  <c:v>377.93563996276401</c:v>
                </c:pt>
                <c:pt idx="87">
                  <c:v>407.73301099057369</c:v>
                </c:pt>
                <c:pt idx="88">
                  <c:v>453.98904844387147</c:v>
                </c:pt>
                <c:pt idx="89">
                  <c:v>648.42714306286996</c:v>
                </c:pt>
                <c:pt idx="90">
                  <c:v>791.24991356681926</c:v>
                </c:pt>
                <c:pt idx="91">
                  <c:v>790.84166161738733</c:v>
                </c:pt>
                <c:pt idx="92">
                  <c:v>852.5431583853117</c:v>
                </c:pt>
                <c:pt idx="93">
                  <c:v>671.90057807730614</c:v>
                </c:pt>
              </c:numCache>
            </c:numRef>
          </c:val>
          <c:smooth val="0"/>
        </c:ser>
        <c:dLbls>
          <c:showLegendKey val="0"/>
          <c:showVal val="0"/>
          <c:showCatName val="0"/>
          <c:showSerName val="0"/>
          <c:showPercent val="0"/>
          <c:showBubbleSize val="0"/>
        </c:dLbls>
        <c:marker val="1"/>
        <c:smooth val="0"/>
        <c:axId val="187335040"/>
        <c:axId val="187336576"/>
      </c:lineChart>
      <c:catAx>
        <c:axId val="187335040"/>
        <c:scaling>
          <c:orientation val="minMax"/>
        </c:scaling>
        <c:delete val="0"/>
        <c:axPos val="b"/>
        <c:majorTickMark val="out"/>
        <c:minorTickMark val="none"/>
        <c:tickLblPos val="nextTo"/>
        <c:spPr>
          <a:ln>
            <a:solidFill>
              <a:schemeClr val="tx1"/>
            </a:solidFill>
          </a:ln>
        </c:spPr>
        <c:crossAx val="187336576"/>
        <c:crosses val="autoZero"/>
        <c:auto val="1"/>
        <c:lblAlgn val="ctr"/>
        <c:lblOffset val="100"/>
        <c:tickLblSkip val="8"/>
        <c:tickMarkSkip val="8"/>
        <c:noMultiLvlLbl val="0"/>
      </c:catAx>
      <c:valAx>
        <c:axId val="187336576"/>
        <c:scaling>
          <c:orientation val="minMax"/>
        </c:scaling>
        <c:delete val="0"/>
        <c:axPos val="l"/>
        <c:majorGridlines/>
        <c:title>
          <c:tx>
            <c:rich>
              <a:bodyPr rot="-5400000" vert="horz"/>
              <a:lstStyle/>
              <a:p>
                <a:pPr>
                  <a:defRPr b="1"/>
                </a:pPr>
                <a:r>
                  <a:rPr lang="en-US" b="1"/>
                  <a:t>Index, June 2003=100</a:t>
                </a:r>
              </a:p>
            </c:rich>
          </c:tx>
          <c:layout>
            <c:manualLayout>
              <c:xMode val="edge"/>
              <c:yMode val="edge"/>
              <c:x val="2.5669197037391446E-3"/>
              <c:y val="0.17956206444022083"/>
            </c:manualLayout>
          </c:layout>
          <c:overlay val="0"/>
        </c:title>
        <c:numFmt formatCode="#\ ##0" sourceLinked="1"/>
        <c:majorTickMark val="out"/>
        <c:minorTickMark val="none"/>
        <c:tickLblPos val="nextTo"/>
        <c:spPr>
          <a:ln>
            <a:solidFill>
              <a:schemeClr val="tx1"/>
            </a:solidFill>
          </a:ln>
        </c:spPr>
        <c:crossAx val="187335040"/>
        <c:crosses val="autoZero"/>
        <c:crossBetween val="between"/>
      </c:valAx>
      <c:spPr>
        <a:ln>
          <a:solidFill>
            <a:schemeClr val="tx1"/>
          </a:solidFill>
        </a:ln>
      </c:spPr>
    </c:plotArea>
    <c:legend>
      <c:legendPos val="r"/>
      <c:layout>
        <c:manualLayout>
          <c:xMode val="edge"/>
          <c:yMode val="edge"/>
          <c:x val="0"/>
          <c:y val="4.2457713619130973E-3"/>
          <c:w val="0.99211176727909012"/>
          <c:h val="7.4841790609507131E-2"/>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15799371771681"/>
          <c:y val="0.10998959181826409"/>
          <c:w val="0.78374546106256859"/>
          <c:h val="0.77403776828402837"/>
        </c:manualLayout>
      </c:layout>
      <c:lineChart>
        <c:grouping val="standard"/>
        <c:varyColors val="0"/>
        <c:ser>
          <c:idx val="0"/>
          <c:order val="0"/>
          <c:tx>
            <c:strRef>
              <c:f>'Figure 6.1'!$C$11</c:f>
              <c:strCache>
                <c:ptCount val="1"/>
                <c:pt idx="0">
                  <c:v>Crude oil</c:v>
                </c:pt>
              </c:strCache>
            </c:strRef>
          </c:tx>
          <c:spPr>
            <a:ln w="19050">
              <a:solidFill>
                <a:srgbClr val="344893"/>
              </a:solidFill>
            </a:ln>
          </c:spPr>
          <c:marker>
            <c:symbol val="none"/>
          </c:marker>
          <c:cat>
            <c:strRef>
              <c:f>'Figure 6.1'!$D$3:$CS$3</c:f>
              <c:strCache>
                <c:ptCount val="94"/>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strCache>
            </c:strRef>
          </c:cat>
          <c:val>
            <c:numRef>
              <c:f>'Figure 6.1'!$D$11:$CS$11</c:f>
              <c:numCache>
                <c:formatCode>#\ ##0</c:formatCode>
                <c:ptCount val="94"/>
                <c:pt idx="0">
                  <c:v>48.94859813084112</c:v>
                </c:pt>
                <c:pt idx="1">
                  <c:v>50.389408099688474</c:v>
                </c:pt>
                <c:pt idx="2">
                  <c:v>64.01869158878506</c:v>
                </c:pt>
                <c:pt idx="3">
                  <c:v>64.096573208722745</c:v>
                </c:pt>
                <c:pt idx="4">
                  <c:v>63.590342679127716</c:v>
                </c:pt>
                <c:pt idx="5">
                  <c:v>70.054517133956381</c:v>
                </c:pt>
                <c:pt idx="6">
                  <c:v>66.510903426791273</c:v>
                </c:pt>
                <c:pt idx="7">
                  <c:v>52.531152647975077</c:v>
                </c:pt>
                <c:pt idx="8">
                  <c:v>120.40498442367601</c:v>
                </c:pt>
                <c:pt idx="9">
                  <c:v>98.247663551401871</c:v>
                </c:pt>
                <c:pt idx="10">
                  <c:v>63.006230529595015</c:v>
                </c:pt>
                <c:pt idx="11">
                  <c:v>63.590342679127716</c:v>
                </c:pt>
                <c:pt idx="12">
                  <c:v>72.196261682242991</c:v>
                </c:pt>
                <c:pt idx="13">
                  <c:v>65.109034267912776</c:v>
                </c:pt>
                <c:pt idx="14">
                  <c:v>63.55140186915888</c:v>
                </c:pt>
                <c:pt idx="15">
                  <c:v>76.947040498442377</c:v>
                </c:pt>
                <c:pt idx="16">
                  <c:v>74.299065420560737</c:v>
                </c:pt>
                <c:pt idx="17">
                  <c:v>66.627725856697822</c:v>
                </c:pt>
                <c:pt idx="18">
                  <c:v>67.757009345794387</c:v>
                </c:pt>
                <c:pt idx="19">
                  <c:v>63.707165109034271</c:v>
                </c:pt>
                <c:pt idx="20">
                  <c:v>57.437694704049846</c:v>
                </c:pt>
                <c:pt idx="21">
                  <c:v>49.260124610591902</c:v>
                </c:pt>
                <c:pt idx="22">
                  <c:v>51.012461059190031</c:v>
                </c:pt>
                <c:pt idx="23">
                  <c:v>62.811526479750782</c:v>
                </c:pt>
                <c:pt idx="24">
                  <c:v>61.059190031152646</c:v>
                </c:pt>
                <c:pt idx="25">
                  <c:v>61.487538940809969</c:v>
                </c:pt>
                <c:pt idx="26">
                  <c:v>66.705607476635521</c:v>
                </c:pt>
                <c:pt idx="27">
                  <c:v>66.394080996884739</c:v>
                </c:pt>
                <c:pt idx="28">
                  <c:v>63.785046728971963</c:v>
                </c:pt>
                <c:pt idx="29">
                  <c:v>68.613707165109034</c:v>
                </c:pt>
                <c:pt idx="30">
                  <c:v>74.727414330218082</c:v>
                </c:pt>
                <c:pt idx="31">
                  <c:v>71.105919003115275</c:v>
                </c:pt>
                <c:pt idx="32">
                  <c:v>84.112149532710276</c:v>
                </c:pt>
                <c:pt idx="33">
                  <c:v>89.369158878504678</c:v>
                </c:pt>
                <c:pt idx="34">
                  <c:v>73.286604361370721</c:v>
                </c:pt>
                <c:pt idx="35">
                  <c:v>66.471962616822424</c:v>
                </c:pt>
                <c:pt idx="36">
                  <c:v>69.049844236760123</c:v>
                </c:pt>
                <c:pt idx="37">
                  <c:v>63.364485981308405</c:v>
                </c:pt>
                <c:pt idx="38">
                  <c:v>45.755451713395637</c:v>
                </c:pt>
                <c:pt idx="39">
                  <c:v>43.200934579439249</c:v>
                </c:pt>
                <c:pt idx="40">
                  <c:v>49.119937694704056</c:v>
                </c:pt>
                <c:pt idx="41">
                  <c:v>37.764797507788167</c:v>
                </c:pt>
                <c:pt idx="42">
                  <c:v>48.216510903426794</c:v>
                </c:pt>
                <c:pt idx="43">
                  <c:v>61.051401869158887</c:v>
                </c:pt>
                <c:pt idx="44">
                  <c:v>86.214953271028037</c:v>
                </c:pt>
                <c:pt idx="45">
                  <c:v>96.984312694704059</c:v>
                </c:pt>
                <c:pt idx="46">
                  <c:v>105.80218068535825</c:v>
                </c:pt>
                <c:pt idx="47">
                  <c:v>112.53894080996885</c:v>
                </c:pt>
                <c:pt idx="48">
                  <c:v>121.31619937694704</c:v>
                </c:pt>
                <c:pt idx="49">
                  <c:v>95.864485981308405</c:v>
                </c:pt>
                <c:pt idx="50">
                  <c:v>91.403816199376948</c:v>
                </c:pt>
                <c:pt idx="51">
                  <c:v>101.29283489096572</c:v>
                </c:pt>
                <c:pt idx="52">
                  <c:v>95.919003115264815</c:v>
                </c:pt>
                <c:pt idx="53">
                  <c:v>68.839563862928358</c:v>
                </c:pt>
                <c:pt idx="54">
                  <c:v>86.059190031152653</c:v>
                </c:pt>
                <c:pt idx="55">
                  <c:v>89.447040498442362</c:v>
                </c:pt>
                <c:pt idx="56">
                  <c:v>104.32242990654206</c:v>
                </c:pt>
                <c:pt idx="57">
                  <c:v>102.53115264797508</c:v>
                </c:pt>
                <c:pt idx="58">
                  <c:v>111.72118380062305</c:v>
                </c:pt>
                <c:pt idx="59">
                  <c:v>100</c:v>
                </c:pt>
                <c:pt idx="60">
                  <c:v>99.260124610591902</c:v>
                </c:pt>
                <c:pt idx="61">
                  <c:v>108.65459501557632</c:v>
                </c:pt>
                <c:pt idx="62">
                  <c:v>121.69197819314641</c:v>
                </c:pt>
                <c:pt idx="63">
                  <c:v>130.07690809968847</c:v>
                </c:pt>
                <c:pt idx="64">
                  <c:v>150.0778816199377</c:v>
                </c:pt>
                <c:pt idx="65">
                  <c:v>134.77414330218068</c:v>
                </c:pt>
                <c:pt idx="66">
                  <c:v>183.68769470404985</c:v>
                </c:pt>
                <c:pt idx="67">
                  <c:v>192.21183800623052</c:v>
                </c:pt>
                <c:pt idx="68">
                  <c:v>228.85514018691589</c:v>
                </c:pt>
                <c:pt idx="69">
                  <c:v>201.24610591900313</c:v>
                </c:pt>
                <c:pt idx="70">
                  <c:v>219.35358255451715</c:v>
                </c:pt>
                <c:pt idx="71">
                  <c:v>247.07943925233644</c:v>
                </c:pt>
                <c:pt idx="72">
                  <c:v>235.39719626168224</c:v>
                </c:pt>
                <c:pt idx="73">
                  <c:v>221.53426791277258</c:v>
                </c:pt>
                <c:pt idx="74">
                  <c:v>228.57476635514018</c:v>
                </c:pt>
                <c:pt idx="75">
                  <c:v>260.49065420560748</c:v>
                </c:pt>
                <c:pt idx="76">
                  <c:v>287.70443925233644</c:v>
                </c:pt>
                <c:pt idx="77">
                  <c:v>341.19937694704049</c:v>
                </c:pt>
                <c:pt idx="78">
                  <c:v>391.27725856697822</c:v>
                </c:pt>
                <c:pt idx="79">
                  <c:v>498.68574766355141</c:v>
                </c:pt>
                <c:pt idx="80">
                  <c:v>383.62538940809969</c:v>
                </c:pt>
                <c:pt idx="81">
                  <c:v>154.62422118380064</c:v>
                </c:pt>
                <c:pt idx="82">
                  <c:v>175.9735202492212</c:v>
                </c:pt>
                <c:pt idx="83">
                  <c:v>263.61954828660441</c:v>
                </c:pt>
                <c:pt idx="84">
                  <c:v>264.27180685358252</c:v>
                </c:pt>
                <c:pt idx="85">
                  <c:v>284.67679127725859</c:v>
                </c:pt>
                <c:pt idx="86">
                  <c:v>301.92757009345797</c:v>
                </c:pt>
                <c:pt idx="87">
                  <c:v>282.89524922118375</c:v>
                </c:pt>
                <c:pt idx="88">
                  <c:v>291.19937694704049</c:v>
                </c:pt>
                <c:pt idx="89">
                  <c:v>343.23987538940816</c:v>
                </c:pt>
                <c:pt idx="90">
                  <c:v>427.7156982256534</c:v>
                </c:pt>
                <c:pt idx="91">
                  <c:v>424.62475219484571</c:v>
                </c:pt>
                <c:pt idx="92">
                  <c:v>419.04913622203355</c:v>
                </c:pt>
                <c:pt idx="93">
                  <c:v>418.00734312416557</c:v>
                </c:pt>
              </c:numCache>
            </c:numRef>
          </c:val>
          <c:smooth val="0"/>
        </c:ser>
        <c:ser>
          <c:idx val="1"/>
          <c:order val="1"/>
          <c:tx>
            <c:strRef>
              <c:f>'Figure 6.1'!$C$12</c:f>
              <c:strCache>
                <c:ptCount val="1"/>
                <c:pt idx="0">
                  <c:v>Copper</c:v>
                </c:pt>
              </c:strCache>
            </c:strRef>
          </c:tx>
          <c:spPr>
            <a:ln w="19050">
              <a:solidFill>
                <a:srgbClr val="86A20B"/>
              </a:solidFill>
              <a:prstDash val="sysDash"/>
            </a:ln>
          </c:spPr>
          <c:marker>
            <c:symbol val="none"/>
          </c:marker>
          <c:cat>
            <c:strRef>
              <c:f>'Figure 6.1'!$D$3:$CS$3</c:f>
              <c:strCache>
                <c:ptCount val="94"/>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strCache>
            </c:strRef>
          </c:cat>
          <c:val>
            <c:numRef>
              <c:f>'Figure 6.1'!$D$12:$CS$12</c:f>
              <c:numCache>
                <c:formatCode>#\ ##0</c:formatCode>
                <c:ptCount val="94"/>
                <c:pt idx="0">
                  <c:v>144.24547880225316</c:v>
                </c:pt>
                <c:pt idx="1">
                  <c:v>208.02846131040616</c:v>
                </c:pt>
                <c:pt idx="2">
                  <c:v>194.23658464275127</c:v>
                </c:pt>
                <c:pt idx="3">
                  <c:v>151.89445597391045</c:v>
                </c:pt>
                <c:pt idx="4">
                  <c:v>171.19478209309221</c:v>
                </c:pt>
                <c:pt idx="5">
                  <c:v>142.88763711829233</c:v>
                </c:pt>
                <c:pt idx="6">
                  <c:v>155.88496887044175</c:v>
                </c:pt>
                <c:pt idx="7">
                  <c:v>153.10999110584049</c:v>
                </c:pt>
                <c:pt idx="8">
                  <c:v>179.94070560332048</c:v>
                </c:pt>
                <c:pt idx="9">
                  <c:v>147.8624369997035</c:v>
                </c:pt>
                <c:pt idx="10">
                  <c:v>143.91343018084791</c:v>
                </c:pt>
                <c:pt idx="11">
                  <c:v>131.61577230951673</c:v>
                </c:pt>
                <c:pt idx="12">
                  <c:v>137.56892973613992</c:v>
                </c:pt>
                <c:pt idx="13">
                  <c:v>131.6335606285206</c:v>
                </c:pt>
                <c:pt idx="14">
                  <c:v>132.31544619033502</c:v>
                </c:pt>
                <c:pt idx="15">
                  <c:v>135.83753335309814</c:v>
                </c:pt>
                <c:pt idx="16">
                  <c:v>142.24444767269492</c:v>
                </c:pt>
                <c:pt idx="17">
                  <c:v>130.94670263860064</c:v>
                </c:pt>
                <c:pt idx="18">
                  <c:v>127.31844945152682</c:v>
                </c:pt>
                <c:pt idx="19">
                  <c:v>110.11141654313666</c:v>
                </c:pt>
                <c:pt idx="20">
                  <c:v>110.39808064037949</c:v>
                </c:pt>
                <c:pt idx="21">
                  <c:v>102.21365727838719</c:v>
                </c:pt>
                <c:pt idx="22">
                  <c:v>113.54103528016603</c:v>
                </c:pt>
                <c:pt idx="23">
                  <c:v>140.12536495701158</c:v>
                </c:pt>
                <c:pt idx="24">
                  <c:v>148.58232434034986</c:v>
                </c:pt>
                <c:pt idx="25">
                  <c:v>177.0115624073525</c:v>
                </c:pt>
                <c:pt idx="26">
                  <c:v>173.37939341832197</c:v>
                </c:pt>
                <c:pt idx="27">
                  <c:v>177.56515624073526</c:v>
                </c:pt>
                <c:pt idx="28">
                  <c:v>172.87422531870737</c:v>
                </c:pt>
                <c:pt idx="29">
                  <c:v>173.51100800474356</c:v>
                </c:pt>
                <c:pt idx="30">
                  <c:v>151.85436169581976</c:v>
                </c:pt>
                <c:pt idx="31">
                  <c:v>128.06996738808184</c:v>
                </c:pt>
                <c:pt idx="32">
                  <c:v>115.11724755410613</c:v>
                </c:pt>
                <c:pt idx="33">
                  <c:v>134.4841387488882</c:v>
                </c:pt>
                <c:pt idx="34">
                  <c:v>143.56889831010972</c:v>
                </c:pt>
                <c:pt idx="35">
                  <c:v>154.9136697302105</c:v>
                </c:pt>
                <c:pt idx="36">
                  <c:v>124.95081233323452</c:v>
                </c:pt>
                <c:pt idx="37">
                  <c:v>104.60124518233027</c:v>
                </c:pt>
                <c:pt idx="38">
                  <c:v>103.64525763415358</c:v>
                </c:pt>
                <c:pt idx="39">
                  <c:v>98.459692855025196</c:v>
                </c:pt>
                <c:pt idx="40">
                  <c:v>97.695603913430176</c:v>
                </c:pt>
                <c:pt idx="41">
                  <c:v>87.373116513489478</c:v>
                </c:pt>
                <c:pt idx="42">
                  <c:v>81.728302401423065</c:v>
                </c:pt>
                <c:pt idx="43">
                  <c:v>84.344931514971847</c:v>
                </c:pt>
                <c:pt idx="44">
                  <c:v>103.78540764897717</c:v>
                </c:pt>
                <c:pt idx="45">
                  <c:v>104.42367388081827</c:v>
                </c:pt>
                <c:pt idx="46">
                  <c:v>103.13615772309517</c:v>
                </c:pt>
                <c:pt idx="47">
                  <c:v>103.95385769344797</c:v>
                </c:pt>
                <c:pt idx="48">
                  <c:v>116.24101749184702</c:v>
                </c:pt>
                <c:pt idx="49">
                  <c:v>109.7274017195375</c:v>
                </c:pt>
                <c:pt idx="50">
                  <c:v>103.09947939519715</c:v>
                </c:pt>
                <c:pt idx="51">
                  <c:v>95.372213459828032</c:v>
                </c:pt>
                <c:pt idx="52">
                  <c:v>84.573080343907506</c:v>
                </c:pt>
                <c:pt idx="53">
                  <c:v>84.656227097539286</c:v>
                </c:pt>
                <c:pt idx="54">
                  <c:v>95.160094871034687</c:v>
                </c:pt>
                <c:pt idx="55">
                  <c:v>97.689165134894751</c:v>
                </c:pt>
                <c:pt idx="56">
                  <c:v>87.679471093981604</c:v>
                </c:pt>
                <c:pt idx="57">
                  <c:v>94.61513252297658</c:v>
                </c:pt>
                <c:pt idx="58">
                  <c:v>98.367992291728442</c:v>
                </c:pt>
                <c:pt idx="59">
                  <c:v>100</c:v>
                </c:pt>
                <c:pt idx="60">
                  <c:v>106.10867002668247</c:v>
                </c:pt>
                <c:pt idx="61">
                  <c:v>130.52390809368515</c:v>
                </c:pt>
                <c:pt idx="62">
                  <c:v>178.40008241921137</c:v>
                </c:pt>
                <c:pt idx="63">
                  <c:v>159.30652475541063</c:v>
                </c:pt>
                <c:pt idx="64">
                  <c:v>171.64919241031723</c:v>
                </c:pt>
                <c:pt idx="65">
                  <c:v>186.50770115624076</c:v>
                </c:pt>
                <c:pt idx="66">
                  <c:v>200.39106018381261</c:v>
                </c:pt>
                <c:pt idx="67">
                  <c:v>208.95749659057222</c:v>
                </c:pt>
                <c:pt idx="68">
                  <c:v>228.74834865105248</c:v>
                </c:pt>
                <c:pt idx="69">
                  <c:v>271.4186184405574</c:v>
                </c:pt>
                <c:pt idx="70">
                  <c:v>302.57028283427218</c:v>
                </c:pt>
                <c:pt idx="71">
                  <c:v>426.77815772309515</c:v>
                </c:pt>
                <c:pt idx="72">
                  <c:v>450.77717995849395</c:v>
                </c:pt>
                <c:pt idx="73">
                  <c:v>396.78492558553216</c:v>
                </c:pt>
                <c:pt idx="74">
                  <c:v>382.59574681292622</c:v>
                </c:pt>
                <c:pt idx="75">
                  <c:v>443.27785057812036</c:v>
                </c:pt>
                <c:pt idx="76">
                  <c:v>453.54135784168398</c:v>
                </c:pt>
                <c:pt idx="77">
                  <c:v>390.61172052574386</c:v>
                </c:pt>
                <c:pt idx="78">
                  <c:v>500.40257774587667</c:v>
                </c:pt>
                <c:pt idx="79">
                  <c:v>489.8070108565218</c:v>
                </c:pt>
                <c:pt idx="80">
                  <c:v>414.51904158693389</c:v>
                </c:pt>
                <c:pt idx="81">
                  <c:v>182.1509748281168</c:v>
                </c:pt>
                <c:pt idx="82">
                  <c:v>222.33916394900683</c:v>
                </c:pt>
                <c:pt idx="83">
                  <c:v>297.17273535832669</c:v>
                </c:pt>
                <c:pt idx="84">
                  <c:v>367.41368622483367</c:v>
                </c:pt>
                <c:pt idx="85">
                  <c:v>413.97653636017134</c:v>
                </c:pt>
                <c:pt idx="86">
                  <c:v>442.50377035022353</c:v>
                </c:pt>
                <c:pt idx="87">
                  <c:v>384.879928846724</c:v>
                </c:pt>
                <c:pt idx="88">
                  <c:v>457.11667520146631</c:v>
                </c:pt>
                <c:pt idx="89">
                  <c:v>542.38137591235693</c:v>
                </c:pt>
                <c:pt idx="90">
                  <c:v>565.11427061447023</c:v>
                </c:pt>
                <c:pt idx="91">
                  <c:v>536.34342236476846</c:v>
                </c:pt>
                <c:pt idx="92">
                  <c:v>516.02529894258339</c:v>
                </c:pt>
                <c:pt idx="93">
                  <c:v>448.5959933929102</c:v>
                </c:pt>
              </c:numCache>
            </c:numRef>
          </c:val>
          <c:smooth val="0"/>
        </c:ser>
        <c:dLbls>
          <c:showLegendKey val="0"/>
          <c:showVal val="0"/>
          <c:showCatName val="0"/>
          <c:showSerName val="0"/>
          <c:showPercent val="0"/>
          <c:showBubbleSize val="0"/>
        </c:dLbls>
        <c:marker val="1"/>
        <c:smooth val="0"/>
        <c:axId val="187371904"/>
        <c:axId val="187373440"/>
      </c:lineChart>
      <c:catAx>
        <c:axId val="187371904"/>
        <c:scaling>
          <c:orientation val="minMax"/>
        </c:scaling>
        <c:delete val="0"/>
        <c:axPos val="b"/>
        <c:majorTickMark val="out"/>
        <c:minorTickMark val="none"/>
        <c:tickLblPos val="nextTo"/>
        <c:spPr>
          <a:ln>
            <a:solidFill>
              <a:schemeClr val="tx1"/>
            </a:solidFill>
          </a:ln>
        </c:spPr>
        <c:crossAx val="187373440"/>
        <c:crosses val="autoZero"/>
        <c:auto val="1"/>
        <c:lblAlgn val="ctr"/>
        <c:lblOffset val="100"/>
        <c:tickLblSkip val="8"/>
        <c:tickMarkSkip val="8"/>
        <c:noMultiLvlLbl val="0"/>
      </c:catAx>
      <c:valAx>
        <c:axId val="187373440"/>
        <c:scaling>
          <c:orientation val="minMax"/>
          <c:max val="900"/>
        </c:scaling>
        <c:delete val="0"/>
        <c:axPos val="l"/>
        <c:majorGridlines/>
        <c:title>
          <c:tx>
            <c:rich>
              <a:bodyPr rot="-5400000" vert="horz"/>
              <a:lstStyle/>
              <a:p>
                <a:pPr>
                  <a:defRPr b="1"/>
                </a:pPr>
                <a:r>
                  <a:rPr lang="en-US" b="1"/>
                  <a:t>Index, June 2003=100</a:t>
                </a:r>
              </a:p>
            </c:rich>
          </c:tx>
          <c:overlay val="0"/>
        </c:title>
        <c:numFmt formatCode="#\ ##0" sourceLinked="1"/>
        <c:majorTickMark val="out"/>
        <c:minorTickMark val="none"/>
        <c:tickLblPos val="nextTo"/>
        <c:spPr>
          <a:ln>
            <a:solidFill>
              <a:schemeClr val="tx1"/>
            </a:solidFill>
          </a:ln>
        </c:spPr>
        <c:crossAx val="187371904"/>
        <c:crosses val="autoZero"/>
        <c:crossBetween val="between"/>
      </c:valAx>
      <c:spPr>
        <a:ln>
          <a:solidFill>
            <a:schemeClr val="tx1"/>
          </a:solidFill>
        </a:ln>
      </c:spPr>
    </c:plotArea>
    <c:legend>
      <c:legendPos val="r"/>
      <c:layout>
        <c:manualLayout>
          <c:xMode val="edge"/>
          <c:yMode val="edge"/>
          <c:x val="4.3742344706911261E-3"/>
          <c:y val="4.2457713619130973E-3"/>
          <c:w val="0.97618132108486455"/>
          <c:h val="8.4101049868766389E-2"/>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613582446391153"/>
          <c:y val="0.10286725663716814"/>
          <c:w val="0.76895064558787374"/>
          <c:h val="0.78115973125935256"/>
        </c:manualLayout>
      </c:layout>
      <c:lineChart>
        <c:grouping val="standard"/>
        <c:varyColors val="0"/>
        <c:ser>
          <c:idx val="0"/>
          <c:order val="0"/>
          <c:tx>
            <c:strRef>
              <c:f>'Figure 6.1'!$C$13</c:f>
              <c:strCache>
                <c:ptCount val="1"/>
                <c:pt idx="0">
                  <c:v>Zinc</c:v>
                </c:pt>
              </c:strCache>
            </c:strRef>
          </c:tx>
          <c:spPr>
            <a:ln w="19050">
              <a:solidFill>
                <a:srgbClr val="344893"/>
              </a:solidFill>
            </a:ln>
          </c:spPr>
          <c:marker>
            <c:symbol val="none"/>
          </c:marker>
          <c:cat>
            <c:strRef>
              <c:f>'Figure 6.1'!$D$3:$CS$3</c:f>
              <c:strCache>
                <c:ptCount val="94"/>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strCache>
            </c:strRef>
          </c:cat>
          <c:val>
            <c:numRef>
              <c:f>'Figure 6.1'!$D$13:$CS$13</c:f>
              <c:numCache>
                <c:formatCode>#\ ##0</c:formatCode>
                <c:ptCount val="94"/>
                <c:pt idx="0">
                  <c:v>99.685025167800305</c:v>
                </c:pt>
                <c:pt idx="1">
                  <c:v>201.05212447253507</c:v>
                </c:pt>
                <c:pt idx="2">
                  <c:v>249.47815357270093</c:v>
                </c:pt>
                <c:pt idx="3">
                  <c:v>195.19648292816922</c:v>
                </c:pt>
                <c:pt idx="4">
                  <c:v>206.26276014484333</c:v>
                </c:pt>
                <c:pt idx="5">
                  <c:v>185.35698158580072</c:v>
                </c:pt>
                <c:pt idx="6">
                  <c:v>203.2780270898318</c:v>
                </c:pt>
                <c:pt idx="7">
                  <c:v>216.73462018530751</c:v>
                </c:pt>
                <c:pt idx="8">
                  <c:v>194.91824510100713</c:v>
                </c:pt>
                <c:pt idx="9">
                  <c:v>160.10057518385995</c:v>
                </c:pt>
                <c:pt idx="10">
                  <c:v>151.75344036899722</c:v>
                </c:pt>
                <c:pt idx="11">
                  <c:v>134.27504595363305</c:v>
                </c:pt>
                <c:pt idx="12">
                  <c:v>129.43117832622028</c:v>
                </c:pt>
                <c:pt idx="13">
                  <c:v>150.23577949356761</c:v>
                </c:pt>
                <c:pt idx="14">
                  <c:v>153.57463341951271</c:v>
                </c:pt>
                <c:pt idx="15">
                  <c:v>175.32777263400351</c:v>
                </c:pt>
                <c:pt idx="16">
                  <c:v>172.6640362366019</c:v>
                </c:pt>
                <c:pt idx="17">
                  <c:v>133.84022346564853</c:v>
                </c:pt>
                <c:pt idx="18">
                  <c:v>126.01534155825597</c:v>
                </c:pt>
                <c:pt idx="19">
                  <c:v>117.15594624159858</c:v>
                </c:pt>
                <c:pt idx="20">
                  <c:v>110.60528506985582</c:v>
                </c:pt>
                <c:pt idx="21">
                  <c:v>123.30693483653393</c:v>
                </c:pt>
                <c:pt idx="22">
                  <c:v>118.40504210145565</c:v>
                </c:pt>
                <c:pt idx="23">
                  <c:v>122.23192504977131</c:v>
                </c:pt>
                <c:pt idx="24">
                  <c:v>125.56056827981826</c:v>
                </c:pt>
                <c:pt idx="25">
                  <c:v>140.96540097948517</c:v>
                </c:pt>
                <c:pt idx="26">
                  <c:v>129.33109997394229</c:v>
                </c:pt>
                <c:pt idx="27">
                  <c:v>127.73933045324807</c:v>
                </c:pt>
                <c:pt idx="28">
                  <c:v>124.77340488416354</c:v>
                </c:pt>
                <c:pt idx="29">
                  <c:v>128.79815312205682</c:v>
                </c:pt>
                <c:pt idx="30">
                  <c:v>134.60206519548368</c:v>
                </c:pt>
                <c:pt idx="31">
                  <c:v>127.59101451476191</c:v>
                </c:pt>
                <c:pt idx="32">
                  <c:v>126.58014360602972</c:v>
                </c:pt>
                <c:pt idx="33">
                  <c:v>131.10376708268331</c:v>
                </c:pt>
                <c:pt idx="34">
                  <c:v>158.75198678882279</c:v>
                </c:pt>
                <c:pt idx="35">
                  <c:v>171.30597131411508</c:v>
                </c:pt>
                <c:pt idx="36">
                  <c:v>207.63210381706941</c:v>
                </c:pt>
                <c:pt idx="37">
                  <c:v>139.50781418037468</c:v>
                </c:pt>
                <c:pt idx="38">
                  <c:v>132.49639293745585</c:v>
                </c:pt>
                <c:pt idx="39">
                  <c:v>127.71346192362635</c:v>
                </c:pt>
                <c:pt idx="40">
                  <c:v>126.51772853781029</c:v>
                </c:pt>
                <c:pt idx="41">
                  <c:v>121.30747696017525</c:v>
                </c:pt>
                <c:pt idx="42">
                  <c:v>130.26589180770657</c:v>
                </c:pt>
                <c:pt idx="43">
                  <c:v>126.5321007863006</c:v>
                </c:pt>
                <c:pt idx="44">
                  <c:v>150.97563917033952</c:v>
                </c:pt>
                <c:pt idx="45">
                  <c:v>149.60275428940415</c:v>
                </c:pt>
                <c:pt idx="46">
                  <c:v>141.18920031104562</c:v>
                </c:pt>
                <c:pt idx="47">
                  <c:v>141.3867807862656</c:v>
                </c:pt>
                <c:pt idx="48">
                  <c:v>154.85259999514651</c:v>
                </c:pt>
                <c:pt idx="49">
                  <c:v>134.03341790093853</c:v>
                </c:pt>
                <c:pt idx="50">
                  <c:v>127.06960567968191</c:v>
                </c:pt>
                <c:pt idx="51">
                  <c:v>113.18317320923441</c:v>
                </c:pt>
                <c:pt idx="52">
                  <c:v>100.99400767285833</c:v>
                </c:pt>
                <c:pt idx="53">
                  <c:v>97.751157306212463</c:v>
                </c:pt>
                <c:pt idx="54">
                  <c:v>103.61829626995532</c:v>
                </c:pt>
                <c:pt idx="55">
                  <c:v>97.014363557352368</c:v>
                </c:pt>
                <c:pt idx="56">
                  <c:v>95.642747440908849</c:v>
                </c:pt>
                <c:pt idx="57">
                  <c:v>100.89116616601311</c:v>
                </c:pt>
                <c:pt idx="58">
                  <c:v>100.03312358096494</c:v>
                </c:pt>
                <c:pt idx="59">
                  <c:v>100.00000000000001</c:v>
                </c:pt>
                <c:pt idx="60">
                  <c:v>103.47687784720453</c:v>
                </c:pt>
                <c:pt idx="61">
                  <c:v>123.65924905866704</c:v>
                </c:pt>
                <c:pt idx="62">
                  <c:v>139.85024906256743</c:v>
                </c:pt>
                <c:pt idx="63">
                  <c:v>129.18513261566085</c:v>
                </c:pt>
                <c:pt idx="64">
                  <c:v>123.33294096740835</c:v>
                </c:pt>
                <c:pt idx="65">
                  <c:v>149.26375311494201</c:v>
                </c:pt>
                <c:pt idx="66">
                  <c:v>174.23891039760039</c:v>
                </c:pt>
                <c:pt idx="67">
                  <c:v>161.34344711646688</c:v>
                </c:pt>
                <c:pt idx="68">
                  <c:v>176.74712955566193</c:v>
                </c:pt>
                <c:pt idx="69">
                  <c:v>230.44099496653101</c:v>
                </c:pt>
                <c:pt idx="70">
                  <c:v>305.67119667696619</c:v>
                </c:pt>
                <c:pt idx="71">
                  <c:v>407.9575899684923</c:v>
                </c:pt>
                <c:pt idx="72">
                  <c:v>430.38634121602848</c:v>
                </c:pt>
                <c:pt idx="73">
                  <c:v>558.39029481366867</c:v>
                </c:pt>
                <c:pt idx="74">
                  <c:v>413.72642636965315</c:v>
                </c:pt>
                <c:pt idx="75">
                  <c:v>455.71080079634095</c:v>
                </c:pt>
                <c:pt idx="76">
                  <c:v>366.31274663285564</c:v>
                </c:pt>
                <c:pt idx="77">
                  <c:v>297.59854263545344</c:v>
                </c:pt>
                <c:pt idx="78">
                  <c:v>317.38509067491663</c:v>
                </c:pt>
                <c:pt idx="79">
                  <c:v>239.59769947655093</c:v>
                </c:pt>
                <c:pt idx="80">
                  <c:v>219.66129121440309</c:v>
                </c:pt>
                <c:pt idx="81">
                  <c:v>139.42605923440641</c:v>
                </c:pt>
                <c:pt idx="82">
                  <c:v>153.88448918157957</c:v>
                </c:pt>
                <c:pt idx="83">
                  <c:v>196.95099087961319</c:v>
                </c:pt>
                <c:pt idx="84">
                  <c:v>238.26413436929016</c:v>
                </c:pt>
                <c:pt idx="85">
                  <c:v>300.49083087126752</c:v>
                </c:pt>
                <c:pt idx="86">
                  <c:v>287.73145579045774</c:v>
                </c:pt>
                <c:pt idx="87">
                  <c:v>220.22466532725127</c:v>
                </c:pt>
                <c:pt idx="88">
                  <c:v>272.08957600197016</c:v>
                </c:pt>
                <c:pt idx="89">
                  <c:v>288.47300437555418</c:v>
                </c:pt>
                <c:pt idx="90">
                  <c:v>297.11235960742493</c:v>
                </c:pt>
                <c:pt idx="91">
                  <c:v>282.09234086275626</c:v>
                </c:pt>
                <c:pt idx="92">
                  <c:v>262.8398928634623</c:v>
                </c:pt>
                <c:pt idx="93">
                  <c:v>241.78385383282398</c:v>
                </c:pt>
              </c:numCache>
            </c:numRef>
          </c:val>
          <c:smooth val="0"/>
        </c:ser>
        <c:ser>
          <c:idx val="1"/>
          <c:order val="1"/>
          <c:tx>
            <c:strRef>
              <c:f>'Figure 6.1'!$C$14</c:f>
              <c:strCache>
                <c:ptCount val="1"/>
                <c:pt idx="0">
                  <c:v>Nickel</c:v>
                </c:pt>
              </c:strCache>
            </c:strRef>
          </c:tx>
          <c:spPr>
            <a:ln w="19050">
              <a:solidFill>
                <a:srgbClr val="86A20B"/>
              </a:solidFill>
              <a:prstDash val="sysDash"/>
            </a:ln>
          </c:spPr>
          <c:marker>
            <c:symbol val="none"/>
          </c:marker>
          <c:cat>
            <c:strRef>
              <c:f>'Figure 6.1'!$D$3:$CS$3</c:f>
              <c:strCache>
                <c:ptCount val="94"/>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strCache>
            </c:strRef>
          </c:cat>
          <c:val>
            <c:numRef>
              <c:f>'Figure 6.1'!$D$14:$CS$14</c:f>
              <c:numCache>
                <c:formatCode>#\ ##0</c:formatCode>
                <c:ptCount val="94"/>
                <c:pt idx="0">
                  <c:v>134.15399473301278</c:v>
                </c:pt>
                <c:pt idx="1">
                  <c:v>191.03709073651527</c:v>
                </c:pt>
                <c:pt idx="2">
                  <c:v>193.66159793826102</c:v>
                </c:pt>
                <c:pt idx="3">
                  <c:v>137.08262937873766</c:v>
                </c:pt>
                <c:pt idx="4">
                  <c:v>126.58122137793265</c:v>
                </c:pt>
                <c:pt idx="5">
                  <c:v>99.901359755378991</c:v>
                </c:pt>
                <c:pt idx="6">
                  <c:v>104.55225685237824</c:v>
                </c:pt>
                <c:pt idx="7">
                  <c:v>94.955346397925936</c:v>
                </c:pt>
                <c:pt idx="8">
                  <c:v>122.34709151897887</c:v>
                </c:pt>
                <c:pt idx="9">
                  <c:v>92.119076383335454</c:v>
                </c:pt>
                <c:pt idx="10">
                  <c:v>98.126156600893438</c:v>
                </c:pt>
                <c:pt idx="11">
                  <c:v>93.258991099286831</c:v>
                </c:pt>
                <c:pt idx="12">
                  <c:v>86.444283558273156</c:v>
                </c:pt>
                <c:pt idx="13">
                  <c:v>80.222061334048448</c:v>
                </c:pt>
                <c:pt idx="14">
                  <c:v>83.549440850768178</c:v>
                </c:pt>
                <c:pt idx="15">
                  <c:v>81.039826238970093</c:v>
                </c:pt>
                <c:pt idx="16">
                  <c:v>77.89846323208576</c:v>
                </c:pt>
                <c:pt idx="17">
                  <c:v>64.501300704642787</c:v>
                </c:pt>
                <c:pt idx="18">
                  <c:v>67.291012975232448</c:v>
                </c:pt>
                <c:pt idx="19">
                  <c:v>62.339470017648871</c:v>
                </c:pt>
                <c:pt idx="20">
                  <c:v>49.048998326188432</c:v>
                </c:pt>
                <c:pt idx="21">
                  <c:v>57.664065204815856</c:v>
                </c:pt>
                <c:pt idx="22">
                  <c:v>62.962216690952516</c:v>
                </c:pt>
                <c:pt idx="23">
                  <c:v>70.738863342421396</c:v>
                </c:pt>
                <c:pt idx="24">
                  <c:v>71.713660848568239</c:v>
                </c:pt>
                <c:pt idx="25">
                  <c:v>96.417974123877372</c:v>
                </c:pt>
                <c:pt idx="26">
                  <c:v>84.881920616262576</c:v>
                </c:pt>
                <c:pt idx="27">
                  <c:v>88.696157820804942</c:v>
                </c:pt>
                <c:pt idx="28">
                  <c:v>94.707538850979972</c:v>
                </c:pt>
                <c:pt idx="29">
                  <c:v>91.172427787005361</c:v>
                </c:pt>
                <c:pt idx="30">
                  <c:v>90.385388990388734</c:v>
                </c:pt>
                <c:pt idx="31">
                  <c:v>86.86724598499228</c:v>
                </c:pt>
                <c:pt idx="32">
                  <c:v>82.459838501073236</c:v>
                </c:pt>
                <c:pt idx="33">
                  <c:v>74.15809802048696</c:v>
                </c:pt>
                <c:pt idx="34">
                  <c:v>88.968837698598065</c:v>
                </c:pt>
                <c:pt idx="35">
                  <c:v>79.579478117170964</c:v>
                </c:pt>
                <c:pt idx="36">
                  <c:v>73.290105904993197</c:v>
                </c:pt>
                <c:pt idx="37">
                  <c:v>67.048837417989816</c:v>
                </c:pt>
                <c:pt idx="38">
                  <c:v>60.812688747546126</c:v>
                </c:pt>
                <c:pt idx="39">
                  <c:v>50.447267728842959</c:v>
                </c:pt>
                <c:pt idx="40">
                  <c:v>46.24631535803244</c:v>
                </c:pt>
                <c:pt idx="41">
                  <c:v>43.714967686447814</c:v>
                </c:pt>
                <c:pt idx="42">
                  <c:v>56.486407935147284</c:v>
                </c:pt>
                <c:pt idx="43">
                  <c:v>58.552212859780255</c:v>
                </c:pt>
                <c:pt idx="44">
                  <c:v>79.201135128876388</c:v>
                </c:pt>
                <c:pt idx="45">
                  <c:v>90.921063188002591</c:v>
                </c:pt>
                <c:pt idx="46">
                  <c:v>115.84268182986327</c:v>
                </c:pt>
                <c:pt idx="47">
                  <c:v>94.791506636025915</c:v>
                </c:pt>
                <c:pt idx="48">
                  <c:v>97.344919091590612</c:v>
                </c:pt>
                <c:pt idx="49">
                  <c:v>82.437508225098568</c:v>
                </c:pt>
                <c:pt idx="50">
                  <c:v>69.135233572816887</c:v>
                </c:pt>
                <c:pt idx="51">
                  <c:v>74.846461203587253</c:v>
                </c:pt>
                <c:pt idx="52">
                  <c:v>56.66063241022146</c:v>
                </c:pt>
                <c:pt idx="53">
                  <c:v>57.241495327779063</c:v>
                </c:pt>
                <c:pt idx="54">
                  <c:v>73.677689298794007</c:v>
                </c:pt>
                <c:pt idx="55">
                  <c:v>80.233951027511139</c:v>
                </c:pt>
                <c:pt idx="56">
                  <c:v>74.835733614879942</c:v>
                </c:pt>
                <c:pt idx="57">
                  <c:v>81.062116978377063</c:v>
                </c:pt>
                <c:pt idx="58">
                  <c:v>94.418966399362461</c:v>
                </c:pt>
                <c:pt idx="59">
                  <c:v>100</c:v>
                </c:pt>
                <c:pt idx="60">
                  <c:v>112.28651467126447</c:v>
                </c:pt>
                <c:pt idx="61">
                  <c:v>159.60522428501255</c:v>
                </c:pt>
                <c:pt idx="62">
                  <c:v>154.57118067570073</c:v>
                </c:pt>
                <c:pt idx="63">
                  <c:v>152.50916056078822</c:v>
                </c:pt>
                <c:pt idx="64">
                  <c:v>149.55492626906587</c:v>
                </c:pt>
                <c:pt idx="65">
                  <c:v>155.16936106047771</c:v>
                </c:pt>
                <c:pt idx="66">
                  <c:v>182.36382659340697</c:v>
                </c:pt>
                <c:pt idx="67">
                  <c:v>182.02078660616971</c:v>
                </c:pt>
                <c:pt idx="68">
                  <c:v>160.26594678904689</c:v>
                </c:pt>
                <c:pt idx="69">
                  <c:v>151.36817126120144</c:v>
                </c:pt>
                <c:pt idx="70">
                  <c:v>167.80390881577082</c:v>
                </c:pt>
                <c:pt idx="71">
                  <c:v>233.77877197965361</c:v>
                </c:pt>
                <c:pt idx="72">
                  <c:v>339.39174425597929</c:v>
                </c:pt>
                <c:pt idx="73">
                  <c:v>389.56785578552348</c:v>
                </c:pt>
                <c:pt idx="74">
                  <c:v>521.80128570980821</c:v>
                </c:pt>
                <c:pt idx="75">
                  <c:v>469.91712912379666</c:v>
                </c:pt>
                <c:pt idx="76">
                  <c:v>332.70979172345636</c:v>
                </c:pt>
                <c:pt idx="77">
                  <c:v>292.77272696060078</c:v>
                </c:pt>
                <c:pt idx="78">
                  <c:v>351.7207211772581</c:v>
                </c:pt>
                <c:pt idx="79">
                  <c:v>253.99200802016509</c:v>
                </c:pt>
                <c:pt idx="80">
                  <c:v>200.43739355041595</c:v>
                </c:pt>
                <c:pt idx="81">
                  <c:v>109.24719074505765</c:v>
                </c:pt>
                <c:pt idx="82">
                  <c:v>109.21964031923632</c:v>
                </c:pt>
                <c:pt idx="83">
                  <c:v>168.02370804881863</c:v>
                </c:pt>
                <c:pt idx="84">
                  <c:v>196.58204059896258</c:v>
                </c:pt>
                <c:pt idx="85">
                  <c:v>192.23589997336452</c:v>
                </c:pt>
                <c:pt idx="86">
                  <c:v>252.98385748236427</c:v>
                </c:pt>
                <c:pt idx="87">
                  <c:v>218.03224138264181</c:v>
                </c:pt>
                <c:pt idx="88">
                  <c:v>255.05233370067276</c:v>
                </c:pt>
                <c:pt idx="89">
                  <c:v>271.58795299324333</c:v>
                </c:pt>
                <c:pt idx="90">
                  <c:v>302.00687742126473</c:v>
                </c:pt>
                <c:pt idx="91">
                  <c:v>251.79601965402767</c:v>
                </c:pt>
                <c:pt idx="92">
                  <c:v>229.97461954899399</c:v>
                </c:pt>
                <c:pt idx="93">
                  <c:v>204.66918771840136</c:v>
                </c:pt>
              </c:numCache>
            </c:numRef>
          </c:val>
          <c:smooth val="0"/>
        </c:ser>
        <c:dLbls>
          <c:showLegendKey val="0"/>
          <c:showVal val="0"/>
          <c:showCatName val="0"/>
          <c:showSerName val="0"/>
          <c:showPercent val="0"/>
          <c:showBubbleSize val="0"/>
        </c:dLbls>
        <c:marker val="1"/>
        <c:smooth val="0"/>
        <c:axId val="187396864"/>
        <c:axId val="187398400"/>
      </c:lineChart>
      <c:catAx>
        <c:axId val="187396864"/>
        <c:scaling>
          <c:orientation val="minMax"/>
        </c:scaling>
        <c:delete val="0"/>
        <c:axPos val="b"/>
        <c:majorTickMark val="out"/>
        <c:minorTickMark val="none"/>
        <c:tickLblPos val="nextTo"/>
        <c:spPr>
          <a:ln>
            <a:solidFill>
              <a:schemeClr val="tx1"/>
            </a:solidFill>
          </a:ln>
        </c:spPr>
        <c:crossAx val="187398400"/>
        <c:crosses val="autoZero"/>
        <c:auto val="1"/>
        <c:lblAlgn val="ctr"/>
        <c:lblOffset val="100"/>
        <c:tickLblSkip val="8"/>
        <c:tickMarkSkip val="8"/>
        <c:noMultiLvlLbl val="0"/>
      </c:catAx>
      <c:valAx>
        <c:axId val="187398400"/>
        <c:scaling>
          <c:orientation val="minMax"/>
        </c:scaling>
        <c:delete val="0"/>
        <c:axPos val="l"/>
        <c:majorGridlines/>
        <c:title>
          <c:tx>
            <c:rich>
              <a:bodyPr rot="-5400000" vert="horz"/>
              <a:lstStyle/>
              <a:p>
                <a:pPr>
                  <a:defRPr b="1"/>
                </a:pPr>
                <a:r>
                  <a:rPr lang="en-US" b="1"/>
                  <a:t>Index, June 2003=100</a:t>
                </a:r>
              </a:p>
            </c:rich>
          </c:tx>
          <c:layout>
            <c:manualLayout>
              <c:xMode val="edge"/>
              <c:yMode val="edge"/>
              <c:x val="2.5728266094287508E-3"/>
              <c:y val="0.17702459758901817"/>
            </c:manualLayout>
          </c:layout>
          <c:overlay val="0"/>
        </c:title>
        <c:numFmt formatCode="#\ ##0" sourceLinked="1"/>
        <c:majorTickMark val="out"/>
        <c:minorTickMark val="none"/>
        <c:tickLblPos val="nextTo"/>
        <c:spPr>
          <a:ln>
            <a:solidFill>
              <a:schemeClr val="tx1"/>
            </a:solidFill>
          </a:ln>
        </c:spPr>
        <c:crossAx val="187396864"/>
        <c:crosses val="autoZero"/>
        <c:crossBetween val="between"/>
      </c:valAx>
      <c:spPr>
        <a:ln>
          <a:solidFill>
            <a:schemeClr val="tx1"/>
          </a:solidFill>
        </a:ln>
      </c:spPr>
    </c:plotArea>
    <c:legend>
      <c:legendPos val="r"/>
      <c:layout>
        <c:manualLayout>
          <c:xMode val="edge"/>
          <c:yMode val="edge"/>
          <c:x val="3.3466754155730724E-3"/>
          <c:y val="4.2457713619130973E-3"/>
          <c:w val="0.9799866579177603"/>
          <c:h val="8.4101049868766389E-2"/>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693171007281488"/>
          <c:y val="0.11212654170441085"/>
          <c:w val="0.78841881151862325"/>
          <c:h val="0.77190038427348906"/>
        </c:manualLayout>
      </c:layout>
      <c:lineChart>
        <c:grouping val="standard"/>
        <c:varyColors val="0"/>
        <c:ser>
          <c:idx val="0"/>
          <c:order val="0"/>
          <c:tx>
            <c:strRef>
              <c:f>'Figure 6.1'!$C$15</c:f>
              <c:strCache>
                <c:ptCount val="1"/>
                <c:pt idx="0">
                  <c:v>Alumina</c:v>
                </c:pt>
              </c:strCache>
            </c:strRef>
          </c:tx>
          <c:spPr>
            <a:ln w="19050">
              <a:solidFill>
                <a:srgbClr val="344893"/>
              </a:solidFill>
            </a:ln>
          </c:spPr>
          <c:marker>
            <c:symbol val="none"/>
          </c:marker>
          <c:cat>
            <c:strRef>
              <c:f>'Figure 6.1'!$D$3:$CS$3</c:f>
              <c:strCache>
                <c:ptCount val="94"/>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strCache>
            </c:strRef>
          </c:cat>
          <c:val>
            <c:numRef>
              <c:f>'Figure 6.1'!$D$15:$CS$15</c:f>
              <c:numCache>
                <c:formatCode>#\ ##0</c:formatCode>
                <c:ptCount val="94"/>
                <c:pt idx="0">
                  <c:v>96.145261357723655</c:v>
                </c:pt>
                <c:pt idx="1">
                  <c:v>113.21597948557755</c:v>
                </c:pt>
                <c:pt idx="2">
                  <c:v>170.17172192956536</c:v>
                </c:pt>
                <c:pt idx="3">
                  <c:v>139.56687957334495</c:v>
                </c:pt>
                <c:pt idx="4">
                  <c:v>147.57395655436312</c:v>
                </c:pt>
                <c:pt idx="5">
                  <c:v>153.63017664102784</c:v>
                </c:pt>
                <c:pt idx="6">
                  <c:v>150.50994409108284</c:v>
                </c:pt>
                <c:pt idx="7">
                  <c:v>160.46526279461165</c:v>
                </c:pt>
                <c:pt idx="8">
                  <c:v>158.60592817655191</c:v>
                </c:pt>
                <c:pt idx="9">
                  <c:v>153.04414601290713</c:v>
                </c:pt>
                <c:pt idx="10">
                  <c:v>127.09672225865157</c:v>
                </c:pt>
                <c:pt idx="11">
                  <c:v>126.18746553197801</c:v>
                </c:pt>
                <c:pt idx="12">
                  <c:v>120.62613816793319</c:v>
                </c:pt>
                <c:pt idx="13">
                  <c:v>112.34342128319827</c:v>
                </c:pt>
                <c:pt idx="14">
                  <c:v>101.00717140972328</c:v>
                </c:pt>
                <c:pt idx="15">
                  <c:v>97.746704130618312</c:v>
                </c:pt>
                <c:pt idx="16">
                  <c:v>100.14014826102957</c:v>
                </c:pt>
                <c:pt idx="17">
                  <c:v>98.132793084077818</c:v>
                </c:pt>
                <c:pt idx="18">
                  <c:v>96.6970216234878</c:v>
                </c:pt>
                <c:pt idx="19">
                  <c:v>97.522269210902849</c:v>
                </c:pt>
                <c:pt idx="20">
                  <c:v>93.948803419705456</c:v>
                </c:pt>
                <c:pt idx="21">
                  <c:v>92.147894167638285</c:v>
                </c:pt>
                <c:pt idx="22">
                  <c:v>83.671532622882864</c:v>
                </c:pt>
                <c:pt idx="23">
                  <c:v>87.136252530641627</c:v>
                </c:pt>
                <c:pt idx="24">
                  <c:v>90.638895553603291</c:v>
                </c:pt>
                <c:pt idx="25">
                  <c:v>93.280032312290999</c:v>
                </c:pt>
                <c:pt idx="26">
                  <c:v>89.707913025974321</c:v>
                </c:pt>
                <c:pt idx="27">
                  <c:v>100.32541035178508</c:v>
                </c:pt>
                <c:pt idx="28">
                  <c:v>105.37987648063036</c:v>
                </c:pt>
                <c:pt idx="29">
                  <c:v>104.02263093044252</c:v>
                </c:pt>
                <c:pt idx="30">
                  <c:v>115.04589470575046</c:v>
                </c:pt>
                <c:pt idx="31">
                  <c:v>113.18705944079835</c:v>
                </c:pt>
                <c:pt idx="32">
                  <c:v>110.47985031067969</c:v>
                </c:pt>
                <c:pt idx="33">
                  <c:v>106.64443001894963</c:v>
                </c:pt>
                <c:pt idx="34">
                  <c:v>107.0704625411136</c:v>
                </c:pt>
                <c:pt idx="35">
                  <c:v>110.32253601247049</c:v>
                </c:pt>
                <c:pt idx="36">
                  <c:v>108.52291057936338</c:v>
                </c:pt>
                <c:pt idx="37">
                  <c:v>107.46889844475525</c:v>
                </c:pt>
                <c:pt idx="38">
                  <c:v>106.92287862567574</c:v>
                </c:pt>
                <c:pt idx="39">
                  <c:v>106.72868707261895</c:v>
                </c:pt>
                <c:pt idx="40">
                  <c:v>99.349476354042849</c:v>
                </c:pt>
                <c:pt idx="41">
                  <c:v>98.709477968394538</c:v>
                </c:pt>
                <c:pt idx="42">
                  <c:v>94.659314250004215</c:v>
                </c:pt>
                <c:pt idx="43">
                  <c:v>92.140571367351484</c:v>
                </c:pt>
                <c:pt idx="44">
                  <c:v>99.125631374744785</c:v>
                </c:pt>
                <c:pt idx="45">
                  <c:v>109.179615857805</c:v>
                </c:pt>
                <c:pt idx="46">
                  <c:v>114.09200402719107</c:v>
                </c:pt>
                <c:pt idx="47">
                  <c:v>113.99680943922317</c:v>
                </c:pt>
                <c:pt idx="48">
                  <c:v>113.33632209027445</c:v>
                </c:pt>
                <c:pt idx="49">
                  <c:v>113.6816133163189</c:v>
                </c:pt>
                <c:pt idx="50">
                  <c:v>104.12106167306456</c:v>
                </c:pt>
                <c:pt idx="51">
                  <c:v>105.03133372302652</c:v>
                </c:pt>
                <c:pt idx="52">
                  <c:v>97.296515767524227</c:v>
                </c:pt>
                <c:pt idx="53">
                  <c:v>94.826401274021791</c:v>
                </c:pt>
                <c:pt idx="54">
                  <c:v>93.098606803222197</c:v>
                </c:pt>
                <c:pt idx="55">
                  <c:v>92.65635620175226</c:v>
                </c:pt>
                <c:pt idx="56">
                  <c:v>90.963182519313946</c:v>
                </c:pt>
                <c:pt idx="57">
                  <c:v>88.650351138530468</c:v>
                </c:pt>
                <c:pt idx="58">
                  <c:v>98.905539599743335</c:v>
                </c:pt>
                <c:pt idx="59">
                  <c:v>100</c:v>
                </c:pt>
                <c:pt idx="60">
                  <c:v>108.72714319704239</c:v>
                </c:pt>
                <c:pt idx="61">
                  <c:v>118.08592426584248</c:v>
                </c:pt>
                <c:pt idx="62">
                  <c:v>129.66331072222181</c:v>
                </c:pt>
                <c:pt idx="63">
                  <c:v>124.9795498995925</c:v>
                </c:pt>
                <c:pt idx="64">
                  <c:v>135.0813212965333</c:v>
                </c:pt>
                <c:pt idx="65">
                  <c:v>143.58150344652279</c:v>
                </c:pt>
                <c:pt idx="66">
                  <c:v>138.83243119564955</c:v>
                </c:pt>
                <c:pt idx="67">
                  <c:v>139.67490970444837</c:v>
                </c:pt>
                <c:pt idx="68">
                  <c:v>147.17680657460835</c:v>
                </c:pt>
                <c:pt idx="69">
                  <c:v>155.15964238929556</c:v>
                </c:pt>
                <c:pt idx="70">
                  <c:v>158.71490350937981</c:v>
                </c:pt>
                <c:pt idx="71">
                  <c:v>186.08824821087953</c:v>
                </c:pt>
                <c:pt idx="72">
                  <c:v>180.77713967213074</c:v>
                </c:pt>
                <c:pt idx="73">
                  <c:v>191.07875177377704</c:v>
                </c:pt>
                <c:pt idx="74">
                  <c:v>200.06631731364874</c:v>
                </c:pt>
                <c:pt idx="75">
                  <c:v>201.37393482650785</c:v>
                </c:pt>
                <c:pt idx="76">
                  <c:v>201.44509529129965</c:v>
                </c:pt>
                <c:pt idx="77">
                  <c:v>187.76603932267869</c:v>
                </c:pt>
                <c:pt idx="78">
                  <c:v>190.50734931209655</c:v>
                </c:pt>
                <c:pt idx="79">
                  <c:v>206.64641480642547</c:v>
                </c:pt>
                <c:pt idx="80">
                  <c:v>207.42314697164443</c:v>
                </c:pt>
                <c:pt idx="81">
                  <c:v>172.12975649037938</c:v>
                </c:pt>
                <c:pt idx="82">
                  <c:v>124.8474131400351</c:v>
                </c:pt>
                <c:pt idx="83">
                  <c:v>119.95815912616129</c:v>
                </c:pt>
                <c:pt idx="84">
                  <c:v>142.31420172292002</c:v>
                </c:pt>
                <c:pt idx="85">
                  <c:v>150.44718644496641</c:v>
                </c:pt>
                <c:pt idx="86">
                  <c:v>164.68910625498964</c:v>
                </c:pt>
                <c:pt idx="87">
                  <c:v>167.62485652176284</c:v>
                </c:pt>
                <c:pt idx="88">
                  <c:v>167.66213632162575</c:v>
                </c:pt>
                <c:pt idx="89">
                  <c:v>187.05158480438999</c:v>
                </c:pt>
                <c:pt idx="90">
                  <c:v>209.30079964195767</c:v>
                </c:pt>
                <c:pt idx="91">
                  <c:v>217.67234617271583</c:v>
                </c:pt>
                <c:pt idx="92">
                  <c:v>188.55801773358868</c:v>
                </c:pt>
                <c:pt idx="93">
                  <c:v>185.28888738636758</c:v>
                </c:pt>
              </c:numCache>
            </c:numRef>
          </c:val>
          <c:smooth val="0"/>
        </c:ser>
        <c:ser>
          <c:idx val="1"/>
          <c:order val="1"/>
          <c:tx>
            <c:strRef>
              <c:f>'Figure 6.1'!$C$16</c:f>
              <c:strCache>
                <c:ptCount val="1"/>
                <c:pt idx="0">
                  <c:v>LNG</c:v>
                </c:pt>
              </c:strCache>
            </c:strRef>
          </c:tx>
          <c:spPr>
            <a:ln w="19050">
              <a:solidFill>
                <a:srgbClr val="86A20B"/>
              </a:solidFill>
              <a:prstDash val="sysDash"/>
            </a:ln>
          </c:spPr>
          <c:marker>
            <c:symbol val="none"/>
          </c:marker>
          <c:cat>
            <c:strRef>
              <c:f>'Figure 6.1'!$D$3:$CS$3</c:f>
              <c:strCache>
                <c:ptCount val="94"/>
                <c:pt idx="0">
                  <c:v>88</c:v>
                </c:pt>
                <c:pt idx="1">
                  <c:v>88</c:v>
                </c:pt>
                <c:pt idx="2">
                  <c:v>89</c:v>
                </c:pt>
                <c:pt idx="3">
                  <c:v>89</c:v>
                </c:pt>
                <c:pt idx="4">
                  <c:v>89</c:v>
                </c:pt>
                <c:pt idx="5">
                  <c:v>89</c:v>
                </c:pt>
                <c:pt idx="6">
                  <c:v>90</c:v>
                </c:pt>
                <c:pt idx="7">
                  <c:v>90</c:v>
                </c:pt>
                <c:pt idx="8">
                  <c:v>90</c:v>
                </c:pt>
                <c:pt idx="9">
                  <c:v>90</c:v>
                </c:pt>
                <c:pt idx="10">
                  <c:v>91</c:v>
                </c:pt>
                <c:pt idx="11">
                  <c:v>91</c:v>
                </c:pt>
                <c:pt idx="12">
                  <c:v>91</c:v>
                </c:pt>
                <c:pt idx="13">
                  <c:v>91</c:v>
                </c:pt>
                <c:pt idx="14">
                  <c:v>92</c:v>
                </c:pt>
                <c:pt idx="15">
                  <c:v>92</c:v>
                </c:pt>
                <c:pt idx="16">
                  <c:v>92</c:v>
                </c:pt>
                <c:pt idx="17">
                  <c:v>92</c:v>
                </c:pt>
                <c:pt idx="18">
                  <c:v>93</c:v>
                </c:pt>
                <c:pt idx="19">
                  <c:v>93</c:v>
                </c:pt>
                <c:pt idx="20">
                  <c:v>93</c:v>
                </c:pt>
                <c:pt idx="21">
                  <c:v>93</c:v>
                </c:pt>
                <c:pt idx="22">
                  <c:v>94</c:v>
                </c:pt>
                <c:pt idx="23">
                  <c:v>94</c:v>
                </c:pt>
                <c:pt idx="24">
                  <c:v>94</c:v>
                </c:pt>
                <c:pt idx="25">
                  <c:v>94</c:v>
                </c:pt>
                <c:pt idx="26">
                  <c:v>95</c:v>
                </c:pt>
                <c:pt idx="27">
                  <c:v>95</c:v>
                </c:pt>
                <c:pt idx="28">
                  <c:v>95</c:v>
                </c:pt>
                <c:pt idx="29">
                  <c:v>95</c:v>
                </c:pt>
                <c:pt idx="30">
                  <c:v>96</c:v>
                </c:pt>
                <c:pt idx="31">
                  <c:v>96</c:v>
                </c:pt>
                <c:pt idx="32">
                  <c:v>96</c:v>
                </c:pt>
                <c:pt idx="33">
                  <c:v>96</c:v>
                </c:pt>
                <c:pt idx="34">
                  <c:v>97</c:v>
                </c:pt>
                <c:pt idx="35">
                  <c:v>97</c:v>
                </c:pt>
                <c:pt idx="36">
                  <c:v>97</c:v>
                </c:pt>
                <c:pt idx="37">
                  <c:v>97</c:v>
                </c:pt>
                <c:pt idx="38">
                  <c:v>98</c:v>
                </c:pt>
                <c:pt idx="39">
                  <c:v>98</c:v>
                </c:pt>
                <c:pt idx="40">
                  <c:v>98</c:v>
                </c:pt>
                <c:pt idx="41">
                  <c:v>98</c:v>
                </c:pt>
                <c:pt idx="42">
                  <c:v>99</c:v>
                </c:pt>
                <c:pt idx="43">
                  <c:v>99</c:v>
                </c:pt>
                <c:pt idx="44">
                  <c:v>99</c:v>
                </c:pt>
                <c:pt idx="45">
                  <c:v>99</c:v>
                </c:pt>
                <c:pt idx="46">
                  <c:v>00</c:v>
                </c:pt>
                <c:pt idx="47">
                  <c:v>00</c:v>
                </c:pt>
                <c:pt idx="48">
                  <c:v>00</c:v>
                </c:pt>
                <c:pt idx="49">
                  <c:v>00</c:v>
                </c:pt>
                <c:pt idx="50">
                  <c:v>01</c:v>
                </c:pt>
                <c:pt idx="51">
                  <c:v>01</c:v>
                </c:pt>
                <c:pt idx="52">
                  <c:v>01</c:v>
                </c:pt>
                <c:pt idx="53">
                  <c:v>01</c:v>
                </c:pt>
                <c:pt idx="54">
                  <c:v>02</c:v>
                </c:pt>
                <c:pt idx="55">
                  <c:v>02</c:v>
                </c:pt>
                <c:pt idx="56">
                  <c:v>02</c:v>
                </c:pt>
                <c:pt idx="57">
                  <c:v>02</c:v>
                </c:pt>
                <c:pt idx="58">
                  <c:v>03</c:v>
                </c:pt>
                <c:pt idx="59">
                  <c:v>03</c:v>
                </c:pt>
                <c:pt idx="60">
                  <c:v>03</c:v>
                </c:pt>
                <c:pt idx="61">
                  <c:v>03</c:v>
                </c:pt>
                <c:pt idx="62">
                  <c:v>04</c:v>
                </c:pt>
                <c:pt idx="63">
                  <c:v>04</c:v>
                </c:pt>
                <c:pt idx="64">
                  <c:v>04</c:v>
                </c:pt>
                <c:pt idx="65">
                  <c:v>04</c:v>
                </c:pt>
                <c:pt idx="66">
                  <c:v>05</c:v>
                </c:pt>
                <c:pt idx="67">
                  <c:v>05</c:v>
                </c:pt>
                <c:pt idx="68">
                  <c:v>05</c:v>
                </c:pt>
                <c:pt idx="69">
                  <c:v>05</c:v>
                </c:pt>
                <c:pt idx="70">
                  <c:v>06</c:v>
                </c:pt>
                <c:pt idx="71">
                  <c:v>06</c:v>
                </c:pt>
                <c:pt idx="72">
                  <c:v>06</c:v>
                </c:pt>
                <c:pt idx="73">
                  <c:v>06</c:v>
                </c:pt>
                <c:pt idx="74">
                  <c:v>07</c:v>
                </c:pt>
                <c:pt idx="75">
                  <c:v>07</c:v>
                </c:pt>
                <c:pt idx="76">
                  <c:v>07</c:v>
                </c:pt>
                <c:pt idx="77">
                  <c:v>07</c:v>
                </c:pt>
                <c:pt idx="78">
                  <c:v>08</c:v>
                </c:pt>
                <c:pt idx="79">
                  <c:v>08</c:v>
                </c:pt>
                <c:pt idx="80">
                  <c:v>08</c:v>
                </c:pt>
                <c:pt idx="81">
                  <c:v>08</c:v>
                </c:pt>
                <c:pt idx="82">
                  <c:v>09</c:v>
                </c:pt>
                <c:pt idx="83">
                  <c:v>09</c:v>
                </c:pt>
                <c:pt idx="84">
                  <c:v>09</c:v>
                </c:pt>
                <c:pt idx="85">
                  <c:v>09</c:v>
                </c:pt>
                <c:pt idx="86">
                  <c:v>10</c:v>
                </c:pt>
                <c:pt idx="87">
                  <c:v>10</c:v>
                </c:pt>
                <c:pt idx="88">
                  <c:v>10</c:v>
                </c:pt>
                <c:pt idx="89">
                  <c:v>10</c:v>
                </c:pt>
                <c:pt idx="90">
                  <c:v>11</c:v>
                </c:pt>
                <c:pt idx="91">
                  <c:v>11</c:v>
                </c:pt>
                <c:pt idx="92">
                  <c:v>11</c:v>
                </c:pt>
                <c:pt idx="93">
                  <c:v>11</c:v>
                </c:pt>
              </c:strCache>
            </c:strRef>
          </c:cat>
          <c:val>
            <c:numRef>
              <c:f>'Figure 6.1'!$D$16:$CS$16</c:f>
              <c:numCache>
                <c:formatCode>General</c:formatCode>
                <c:ptCount val="94"/>
                <c:pt idx="4" formatCode="#\ ##0">
                  <c:v>55.524809844305373</c:v>
                </c:pt>
                <c:pt idx="5" formatCode="#\ ##0">
                  <c:v>55.332620042839309</c:v>
                </c:pt>
                <c:pt idx="6" formatCode="#\ ##0">
                  <c:v>62.466528367757768</c:v>
                </c:pt>
                <c:pt idx="7" formatCode="#\ ##0">
                  <c:v>67.79263408356141</c:v>
                </c:pt>
                <c:pt idx="8" formatCode="#\ ##0">
                  <c:v>54.6967859996344</c:v>
                </c:pt>
                <c:pt idx="9" formatCode="#\ ##0">
                  <c:v>77.176343772015656</c:v>
                </c:pt>
                <c:pt idx="10" formatCode="#\ ##0">
                  <c:v>120.91679790385935</c:v>
                </c:pt>
                <c:pt idx="11" formatCode="#\ ##0">
                  <c:v>97.185039662568812</c:v>
                </c:pt>
                <c:pt idx="12" formatCode="#\ ##0">
                  <c:v>64.865843611120482</c:v>
                </c:pt>
                <c:pt idx="13" formatCode="#\ ##0">
                  <c:v>65.849240657564536</c:v>
                </c:pt>
                <c:pt idx="14" formatCode="#\ ##0">
                  <c:v>70.136201664747915</c:v>
                </c:pt>
                <c:pt idx="15" formatCode="#\ ##0">
                  <c:v>60.145769047491925</c:v>
                </c:pt>
                <c:pt idx="16" formatCode="#\ ##0">
                  <c:v>64.523363060111123</c:v>
                </c:pt>
                <c:pt idx="17" formatCode="#\ ##0">
                  <c:v>75.163145096855061</c:v>
                </c:pt>
                <c:pt idx="18" formatCode="#\ ##0">
                  <c:v>74.256331493343197</c:v>
                </c:pt>
                <c:pt idx="19" formatCode="#\ ##0">
                  <c:v>62.140609743768835</c:v>
                </c:pt>
                <c:pt idx="20" formatCode="#\ ##0">
                  <c:v>60.711194529034202</c:v>
                </c:pt>
                <c:pt idx="21" formatCode="#\ ##0">
                  <c:v>57.59968527519321</c:v>
                </c:pt>
                <c:pt idx="22" formatCode="#\ ##0">
                  <c:v>51.62659722646665</c:v>
                </c:pt>
                <c:pt idx="23" formatCode="#\ ##0">
                  <c:v>55.431823362324998</c:v>
                </c:pt>
                <c:pt idx="24" formatCode="#\ ##0">
                  <c:v>60.811954982335472</c:v>
                </c:pt>
                <c:pt idx="25" formatCode="#\ ##0">
                  <c:v>63.255875217769791</c:v>
                </c:pt>
                <c:pt idx="26" formatCode="#\ ##0">
                  <c:v>61.542999626387378</c:v>
                </c:pt>
                <c:pt idx="27" formatCode="#\ ##0">
                  <c:v>52.467669510899299</c:v>
                </c:pt>
                <c:pt idx="28" formatCode="#\ ##0">
                  <c:v>71.98614089477627</c:v>
                </c:pt>
                <c:pt idx="29" formatCode="#\ ##0">
                  <c:v>64.067753638859159</c:v>
                </c:pt>
                <c:pt idx="30" formatCode="#\ ##0">
                  <c:v>63.700991385685775</c:v>
                </c:pt>
                <c:pt idx="31" formatCode="#\ ##0">
                  <c:v>64.86840524298654</c:v>
                </c:pt>
                <c:pt idx="32" formatCode="#\ ##0">
                  <c:v>72.493127762140404</c:v>
                </c:pt>
                <c:pt idx="33" formatCode="#\ ##0">
                  <c:v>75.564646606280832</c:v>
                </c:pt>
                <c:pt idx="34" formatCode="#\ ##0">
                  <c:v>83.247510117591176</c:v>
                </c:pt>
                <c:pt idx="35" formatCode="#\ ##0">
                  <c:v>69.786764276344044</c:v>
                </c:pt>
                <c:pt idx="36" formatCode="#\ ##0">
                  <c:v>69.53916634335792</c:v>
                </c:pt>
                <c:pt idx="37" formatCode="#\ ##0">
                  <c:v>64.152285928766389</c:v>
                </c:pt>
                <c:pt idx="38" formatCode="#\ ##0">
                  <c:v>73.605246647544604</c:v>
                </c:pt>
                <c:pt idx="39" formatCode="#\ ##0">
                  <c:v>53.47544543649812</c:v>
                </c:pt>
                <c:pt idx="40" formatCode="#\ ##0">
                  <c:v>54.573959909484628</c:v>
                </c:pt>
                <c:pt idx="41" formatCode="#\ ##0">
                  <c:v>52.939780326735516</c:v>
                </c:pt>
                <c:pt idx="42" formatCode="#\ ##0">
                  <c:v>54.542078298064617</c:v>
                </c:pt>
                <c:pt idx="43" formatCode="#\ ##0">
                  <c:v>51.016821237434065</c:v>
                </c:pt>
                <c:pt idx="44" formatCode="#\ ##0">
                  <c:v>56.380037956642383</c:v>
                </c:pt>
                <c:pt idx="45" formatCode="#\ ##0">
                  <c:v>67.42875163269423</c:v>
                </c:pt>
                <c:pt idx="46" formatCode="#\ ##0">
                  <c:v>77.587907321493191</c:v>
                </c:pt>
                <c:pt idx="47" formatCode="#\ ##0">
                  <c:v>87.742892739467621</c:v>
                </c:pt>
                <c:pt idx="48" formatCode="#\ ##0">
                  <c:v>79.389828200182578</c:v>
                </c:pt>
                <c:pt idx="49" formatCode="#\ ##0">
                  <c:v>93.368782852322667</c:v>
                </c:pt>
                <c:pt idx="50" formatCode="#\ ##0">
                  <c:v>90.200799247889194</c:v>
                </c:pt>
                <c:pt idx="51" formatCode="#\ ##0">
                  <c:v>85.952223378258523</c:v>
                </c:pt>
                <c:pt idx="52" formatCode="#\ ##0">
                  <c:v>87.029746115280034</c:v>
                </c:pt>
                <c:pt idx="53" formatCode="#\ ##0">
                  <c:v>91.863895731891645</c:v>
                </c:pt>
                <c:pt idx="54" formatCode="#\ ##0">
                  <c:v>80.827453879899338</c:v>
                </c:pt>
                <c:pt idx="55" formatCode="#\ ##0">
                  <c:v>74.669329330865153</c:v>
                </c:pt>
                <c:pt idx="56" formatCode="#\ ##0">
                  <c:v>87.620015976869908</c:v>
                </c:pt>
                <c:pt idx="57" formatCode="#\ ##0">
                  <c:v>91.445533528781951</c:v>
                </c:pt>
                <c:pt idx="58" formatCode="#\ ##0">
                  <c:v>92.783545378737998</c:v>
                </c:pt>
                <c:pt idx="59" formatCode="#\ ##0">
                  <c:v>100</c:v>
                </c:pt>
                <c:pt idx="60" formatCode="#\ ##0">
                  <c:v>95.974665939845437</c:v>
                </c:pt>
                <c:pt idx="61" formatCode="#\ ##0">
                  <c:v>97.307403569289477</c:v>
                </c:pt>
                <c:pt idx="62" formatCode="#\ ##0">
                  <c:v>91.790566672130211</c:v>
                </c:pt>
                <c:pt idx="63" formatCode="#\ ##0">
                  <c:v>85.346520774996719</c:v>
                </c:pt>
                <c:pt idx="64" formatCode="#\ ##0">
                  <c:v>95.816935410278205</c:v>
                </c:pt>
                <c:pt idx="65" formatCode="#\ ##0">
                  <c:v>112.44534354403129</c:v>
                </c:pt>
                <c:pt idx="66" formatCode="#\ ##0">
                  <c:v>104.00141207304671</c:v>
                </c:pt>
                <c:pt idx="67" formatCode="#\ ##0">
                  <c:v>117.78143141002823</c:v>
                </c:pt>
                <c:pt idx="68" formatCode="#\ ##0">
                  <c:v>118.23890811896682</c:v>
                </c:pt>
                <c:pt idx="69" formatCode="#\ ##0">
                  <c:v>127.23895470262445</c:v>
                </c:pt>
                <c:pt idx="70" formatCode="#\ ##0">
                  <c:v>119.33996667350817</c:v>
                </c:pt>
                <c:pt idx="71" formatCode="#\ ##0">
                  <c:v>125.26453765244919</c:v>
                </c:pt>
                <c:pt idx="72" formatCode="#\ ##0">
                  <c:v>138.88211415207252</c:v>
                </c:pt>
                <c:pt idx="73" formatCode="#\ ##0">
                  <c:v>133.17970857501842</c:v>
                </c:pt>
                <c:pt idx="74" formatCode="#\ ##0">
                  <c:v>122.49010091645191</c:v>
                </c:pt>
                <c:pt idx="75" formatCode="#\ ##0">
                  <c:v>121.58280503236058</c:v>
                </c:pt>
                <c:pt idx="76" formatCode="#\ ##0">
                  <c:v>149.65014577417918</c:v>
                </c:pt>
                <c:pt idx="77" formatCode="#\ ##0">
                  <c:v>165.65812254734874</c:v>
                </c:pt>
                <c:pt idx="78" formatCode="#\ ##0">
                  <c:v>190.1075093057982</c:v>
                </c:pt>
                <c:pt idx="79" formatCode="#\ ##0">
                  <c:v>231.62250264646374</c:v>
                </c:pt>
                <c:pt idx="80" formatCode="#\ ##0">
                  <c:v>252.04077896079167</c:v>
                </c:pt>
                <c:pt idx="81" formatCode="#\ ##0">
                  <c:v>314.48778820473223</c:v>
                </c:pt>
                <c:pt idx="82" formatCode="#\ ##0">
                  <c:v>193.25938586602081</c:v>
                </c:pt>
                <c:pt idx="83" formatCode="#\ ##0">
                  <c:v>150.22602244092195</c:v>
                </c:pt>
                <c:pt idx="84" formatCode="#\ ##0">
                  <c:v>152.04568547299226</c:v>
                </c:pt>
                <c:pt idx="85" formatCode="#\ ##0">
                  <c:v>174.43376201212041</c:v>
                </c:pt>
                <c:pt idx="86" formatCode="#\ ##0">
                  <c:v>205.09322330350892</c:v>
                </c:pt>
                <c:pt idx="87" formatCode="#\ ##0">
                  <c:v>197.2662774414471</c:v>
                </c:pt>
                <c:pt idx="88" formatCode="#\ ##0">
                  <c:v>248.92894491300245</c:v>
                </c:pt>
                <c:pt idx="89" formatCode="#\ ##0">
                  <c:v>225.16357928633903</c:v>
                </c:pt>
                <c:pt idx="90" formatCode="#\ ##0">
                  <c:v>245.01385598937105</c:v>
                </c:pt>
                <c:pt idx="91" formatCode="#\ ##0">
                  <c:v>266.92717167605201</c:v>
                </c:pt>
                <c:pt idx="92" formatCode="#\ ##0">
                  <c:v>295.66391783653296</c:v>
                </c:pt>
                <c:pt idx="93" formatCode="#\ ##0">
                  <c:v>332.04086469016022</c:v>
                </c:pt>
              </c:numCache>
            </c:numRef>
          </c:val>
          <c:smooth val="0"/>
        </c:ser>
        <c:dLbls>
          <c:showLegendKey val="0"/>
          <c:showVal val="0"/>
          <c:showCatName val="0"/>
          <c:showSerName val="0"/>
          <c:showPercent val="0"/>
          <c:showBubbleSize val="0"/>
        </c:dLbls>
        <c:marker val="1"/>
        <c:smooth val="0"/>
        <c:axId val="193348736"/>
        <c:axId val="193350272"/>
      </c:lineChart>
      <c:catAx>
        <c:axId val="193348736"/>
        <c:scaling>
          <c:orientation val="minMax"/>
        </c:scaling>
        <c:delete val="0"/>
        <c:axPos val="b"/>
        <c:majorTickMark val="out"/>
        <c:minorTickMark val="none"/>
        <c:tickLblPos val="nextTo"/>
        <c:spPr>
          <a:ln>
            <a:solidFill>
              <a:schemeClr val="tx1"/>
            </a:solidFill>
          </a:ln>
        </c:spPr>
        <c:crossAx val="193350272"/>
        <c:crosses val="autoZero"/>
        <c:auto val="1"/>
        <c:lblAlgn val="ctr"/>
        <c:lblOffset val="100"/>
        <c:tickLblSkip val="8"/>
        <c:tickMarkSkip val="8"/>
        <c:noMultiLvlLbl val="0"/>
      </c:catAx>
      <c:valAx>
        <c:axId val="193350272"/>
        <c:scaling>
          <c:orientation val="minMax"/>
          <c:max val="600"/>
        </c:scaling>
        <c:delete val="0"/>
        <c:axPos val="l"/>
        <c:majorGridlines/>
        <c:title>
          <c:tx>
            <c:rich>
              <a:bodyPr rot="-5400000" vert="horz"/>
              <a:lstStyle/>
              <a:p>
                <a:pPr>
                  <a:defRPr b="1"/>
                </a:pPr>
                <a:r>
                  <a:rPr lang="en-US" b="1"/>
                  <a:t>Index, June 2003=100</a:t>
                </a:r>
              </a:p>
            </c:rich>
          </c:tx>
          <c:overlay val="0"/>
        </c:title>
        <c:numFmt formatCode="#\ ##0" sourceLinked="1"/>
        <c:majorTickMark val="out"/>
        <c:minorTickMark val="none"/>
        <c:tickLblPos val="nextTo"/>
        <c:spPr>
          <a:ln>
            <a:solidFill>
              <a:schemeClr val="tx1"/>
            </a:solidFill>
          </a:ln>
        </c:spPr>
        <c:crossAx val="193348736"/>
        <c:crosses val="autoZero"/>
        <c:crossBetween val="between"/>
        <c:majorUnit val="100"/>
      </c:valAx>
      <c:spPr>
        <a:ln>
          <a:solidFill>
            <a:schemeClr val="tx1"/>
          </a:solidFill>
        </a:ln>
      </c:spPr>
    </c:plotArea>
    <c:legend>
      <c:legendPos val="r"/>
      <c:layout>
        <c:manualLayout>
          <c:xMode val="edge"/>
          <c:yMode val="edge"/>
          <c:x val="3.7077865266841709E-3"/>
          <c:y val="4.2457713619130973E-3"/>
          <c:w val="0.99073665791776033"/>
          <c:h val="7.0212160979877508E-2"/>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370056796778711"/>
          <c:y val="0.16203703703703703"/>
          <c:w val="0.81549009096115155"/>
          <c:h val="0.74415901137357832"/>
        </c:manualLayout>
      </c:layout>
      <c:lineChart>
        <c:grouping val="standard"/>
        <c:varyColors val="0"/>
        <c:ser>
          <c:idx val="0"/>
          <c:order val="0"/>
          <c:tx>
            <c:strRef>
              <c:f>'Figure 6.2'!$B$5</c:f>
              <c:strCache>
                <c:ptCount val="1"/>
                <c:pt idx="0">
                  <c:v>Computer equipment</c:v>
                </c:pt>
              </c:strCache>
            </c:strRef>
          </c:tx>
          <c:spPr>
            <a:ln w="19050">
              <a:solidFill>
                <a:srgbClr val="344893"/>
              </a:solidFill>
            </a:ln>
          </c:spPr>
          <c:marker>
            <c:symbol val="none"/>
          </c:marker>
          <c:cat>
            <c:numRef>
              <c:f>'Figure 6.2'!$C$3:$Y$3</c:f>
              <c:numCache>
                <c:formatCode>General</c:formatCode>
                <c:ptCount val="23"/>
                <c:pt idx="0">
                  <c:v>90</c:v>
                </c:pt>
                <c:pt idx="1">
                  <c:v>91</c:v>
                </c:pt>
                <c:pt idx="2">
                  <c:v>92</c:v>
                </c:pt>
                <c:pt idx="3">
                  <c:v>93</c:v>
                </c:pt>
                <c:pt idx="4">
                  <c:v>94</c:v>
                </c:pt>
                <c:pt idx="5">
                  <c:v>95</c:v>
                </c:pt>
                <c:pt idx="6">
                  <c:v>96</c:v>
                </c:pt>
                <c:pt idx="7">
                  <c:v>97</c:v>
                </c:pt>
                <c:pt idx="8">
                  <c:v>98</c:v>
                </c:pt>
                <c:pt idx="9">
                  <c:v>99</c:v>
                </c:pt>
                <c:pt idx="10" formatCode="#00">
                  <c:v>0</c:v>
                </c:pt>
                <c:pt idx="11" formatCode="#00">
                  <c:v>1</c:v>
                </c:pt>
                <c:pt idx="12" formatCode="#00">
                  <c:v>2</c:v>
                </c:pt>
                <c:pt idx="13" formatCode="#00">
                  <c:v>3</c:v>
                </c:pt>
                <c:pt idx="14" formatCode="#00">
                  <c:v>4</c:v>
                </c:pt>
                <c:pt idx="15" formatCode="#00">
                  <c:v>5</c:v>
                </c:pt>
                <c:pt idx="16" formatCode="#00">
                  <c:v>6</c:v>
                </c:pt>
                <c:pt idx="17" formatCode="#00">
                  <c:v>7</c:v>
                </c:pt>
                <c:pt idx="18" formatCode="#00">
                  <c:v>8</c:v>
                </c:pt>
                <c:pt idx="19" formatCode="#00">
                  <c:v>9</c:v>
                </c:pt>
                <c:pt idx="20">
                  <c:v>10</c:v>
                </c:pt>
                <c:pt idx="21">
                  <c:v>11</c:v>
                </c:pt>
                <c:pt idx="22">
                  <c:v>12</c:v>
                </c:pt>
              </c:numCache>
            </c:numRef>
          </c:cat>
          <c:val>
            <c:numRef>
              <c:f>'Figure 6.2'!$C$5:$Y$5</c:f>
              <c:numCache>
                <c:formatCode>#\ ##0</c:formatCode>
                <c:ptCount val="23"/>
                <c:pt idx="0">
                  <c:v>599.41722128349249</c:v>
                </c:pt>
                <c:pt idx="1">
                  <c:v>597.72405945032585</c:v>
                </c:pt>
                <c:pt idx="2">
                  <c:v>530.54243249767228</c:v>
                </c:pt>
                <c:pt idx="3">
                  <c:v>436.95989516879894</c:v>
                </c:pt>
                <c:pt idx="4">
                  <c:v>405.3174247387841</c:v>
                </c:pt>
                <c:pt idx="5">
                  <c:v>396.24469809303764</c:v>
                </c:pt>
                <c:pt idx="6">
                  <c:v>334.56326080209664</c:v>
                </c:pt>
                <c:pt idx="7">
                  <c:v>291.31349356874375</c:v>
                </c:pt>
                <c:pt idx="8">
                  <c:v>166.62643539432392</c:v>
                </c:pt>
                <c:pt idx="9">
                  <c:v>154.58119245491224</c:v>
                </c:pt>
                <c:pt idx="10">
                  <c:v>157.94337735783992</c:v>
                </c:pt>
                <c:pt idx="11">
                  <c:v>109.50377599227559</c:v>
                </c:pt>
                <c:pt idx="12">
                  <c:v>117.79026862995275</c:v>
                </c:pt>
                <c:pt idx="13">
                  <c:v>100</c:v>
                </c:pt>
                <c:pt idx="14">
                  <c:v>78.095796406772649</c:v>
                </c:pt>
                <c:pt idx="15">
                  <c:v>53.03631159695162</c:v>
                </c:pt>
                <c:pt idx="16">
                  <c:v>47.105072588709959</c:v>
                </c:pt>
                <c:pt idx="17">
                  <c:v>43.770474843960137</c:v>
                </c:pt>
                <c:pt idx="18">
                  <c:v>35.704679471705923</c:v>
                </c:pt>
                <c:pt idx="19">
                  <c:v>27.942342839408255</c:v>
                </c:pt>
                <c:pt idx="20">
                  <c:v>23.076657815786749</c:v>
                </c:pt>
                <c:pt idx="21">
                  <c:v>21.152453532880443</c:v>
                </c:pt>
                <c:pt idx="22">
                  <c:v>17.907514052208697</c:v>
                </c:pt>
              </c:numCache>
            </c:numRef>
          </c:val>
          <c:smooth val="0"/>
        </c:ser>
        <c:ser>
          <c:idx val="1"/>
          <c:order val="1"/>
          <c:tx>
            <c:strRef>
              <c:f>'Figure 6.2'!$B$6</c:f>
              <c:strCache>
                <c:ptCount val="1"/>
                <c:pt idx="0">
                  <c:v>Computer software</c:v>
                </c:pt>
              </c:strCache>
            </c:strRef>
          </c:tx>
          <c:spPr>
            <a:ln w="19050">
              <a:solidFill>
                <a:srgbClr val="B4C98B"/>
              </a:solidFill>
              <a:prstDash val="sysDash"/>
            </a:ln>
          </c:spPr>
          <c:marker>
            <c:symbol val="none"/>
          </c:marker>
          <c:cat>
            <c:numRef>
              <c:f>'Figure 6.2'!$C$3:$Y$3</c:f>
              <c:numCache>
                <c:formatCode>General</c:formatCode>
                <c:ptCount val="23"/>
                <c:pt idx="0">
                  <c:v>90</c:v>
                </c:pt>
                <c:pt idx="1">
                  <c:v>91</c:v>
                </c:pt>
                <c:pt idx="2">
                  <c:v>92</c:v>
                </c:pt>
                <c:pt idx="3">
                  <c:v>93</c:v>
                </c:pt>
                <c:pt idx="4">
                  <c:v>94</c:v>
                </c:pt>
                <c:pt idx="5">
                  <c:v>95</c:v>
                </c:pt>
                <c:pt idx="6">
                  <c:v>96</c:v>
                </c:pt>
                <c:pt idx="7">
                  <c:v>97</c:v>
                </c:pt>
                <c:pt idx="8">
                  <c:v>98</c:v>
                </c:pt>
                <c:pt idx="9">
                  <c:v>99</c:v>
                </c:pt>
                <c:pt idx="10" formatCode="#00">
                  <c:v>0</c:v>
                </c:pt>
                <c:pt idx="11" formatCode="#00">
                  <c:v>1</c:v>
                </c:pt>
                <c:pt idx="12" formatCode="#00">
                  <c:v>2</c:v>
                </c:pt>
                <c:pt idx="13" formatCode="#00">
                  <c:v>3</c:v>
                </c:pt>
                <c:pt idx="14" formatCode="#00">
                  <c:v>4</c:v>
                </c:pt>
                <c:pt idx="15" formatCode="#00">
                  <c:v>5</c:v>
                </c:pt>
                <c:pt idx="16" formatCode="#00">
                  <c:v>6</c:v>
                </c:pt>
                <c:pt idx="17" formatCode="#00">
                  <c:v>7</c:v>
                </c:pt>
                <c:pt idx="18" formatCode="#00">
                  <c:v>8</c:v>
                </c:pt>
                <c:pt idx="19" formatCode="#00">
                  <c:v>9</c:v>
                </c:pt>
                <c:pt idx="20">
                  <c:v>10</c:v>
                </c:pt>
                <c:pt idx="21">
                  <c:v>11</c:v>
                </c:pt>
                <c:pt idx="22">
                  <c:v>12</c:v>
                </c:pt>
              </c:numCache>
            </c:numRef>
          </c:cat>
          <c:val>
            <c:numRef>
              <c:f>'Figure 6.2'!$C$6:$Y$6</c:f>
              <c:numCache>
                <c:formatCode>#\ ##0</c:formatCode>
                <c:ptCount val="23"/>
                <c:pt idx="0">
                  <c:v>262.61569416498992</c:v>
                </c:pt>
                <c:pt idx="1">
                  <c:v>267.10261569416497</c:v>
                </c:pt>
                <c:pt idx="2">
                  <c:v>318.79275653923543</c:v>
                </c:pt>
                <c:pt idx="3">
                  <c:v>222.97786720321932</c:v>
                </c:pt>
                <c:pt idx="4">
                  <c:v>241.14688128772636</c:v>
                </c:pt>
                <c:pt idx="5">
                  <c:v>235.43259557344064</c:v>
                </c:pt>
                <c:pt idx="6">
                  <c:v>267.20321931589541</c:v>
                </c:pt>
                <c:pt idx="7">
                  <c:v>204.12474849094565</c:v>
                </c:pt>
                <c:pt idx="8">
                  <c:v>177.60563380281693</c:v>
                </c:pt>
                <c:pt idx="9">
                  <c:v>93.983903420523134</c:v>
                </c:pt>
                <c:pt idx="10">
                  <c:v>89.25553319919517</c:v>
                </c:pt>
                <c:pt idx="11">
                  <c:v>104.20523138832999</c:v>
                </c:pt>
                <c:pt idx="12">
                  <c:v>103.68209255533199</c:v>
                </c:pt>
                <c:pt idx="13">
                  <c:v>100</c:v>
                </c:pt>
                <c:pt idx="14">
                  <c:v>96.277665995975852</c:v>
                </c:pt>
                <c:pt idx="15">
                  <c:v>105.23138832997989</c:v>
                </c:pt>
                <c:pt idx="16">
                  <c:v>114.42655935613682</c:v>
                </c:pt>
                <c:pt idx="17">
                  <c:v>115.45271629778671</c:v>
                </c:pt>
                <c:pt idx="18">
                  <c:v>107.62575452716298</c:v>
                </c:pt>
                <c:pt idx="19">
                  <c:v>108.51106639839034</c:v>
                </c:pt>
                <c:pt idx="20">
                  <c:v>89.416498993963799</c:v>
                </c:pt>
                <c:pt idx="21">
                  <c:v>96.458752515090538</c:v>
                </c:pt>
                <c:pt idx="22">
                  <c:v>85.975855130784723</c:v>
                </c:pt>
              </c:numCache>
            </c:numRef>
          </c:val>
          <c:smooth val="0"/>
        </c:ser>
        <c:dLbls>
          <c:showLegendKey val="0"/>
          <c:showVal val="0"/>
          <c:showCatName val="0"/>
          <c:showSerName val="0"/>
          <c:showPercent val="0"/>
          <c:showBubbleSize val="0"/>
        </c:dLbls>
        <c:marker val="1"/>
        <c:smooth val="0"/>
        <c:axId val="193368832"/>
        <c:axId val="193370368"/>
      </c:lineChart>
      <c:catAx>
        <c:axId val="193368832"/>
        <c:scaling>
          <c:orientation val="minMax"/>
        </c:scaling>
        <c:delete val="0"/>
        <c:axPos val="b"/>
        <c:numFmt formatCode="General" sourceLinked="1"/>
        <c:majorTickMark val="out"/>
        <c:minorTickMark val="none"/>
        <c:tickLblPos val="nextTo"/>
        <c:spPr>
          <a:ln>
            <a:solidFill>
              <a:schemeClr val="tx1"/>
            </a:solidFill>
          </a:ln>
        </c:spPr>
        <c:crossAx val="193370368"/>
        <c:crosses val="autoZero"/>
        <c:auto val="1"/>
        <c:lblAlgn val="ctr"/>
        <c:lblOffset val="100"/>
        <c:tickLblSkip val="2"/>
        <c:tickMarkSkip val="2"/>
        <c:noMultiLvlLbl val="0"/>
      </c:catAx>
      <c:valAx>
        <c:axId val="193370368"/>
        <c:scaling>
          <c:orientation val="minMax"/>
        </c:scaling>
        <c:delete val="0"/>
        <c:axPos val="l"/>
        <c:majorGridlines/>
        <c:title>
          <c:tx>
            <c:rich>
              <a:bodyPr rot="-5400000" vert="horz"/>
              <a:lstStyle/>
              <a:p>
                <a:pPr>
                  <a:defRPr b="1"/>
                </a:pPr>
                <a:r>
                  <a:rPr lang="en-US" b="1"/>
                  <a:t>Index, 2002-03=100</a:t>
                </a:r>
              </a:p>
            </c:rich>
          </c:tx>
          <c:overlay val="0"/>
        </c:title>
        <c:numFmt formatCode="#\ ##0" sourceLinked="1"/>
        <c:majorTickMark val="out"/>
        <c:minorTickMark val="none"/>
        <c:tickLblPos val="nextTo"/>
        <c:spPr>
          <a:ln>
            <a:solidFill>
              <a:schemeClr val="tx1"/>
            </a:solidFill>
          </a:ln>
        </c:spPr>
        <c:crossAx val="193368832"/>
        <c:crosses val="autoZero"/>
        <c:crossBetween val="between"/>
      </c:valAx>
      <c:spPr>
        <a:ln>
          <a:solidFill>
            <a:schemeClr val="tx1"/>
          </a:solidFill>
        </a:ln>
      </c:spPr>
    </c:plotArea>
    <c:legend>
      <c:legendPos val="r"/>
      <c:layout>
        <c:manualLayout>
          <c:xMode val="edge"/>
          <c:yMode val="edge"/>
          <c:x val="0.25611195352321103"/>
          <c:y val="7.1428363352472174E-4"/>
          <c:w val="0.53010082982544038"/>
          <c:h val="0.16705142611482668"/>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339683621653682"/>
          <c:y val="0.15740740740740741"/>
          <c:w val="0.81549092824149416"/>
          <c:h val="0.74878864100320797"/>
        </c:manualLayout>
      </c:layout>
      <c:lineChart>
        <c:grouping val="standard"/>
        <c:varyColors val="0"/>
        <c:ser>
          <c:idx val="0"/>
          <c:order val="0"/>
          <c:tx>
            <c:strRef>
              <c:f>'Figure 6.2'!$B$7</c:f>
              <c:strCache>
                <c:ptCount val="1"/>
                <c:pt idx="0">
                  <c:v>Exploration intellectual property</c:v>
                </c:pt>
              </c:strCache>
            </c:strRef>
          </c:tx>
          <c:spPr>
            <a:ln w="19050">
              <a:solidFill>
                <a:srgbClr val="344893"/>
              </a:solidFill>
            </a:ln>
          </c:spPr>
          <c:marker>
            <c:symbol val="none"/>
          </c:marker>
          <c:cat>
            <c:numRef>
              <c:f>'Figure 6.2'!$C$3:$Y$3</c:f>
              <c:numCache>
                <c:formatCode>General</c:formatCode>
                <c:ptCount val="23"/>
                <c:pt idx="0">
                  <c:v>90</c:v>
                </c:pt>
                <c:pt idx="1">
                  <c:v>91</c:v>
                </c:pt>
                <c:pt idx="2">
                  <c:v>92</c:v>
                </c:pt>
                <c:pt idx="3">
                  <c:v>93</c:v>
                </c:pt>
                <c:pt idx="4">
                  <c:v>94</c:v>
                </c:pt>
                <c:pt idx="5">
                  <c:v>95</c:v>
                </c:pt>
                <c:pt idx="6">
                  <c:v>96</c:v>
                </c:pt>
                <c:pt idx="7">
                  <c:v>97</c:v>
                </c:pt>
                <c:pt idx="8">
                  <c:v>98</c:v>
                </c:pt>
                <c:pt idx="9">
                  <c:v>99</c:v>
                </c:pt>
                <c:pt idx="10" formatCode="#00">
                  <c:v>0</c:v>
                </c:pt>
                <c:pt idx="11" formatCode="#00">
                  <c:v>1</c:v>
                </c:pt>
                <c:pt idx="12" formatCode="#00">
                  <c:v>2</c:v>
                </c:pt>
                <c:pt idx="13" formatCode="#00">
                  <c:v>3</c:v>
                </c:pt>
                <c:pt idx="14" formatCode="#00">
                  <c:v>4</c:v>
                </c:pt>
                <c:pt idx="15" formatCode="#00">
                  <c:v>5</c:v>
                </c:pt>
                <c:pt idx="16" formatCode="#00">
                  <c:v>6</c:v>
                </c:pt>
                <c:pt idx="17" formatCode="#00">
                  <c:v>7</c:v>
                </c:pt>
                <c:pt idx="18" formatCode="#00">
                  <c:v>8</c:v>
                </c:pt>
                <c:pt idx="19" formatCode="#00">
                  <c:v>9</c:v>
                </c:pt>
                <c:pt idx="20">
                  <c:v>10</c:v>
                </c:pt>
                <c:pt idx="21">
                  <c:v>11</c:v>
                </c:pt>
                <c:pt idx="22">
                  <c:v>12</c:v>
                </c:pt>
              </c:numCache>
            </c:numRef>
          </c:cat>
          <c:val>
            <c:numRef>
              <c:f>'Figure 6.2'!$C$7:$Y$7</c:f>
              <c:numCache>
                <c:formatCode>#\ ##0</c:formatCode>
                <c:ptCount val="23"/>
                <c:pt idx="0">
                  <c:v>128.136419001218</c:v>
                </c:pt>
                <c:pt idx="1">
                  <c:v>109.74421437271619</c:v>
                </c:pt>
                <c:pt idx="2">
                  <c:v>141.04750304506697</c:v>
                </c:pt>
                <c:pt idx="3">
                  <c:v>110.96224116930571</c:v>
                </c:pt>
                <c:pt idx="4">
                  <c:v>154.08038976857489</c:v>
                </c:pt>
                <c:pt idx="5">
                  <c:v>154.44579780755174</c:v>
                </c:pt>
                <c:pt idx="6">
                  <c:v>154.56760048721071</c:v>
                </c:pt>
                <c:pt idx="7">
                  <c:v>82.338611449451875</c:v>
                </c:pt>
                <c:pt idx="8">
                  <c:v>85.140073081607795</c:v>
                </c:pt>
                <c:pt idx="9">
                  <c:v>97.320341047503035</c:v>
                </c:pt>
                <c:pt idx="10">
                  <c:v>79.902557856272836</c:v>
                </c:pt>
                <c:pt idx="11">
                  <c:v>133.73934226552981</c:v>
                </c:pt>
                <c:pt idx="12">
                  <c:v>130.93788063337394</c:v>
                </c:pt>
                <c:pt idx="13">
                  <c:v>100</c:v>
                </c:pt>
                <c:pt idx="14">
                  <c:v>102.67965895249695</c:v>
                </c:pt>
                <c:pt idx="15">
                  <c:v>182.4604141291108</c:v>
                </c:pt>
                <c:pt idx="16">
                  <c:v>164.43361753958587</c:v>
                </c:pt>
                <c:pt idx="17">
                  <c:v>195.61510353227769</c:v>
                </c:pt>
                <c:pt idx="18">
                  <c:v>156.63824604141288</c:v>
                </c:pt>
                <c:pt idx="19">
                  <c:v>270.52375152253347</c:v>
                </c:pt>
                <c:pt idx="20">
                  <c:v>179.41534713763699</c:v>
                </c:pt>
                <c:pt idx="21">
                  <c:v>107.9171741778319</c:v>
                </c:pt>
                <c:pt idx="22">
                  <c:v>104.62850182704018</c:v>
                </c:pt>
              </c:numCache>
            </c:numRef>
          </c:val>
          <c:smooth val="0"/>
        </c:ser>
        <c:ser>
          <c:idx val="1"/>
          <c:order val="1"/>
          <c:tx>
            <c:strRef>
              <c:f>'Figure 6.2'!$B$8</c:f>
              <c:strCache>
                <c:ptCount val="1"/>
                <c:pt idx="0">
                  <c:v>Electrical &amp; electronic equip.</c:v>
                </c:pt>
              </c:strCache>
            </c:strRef>
          </c:tx>
          <c:spPr>
            <a:ln w="19050">
              <a:solidFill>
                <a:srgbClr val="B4C98B"/>
              </a:solidFill>
              <a:prstDash val="sysDash"/>
            </a:ln>
          </c:spPr>
          <c:marker>
            <c:symbol val="none"/>
          </c:marker>
          <c:cat>
            <c:numRef>
              <c:f>'Figure 6.2'!$C$3:$Y$3</c:f>
              <c:numCache>
                <c:formatCode>General</c:formatCode>
                <c:ptCount val="23"/>
                <c:pt idx="0">
                  <c:v>90</c:v>
                </c:pt>
                <c:pt idx="1">
                  <c:v>91</c:v>
                </c:pt>
                <c:pt idx="2">
                  <c:v>92</c:v>
                </c:pt>
                <c:pt idx="3">
                  <c:v>93</c:v>
                </c:pt>
                <c:pt idx="4">
                  <c:v>94</c:v>
                </c:pt>
                <c:pt idx="5">
                  <c:v>95</c:v>
                </c:pt>
                <c:pt idx="6">
                  <c:v>96</c:v>
                </c:pt>
                <c:pt idx="7">
                  <c:v>97</c:v>
                </c:pt>
                <c:pt idx="8">
                  <c:v>98</c:v>
                </c:pt>
                <c:pt idx="9">
                  <c:v>99</c:v>
                </c:pt>
                <c:pt idx="10" formatCode="#00">
                  <c:v>0</c:v>
                </c:pt>
                <c:pt idx="11" formatCode="#00">
                  <c:v>1</c:v>
                </c:pt>
                <c:pt idx="12" formatCode="#00">
                  <c:v>2</c:v>
                </c:pt>
                <c:pt idx="13" formatCode="#00">
                  <c:v>3</c:v>
                </c:pt>
                <c:pt idx="14" formatCode="#00">
                  <c:v>4</c:v>
                </c:pt>
                <c:pt idx="15" formatCode="#00">
                  <c:v>5</c:v>
                </c:pt>
                <c:pt idx="16" formatCode="#00">
                  <c:v>6</c:v>
                </c:pt>
                <c:pt idx="17" formatCode="#00">
                  <c:v>7</c:v>
                </c:pt>
                <c:pt idx="18" formatCode="#00">
                  <c:v>8</c:v>
                </c:pt>
                <c:pt idx="19" formatCode="#00">
                  <c:v>9</c:v>
                </c:pt>
                <c:pt idx="20">
                  <c:v>10</c:v>
                </c:pt>
                <c:pt idx="21">
                  <c:v>11</c:v>
                </c:pt>
                <c:pt idx="22">
                  <c:v>12</c:v>
                </c:pt>
              </c:numCache>
            </c:numRef>
          </c:cat>
          <c:val>
            <c:numRef>
              <c:f>'Figure 6.2'!$C$8:$Y$8</c:f>
              <c:numCache>
                <c:formatCode>#\ ##0</c:formatCode>
                <c:ptCount val="23"/>
                <c:pt idx="0">
                  <c:v>127.8652668416448</c:v>
                </c:pt>
                <c:pt idx="1">
                  <c:v>117.25721784776903</c:v>
                </c:pt>
                <c:pt idx="2">
                  <c:v>101.50918635170605</c:v>
                </c:pt>
                <c:pt idx="3">
                  <c:v>68.744531933508313</c:v>
                </c:pt>
                <c:pt idx="4">
                  <c:v>84.383202099737531</c:v>
                </c:pt>
                <c:pt idx="5">
                  <c:v>124.19072615923008</c:v>
                </c:pt>
                <c:pt idx="6">
                  <c:v>134.12073490813646</c:v>
                </c:pt>
                <c:pt idx="7">
                  <c:v>144.33508311461068</c:v>
                </c:pt>
                <c:pt idx="8">
                  <c:v>73.99387576552931</c:v>
                </c:pt>
                <c:pt idx="9">
                  <c:v>80.183727034120722</c:v>
                </c:pt>
                <c:pt idx="10">
                  <c:v>104.48381452318461</c:v>
                </c:pt>
                <c:pt idx="11">
                  <c:v>82.086614173228355</c:v>
                </c:pt>
                <c:pt idx="12">
                  <c:v>83.202099737532805</c:v>
                </c:pt>
                <c:pt idx="13">
                  <c:v>100</c:v>
                </c:pt>
                <c:pt idx="14">
                  <c:v>113.18897637795274</c:v>
                </c:pt>
                <c:pt idx="15">
                  <c:v>103.06211723534558</c:v>
                </c:pt>
                <c:pt idx="16">
                  <c:v>107.72090988626422</c:v>
                </c:pt>
                <c:pt idx="17">
                  <c:v>104.09011373578302</c:v>
                </c:pt>
                <c:pt idx="18">
                  <c:v>91.447944006999137</c:v>
                </c:pt>
                <c:pt idx="19">
                  <c:v>80.730533683289579</c:v>
                </c:pt>
                <c:pt idx="20">
                  <c:v>64.195100612423445</c:v>
                </c:pt>
                <c:pt idx="21">
                  <c:v>81.496062992125985</c:v>
                </c:pt>
                <c:pt idx="22">
                  <c:v>68.810148731408574</c:v>
                </c:pt>
              </c:numCache>
            </c:numRef>
          </c:val>
          <c:smooth val="0"/>
        </c:ser>
        <c:dLbls>
          <c:showLegendKey val="0"/>
          <c:showVal val="0"/>
          <c:showCatName val="0"/>
          <c:showSerName val="0"/>
          <c:showPercent val="0"/>
          <c:showBubbleSize val="0"/>
        </c:dLbls>
        <c:marker val="1"/>
        <c:smooth val="0"/>
        <c:axId val="193391616"/>
        <c:axId val="199774976"/>
      </c:lineChart>
      <c:catAx>
        <c:axId val="193391616"/>
        <c:scaling>
          <c:orientation val="minMax"/>
        </c:scaling>
        <c:delete val="0"/>
        <c:axPos val="b"/>
        <c:numFmt formatCode="General" sourceLinked="1"/>
        <c:majorTickMark val="out"/>
        <c:minorTickMark val="none"/>
        <c:tickLblPos val="nextTo"/>
        <c:spPr>
          <a:ln>
            <a:solidFill>
              <a:schemeClr val="tx1"/>
            </a:solidFill>
          </a:ln>
        </c:spPr>
        <c:crossAx val="199774976"/>
        <c:crosses val="autoZero"/>
        <c:auto val="1"/>
        <c:lblAlgn val="ctr"/>
        <c:lblOffset val="100"/>
        <c:tickLblSkip val="2"/>
        <c:tickMarkSkip val="2"/>
        <c:noMultiLvlLbl val="0"/>
      </c:catAx>
      <c:valAx>
        <c:axId val="199774976"/>
        <c:scaling>
          <c:orientation val="minMax"/>
        </c:scaling>
        <c:delete val="0"/>
        <c:axPos val="l"/>
        <c:majorGridlines/>
        <c:title>
          <c:tx>
            <c:rich>
              <a:bodyPr rot="-5400000" vert="horz"/>
              <a:lstStyle/>
              <a:p>
                <a:pPr>
                  <a:defRPr b="1"/>
                </a:pPr>
                <a:r>
                  <a:rPr lang="en-US" b="1"/>
                  <a:t>Index, 2002-03=100</a:t>
                </a:r>
              </a:p>
            </c:rich>
          </c:tx>
          <c:overlay val="0"/>
        </c:title>
        <c:numFmt formatCode="#\ ##0" sourceLinked="1"/>
        <c:majorTickMark val="out"/>
        <c:minorTickMark val="none"/>
        <c:tickLblPos val="nextTo"/>
        <c:spPr>
          <a:ln>
            <a:solidFill>
              <a:schemeClr val="tx1"/>
            </a:solidFill>
          </a:ln>
        </c:spPr>
        <c:crossAx val="193391616"/>
        <c:crosses val="autoZero"/>
        <c:crossBetween val="between"/>
      </c:valAx>
      <c:spPr>
        <a:ln>
          <a:solidFill>
            <a:schemeClr val="tx1"/>
          </a:solidFill>
        </a:ln>
      </c:spPr>
    </c:plotArea>
    <c:legend>
      <c:legendPos val="r"/>
      <c:layout>
        <c:manualLayout>
          <c:xMode val="edge"/>
          <c:yMode val="edge"/>
          <c:x val="0.19200869612876117"/>
          <c:y val="1.4297406372590523E-3"/>
          <c:w val="0.69291594588762795"/>
          <c:h val="0.14896452814977015"/>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276976641273302"/>
          <c:y val="0.26918676847097467"/>
          <c:w val="0.80621954278801744"/>
          <c:h val="0.6206607723994183"/>
        </c:manualLayout>
      </c:layout>
      <c:lineChart>
        <c:grouping val="standard"/>
        <c:varyColors val="0"/>
        <c:ser>
          <c:idx val="0"/>
          <c:order val="0"/>
          <c:tx>
            <c:strRef>
              <c:f>'Figure 6.2'!$B$9</c:f>
              <c:strCache>
                <c:ptCount val="1"/>
                <c:pt idx="0">
                  <c:v>Industrial mach. &amp; equip.</c:v>
                </c:pt>
              </c:strCache>
            </c:strRef>
          </c:tx>
          <c:spPr>
            <a:ln w="19050">
              <a:solidFill>
                <a:srgbClr val="344893"/>
              </a:solidFill>
            </a:ln>
          </c:spPr>
          <c:marker>
            <c:symbol val="none"/>
          </c:marker>
          <c:cat>
            <c:numRef>
              <c:f>'Figure 6.2'!$C$3:$Y$3</c:f>
              <c:numCache>
                <c:formatCode>General</c:formatCode>
                <c:ptCount val="23"/>
                <c:pt idx="0">
                  <c:v>90</c:v>
                </c:pt>
                <c:pt idx="1">
                  <c:v>91</c:v>
                </c:pt>
                <c:pt idx="2">
                  <c:v>92</c:v>
                </c:pt>
                <c:pt idx="3">
                  <c:v>93</c:v>
                </c:pt>
                <c:pt idx="4">
                  <c:v>94</c:v>
                </c:pt>
                <c:pt idx="5">
                  <c:v>95</c:v>
                </c:pt>
                <c:pt idx="6">
                  <c:v>96</c:v>
                </c:pt>
                <c:pt idx="7">
                  <c:v>97</c:v>
                </c:pt>
                <c:pt idx="8">
                  <c:v>98</c:v>
                </c:pt>
                <c:pt idx="9">
                  <c:v>99</c:v>
                </c:pt>
                <c:pt idx="10" formatCode="#00">
                  <c:v>0</c:v>
                </c:pt>
                <c:pt idx="11" formatCode="#00">
                  <c:v>1</c:v>
                </c:pt>
                <c:pt idx="12" formatCode="#00">
                  <c:v>2</c:v>
                </c:pt>
                <c:pt idx="13" formatCode="#00">
                  <c:v>3</c:v>
                </c:pt>
                <c:pt idx="14" formatCode="#00">
                  <c:v>4</c:v>
                </c:pt>
                <c:pt idx="15" formatCode="#00">
                  <c:v>5</c:v>
                </c:pt>
                <c:pt idx="16" formatCode="#00">
                  <c:v>6</c:v>
                </c:pt>
                <c:pt idx="17" formatCode="#00">
                  <c:v>7</c:v>
                </c:pt>
                <c:pt idx="18" formatCode="#00">
                  <c:v>8</c:v>
                </c:pt>
                <c:pt idx="19" formatCode="#00">
                  <c:v>9</c:v>
                </c:pt>
                <c:pt idx="20">
                  <c:v>10</c:v>
                </c:pt>
                <c:pt idx="21">
                  <c:v>11</c:v>
                </c:pt>
                <c:pt idx="22">
                  <c:v>12</c:v>
                </c:pt>
              </c:numCache>
            </c:numRef>
          </c:cat>
          <c:val>
            <c:numRef>
              <c:f>'Figure 6.2'!$C$9:$Y$9</c:f>
              <c:numCache>
                <c:formatCode>#\ ##0</c:formatCode>
                <c:ptCount val="23"/>
                <c:pt idx="0">
                  <c:v>77.022332506203469</c:v>
                </c:pt>
                <c:pt idx="1">
                  <c:v>59.851116625310169</c:v>
                </c:pt>
                <c:pt idx="2">
                  <c:v>52.803970223325052</c:v>
                </c:pt>
                <c:pt idx="3">
                  <c:v>36.178660049627794</c:v>
                </c:pt>
                <c:pt idx="4">
                  <c:v>49.87593052109181</c:v>
                </c:pt>
                <c:pt idx="5">
                  <c:v>73.002481389578165</c:v>
                </c:pt>
                <c:pt idx="6">
                  <c:v>73.945409429280389</c:v>
                </c:pt>
                <c:pt idx="7">
                  <c:v>67.543424317617863</c:v>
                </c:pt>
                <c:pt idx="8">
                  <c:v>54.640198511166247</c:v>
                </c:pt>
                <c:pt idx="9">
                  <c:v>41.736972704714638</c:v>
                </c:pt>
                <c:pt idx="10">
                  <c:v>78.858560794044664</c:v>
                </c:pt>
                <c:pt idx="11">
                  <c:v>74.789081885856078</c:v>
                </c:pt>
                <c:pt idx="12">
                  <c:v>75.732009925558316</c:v>
                </c:pt>
                <c:pt idx="13">
                  <c:v>100</c:v>
                </c:pt>
                <c:pt idx="14">
                  <c:v>105.45905707196029</c:v>
                </c:pt>
                <c:pt idx="15">
                  <c:v>99.50372208436724</c:v>
                </c:pt>
                <c:pt idx="16">
                  <c:v>125.31017369727046</c:v>
                </c:pt>
                <c:pt idx="17">
                  <c:v>145.01240694789081</c:v>
                </c:pt>
                <c:pt idx="18">
                  <c:v>135.48387096774192</c:v>
                </c:pt>
                <c:pt idx="19">
                  <c:v>121.3895781637717</c:v>
                </c:pt>
                <c:pt idx="20">
                  <c:v>95.781637717121583</c:v>
                </c:pt>
                <c:pt idx="21">
                  <c:v>162.38213399503721</c:v>
                </c:pt>
                <c:pt idx="22">
                  <c:v>128.4863523573201</c:v>
                </c:pt>
              </c:numCache>
            </c:numRef>
          </c:val>
          <c:smooth val="0"/>
        </c:ser>
        <c:ser>
          <c:idx val="1"/>
          <c:order val="1"/>
          <c:tx>
            <c:strRef>
              <c:f>'Figure 6.2'!$B$10</c:f>
              <c:strCache>
                <c:ptCount val="1"/>
                <c:pt idx="0">
                  <c:v>Other plant &amp; equip.</c:v>
                </c:pt>
              </c:strCache>
            </c:strRef>
          </c:tx>
          <c:spPr>
            <a:ln w="19050">
              <a:solidFill>
                <a:srgbClr val="B4C98B"/>
              </a:solidFill>
              <a:prstDash val="sysDash"/>
            </a:ln>
          </c:spPr>
          <c:marker>
            <c:symbol val="none"/>
          </c:marker>
          <c:cat>
            <c:numRef>
              <c:f>'Figure 6.2'!$C$3:$Y$3</c:f>
              <c:numCache>
                <c:formatCode>General</c:formatCode>
                <c:ptCount val="23"/>
                <c:pt idx="0">
                  <c:v>90</c:v>
                </c:pt>
                <c:pt idx="1">
                  <c:v>91</c:v>
                </c:pt>
                <c:pt idx="2">
                  <c:v>92</c:v>
                </c:pt>
                <c:pt idx="3">
                  <c:v>93</c:v>
                </c:pt>
                <c:pt idx="4">
                  <c:v>94</c:v>
                </c:pt>
                <c:pt idx="5">
                  <c:v>95</c:v>
                </c:pt>
                <c:pt idx="6">
                  <c:v>96</c:v>
                </c:pt>
                <c:pt idx="7">
                  <c:v>97</c:v>
                </c:pt>
                <c:pt idx="8">
                  <c:v>98</c:v>
                </c:pt>
                <c:pt idx="9">
                  <c:v>99</c:v>
                </c:pt>
                <c:pt idx="10" formatCode="#00">
                  <c:v>0</c:v>
                </c:pt>
                <c:pt idx="11" formatCode="#00">
                  <c:v>1</c:v>
                </c:pt>
                <c:pt idx="12" formatCode="#00">
                  <c:v>2</c:v>
                </c:pt>
                <c:pt idx="13" formatCode="#00">
                  <c:v>3</c:v>
                </c:pt>
                <c:pt idx="14" formatCode="#00">
                  <c:v>4</c:v>
                </c:pt>
                <c:pt idx="15" formatCode="#00">
                  <c:v>5</c:v>
                </c:pt>
                <c:pt idx="16" formatCode="#00">
                  <c:v>6</c:v>
                </c:pt>
                <c:pt idx="17" formatCode="#00">
                  <c:v>7</c:v>
                </c:pt>
                <c:pt idx="18" formatCode="#00">
                  <c:v>8</c:v>
                </c:pt>
                <c:pt idx="19" formatCode="#00">
                  <c:v>9</c:v>
                </c:pt>
                <c:pt idx="20">
                  <c:v>10</c:v>
                </c:pt>
                <c:pt idx="21">
                  <c:v>11</c:v>
                </c:pt>
                <c:pt idx="22">
                  <c:v>12</c:v>
                </c:pt>
              </c:numCache>
            </c:numRef>
          </c:cat>
          <c:val>
            <c:numRef>
              <c:f>'Figure 6.2'!$C$10:$Y$10</c:f>
              <c:numCache>
                <c:formatCode>#\ ##0</c:formatCode>
                <c:ptCount val="23"/>
                <c:pt idx="0">
                  <c:v>85.563041385948026</c:v>
                </c:pt>
                <c:pt idx="1">
                  <c:v>71.31857555341675</c:v>
                </c:pt>
                <c:pt idx="2">
                  <c:v>72.954764196342637</c:v>
                </c:pt>
                <c:pt idx="3">
                  <c:v>60.490856592877762</c:v>
                </c:pt>
                <c:pt idx="4">
                  <c:v>66.313763233878731</c:v>
                </c:pt>
                <c:pt idx="5">
                  <c:v>79.403272377285845</c:v>
                </c:pt>
                <c:pt idx="6">
                  <c:v>80.991337824831575</c:v>
                </c:pt>
                <c:pt idx="7">
                  <c:v>70.741097208854654</c:v>
                </c:pt>
                <c:pt idx="8">
                  <c:v>62.0307988450433</c:v>
                </c:pt>
                <c:pt idx="9">
                  <c:v>56.833493743984597</c:v>
                </c:pt>
                <c:pt idx="10">
                  <c:v>74.494706448508168</c:v>
                </c:pt>
                <c:pt idx="11">
                  <c:v>84.45620789220402</c:v>
                </c:pt>
                <c:pt idx="12">
                  <c:v>83.349374398460057</c:v>
                </c:pt>
                <c:pt idx="13">
                  <c:v>100</c:v>
                </c:pt>
                <c:pt idx="14">
                  <c:v>98.075072184793072</c:v>
                </c:pt>
                <c:pt idx="15">
                  <c:v>109.14340712223292</c:v>
                </c:pt>
                <c:pt idx="16">
                  <c:v>128.34456207892202</c:v>
                </c:pt>
                <c:pt idx="17">
                  <c:v>149.47064485081808</c:v>
                </c:pt>
                <c:pt idx="18">
                  <c:v>139.12415784408086</c:v>
                </c:pt>
                <c:pt idx="19">
                  <c:v>129.3070259865255</c:v>
                </c:pt>
                <c:pt idx="20">
                  <c:v>132.57940327237728</c:v>
                </c:pt>
                <c:pt idx="21">
                  <c:v>162.46390760346486</c:v>
                </c:pt>
                <c:pt idx="22">
                  <c:v>132.62752646775746</c:v>
                </c:pt>
              </c:numCache>
            </c:numRef>
          </c:val>
          <c:smooth val="0"/>
        </c:ser>
        <c:ser>
          <c:idx val="2"/>
          <c:order val="2"/>
          <c:tx>
            <c:strRef>
              <c:f>'Figure 6.2'!$B$11</c:f>
              <c:strCache>
                <c:ptCount val="1"/>
                <c:pt idx="0">
                  <c:v>Non-dwelling construct.</c:v>
                </c:pt>
              </c:strCache>
            </c:strRef>
          </c:tx>
          <c:spPr>
            <a:ln w="19050">
              <a:solidFill>
                <a:srgbClr val="7B905A"/>
              </a:solidFill>
              <a:prstDash val="dashDot"/>
            </a:ln>
          </c:spPr>
          <c:marker>
            <c:symbol val="none"/>
          </c:marker>
          <c:cat>
            <c:numRef>
              <c:f>'Figure 6.2'!$C$3:$Y$3</c:f>
              <c:numCache>
                <c:formatCode>General</c:formatCode>
                <c:ptCount val="23"/>
                <c:pt idx="0">
                  <c:v>90</c:v>
                </c:pt>
                <c:pt idx="1">
                  <c:v>91</c:v>
                </c:pt>
                <c:pt idx="2">
                  <c:v>92</c:v>
                </c:pt>
                <c:pt idx="3">
                  <c:v>93</c:v>
                </c:pt>
                <c:pt idx="4">
                  <c:v>94</c:v>
                </c:pt>
                <c:pt idx="5">
                  <c:v>95</c:v>
                </c:pt>
                <c:pt idx="6">
                  <c:v>96</c:v>
                </c:pt>
                <c:pt idx="7">
                  <c:v>97</c:v>
                </c:pt>
                <c:pt idx="8">
                  <c:v>98</c:v>
                </c:pt>
                <c:pt idx="9">
                  <c:v>99</c:v>
                </c:pt>
                <c:pt idx="10" formatCode="#00">
                  <c:v>0</c:v>
                </c:pt>
                <c:pt idx="11" formatCode="#00">
                  <c:v>1</c:v>
                </c:pt>
                <c:pt idx="12" formatCode="#00">
                  <c:v>2</c:v>
                </c:pt>
                <c:pt idx="13" formatCode="#00">
                  <c:v>3</c:v>
                </c:pt>
                <c:pt idx="14" formatCode="#00">
                  <c:v>4</c:v>
                </c:pt>
                <c:pt idx="15" formatCode="#00">
                  <c:v>5</c:v>
                </c:pt>
                <c:pt idx="16" formatCode="#00">
                  <c:v>6</c:v>
                </c:pt>
                <c:pt idx="17" formatCode="#00">
                  <c:v>7</c:v>
                </c:pt>
                <c:pt idx="18" formatCode="#00">
                  <c:v>8</c:v>
                </c:pt>
                <c:pt idx="19" formatCode="#00">
                  <c:v>9</c:v>
                </c:pt>
                <c:pt idx="20">
                  <c:v>10</c:v>
                </c:pt>
                <c:pt idx="21">
                  <c:v>11</c:v>
                </c:pt>
                <c:pt idx="22">
                  <c:v>12</c:v>
                </c:pt>
              </c:numCache>
            </c:numRef>
          </c:cat>
          <c:val>
            <c:numRef>
              <c:f>'Figure 6.2'!$C$11:$Y$11</c:f>
              <c:numCache>
                <c:formatCode>#\ ##0</c:formatCode>
                <c:ptCount val="23"/>
                <c:pt idx="0">
                  <c:v>116.16628175519629</c:v>
                </c:pt>
                <c:pt idx="1">
                  <c:v>134.64203233256353</c:v>
                </c:pt>
                <c:pt idx="2">
                  <c:v>162.12471131639722</c:v>
                </c:pt>
                <c:pt idx="3">
                  <c:v>125.17321016166282</c:v>
                </c:pt>
                <c:pt idx="4">
                  <c:v>92.725173210161657</c:v>
                </c:pt>
                <c:pt idx="5">
                  <c:v>83.718244803695143</c:v>
                </c:pt>
                <c:pt idx="6">
                  <c:v>103.46420323325634</c:v>
                </c:pt>
                <c:pt idx="7">
                  <c:v>94.226327944572759</c:v>
                </c:pt>
                <c:pt idx="8">
                  <c:v>94.803695150115487</c:v>
                </c:pt>
                <c:pt idx="9">
                  <c:v>94.110854503464211</c:v>
                </c:pt>
                <c:pt idx="10">
                  <c:v>95.150115473441119</c:v>
                </c:pt>
                <c:pt idx="11">
                  <c:v>131.29330254041571</c:v>
                </c:pt>
                <c:pt idx="12">
                  <c:v>125.40415704387991</c:v>
                </c:pt>
                <c:pt idx="13">
                  <c:v>100</c:v>
                </c:pt>
                <c:pt idx="14">
                  <c:v>69.399538106235568</c:v>
                </c:pt>
                <c:pt idx="15">
                  <c:v>139.26096997690533</c:v>
                </c:pt>
                <c:pt idx="16">
                  <c:v>235.33487297921482</c:v>
                </c:pt>
                <c:pt idx="17">
                  <c:v>200.46189376443419</c:v>
                </c:pt>
                <c:pt idx="18">
                  <c:v>202.54041570438798</c:v>
                </c:pt>
                <c:pt idx="19">
                  <c:v>263.16397228637413</c:v>
                </c:pt>
                <c:pt idx="20">
                  <c:v>197.92147806004621</c:v>
                </c:pt>
                <c:pt idx="21">
                  <c:v>235.33487297921482</c:v>
                </c:pt>
                <c:pt idx="22">
                  <c:v>213.74133949191685</c:v>
                </c:pt>
              </c:numCache>
            </c:numRef>
          </c:val>
          <c:smooth val="0"/>
        </c:ser>
        <c:dLbls>
          <c:showLegendKey val="0"/>
          <c:showVal val="0"/>
          <c:showCatName val="0"/>
          <c:showSerName val="0"/>
          <c:showPercent val="0"/>
          <c:showBubbleSize val="0"/>
        </c:dLbls>
        <c:marker val="1"/>
        <c:smooth val="0"/>
        <c:axId val="199798144"/>
        <c:axId val="199799936"/>
      </c:lineChart>
      <c:catAx>
        <c:axId val="199798144"/>
        <c:scaling>
          <c:orientation val="minMax"/>
        </c:scaling>
        <c:delete val="0"/>
        <c:axPos val="b"/>
        <c:numFmt formatCode="General" sourceLinked="1"/>
        <c:majorTickMark val="out"/>
        <c:minorTickMark val="none"/>
        <c:tickLblPos val="nextTo"/>
        <c:spPr>
          <a:ln>
            <a:solidFill>
              <a:schemeClr val="tx1"/>
            </a:solidFill>
          </a:ln>
        </c:spPr>
        <c:crossAx val="199799936"/>
        <c:crosses val="autoZero"/>
        <c:auto val="1"/>
        <c:lblAlgn val="ctr"/>
        <c:lblOffset val="100"/>
        <c:tickLblSkip val="2"/>
        <c:tickMarkSkip val="2"/>
        <c:noMultiLvlLbl val="0"/>
      </c:catAx>
      <c:valAx>
        <c:axId val="199799936"/>
        <c:scaling>
          <c:orientation val="minMax"/>
        </c:scaling>
        <c:delete val="0"/>
        <c:axPos val="l"/>
        <c:majorGridlines/>
        <c:title>
          <c:tx>
            <c:rich>
              <a:bodyPr rot="-5400000" vert="horz"/>
              <a:lstStyle/>
              <a:p>
                <a:pPr>
                  <a:defRPr b="1"/>
                </a:pPr>
                <a:r>
                  <a:rPr lang="en-US" b="1"/>
                  <a:t>Index, 2002-03=100</a:t>
                </a:r>
              </a:p>
            </c:rich>
          </c:tx>
          <c:overlay val="0"/>
        </c:title>
        <c:numFmt formatCode="#\ ##0" sourceLinked="1"/>
        <c:majorTickMark val="out"/>
        <c:minorTickMark val="none"/>
        <c:tickLblPos val="nextTo"/>
        <c:spPr>
          <a:ln>
            <a:solidFill>
              <a:schemeClr val="tx1"/>
            </a:solidFill>
          </a:ln>
        </c:spPr>
        <c:crossAx val="199798144"/>
        <c:crosses val="autoZero"/>
        <c:crossBetween val="between"/>
      </c:valAx>
      <c:spPr>
        <a:ln>
          <a:solidFill>
            <a:schemeClr val="tx1"/>
          </a:solidFill>
        </a:ln>
      </c:spPr>
    </c:plotArea>
    <c:legend>
      <c:legendPos val="r"/>
      <c:layout>
        <c:manualLayout>
          <c:xMode val="edge"/>
          <c:yMode val="edge"/>
          <c:x val="0.23933609806894787"/>
          <c:y val="3.3854573663676378E-3"/>
          <c:w val="0.62520377945522776"/>
          <c:h val="0.23927698150175958"/>
        </c:manualLayout>
      </c:layout>
      <c:overlay val="0"/>
    </c:legend>
    <c:plotVisOnly val="1"/>
    <c:dispBlanksAs val="gap"/>
    <c:showDLblsOverMax val="0"/>
  </c:chart>
  <c:spPr>
    <a:ln>
      <a:noFill/>
    </a:ln>
  </c:spPr>
  <c:txPr>
    <a:bodyPr/>
    <a:lstStyle/>
    <a:p>
      <a:pPr>
        <a:defRPr sz="800" baseline="0">
          <a:latin typeface="Arial" pitchFamily="34" charset="0"/>
        </a:defRPr>
      </a:pPr>
      <a:endParaRPr lang="en-US"/>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0.41346</cdr:x>
      <cdr:y>0.09099</cdr:y>
    </cdr:from>
    <cdr:to>
      <cdr:x>0.78024</cdr:x>
      <cdr:y>0.21071</cdr:y>
    </cdr:to>
    <cdr:sp macro="" textlink="">
      <cdr:nvSpPr>
        <cdr:cNvPr id="2" name="TextBox 1"/>
        <cdr:cNvSpPr txBox="1"/>
      </cdr:nvSpPr>
      <cdr:spPr>
        <a:xfrm xmlns:a="http://schemas.openxmlformats.org/drawingml/2006/main">
          <a:off x="1111624" y="170329"/>
          <a:ext cx="986117" cy="224118"/>
        </a:xfrm>
        <a:prstGeom xmlns:a="http://schemas.openxmlformats.org/drawingml/2006/main" prst="rect">
          <a:avLst/>
        </a:prstGeom>
      </cdr:spPr>
      <cdr:txBody>
        <a:bodyPr xmlns:a="http://schemas.openxmlformats.org/drawingml/2006/main" vertOverflow="clip" wrap="square" lIns="0" tIns="0" rIns="0" bIns="0" rtlCol="0"/>
        <a:lstStyle xmlns:a="http://schemas.openxmlformats.org/drawingml/2006/main"/>
        <a:p xmlns:a="http://schemas.openxmlformats.org/drawingml/2006/main">
          <a:pPr algn="ctr"/>
          <a:r>
            <a:rPr lang="en-AU" sz="900"/>
            <a:t>Resources sector</a:t>
          </a:r>
        </a:p>
      </cdr:txBody>
    </cdr:sp>
  </cdr:relSizeAnchor>
  <cdr:relSizeAnchor xmlns:cdr="http://schemas.openxmlformats.org/drawingml/2006/chartDrawing">
    <cdr:from>
      <cdr:x>0.63109</cdr:x>
      <cdr:y>0.45596</cdr:y>
    </cdr:from>
    <cdr:to>
      <cdr:x>0.93084</cdr:x>
      <cdr:y>0.61636</cdr:y>
    </cdr:to>
    <cdr:sp macro="" textlink="">
      <cdr:nvSpPr>
        <cdr:cNvPr id="4" name="TextBox 3"/>
        <cdr:cNvSpPr txBox="1"/>
      </cdr:nvSpPr>
      <cdr:spPr>
        <a:xfrm xmlns:a="http://schemas.openxmlformats.org/drawingml/2006/main">
          <a:off x="1696750" y="853545"/>
          <a:ext cx="805905" cy="300266"/>
        </a:xfrm>
        <a:prstGeom xmlns:a="http://schemas.openxmlformats.org/drawingml/2006/main" prst="rect">
          <a:avLst/>
        </a:prstGeom>
      </cdr:spPr>
      <cdr:txBody>
        <a:bodyPr xmlns:a="http://schemas.openxmlformats.org/drawingml/2006/main" vertOverflow="clip" wrap="square" lIns="0" tIns="0" rIns="0" bIns="0" rtlCol="0" anchor="ctr"/>
        <a:lstStyle xmlns:a="http://schemas.openxmlformats.org/drawingml/2006/main"/>
        <a:p xmlns:a="http://schemas.openxmlformats.org/drawingml/2006/main">
          <a:pPr algn="ctr"/>
          <a:r>
            <a:rPr lang="en-AU" sz="900"/>
            <a:t>Average</a:t>
          </a:r>
          <a:r>
            <a:rPr lang="en-AU" sz="900" baseline="0"/>
            <a:t> </a:t>
          </a:r>
          <a:br>
            <a:rPr lang="en-AU" sz="900" baseline="0"/>
          </a:br>
          <a:r>
            <a:rPr lang="en-AU" sz="900" baseline="0"/>
            <a:t>all industries</a:t>
          </a:r>
          <a:endParaRPr lang="en-AU" sz="900"/>
        </a:p>
      </cdr:txBody>
    </cdr:sp>
  </cdr:relSizeAnchor>
</c:userShapes>
</file>

<file path=word/drawings/drawing2.xml><?xml version="1.0" encoding="utf-8"?>
<c:userShapes xmlns:c="http://schemas.openxmlformats.org/drawingml/2006/chart">
  <cdr:relSizeAnchor xmlns:cdr="http://schemas.openxmlformats.org/drawingml/2006/chartDrawing">
    <cdr:from>
      <cdr:x>0.47793</cdr:x>
      <cdr:y>0.08956</cdr:y>
    </cdr:from>
    <cdr:to>
      <cdr:x>0.8474</cdr:x>
      <cdr:y>0.17719</cdr:y>
    </cdr:to>
    <cdr:sp macro="" textlink="">
      <cdr:nvSpPr>
        <cdr:cNvPr id="2" name="TextBox 1"/>
        <cdr:cNvSpPr txBox="1"/>
      </cdr:nvSpPr>
      <cdr:spPr>
        <a:xfrm xmlns:a="http://schemas.openxmlformats.org/drawingml/2006/main">
          <a:off x="1264024" y="167654"/>
          <a:ext cx="977152" cy="164040"/>
        </a:xfrm>
        <a:prstGeom xmlns:a="http://schemas.openxmlformats.org/drawingml/2006/main" prst="rect">
          <a:avLst/>
        </a:prstGeom>
      </cdr:spPr>
      <cdr:txBody>
        <a:bodyPr xmlns:a="http://schemas.openxmlformats.org/drawingml/2006/main" vertOverflow="clip" wrap="square" lIns="0" tIns="0" rIns="0" bIns="0" rtlCol="0"/>
        <a:lstStyle xmlns:a="http://schemas.openxmlformats.org/drawingml/2006/main"/>
        <a:p xmlns:a="http://schemas.openxmlformats.org/drawingml/2006/main">
          <a:pPr algn="ctr"/>
          <a:r>
            <a:rPr lang="en-AU" sz="900"/>
            <a:t>Resources sector</a:t>
          </a:r>
        </a:p>
      </cdr:txBody>
    </cdr:sp>
  </cdr:relSizeAnchor>
  <cdr:relSizeAnchor xmlns:cdr="http://schemas.openxmlformats.org/drawingml/2006/chartDrawing">
    <cdr:from>
      <cdr:x>0.62109</cdr:x>
      <cdr:y>0.45117</cdr:y>
    </cdr:from>
    <cdr:to>
      <cdr:x>0.92084</cdr:x>
      <cdr:y>0.61157</cdr:y>
    </cdr:to>
    <cdr:sp macro="" textlink="">
      <cdr:nvSpPr>
        <cdr:cNvPr id="4" name="TextBox 3"/>
        <cdr:cNvSpPr txBox="1"/>
      </cdr:nvSpPr>
      <cdr:spPr>
        <a:xfrm xmlns:a="http://schemas.openxmlformats.org/drawingml/2006/main">
          <a:off x="1793683" y="831978"/>
          <a:ext cx="865697" cy="295782"/>
        </a:xfrm>
        <a:prstGeom xmlns:a="http://schemas.openxmlformats.org/drawingml/2006/main" prst="rect">
          <a:avLst/>
        </a:prstGeom>
      </cdr:spPr>
      <cdr:txBody>
        <a:bodyPr xmlns:a="http://schemas.openxmlformats.org/drawingml/2006/main" vertOverflow="clip" wrap="square" lIns="0" tIns="0" rIns="0" bIns="0" rtlCol="0" anchor="ctr"/>
        <a:lstStyle xmlns:a="http://schemas.openxmlformats.org/drawingml/2006/main"/>
        <a:p xmlns:a="http://schemas.openxmlformats.org/drawingml/2006/main">
          <a:pPr algn="ctr"/>
          <a:r>
            <a:rPr lang="en-AU" sz="900"/>
            <a:t>Average</a:t>
          </a:r>
          <a:r>
            <a:rPr lang="en-AU" sz="900" baseline="0"/>
            <a:t> </a:t>
          </a:r>
          <a:br>
            <a:rPr lang="en-AU" sz="900" baseline="0"/>
          </a:br>
          <a:r>
            <a:rPr lang="en-AU" sz="900" baseline="0"/>
            <a:t>all industries</a:t>
          </a:r>
          <a:endParaRPr lang="en-AU" sz="9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79DC4-2078-4F9C-ACE3-F84C5C15715A}">
  <ds:schemaRefs>
    <ds:schemaRef ds:uri="http://schemas.openxmlformats.org/officeDocument/2006/bibliography"/>
  </ds:schemaRefs>
</ds:datastoreItem>
</file>

<file path=customXml/itemProps2.xml><?xml version="1.0" encoding="utf-8"?>
<ds:datastoreItem xmlns:ds="http://schemas.openxmlformats.org/officeDocument/2006/customXml" ds:itemID="{121CD90E-B31B-4F5A-9B27-34C24CE6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28</Pages>
  <Words>8709</Words>
  <Characters>47552</Characters>
  <Application>Microsoft Office Word</Application>
  <DocSecurity>0</DocSecurity>
  <Lines>914</Lines>
  <Paragraphs>284</Paragraphs>
  <ScaleCrop>false</ScaleCrop>
  <HeadingPairs>
    <vt:vector size="2" baseType="variant">
      <vt:variant>
        <vt:lpstr>Title</vt:lpstr>
      </vt:variant>
      <vt:variant>
        <vt:i4>1</vt:i4>
      </vt:variant>
    </vt:vector>
  </HeadingPairs>
  <TitlesOfParts>
    <vt:vector size="1" baseType="lpstr">
      <vt:lpstr>Resources: a case study</vt:lpstr>
    </vt:vector>
  </TitlesOfParts>
  <Company>Productivity Commission</Company>
  <LinksUpToDate>false</LinksUpToDate>
  <CharactersWithSpaces>55977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Resources: a case study</dc:title>
  <dc:subject>Looking back on structural change</dc:subject>
  <dc:creator>Productivity Commission</dc:creator>
  <dc:description>6.</dc:description>
  <cp:lastModifiedBy>Productivity Commission</cp:lastModifiedBy>
  <cp:revision>2</cp:revision>
  <cp:lastPrinted>2013-10-07T23:36:00Z</cp:lastPrinted>
  <dcterms:created xsi:type="dcterms:W3CDTF">2013-10-08T23:43:00Z</dcterms:created>
  <dcterms:modified xsi:type="dcterms:W3CDTF">2013-10-08T23:43:00Z</dcterms:modified>
</cp:coreProperties>
</file>