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theme/themeOverride11.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theme/themeOverride12.xml" ContentType="application/vnd.openxmlformats-officedocument.themeOverride+xml"/>
  <Override PartName="/word/charts/chart17.xml" ContentType="application/vnd.openxmlformats-officedocument.drawingml.chart+xml"/>
  <Override PartName="/word/theme/themeOverride13.xml" ContentType="application/vnd.openxmlformats-officedocument.themeOverride+xml"/>
  <Override PartName="/word/charts/chart18.xml" ContentType="application/vnd.openxmlformats-officedocument.drawingml.chart+xml"/>
  <Override PartName="/word/theme/themeOverride14.xml" ContentType="application/vnd.openxmlformats-officedocument.themeOverride+xml"/>
  <Override PartName="/word/charts/chart19.xml" ContentType="application/vnd.openxmlformats-officedocument.drawingml.chart+xml"/>
  <Override PartName="/word/theme/themeOverride15.xml" ContentType="application/vnd.openxmlformats-officedocument.themeOverride+xml"/>
  <Override PartName="/word/charts/chart20.xml" ContentType="application/vnd.openxmlformats-officedocument.drawingml.chart+xml"/>
  <Override PartName="/word/theme/themeOverride16.xml" ContentType="application/vnd.openxmlformats-officedocument.themeOverride+xml"/>
  <Override PartName="/word/charts/chart21.xml" ContentType="application/vnd.openxmlformats-officedocument.drawingml.chart+xml"/>
  <Override PartName="/word/theme/themeOverride17.xml" ContentType="application/vnd.openxmlformats-officedocument.themeOverride+xml"/>
  <Override PartName="/word/charts/chart22.xml" ContentType="application/vnd.openxmlformats-officedocument.drawingml.chart+xml"/>
  <Override PartName="/word/theme/themeOverride1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51" w:rsidRPr="004A7B04" w:rsidRDefault="003753D7" w:rsidP="00166651">
      <w:pPr>
        <w:pStyle w:val="Heading1"/>
        <w:spacing w:before="0"/>
      </w:pPr>
      <w:bookmarkStart w:id="0" w:name="ChapterNumber"/>
      <w:bookmarkStart w:id="1" w:name="_GoBack"/>
      <w:bookmarkEnd w:id="1"/>
      <w:r>
        <w:t>5</w:t>
      </w:r>
      <w:bookmarkEnd w:id="0"/>
      <w:r>
        <w:tab/>
      </w:r>
      <w:bookmarkStart w:id="2" w:name="ChapterTitle"/>
      <w:r>
        <w:t>Some underlying trends in labour adjustment</w:t>
      </w:r>
      <w:bookmarkEnd w:id="2"/>
    </w:p>
    <w:p w:rsidR="007428E5" w:rsidRDefault="007428E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28E5">
        <w:tc>
          <w:tcPr>
            <w:tcW w:w="8771" w:type="dxa"/>
            <w:tcBorders>
              <w:top w:val="single" w:sz="6" w:space="0" w:color="auto"/>
              <w:bottom w:val="nil"/>
            </w:tcBorders>
          </w:tcPr>
          <w:p w:rsidR="007428E5" w:rsidRDefault="007428E5">
            <w:pPr>
              <w:pStyle w:val="BoxTitle"/>
            </w:pPr>
            <w:r w:rsidRPr="00C30060">
              <w:t>Key points</w:t>
            </w:r>
          </w:p>
        </w:tc>
      </w:tr>
      <w:tr w:rsidR="007428E5">
        <w:trPr>
          <w:cantSplit/>
        </w:trPr>
        <w:tc>
          <w:tcPr>
            <w:tcW w:w="8771" w:type="dxa"/>
            <w:tcBorders>
              <w:top w:val="nil"/>
              <w:left w:val="single" w:sz="6" w:space="0" w:color="auto"/>
              <w:bottom w:val="nil"/>
              <w:right w:val="single" w:sz="6" w:space="0" w:color="auto"/>
            </w:tcBorders>
          </w:tcPr>
          <w:p w:rsidR="007428E5" w:rsidRDefault="007428E5" w:rsidP="007428E5">
            <w:pPr>
              <w:pStyle w:val="BoxListBullet"/>
            </w:pPr>
            <w:r>
              <w:t>During any given period</w:t>
            </w:r>
            <w:r w:rsidRPr="004A7B04">
              <w:t xml:space="preserve">, </w:t>
            </w:r>
            <w:r>
              <w:t xml:space="preserve">some people </w:t>
            </w:r>
            <w:r w:rsidRPr="004A7B04">
              <w:t xml:space="preserve">move into or out of the workforce, or </w:t>
            </w:r>
            <w:r>
              <w:t>change</w:t>
            </w:r>
            <w:r w:rsidRPr="004A7B04">
              <w:t xml:space="preserve"> industries, occupations</w:t>
            </w:r>
            <w:r>
              <w:t xml:space="preserve"> and/or locations.</w:t>
            </w:r>
            <w:r w:rsidRPr="004A7B04">
              <w:t xml:space="preserve"> </w:t>
            </w:r>
            <w:r>
              <w:t>S</w:t>
            </w:r>
            <w:r w:rsidRPr="004A7B04">
              <w:t>hifts in the sectoral composition of th</w:t>
            </w:r>
            <w:r>
              <w:t>e economy are one of many reasons people change jobs.</w:t>
            </w:r>
          </w:p>
          <w:p w:rsidR="007428E5" w:rsidRDefault="007428E5" w:rsidP="007428E5">
            <w:pPr>
              <w:pStyle w:val="BoxListBullet"/>
            </w:pPr>
            <w:r w:rsidRPr="004A7B04">
              <w:t xml:space="preserve">In the past decade, </w:t>
            </w:r>
            <w:r>
              <w:t xml:space="preserve">gross </w:t>
            </w:r>
            <w:r w:rsidRPr="004A7B04">
              <w:t xml:space="preserve">labour flows have largely been consistent with the </w:t>
            </w:r>
            <w:r>
              <w:t>long</w:t>
            </w:r>
            <w:r>
              <w:noBreakHyphen/>
              <w:t>standing</w:t>
            </w:r>
            <w:r w:rsidRPr="004A7B04">
              <w:t xml:space="preserve"> sectoral shifts </w:t>
            </w:r>
            <w:r>
              <w:t>observed</w:t>
            </w:r>
            <w:r w:rsidRPr="004A7B04">
              <w:t xml:space="preserve"> in the </w:t>
            </w:r>
            <w:r>
              <w:t xml:space="preserve">workforce composition of the </w:t>
            </w:r>
            <w:r w:rsidRPr="004A7B04">
              <w:t xml:space="preserve">Australian economy. </w:t>
            </w:r>
          </w:p>
          <w:p w:rsidR="007428E5" w:rsidRDefault="007428E5" w:rsidP="007428E5">
            <w:pPr>
              <w:pStyle w:val="BoxListBullet2"/>
              <w:numPr>
                <w:ilvl w:val="0"/>
                <w:numId w:val="2"/>
              </w:numPr>
            </w:pPr>
            <w:r>
              <w:t>The slowest</w:t>
            </w:r>
            <w:r>
              <w:noBreakHyphen/>
              <w:t>growing sectors in terms of employment, a</w:t>
            </w:r>
            <w:r w:rsidRPr="004A7B04">
              <w:t>griculture and manufacturing</w:t>
            </w:r>
            <w:r>
              <w:t>,</w:t>
            </w:r>
            <w:r w:rsidRPr="004A7B04">
              <w:t xml:space="preserve"> have been shedding proportionally more workers a</w:t>
            </w:r>
            <w:r>
              <w:t>nd attracting fewer new workers. Meanwhile,</w:t>
            </w:r>
            <w:r w:rsidRPr="004A7B04">
              <w:t xml:space="preserve"> </w:t>
            </w:r>
            <w:r>
              <w:t xml:space="preserve">most </w:t>
            </w:r>
            <w:r w:rsidRPr="004A7B04">
              <w:t xml:space="preserve">new and existing workers </w:t>
            </w:r>
            <w:r>
              <w:t>gravitated</w:t>
            </w:r>
            <w:r w:rsidRPr="004A7B04">
              <w:t xml:space="preserve"> towards </w:t>
            </w:r>
            <w:r>
              <w:t>the rapidly</w:t>
            </w:r>
            <w:r>
              <w:noBreakHyphen/>
              <w:t xml:space="preserve">expanding </w:t>
            </w:r>
            <w:r w:rsidRPr="004A7B04">
              <w:t>services</w:t>
            </w:r>
            <w:r>
              <w:t xml:space="preserve"> sector (which includes Professional, scientific and technical services and Health care and social assistance)</w:t>
            </w:r>
            <w:r w:rsidRPr="004A7B04">
              <w:t>.</w:t>
            </w:r>
          </w:p>
          <w:p w:rsidR="007428E5" w:rsidRDefault="007428E5" w:rsidP="007428E5">
            <w:pPr>
              <w:pStyle w:val="BoxListBullet"/>
            </w:pPr>
            <w:r>
              <w:t>Aspects of work have changed in ways that reflect structural change.</w:t>
            </w:r>
            <w:r w:rsidRPr="004A7B04">
              <w:t xml:space="preserve"> </w:t>
            </w:r>
            <w:r>
              <w:t>Compared to the early 2000s, employers are:</w:t>
            </w:r>
          </w:p>
          <w:p w:rsidR="007428E5" w:rsidRDefault="007428E5" w:rsidP="007428E5">
            <w:pPr>
              <w:pStyle w:val="BoxListBullet2"/>
              <w:numPr>
                <w:ilvl w:val="0"/>
                <w:numId w:val="2"/>
              </w:numPr>
            </w:pPr>
            <w:r>
              <w:t xml:space="preserve">requiring </w:t>
            </w:r>
            <w:r w:rsidRPr="004A7B04">
              <w:t>work</w:t>
            </w:r>
            <w:r>
              <w:t>ers to have higher skills and qualifications</w:t>
            </w:r>
          </w:p>
          <w:p w:rsidR="007428E5" w:rsidRDefault="007428E5" w:rsidP="007428E5">
            <w:pPr>
              <w:pStyle w:val="BoxListBullet2"/>
              <w:numPr>
                <w:ilvl w:val="0"/>
                <w:numId w:val="2"/>
              </w:numPr>
              <w:rPr>
                <w:szCs w:val="24"/>
              </w:rPr>
            </w:pPr>
            <w:r>
              <w:t>adopting non-traditional modes of employment more widely</w:t>
            </w:r>
          </w:p>
          <w:p w:rsidR="007428E5" w:rsidRDefault="007428E5" w:rsidP="007428E5">
            <w:pPr>
              <w:pStyle w:val="BoxListBullet2"/>
              <w:numPr>
                <w:ilvl w:val="0"/>
                <w:numId w:val="2"/>
              </w:numPr>
              <w:rPr>
                <w:szCs w:val="24"/>
              </w:rPr>
            </w:pPr>
            <w:r>
              <w:t xml:space="preserve">increasingly negotiating wages at the level of the workplace. </w:t>
            </w:r>
          </w:p>
          <w:p w:rsidR="007428E5" w:rsidRDefault="007428E5" w:rsidP="007428E5">
            <w:pPr>
              <w:pStyle w:val="BoxListBullet"/>
              <w:rPr>
                <w:szCs w:val="24"/>
              </w:rPr>
            </w:pPr>
            <w:r>
              <w:t>These features are generally more prevalent among the fastest</w:t>
            </w:r>
            <w:r>
              <w:noBreakHyphen/>
              <w:t>growing sectors. This suggests that such features have not impeded and may have facilitated their expansion and, therefore, facilitated structural adjustment.</w:t>
            </w:r>
          </w:p>
          <w:p w:rsidR="007428E5" w:rsidRDefault="007428E5" w:rsidP="007428E5">
            <w:pPr>
              <w:pStyle w:val="BoxListBullet"/>
            </w:pPr>
            <w:r>
              <w:t xml:space="preserve">The process of structural adjustment relies on workers responding to various signals from the labour market that indicate </w:t>
            </w:r>
            <w:r w:rsidRPr="004A7B04">
              <w:t xml:space="preserve">where </w:t>
            </w:r>
            <w:r>
              <w:t>the demand for labour is strongest and, as a result, give them an incentive to move.</w:t>
            </w:r>
          </w:p>
          <w:p w:rsidR="007428E5" w:rsidRDefault="007428E5" w:rsidP="007428E5">
            <w:pPr>
              <w:pStyle w:val="BoxListBullet2"/>
              <w:numPr>
                <w:ilvl w:val="0"/>
                <w:numId w:val="2"/>
              </w:numPr>
            </w:pPr>
            <w:r>
              <w:t>Among these signals, relatively higher j</w:t>
            </w:r>
            <w:r w:rsidRPr="004A7B04">
              <w:t>ob vacancies</w:t>
            </w:r>
            <w:r>
              <w:t>, lower redundancies, higher wage levels and stronger wage growth have generally been exhibited by the fastest</w:t>
            </w:r>
            <w:r>
              <w:noBreakHyphen/>
              <w:t>growing sectors, particularly mining</w:t>
            </w:r>
            <w:r w:rsidRPr="004A7B04">
              <w:t>.</w:t>
            </w:r>
          </w:p>
          <w:p w:rsidR="007428E5" w:rsidRDefault="007428E5" w:rsidP="007428E5">
            <w:pPr>
              <w:pStyle w:val="BoxListBullet2"/>
            </w:pPr>
            <w:r>
              <w:t>The overall shift towards more decentralised, enterprise-level wage</w:t>
            </w:r>
            <w:r>
              <w:noBreakHyphen/>
              <w:t>setting mechanisms appears to have aided the structural adjustment process, as clearer signals can be conveyed to workers about where their labour is in greater demand.</w:t>
            </w:r>
          </w:p>
        </w:tc>
      </w:tr>
      <w:tr w:rsidR="007428E5">
        <w:trPr>
          <w:cantSplit/>
        </w:trPr>
        <w:tc>
          <w:tcPr>
            <w:tcW w:w="8771" w:type="dxa"/>
            <w:tcBorders>
              <w:top w:val="nil"/>
              <w:left w:val="single" w:sz="6" w:space="0" w:color="auto"/>
              <w:bottom w:val="single" w:sz="6" w:space="0" w:color="auto"/>
              <w:right w:val="single" w:sz="6" w:space="0" w:color="auto"/>
            </w:tcBorders>
          </w:tcPr>
          <w:p w:rsidR="007428E5" w:rsidRDefault="007428E5">
            <w:pPr>
              <w:pStyle w:val="Box"/>
              <w:spacing w:before="0" w:line="120" w:lineRule="exact"/>
            </w:pPr>
          </w:p>
        </w:tc>
      </w:tr>
      <w:tr w:rsidR="007428E5" w:rsidRPr="000863A5">
        <w:tc>
          <w:tcPr>
            <w:tcW w:w="8771" w:type="dxa"/>
            <w:tcBorders>
              <w:top w:val="nil"/>
              <w:left w:val="nil"/>
              <w:bottom w:val="nil"/>
              <w:right w:val="nil"/>
            </w:tcBorders>
          </w:tcPr>
          <w:p w:rsidR="007428E5" w:rsidRPr="00626D32" w:rsidRDefault="007428E5" w:rsidP="00537BB4">
            <w:pPr>
              <w:pStyle w:val="BoxSpaceBelow"/>
            </w:pPr>
          </w:p>
        </w:tc>
      </w:tr>
    </w:tbl>
    <w:p w:rsidR="00166651" w:rsidRDefault="00166651" w:rsidP="00166651">
      <w:pPr>
        <w:pStyle w:val="BodyText"/>
      </w:pPr>
      <w:r>
        <w:t xml:space="preserve">Earlier chapters of this </w:t>
      </w:r>
      <w:r w:rsidR="00180A63">
        <w:t>supplement</w:t>
      </w:r>
      <w:r>
        <w:t xml:space="preserve"> (chapters 2 and 3) </w:t>
      </w:r>
      <w:r w:rsidRPr="00C30060">
        <w:t xml:space="preserve">looked at how </w:t>
      </w:r>
      <w:r>
        <w:t>drivers</w:t>
      </w:r>
      <w:r w:rsidRPr="00C30060">
        <w:t xml:space="preserve"> of structural change have</w:t>
      </w:r>
      <w:r>
        <w:t>, over time,</w:t>
      </w:r>
      <w:r w:rsidRPr="00C30060">
        <w:t xml:space="preserve"> </w:t>
      </w:r>
      <w:r>
        <w:t>altered</w:t>
      </w:r>
      <w:r w:rsidRPr="00C30060">
        <w:t xml:space="preserve"> the type of goods and s</w:t>
      </w:r>
      <w:r>
        <w:t xml:space="preserve">ervices demanded </w:t>
      </w:r>
      <w:r>
        <w:lastRenderedPageBreak/>
        <w:t>in the economy and the way in which they are produced</w:t>
      </w:r>
      <w:r w:rsidRPr="00C30060">
        <w:t xml:space="preserve">. </w:t>
      </w:r>
      <w:r>
        <w:t>These drivers have, consequently, also altered the demand for, as well as the supply of, labour. This has resulted in changes in the distribution of workers across different industries and locations, as was profiled in chapter 4. Underlying these observed</w:t>
      </w:r>
      <w:r w:rsidRPr="009E3870">
        <w:t xml:space="preserve"> changes</w:t>
      </w:r>
      <w:r>
        <w:t xml:space="preserve">, </w:t>
      </w:r>
      <w:r w:rsidRPr="009E3870">
        <w:t>a multitude of adjustment mechanisms</w:t>
      </w:r>
      <w:r>
        <w:t xml:space="preserve"> guide and facilitate the reallocation of labour within the workforce.</w:t>
      </w:r>
      <w:r w:rsidRPr="009E3870">
        <w:t xml:space="preserve"> This chapter presents a range of indicators </w:t>
      </w:r>
      <w:r>
        <w:t>that illustrate</w:t>
      </w:r>
      <w:r w:rsidRPr="009E3870">
        <w:t xml:space="preserve"> how workers</w:t>
      </w:r>
      <w:r>
        <w:t>, in response to pressures for change, have made adjustments</w:t>
      </w:r>
      <w:r w:rsidRPr="009E3870">
        <w:t xml:space="preserve"> </w:t>
      </w:r>
      <w:r>
        <w:t xml:space="preserve">to their engagement with the labour market </w:t>
      </w:r>
      <w:r w:rsidRPr="009E3870">
        <w:t>throughout the past decade.</w:t>
      </w:r>
      <w:r w:rsidRPr="001C0308">
        <w:t xml:space="preserve"> </w:t>
      </w:r>
    </w:p>
    <w:p w:rsidR="00166651" w:rsidRDefault="00166651" w:rsidP="00166651">
      <w:pPr>
        <w:pStyle w:val="BodyText"/>
      </w:pPr>
      <w:r>
        <w:t>S</w:t>
      </w:r>
      <w:r w:rsidRPr="00C30060">
        <w:t>ection</w:t>
      </w:r>
      <w:r>
        <w:t> </w:t>
      </w:r>
      <w:r w:rsidRPr="00C30060">
        <w:t xml:space="preserve">5.1 describes the extent to which workers have been </w:t>
      </w:r>
      <w:r>
        <w:t>changing</w:t>
      </w:r>
      <w:r w:rsidRPr="00C30060">
        <w:t xml:space="preserve"> </w:t>
      </w:r>
      <w:r>
        <w:t>their sector,</w:t>
      </w:r>
      <w:r w:rsidRPr="00C30060">
        <w:t xml:space="preserve"> </w:t>
      </w:r>
      <w:r>
        <w:t xml:space="preserve">occupation and </w:t>
      </w:r>
      <w:r w:rsidRPr="00C30060">
        <w:t>geographic location</w:t>
      </w:r>
      <w:r>
        <w:t xml:space="preserve"> of employment</w:t>
      </w:r>
      <w:r w:rsidRPr="00C30060">
        <w:t>. Section</w:t>
      </w:r>
      <w:r>
        <w:t> </w:t>
      </w:r>
      <w:r w:rsidRPr="00C30060">
        <w:t xml:space="preserve">5.2 discusses some of the ways in which the nature of work </w:t>
      </w:r>
      <w:r>
        <w:t xml:space="preserve">(including </w:t>
      </w:r>
      <w:r w:rsidRPr="00C30060">
        <w:t xml:space="preserve">work arrangements and </w:t>
      </w:r>
      <w:r>
        <w:t>wage</w:t>
      </w:r>
      <w:r>
        <w:noBreakHyphen/>
        <w:t>setting mechanisms)</w:t>
      </w:r>
      <w:r w:rsidRPr="00C30060">
        <w:t xml:space="preserve"> has changed over time, and how these changes not only reflect the process of structural adjustment, but </w:t>
      </w:r>
      <w:r>
        <w:t xml:space="preserve">might </w:t>
      </w:r>
      <w:r w:rsidRPr="00C30060">
        <w:t xml:space="preserve">also </w:t>
      </w:r>
      <w:r w:rsidR="001A6F31">
        <w:t>have</w:t>
      </w:r>
      <w:r w:rsidR="001A6F31" w:rsidRPr="00C30060">
        <w:t xml:space="preserve"> </w:t>
      </w:r>
      <w:r w:rsidRPr="00C30060">
        <w:t>facilitate</w:t>
      </w:r>
      <w:r w:rsidR="001A6F31">
        <w:t>d</w:t>
      </w:r>
      <w:r w:rsidRPr="00C30060">
        <w:t xml:space="preserve"> it. </w:t>
      </w:r>
      <w:r>
        <w:t>Since</w:t>
      </w:r>
      <w:r w:rsidRPr="00C30060">
        <w:t xml:space="preserve"> structural adjustment involves workers responding to </w:t>
      </w:r>
      <w:r>
        <w:t>signals</w:t>
      </w:r>
      <w:r w:rsidRPr="00C30060">
        <w:t xml:space="preserve"> </w:t>
      </w:r>
      <w:r>
        <w:t>from the labour market to move</w:t>
      </w:r>
      <w:r w:rsidRPr="00C30060">
        <w:t xml:space="preserve"> to those p</w:t>
      </w:r>
      <w:r>
        <w:t>arts of the economy where they are most highly valued,</w:t>
      </w:r>
      <w:r w:rsidRPr="00C30060">
        <w:t xml:space="preserve"> section</w:t>
      </w:r>
      <w:r>
        <w:t> </w:t>
      </w:r>
      <w:r w:rsidRPr="00C30060">
        <w:t xml:space="preserve">5.3 </w:t>
      </w:r>
      <w:r>
        <w:t>examines</w:t>
      </w:r>
      <w:r w:rsidRPr="00C30060">
        <w:t xml:space="preserve"> some of the </w:t>
      </w:r>
      <w:r>
        <w:t>signals that motivate workers to adjust.</w:t>
      </w:r>
      <w:r w:rsidRPr="00C30060">
        <w:t xml:space="preserve"> </w:t>
      </w:r>
    </w:p>
    <w:p w:rsidR="00166651" w:rsidRDefault="00166651" w:rsidP="00166651">
      <w:pPr>
        <w:pStyle w:val="BodyText"/>
      </w:pPr>
      <w:r>
        <w:t>Throughout this discussion, it is recognised that</w:t>
      </w:r>
      <w:r w:rsidRPr="009E3870">
        <w:t xml:space="preserve"> </w:t>
      </w:r>
      <w:r>
        <w:t xml:space="preserve">while </w:t>
      </w:r>
      <w:r w:rsidRPr="009E3870">
        <w:t xml:space="preserve">labour market outcomes </w:t>
      </w:r>
      <w:r w:rsidR="001A6F31">
        <w:t>reflect</w:t>
      </w:r>
      <w:r w:rsidRPr="009E3870">
        <w:t xml:space="preserve"> the interplay of supply and demand,</w:t>
      </w:r>
      <w:r>
        <w:t xml:space="preserve"> they are also affected</w:t>
      </w:r>
      <w:r w:rsidRPr="009E3870">
        <w:t xml:space="preserve"> by </w:t>
      </w:r>
      <w:r>
        <w:t xml:space="preserve">broader </w:t>
      </w:r>
      <w:r w:rsidRPr="009E3870">
        <w:t>in</w:t>
      </w:r>
      <w:r>
        <w:t>stitutional and policy settings</w:t>
      </w:r>
      <w:r w:rsidRPr="009E3870">
        <w:t>.</w:t>
      </w:r>
      <w:r>
        <w:t xml:space="preserve"> Given the multitude of factors at play, the labour market’s adjustment to structural change does not necessarily transpire instantly or smoothly, and </w:t>
      </w:r>
      <w:r w:rsidRPr="00C30060">
        <w:t xml:space="preserve">some </w:t>
      </w:r>
      <w:r>
        <w:t>of the potential</w:t>
      </w:r>
      <w:r w:rsidRPr="00C30060">
        <w:t xml:space="preserve"> barriers to </w:t>
      </w:r>
      <w:r>
        <w:t xml:space="preserve">the </w:t>
      </w:r>
      <w:r w:rsidRPr="00C30060">
        <w:t>process</w:t>
      </w:r>
      <w:r>
        <w:t xml:space="preserve"> are </w:t>
      </w:r>
      <w:r w:rsidR="001A6F31">
        <w:t>noted</w:t>
      </w:r>
      <w:r w:rsidRPr="00C30060">
        <w:t>.</w:t>
      </w:r>
      <w:r>
        <w:t xml:space="preserve"> </w:t>
      </w:r>
    </w:p>
    <w:p w:rsidR="00166651" w:rsidRDefault="00166651" w:rsidP="00166651">
      <w:pPr>
        <w:pStyle w:val="BodyText"/>
      </w:pPr>
      <w:r>
        <w:t xml:space="preserve">Most of </w:t>
      </w:r>
      <w:r w:rsidR="001A6F31">
        <w:t xml:space="preserve">the analysis in this </w:t>
      </w:r>
      <w:r>
        <w:t xml:space="preserve">chapter centres on changes observed in the labour market during the decade to 2010. This is due to </w:t>
      </w:r>
      <w:r w:rsidR="00AB36AF">
        <w:t>a</w:t>
      </w:r>
      <w:r>
        <w:t xml:space="preserve"> reliance on detailed individual</w:t>
      </w:r>
      <w:r w:rsidR="00CE2244">
        <w:noBreakHyphen/>
      </w:r>
      <w:r>
        <w:t>level data, only available from the Household, Income and Labour Dynamics in Australia (HILDA) survey.</w:t>
      </w:r>
      <w:r>
        <w:rPr>
          <w:rStyle w:val="FootnoteReference"/>
        </w:rPr>
        <w:footnoteReference w:id="1"/>
      </w:r>
      <w:r>
        <w:t xml:space="preserve"> Although this period overlaps </w:t>
      </w:r>
      <w:r w:rsidR="00AB36AF">
        <w:t>inexac</w:t>
      </w:r>
      <w:r>
        <w:t>tly with the 2002–2012 focus of this supplement, it nonetheless captures structural adjustment that accompanied the natural resources boom, as well as that associated with the Global Financial Crisis (GFC).</w:t>
      </w:r>
    </w:p>
    <w:p w:rsidR="00C35ECD" w:rsidRPr="00C35ECD" w:rsidRDefault="003753D7" w:rsidP="00AF123F">
      <w:pPr>
        <w:pStyle w:val="Heading2"/>
      </w:pPr>
      <w:bookmarkStart w:id="3" w:name="begin"/>
      <w:bookmarkStart w:id="4" w:name="_Toc328470215"/>
      <w:bookmarkStart w:id="5" w:name="_Toc330368698"/>
      <w:bookmarkStart w:id="6" w:name="_Toc331405009"/>
      <w:bookmarkStart w:id="7" w:name="_Toc331491052"/>
      <w:bookmarkEnd w:id="3"/>
      <w:r>
        <w:t>5.</w:t>
      </w:r>
      <w:r w:rsidR="00FB66BF">
        <w:rPr>
          <w:noProof/>
        </w:rPr>
        <w:t>1</w:t>
      </w:r>
      <w:r w:rsidR="00C35ECD" w:rsidRPr="00C35ECD">
        <w:tab/>
      </w:r>
      <w:r w:rsidR="00C35ECD">
        <w:t>Indicators of labour mobility</w:t>
      </w:r>
    </w:p>
    <w:bookmarkEnd w:id="4"/>
    <w:bookmarkEnd w:id="5"/>
    <w:bookmarkEnd w:id="6"/>
    <w:bookmarkEnd w:id="7"/>
    <w:p w:rsidR="004A7B04" w:rsidRPr="004A7B04" w:rsidRDefault="00102627" w:rsidP="000B4940">
      <w:pPr>
        <w:pStyle w:val="BodyText"/>
      </w:pPr>
      <w:r>
        <w:t>A certain degree of mobility is expected</w:t>
      </w:r>
      <w:r w:rsidR="000338E8">
        <w:t xml:space="preserve"> in the labour market</w:t>
      </w:r>
      <w:r>
        <w:t xml:space="preserve">, as some </w:t>
      </w:r>
      <w:r w:rsidR="004A7B04" w:rsidRPr="004A7B04">
        <w:t xml:space="preserve">workers </w:t>
      </w:r>
      <w:r>
        <w:t>change their sector,</w:t>
      </w:r>
      <w:r w:rsidR="00363392">
        <w:t xml:space="preserve"> occupation</w:t>
      </w:r>
      <w:r w:rsidR="004A7B04" w:rsidRPr="004A7B04">
        <w:t xml:space="preserve"> </w:t>
      </w:r>
      <w:r>
        <w:t>or job</w:t>
      </w:r>
      <w:r w:rsidR="004A7B04" w:rsidRPr="004A7B04">
        <w:t xml:space="preserve">, or </w:t>
      </w:r>
      <w:r>
        <w:t>move</w:t>
      </w:r>
      <w:r w:rsidR="004A7B04" w:rsidRPr="004A7B04">
        <w:t xml:space="preserve"> in and out of the labour force</w:t>
      </w:r>
      <w:r w:rsidR="00363392">
        <w:t xml:space="preserve"> completely</w:t>
      </w:r>
      <w:r>
        <w:t>,</w:t>
      </w:r>
      <w:r w:rsidR="007A75EF">
        <w:t xml:space="preserve"> </w:t>
      </w:r>
      <w:r>
        <w:t>due to</w:t>
      </w:r>
      <w:r w:rsidR="00F2289D">
        <w:t xml:space="preserve"> </w:t>
      </w:r>
      <w:r w:rsidR="00363392">
        <w:t xml:space="preserve">changes in </w:t>
      </w:r>
      <w:r w:rsidR="00761E02">
        <w:t>their</w:t>
      </w:r>
      <w:r w:rsidR="004A7B04" w:rsidRPr="004A7B04">
        <w:t xml:space="preserve"> personal </w:t>
      </w:r>
      <w:r w:rsidR="007A75EF" w:rsidRPr="004A7B04">
        <w:t xml:space="preserve">preferences </w:t>
      </w:r>
      <w:r w:rsidR="006F6EBE">
        <w:t>or</w:t>
      </w:r>
      <w:r w:rsidR="007A75EF">
        <w:t xml:space="preserve"> circumstances or </w:t>
      </w:r>
      <w:r w:rsidR="00761E02">
        <w:t xml:space="preserve">in </w:t>
      </w:r>
      <w:r w:rsidR="006F6EBE">
        <w:t xml:space="preserve">aggregate </w:t>
      </w:r>
      <w:r w:rsidR="007A75EF">
        <w:t>business conditions</w:t>
      </w:r>
      <w:r w:rsidR="00F2289D">
        <w:t xml:space="preserve">. </w:t>
      </w:r>
      <w:r w:rsidR="007A75EF">
        <w:t>Yet</w:t>
      </w:r>
      <w:r w:rsidR="004A7B04" w:rsidRPr="004A7B04">
        <w:t xml:space="preserve">, </w:t>
      </w:r>
      <w:r w:rsidR="008E38E7">
        <w:t xml:space="preserve">in part, </w:t>
      </w:r>
      <w:r>
        <w:t>these transitions</w:t>
      </w:r>
      <w:r w:rsidR="007A75EF">
        <w:t xml:space="preserve"> </w:t>
      </w:r>
      <w:r>
        <w:t xml:space="preserve">can </w:t>
      </w:r>
      <w:r w:rsidR="007A75EF">
        <w:t xml:space="preserve">also align with </w:t>
      </w:r>
      <w:r w:rsidR="00363392" w:rsidRPr="00960778">
        <w:lastRenderedPageBreak/>
        <w:t>patterns of industry expansion and contraction</w:t>
      </w:r>
      <w:r w:rsidR="007E12C3">
        <w:t xml:space="preserve"> indicative of </w:t>
      </w:r>
      <w:r w:rsidR="007F1EC7">
        <w:t>long</w:t>
      </w:r>
      <w:r w:rsidR="007F1EC7">
        <w:noBreakHyphen/>
        <w:t xml:space="preserve">term </w:t>
      </w:r>
      <w:r w:rsidR="003B10E6">
        <w:t>structural change</w:t>
      </w:r>
      <w:r w:rsidR="00827E2E">
        <w:t>.</w:t>
      </w:r>
    </w:p>
    <w:p w:rsidR="00C35ECD" w:rsidRPr="00960778" w:rsidRDefault="00827E2E" w:rsidP="00960778">
      <w:pPr>
        <w:pStyle w:val="Heading3"/>
      </w:pPr>
      <w:r>
        <w:t>Movements into and out of employment</w:t>
      </w:r>
    </w:p>
    <w:p w:rsidR="003A5A1B" w:rsidRDefault="00916027" w:rsidP="00C35ECD">
      <w:pPr>
        <w:pStyle w:val="BodyText"/>
      </w:pPr>
      <w:r>
        <w:t>Workers’ movements into employment</w:t>
      </w:r>
      <w:r w:rsidR="00EC1343">
        <w:t xml:space="preserve"> (from being unemployed or ‘not in the labour force’ in the previous year)</w:t>
      </w:r>
      <w:r>
        <w:t xml:space="preserve"> </w:t>
      </w:r>
      <w:r w:rsidR="00EC1343">
        <w:t xml:space="preserve">and away from it </w:t>
      </w:r>
      <w:r>
        <w:t>— in terms of the</w:t>
      </w:r>
      <w:r w:rsidR="00102627">
        <w:t xml:space="preserve"> sectors</w:t>
      </w:r>
      <w:r w:rsidR="00EC1343">
        <w:t xml:space="preserve"> (broad industry groupings)</w:t>
      </w:r>
      <w:r w:rsidR="00C53028">
        <w:rPr>
          <w:rStyle w:val="FootnoteReference"/>
        </w:rPr>
        <w:footnoteReference w:id="2"/>
      </w:r>
      <w:r w:rsidR="00102627">
        <w:t xml:space="preserve"> </w:t>
      </w:r>
      <w:r>
        <w:t xml:space="preserve">that </w:t>
      </w:r>
      <w:r w:rsidR="00EC1343">
        <w:t xml:space="preserve">they </w:t>
      </w:r>
      <w:r>
        <w:t xml:space="preserve">most commonly </w:t>
      </w:r>
      <w:r w:rsidR="00EC1343">
        <w:t xml:space="preserve">joined </w:t>
      </w:r>
      <w:r w:rsidR="0098246B">
        <w:t xml:space="preserve">and </w:t>
      </w:r>
      <w:r w:rsidR="00EC1343">
        <w:t xml:space="preserve">exited </w:t>
      </w:r>
      <w:r>
        <w:t>—</w:t>
      </w:r>
      <w:r w:rsidR="0098246B">
        <w:t xml:space="preserve"> </w:t>
      </w:r>
      <w:r w:rsidR="00606F6A">
        <w:t>largely</w:t>
      </w:r>
      <w:r w:rsidR="00102627">
        <w:t xml:space="preserve"> </w:t>
      </w:r>
      <w:r w:rsidR="0098246B">
        <w:t>accord</w:t>
      </w:r>
      <w:r w:rsidR="00102627">
        <w:t xml:space="preserve"> with </w:t>
      </w:r>
      <w:r>
        <w:t>broader</w:t>
      </w:r>
      <w:r w:rsidR="00102627">
        <w:t xml:space="preserve"> </w:t>
      </w:r>
      <w:r>
        <w:t>shift</w:t>
      </w:r>
      <w:r w:rsidR="000A6B4C">
        <w:t>s</w:t>
      </w:r>
      <w:r>
        <w:t xml:space="preserve"> in the composition of </w:t>
      </w:r>
      <w:r w:rsidR="00E7323A">
        <w:t>employment</w:t>
      </w:r>
      <w:r>
        <w:t xml:space="preserve"> during the 2000s </w:t>
      </w:r>
      <w:r w:rsidR="00A869BC">
        <w:t>(figure </w:t>
      </w:r>
      <w:r w:rsidR="00B27DB2">
        <w:t>5.1</w:t>
      </w:r>
      <w:r w:rsidR="00827E2E">
        <w:t>).</w:t>
      </w:r>
      <w:r w:rsidR="00C53028">
        <w:rPr>
          <w:rStyle w:val="FootnoteReference"/>
        </w:rPr>
        <w:footnoteReference w:id="3"/>
      </w:r>
    </w:p>
    <w:p w:rsidR="008C7C68" w:rsidRDefault="001E448E" w:rsidP="008C7C68">
      <w:pPr>
        <w:pStyle w:val="BodyText"/>
      </w:pPr>
      <w:r>
        <w:t xml:space="preserve">This is demonstrated by </w:t>
      </w:r>
      <w:r w:rsidR="009404F2">
        <w:t xml:space="preserve">the fact that, between 2001 and 2010, </w:t>
      </w:r>
      <w:r>
        <w:t xml:space="preserve">a </w:t>
      </w:r>
      <w:r w:rsidR="00332792">
        <w:t>majority</w:t>
      </w:r>
      <w:r>
        <w:t xml:space="preserve"> of new entrants into the workforce</w:t>
      </w:r>
      <w:r w:rsidR="008C7C68" w:rsidRPr="004A7B04">
        <w:t xml:space="preserve"> </w:t>
      </w:r>
      <w:r w:rsidR="009404F2" w:rsidRPr="004A7B04">
        <w:t>join</w:t>
      </w:r>
      <w:r w:rsidR="009404F2">
        <w:t>ed</w:t>
      </w:r>
      <w:r w:rsidR="009404F2" w:rsidRPr="004A7B04">
        <w:t xml:space="preserve"> </w:t>
      </w:r>
      <w:r w:rsidR="008C7C68" w:rsidRPr="004A7B04">
        <w:t>the distribution, socia</w:t>
      </w:r>
      <w:r w:rsidR="008C7C68">
        <w:t xml:space="preserve">l and personal services sectors. Within these sectors, </w:t>
      </w:r>
      <w:r w:rsidR="008C7C68" w:rsidRPr="004A7B04">
        <w:t xml:space="preserve">a </w:t>
      </w:r>
      <w:r w:rsidR="008C7C68">
        <w:t xml:space="preserve">large and </w:t>
      </w:r>
      <w:r w:rsidR="008C7C68" w:rsidRPr="004A7B04">
        <w:t xml:space="preserve">rising share </w:t>
      </w:r>
      <w:r w:rsidR="009404F2">
        <w:t>joined</w:t>
      </w:r>
      <w:r w:rsidR="008C7C68" w:rsidRPr="004A7B04">
        <w:t xml:space="preserve"> </w:t>
      </w:r>
      <w:r w:rsidR="008C7C68">
        <w:t>the</w:t>
      </w:r>
      <w:r w:rsidR="008C7C68" w:rsidRPr="004A7B04">
        <w:t xml:space="preserve"> Health care and social </w:t>
      </w:r>
      <w:r w:rsidR="008C7C68">
        <w:t xml:space="preserve">assistance industry (data not shown). This is </w:t>
      </w:r>
      <w:r w:rsidR="00906765">
        <w:t xml:space="preserve">partly </w:t>
      </w:r>
      <w:r w:rsidR="008C7C68">
        <w:t>indicative of a key demographic shift underlying structural change</w:t>
      </w:r>
      <w:r w:rsidR="008C7C68" w:rsidRPr="004A7B04">
        <w:t xml:space="preserve">, </w:t>
      </w:r>
      <w:r w:rsidR="008C7C68">
        <w:t>namely the</w:t>
      </w:r>
      <w:r w:rsidR="008C7C68" w:rsidRPr="004A7B04">
        <w:t xml:space="preserve"> </w:t>
      </w:r>
      <w:r w:rsidR="008C7C68">
        <w:t>growth in</w:t>
      </w:r>
      <w:r w:rsidR="008C7C68" w:rsidRPr="004A7B04">
        <w:t xml:space="preserve"> demand for </w:t>
      </w:r>
      <w:r w:rsidR="008C7C68">
        <w:t xml:space="preserve">the </w:t>
      </w:r>
      <w:r w:rsidR="008C7C68" w:rsidRPr="004A7B04">
        <w:t xml:space="preserve">services </w:t>
      </w:r>
      <w:r w:rsidR="008C7C68">
        <w:t xml:space="preserve">required </w:t>
      </w:r>
      <w:r w:rsidR="008C7C68" w:rsidRPr="004A7B04">
        <w:t>to meet the needs of the ageing population</w:t>
      </w:r>
      <w:r w:rsidR="008C7C68">
        <w:t xml:space="preserve"> (chapter</w:t>
      </w:r>
      <w:r w:rsidR="00AC71FA">
        <w:t> </w:t>
      </w:r>
      <w:r w:rsidR="008C7C68">
        <w:t>2)</w:t>
      </w:r>
      <w:r w:rsidR="008C7C68" w:rsidRPr="004A7B04">
        <w:t xml:space="preserve">. </w:t>
      </w:r>
      <w:r w:rsidR="008C7C68">
        <w:t>By contrast,</w:t>
      </w:r>
      <w:r w:rsidR="008C7C68" w:rsidRPr="004A7B04">
        <w:t xml:space="preserve"> </w:t>
      </w:r>
      <w:r w:rsidR="008C7C68">
        <w:t xml:space="preserve">a </w:t>
      </w:r>
      <w:r w:rsidR="008C7C68" w:rsidRPr="004A7B04">
        <w:t xml:space="preserve">falling proportion of </w:t>
      </w:r>
      <w:r w:rsidR="008C7C68">
        <w:t xml:space="preserve">new entrants </w:t>
      </w:r>
      <w:r w:rsidR="00EC5A5C">
        <w:t>in</w:t>
      </w:r>
      <w:r w:rsidR="008C7C68">
        <w:t>to the</w:t>
      </w:r>
      <w:r w:rsidR="008C7C68" w:rsidRPr="004A7B04">
        <w:t xml:space="preserve"> </w:t>
      </w:r>
      <w:r w:rsidR="008C7C68">
        <w:t>workforce</w:t>
      </w:r>
      <w:r w:rsidR="008C7C68" w:rsidRPr="004A7B04">
        <w:t xml:space="preserve"> </w:t>
      </w:r>
      <w:r w:rsidR="009404F2">
        <w:t>joined</w:t>
      </w:r>
      <w:r w:rsidR="008C7C68" w:rsidRPr="004A7B04">
        <w:t xml:space="preserve"> the agricultural </w:t>
      </w:r>
      <w:r w:rsidR="008C7C68">
        <w:t>and</w:t>
      </w:r>
      <w:r w:rsidR="008C7C68" w:rsidRPr="004A7B04">
        <w:t xml:space="preserve"> manufacturing sectors</w:t>
      </w:r>
      <w:r w:rsidR="008C7C68">
        <w:t>, which is consistent with the long</w:t>
      </w:r>
      <w:r w:rsidR="008C7C68">
        <w:noBreakHyphen/>
      </w:r>
      <w:r w:rsidR="008C7C68" w:rsidRPr="004A7B04">
        <w:t>term decline in the</w:t>
      </w:r>
      <w:r w:rsidR="008C7C68">
        <w:t>se sectors’</w:t>
      </w:r>
      <w:r w:rsidR="008C7C68" w:rsidRPr="004A7B04">
        <w:t xml:space="preserve"> </w:t>
      </w:r>
      <w:r w:rsidR="008C7C68">
        <w:t xml:space="preserve">shares </w:t>
      </w:r>
      <w:r w:rsidR="008C7C68" w:rsidRPr="004A7B04">
        <w:t xml:space="preserve">of output and </w:t>
      </w:r>
      <w:r w:rsidR="008C7C68">
        <w:t>employment</w:t>
      </w:r>
      <w:r>
        <w:t xml:space="preserve"> (chapters 3 and 4)</w:t>
      </w:r>
      <w:r w:rsidR="008C7C68">
        <w:t xml:space="preserve">. </w:t>
      </w:r>
    </w:p>
    <w:p w:rsidR="008C7C68" w:rsidRDefault="008C7C68" w:rsidP="008C7C68">
      <w:pPr>
        <w:pStyle w:val="BodyText"/>
      </w:pPr>
      <w:r>
        <w:t xml:space="preserve">Large shares of workers who were moving into, or out of, employment </w:t>
      </w:r>
      <w:r w:rsidR="001E448E">
        <w:t>joined</w:t>
      </w:r>
      <w:r>
        <w:t xml:space="preserve"> or </w:t>
      </w:r>
      <w:r w:rsidR="001E448E">
        <w:t xml:space="preserve">exited </w:t>
      </w:r>
      <w:r>
        <w:t>the distribution services and personal services sectors</w:t>
      </w:r>
      <w:r w:rsidRPr="004A7B04">
        <w:t xml:space="preserve"> </w:t>
      </w:r>
      <w:r>
        <w:t xml:space="preserve">(particularly the </w:t>
      </w:r>
      <w:r w:rsidRPr="004A7B04">
        <w:t>Retail trade and A</w:t>
      </w:r>
      <w:r>
        <w:t>ccommodation and food services industries (data not shown)). Th</w:t>
      </w:r>
      <w:r w:rsidR="001E448E">
        <w:t>is</w:t>
      </w:r>
      <w:r>
        <w:t xml:space="preserve"> can </w:t>
      </w:r>
      <w:r w:rsidR="009404F2">
        <w:t xml:space="preserve">be </w:t>
      </w:r>
      <w:r>
        <w:t xml:space="preserve">partly explained by the high prevalence of casual employment </w:t>
      </w:r>
      <w:r w:rsidR="008B1E92">
        <w:t>(section</w:t>
      </w:r>
      <w:r w:rsidR="00AC71FA">
        <w:t> </w:t>
      </w:r>
      <w:r w:rsidR="008B1E92">
        <w:t xml:space="preserve">5.2) </w:t>
      </w:r>
      <w:r>
        <w:t>and the lower</w:t>
      </w:r>
      <w:r w:rsidR="009404F2">
        <w:t xml:space="preserve"> </w:t>
      </w:r>
      <w:r>
        <w:t xml:space="preserve">skill requirements of these industries, which mean that, compared </w:t>
      </w:r>
      <w:r w:rsidR="00DE5261">
        <w:t xml:space="preserve">with </w:t>
      </w:r>
      <w:r>
        <w:t xml:space="preserve">most other industries, they offer more accessible job opportunities for </w:t>
      </w:r>
      <w:r w:rsidR="00906765">
        <w:t>young workers and</w:t>
      </w:r>
      <w:r>
        <w:t xml:space="preserve"> those who </w:t>
      </w:r>
      <w:r w:rsidR="00906765">
        <w:t xml:space="preserve">tend to </w:t>
      </w:r>
      <w:r w:rsidR="00457EF6">
        <w:t>seek employment</w:t>
      </w:r>
      <w:r w:rsidR="00906765">
        <w:t xml:space="preserve"> only sporadically</w:t>
      </w:r>
      <w:r>
        <w:t xml:space="preserve">. Indeed, the expansion of these industries over time is due, in part, to the job opportunities they have been able to offer women, who have been a growing component of the workforce and </w:t>
      </w:r>
      <w:r w:rsidR="00CD08D5">
        <w:t xml:space="preserve">who, for a variety of reasons, </w:t>
      </w:r>
      <w:r>
        <w:t>are more likely to</w:t>
      </w:r>
      <w:r w:rsidR="00CD08D5">
        <w:t xml:space="preserve"> work</w:t>
      </w:r>
      <w:r>
        <w:t xml:space="preserve"> </w:t>
      </w:r>
      <w:r w:rsidR="00CD08D5">
        <w:t>intermittently</w:t>
      </w:r>
      <w:r>
        <w:t xml:space="preserve">. The high intake of new entrants also reflects a tendency for </w:t>
      </w:r>
      <w:r w:rsidR="00CD08D5">
        <w:t xml:space="preserve">young </w:t>
      </w:r>
      <w:r>
        <w:t>workers to take up jobs in these industries (typically on a casual basis and</w:t>
      </w:r>
      <w:r w:rsidR="009404F2">
        <w:t>,</w:t>
      </w:r>
      <w:r>
        <w:t xml:space="preserve"> often</w:t>
      </w:r>
      <w:r w:rsidR="009404F2">
        <w:t>,</w:t>
      </w:r>
      <w:r>
        <w:t xml:space="preserve"> while studying) as a stepping stone towards a more permanent career in another higher</w:t>
      </w:r>
      <w:r w:rsidR="00FD16FE">
        <w:noBreakHyphen/>
      </w:r>
      <w:r>
        <w:t xml:space="preserve">paying industry. Collectively, these features contribute to a generally high rate of staff turnover, as </w:t>
      </w:r>
      <w:r w:rsidR="009404F2">
        <w:t>reflec</w:t>
      </w:r>
      <w:r w:rsidR="001E448E">
        <w:t>ted in</w:t>
      </w:r>
      <w:r>
        <w:t xml:space="preserve"> figure</w:t>
      </w:r>
      <w:r w:rsidR="001E448E">
        <w:t xml:space="preserve"> 5.1</w:t>
      </w:r>
      <w:r>
        <w:t>.</w:t>
      </w:r>
    </w:p>
    <w:p w:rsidR="00011BDB" w:rsidRDefault="00011BDB" w:rsidP="00011BDB">
      <w:pPr>
        <w:pStyle w:val="FigureTitle"/>
        <w:rPr>
          <w:rStyle w:val="NoteLabel"/>
          <w:b/>
        </w:rPr>
      </w:pPr>
      <w:r>
        <w:rPr>
          <w:b w:val="0"/>
        </w:rPr>
        <w:lastRenderedPageBreak/>
        <w:t>Figure 5.</w:t>
      </w:r>
      <w:r w:rsidR="00FB66BF">
        <w:rPr>
          <w:b w:val="0"/>
          <w:noProof/>
        </w:rPr>
        <w:t>1</w:t>
      </w:r>
      <w:r>
        <w:tab/>
        <w:t>Workers moving into or out of employment between consecutive years, by sector, 2001 to 2010</w:t>
      </w:r>
      <w:r w:rsidRPr="00F86775">
        <w:rPr>
          <w:rStyle w:val="NoteLabel"/>
          <w:b/>
        </w:rPr>
        <w:t>a</w:t>
      </w:r>
      <w:r>
        <w:rPr>
          <w:rStyle w:val="NoteLabel"/>
          <w:b/>
        </w:rPr>
        <w:t>, b, c, d</w:t>
      </w:r>
    </w:p>
    <w:p w:rsidR="00011BDB" w:rsidRPr="00003ED1" w:rsidRDefault="00011BDB" w:rsidP="00011BDB">
      <w:pPr>
        <w:pStyle w:val="Subtitle"/>
      </w:pPr>
      <w:r w:rsidRPr="00003ED1">
        <w:t xml:space="preserve">Per cent of </w:t>
      </w:r>
      <w:r>
        <w:t xml:space="preserve">all workers moving into or </w:t>
      </w:r>
      <w:r w:rsidRPr="00003ED1">
        <w:t>out of employment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11BDB" w:rsidTr="00D30131">
        <w:trPr>
          <w:trHeight w:val="525"/>
        </w:trPr>
        <w:tc>
          <w:tcPr>
            <w:tcW w:w="8777" w:type="dxa"/>
          </w:tcPr>
          <w:p w:rsidR="00011BDB" w:rsidRDefault="00011BDB" w:rsidP="00D30131">
            <w:pPr>
              <w:pStyle w:val="Figure"/>
            </w:pPr>
            <w:r>
              <w:rPr>
                <w:noProof/>
              </w:rPr>
              <w:drawing>
                <wp:inline distT="0" distB="0" distL="0" distR="0" wp14:anchorId="67D6404B" wp14:editId="216D58F6">
                  <wp:extent cx="5410200" cy="1955800"/>
                  <wp:effectExtent l="0" t="0" r="0" b="6350"/>
                  <wp:docPr id="16" name="Chart 16" descr="The top graph of this figure shows the share of workers who moved into employment between one year and the next, disaggregated according to the sector they were moving into. The time period spans from 200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11BDB" w:rsidTr="00D30131">
        <w:tc>
          <w:tcPr>
            <w:tcW w:w="8777" w:type="dxa"/>
          </w:tcPr>
          <w:p w:rsidR="00011BDB" w:rsidRDefault="00011BDB" w:rsidP="00D30131">
            <w:pPr>
              <w:pStyle w:val="Figure"/>
              <w:rPr>
                <w:noProof/>
              </w:rPr>
            </w:pPr>
            <w:r>
              <w:rPr>
                <w:noProof/>
              </w:rPr>
              <w:drawing>
                <wp:inline distT="0" distB="0" distL="0" distR="0" wp14:anchorId="7AFA956D" wp14:editId="7A438269">
                  <wp:extent cx="5410200" cy="1744134"/>
                  <wp:effectExtent l="0" t="0" r="0" b="8890"/>
                  <wp:docPr id="9" name="Chart 9" descr="The lower graph of this figure shows the share of workers who moved out of employment between one year and the next, disaggregated according to the sector they were moving out of.&#10;The time period spans from 2001 to 20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11BDB" w:rsidRDefault="00011BDB" w:rsidP="00011BDB">
      <w:pPr>
        <w:pStyle w:val="Note"/>
      </w:pPr>
      <w:r>
        <w:rPr>
          <w:rStyle w:val="NoteLabel"/>
        </w:rPr>
        <w:t>a</w:t>
      </w:r>
      <w:r>
        <w:t xml:space="preserve"> If not in employment, individuals were either unemployed or ‘not in the labour force’.</w:t>
      </w:r>
      <w:r w:rsidR="00E71205">
        <w:t xml:space="preserve"> </w:t>
      </w:r>
      <w:r>
        <w:t xml:space="preserve"> </w:t>
      </w:r>
      <w:r>
        <w:rPr>
          <w:rStyle w:val="NoteLabel"/>
        </w:rPr>
        <w:t>b</w:t>
      </w:r>
      <w:r>
        <w:t xml:space="preserve"> Estimates are averaged values for three pairs of consecutive years, for example</w:t>
      </w:r>
      <w:r w:rsidR="00012E16">
        <w:t>,</w:t>
      </w:r>
      <w:r>
        <w:t xml:space="preserve"> ‘average </w:t>
      </w:r>
      <w:r w:rsidRPr="005374E1">
        <w:t>2001</w:t>
      </w:r>
      <w:r>
        <w:t>–</w:t>
      </w:r>
      <w:r w:rsidRPr="005374E1">
        <w:t>2002</w:t>
      </w:r>
      <w:r>
        <w:t xml:space="preserve"> to </w:t>
      </w:r>
      <w:r w:rsidRPr="005374E1">
        <w:t>2003</w:t>
      </w:r>
      <w:r>
        <w:t>–</w:t>
      </w:r>
      <w:r w:rsidRPr="005374E1">
        <w:t>2004’</w:t>
      </w:r>
      <w:r>
        <w:t xml:space="preserve"> refers to workers who moved between 2001 and 2002, between 2002 and 2003, and/or between 2003 and 2004. </w:t>
      </w:r>
      <w:r w:rsidR="00E71205">
        <w:t xml:space="preserve"> </w:t>
      </w:r>
      <w:r>
        <w:rPr>
          <w:rStyle w:val="NoteLabel"/>
        </w:rPr>
        <w:t>c </w:t>
      </w:r>
      <w:r>
        <w:t xml:space="preserve">Mining is excluded due to low sample count and high standard errors associated with these estimates. </w:t>
      </w:r>
      <w:r w:rsidR="00E71205">
        <w:t xml:space="preserve"> </w:t>
      </w:r>
      <w:r>
        <w:rPr>
          <w:rStyle w:val="NoteLabel"/>
        </w:rPr>
        <w:t>d</w:t>
      </w:r>
      <w:r>
        <w:t> Estimates refer to the working</w:t>
      </w:r>
      <w:r>
        <w:noBreakHyphen/>
        <w:t>age population (</w:t>
      </w:r>
      <w:r w:rsidRPr="009B055B">
        <w:t>15</w:t>
      </w:r>
      <w:r>
        <w:t>–</w:t>
      </w:r>
      <w:r w:rsidRPr="009B055B">
        <w:t>64</w:t>
      </w:r>
      <w:r>
        <w:t xml:space="preserve"> years) and are population</w:t>
      </w:r>
      <w:r>
        <w:noBreakHyphen/>
        <w:t>weighted.</w:t>
      </w:r>
    </w:p>
    <w:p w:rsidR="00011BDB" w:rsidRPr="00B63AB9" w:rsidRDefault="00011BDB" w:rsidP="00011BDB">
      <w:pPr>
        <w:pStyle w:val="Source"/>
        <w:rPr>
          <w:b/>
        </w:rPr>
      </w:pPr>
      <w:r w:rsidRPr="00D3677C">
        <w:rPr>
          <w:i/>
        </w:rPr>
        <w:t>Source</w:t>
      </w:r>
      <w:r w:rsidRPr="00D3677C">
        <w:t xml:space="preserve">: </w:t>
      </w:r>
      <w:r w:rsidR="00100138">
        <w:t>Productivity Commission</w:t>
      </w:r>
      <w:r>
        <w:t xml:space="preserve"> </w:t>
      </w:r>
      <w:r w:rsidR="009F4456">
        <w:t>estimates</w:t>
      </w:r>
      <w:r>
        <w:t xml:space="preserve"> using HILDA Survey </w:t>
      </w:r>
      <w:r w:rsidRPr="002A5A31">
        <w:t>2001</w:t>
      </w:r>
      <w:r>
        <w:t>–</w:t>
      </w:r>
      <w:r w:rsidRPr="002A5A31">
        <w:t>2010</w:t>
      </w:r>
      <w:r>
        <w:t xml:space="preserve"> </w:t>
      </w:r>
      <w:r w:rsidRPr="00D3677C">
        <w:t>Unconfidentialised Release 10.1.</w:t>
      </w:r>
      <w:r w:rsidRPr="00955FAF">
        <w:rPr>
          <w:b/>
        </w:rPr>
        <w:t xml:space="preserve"> </w:t>
      </w:r>
    </w:p>
    <w:p w:rsidR="003A5A1B" w:rsidRPr="004A7B04" w:rsidRDefault="003A5A1B" w:rsidP="003A5A1B">
      <w:pPr>
        <w:pStyle w:val="BodyText"/>
      </w:pPr>
      <w:r w:rsidRPr="004A7B04">
        <w:t>A</w:t>
      </w:r>
      <w:r>
        <w:t xml:space="preserve">BS data on labour mobility </w:t>
      </w:r>
      <w:r w:rsidRPr="004A7B04">
        <w:t xml:space="preserve">between 2009 and 2010 </w:t>
      </w:r>
      <w:r w:rsidR="00D8515E">
        <w:t>present</w:t>
      </w:r>
      <w:r>
        <w:t xml:space="preserve"> a similar picture</w:t>
      </w:r>
      <w:r w:rsidR="009B0403">
        <w:t>. Workforce entrants most commonly joined</w:t>
      </w:r>
      <w:r w:rsidR="00D8515E">
        <w:t xml:space="preserve"> </w:t>
      </w:r>
      <w:r w:rsidR="009071FE">
        <w:t xml:space="preserve">the </w:t>
      </w:r>
      <w:r>
        <w:t>distribution, social</w:t>
      </w:r>
      <w:r w:rsidRPr="004A7B04">
        <w:t xml:space="preserve"> and person</w:t>
      </w:r>
      <w:r>
        <w:t xml:space="preserve">al services </w:t>
      </w:r>
      <w:r w:rsidR="009071FE">
        <w:t xml:space="preserve">sectors </w:t>
      </w:r>
      <w:r>
        <w:t xml:space="preserve">(driven chiefly by </w:t>
      </w:r>
      <w:r w:rsidRPr="004A7B04">
        <w:t>movement</w:t>
      </w:r>
      <w:r>
        <w:t>s</w:t>
      </w:r>
      <w:r w:rsidRPr="004A7B04">
        <w:t xml:space="preserve"> into Retail trade, Accommodation and food services, and Health care and social assistance). These were also the sectors, in addition to manufacturing, </w:t>
      </w:r>
      <w:r w:rsidR="009B0403">
        <w:t>from which most</w:t>
      </w:r>
      <w:r w:rsidRPr="004A7B04">
        <w:t xml:space="preserve"> workers </w:t>
      </w:r>
      <w:r w:rsidR="009B0403">
        <w:t>exited</w:t>
      </w:r>
      <w:r w:rsidRPr="004A7B04">
        <w:t xml:space="preserve"> (largely due to exits from Retail trade and Accommodation and food servi</w:t>
      </w:r>
      <w:r w:rsidR="00E70D1C">
        <w:t>ces) (ABS 2010c</w:t>
      </w:r>
      <w:r w:rsidRPr="004A7B04">
        <w:t>).</w:t>
      </w:r>
      <w:r w:rsidRPr="004A7B04">
        <w:rPr>
          <w:position w:val="6"/>
          <w:sz w:val="22"/>
        </w:rPr>
        <w:footnoteReference w:id="4"/>
      </w:r>
    </w:p>
    <w:p w:rsidR="00F81169" w:rsidRDefault="00374E6F" w:rsidP="003A5A1B">
      <w:pPr>
        <w:pStyle w:val="BodyText"/>
      </w:pPr>
      <w:r>
        <w:t xml:space="preserve">The data presented in figure 5.1 </w:t>
      </w:r>
      <w:r w:rsidR="00232296">
        <w:t>measure</w:t>
      </w:r>
      <w:r>
        <w:t xml:space="preserve"> gross flows of workers in and out of each sector, as a percentage of </w:t>
      </w:r>
      <w:r w:rsidR="00232296">
        <w:t>all workers</w:t>
      </w:r>
      <w:r w:rsidR="00874A22">
        <w:t xml:space="preserve"> (economy</w:t>
      </w:r>
      <w:r w:rsidR="00874A22">
        <w:noBreakHyphen/>
      </w:r>
      <w:r w:rsidR="00935F0D">
        <w:t>wide)</w:t>
      </w:r>
      <w:r w:rsidR="00232296">
        <w:t xml:space="preserve"> </w:t>
      </w:r>
      <w:r w:rsidR="00C177C7">
        <w:t>entering</w:t>
      </w:r>
      <w:r w:rsidR="00232296">
        <w:t xml:space="preserve"> or exiting </w:t>
      </w:r>
      <w:r w:rsidR="00C177C7">
        <w:t>employment</w:t>
      </w:r>
      <w:r>
        <w:t>.</w:t>
      </w:r>
      <w:r w:rsidR="00443C1B">
        <w:t xml:space="preserve"> L</w:t>
      </w:r>
      <w:r w:rsidR="009E62E7">
        <w:t>arger</w:t>
      </w:r>
      <w:r w:rsidR="009E62E7" w:rsidRPr="004A7B04">
        <w:t xml:space="preserve"> </w:t>
      </w:r>
      <w:r w:rsidR="009E62E7">
        <w:t>sectors</w:t>
      </w:r>
      <w:r w:rsidR="009E62E7" w:rsidRPr="004A7B04">
        <w:t xml:space="preserve"> </w:t>
      </w:r>
      <w:r w:rsidR="00CD08D5">
        <w:t>would</w:t>
      </w:r>
      <w:r w:rsidR="00CD08D5" w:rsidRPr="004A7B04">
        <w:t xml:space="preserve"> </w:t>
      </w:r>
      <w:r w:rsidR="009E62E7" w:rsidRPr="004A7B04">
        <w:t xml:space="preserve">be expected to </w:t>
      </w:r>
      <w:r w:rsidR="00893FE9">
        <w:t>attract</w:t>
      </w:r>
      <w:r w:rsidR="009E62E7" w:rsidRPr="004A7B04">
        <w:t xml:space="preserve"> a </w:t>
      </w:r>
      <w:r w:rsidR="00CD08D5">
        <w:t xml:space="preserve">commensurately </w:t>
      </w:r>
      <w:r w:rsidR="009E62E7" w:rsidRPr="004A7B04">
        <w:t>h</w:t>
      </w:r>
      <w:r w:rsidR="009E62E7">
        <w:t xml:space="preserve">igher </w:t>
      </w:r>
      <w:r w:rsidR="009E62E7">
        <w:lastRenderedPageBreak/>
        <w:t>proportion of new workers</w:t>
      </w:r>
      <w:r w:rsidR="009E62E7" w:rsidRPr="004A7B04">
        <w:t xml:space="preserve"> </w:t>
      </w:r>
      <w:r w:rsidR="009E62E7">
        <w:t>(and small</w:t>
      </w:r>
      <w:r w:rsidR="00893FE9">
        <w:t>er</w:t>
      </w:r>
      <w:r w:rsidR="009E62E7">
        <w:t xml:space="preserve"> sectors</w:t>
      </w:r>
      <w:r w:rsidR="009B0403">
        <w:t xml:space="preserve"> a smaller proportion of new workers</w:t>
      </w:r>
      <w:r w:rsidR="009E62E7">
        <w:t xml:space="preserve">). </w:t>
      </w:r>
      <w:r w:rsidR="00385E71">
        <w:t>S</w:t>
      </w:r>
      <w:r w:rsidR="00225001">
        <w:t>imi</w:t>
      </w:r>
      <w:r w:rsidR="00F81169">
        <w:t>lar reasoning applies to exits.</w:t>
      </w:r>
    </w:p>
    <w:p w:rsidR="00D32A3B" w:rsidRDefault="00FF1168" w:rsidP="003A5A1B">
      <w:pPr>
        <w:pStyle w:val="BodyText"/>
      </w:pPr>
      <w:r>
        <w:t>A</w:t>
      </w:r>
      <w:r w:rsidR="006734BD">
        <w:t xml:space="preserve">djusting </w:t>
      </w:r>
      <w:r w:rsidR="00893055">
        <w:t xml:space="preserve">the </w:t>
      </w:r>
      <w:r w:rsidR="00F81169">
        <w:t>proportion</w:t>
      </w:r>
      <w:r w:rsidR="001A0E30">
        <w:t>s</w:t>
      </w:r>
      <w:r w:rsidR="00F81169">
        <w:t xml:space="preserve"> of entries and exits</w:t>
      </w:r>
      <w:r w:rsidR="001A0E30">
        <w:t xml:space="preserve"> in figure 5.1</w:t>
      </w:r>
      <w:r w:rsidR="00F81169" w:rsidRPr="004A7B04">
        <w:t xml:space="preserve"> </w:t>
      </w:r>
      <w:r w:rsidR="006734BD">
        <w:t>for</w:t>
      </w:r>
      <w:r w:rsidR="006734BD" w:rsidRPr="004A7B04">
        <w:t xml:space="preserve"> </w:t>
      </w:r>
      <w:r w:rsidR="00893055">
        <w:t>each sector’s</w:t>
      </w:r>
      <w:r w:rsidR="00893055" w:rsidRPr="004A7B04">
        <w:t xml:space="preserve"> respective workforce </w:t>
      </w:r>
      <w:r w:rsidR="0098246B">
        <w:t>size</w:t>
      </w:r>
      <w:r>
        <w:t xml:space="preserve"> reveals the ‘propensity’ of sectors to </w:t>
      </w:r>
      <w:r w:rsidR="00C770A5">
        <w:t>be a destination for entering workers, or a source of exiting workers,</w:t>
      </w:r>
      <w:r>
        <w:t xml:space="preserve"> over the 2001–2010 period</w:t>
      </w:r>
      <w:r w:rsidR="00893055">
        <w:t xml:space="preserve"> (figure 5.2).</w:t>
      </w:r>
      <w:r>
        <w:t xml:space="preserve"> </w:t>
      </w:r>
      <w:r w:rsidR="00D32A3B">
        <w:t xml:space="preserve">This </w:t>
      </w:r>
      <w:r w:rsidR="003A3922">
        <w:t xml:space="preserve">analysis </w:t>
      </w:r>
      <w:r w:rsidR="00D32A3B">
        <w:t>shows three sectors — agriculture, distribution services and personal services —</w:t>
      </w:r>
      <w:r w:rsidR="00C770A5">
        <w:t xml:space="preserve"> </w:t>
      </w:r>
      <w:r w:rsidR="00D32A3B">
        <w:t xml:space="preserve">to </w:t>
      </w:r>
      <w:r w:rsidR="003A3922">
        <w:t>have been</w:t>
      </w:r>
      <w:r w:rsidR="00C770A5">
        <w:t xml:space="preserve"> both a</w:t>
      </w:r>
      <w:r w:rsidR="003A3922">
        <w:t xml:space="preserve"> </w:t>
      </w:r>
      <w:r w:rsidR="001A0E30">
        <w:t>stronger</w:t>
      </w:r>
      <w:r w:rsidR="00C770A5">
        <w:t xml:space="preserve"> destination </w:t>
      </w:r>
      <w:r w:rsidR="003A3922" w:rsidRPr="004868BB">
        <w:rPr>
          <w:i/>
        </w:rPr>
        <w:t>and</w:t>
      </w:r>
      <w:r w:rsidR="003A3922">
        <w:t xml:space="preserve"> </w:t>
      </w:r>
      <w:r w:rsidR="00C770A5">
        <w:t xml:space="preserve">source </w:t>
      </w:r>
      <w:r w:rsidR="00D32A3B">
        <w:t xml:space="preserve">than their size would predict. </w:t>
      </w:r>
      <w:r w:rsidR="003A3922">
        <w:t xml:space="preserve">This is indicated by </w:t>
      </w:r>
      <w:r w:rsidR="00042FCD">
        <w:t>‘relative proportion’</w:t>
      </w:r>
      <w:r w:rsidR="003A3922">
        <w:t xml:space="preserve"> value</w:t>
      </w:r>
      <w:r w:rsidR="00042FCD">
        <w:t>s</w:t>
      </w:r>
      <w:r w:rsidR="003A3922">
        <w:t xml:space="preserve"> consistently above one in figure 5.2. </w:t>
      </w:r>
      <w:r w:rsidR="00D32A3B">
        <w:t xml:space="preserve">The remaining sectors, with values below one, </w:t>
      </w:r>
      <w:r w:rsidR="00C770A5">
        <w:t>recorded</w:t>
      </w:r>
      <w:r w:rsidR="00D32A3B">
        <w:t xml:space="preserve"> inflow</w:t>
      </w:r>
      <w:r w:rsidR="003A3922">
        <w:t>s</w:t>
      </w:r>
      <w:r w:rsidR="00D32A3B">
        <w:t xml:space="preserve"> and outflow</w:t>
      </w:r>
      <w:r w:rsidR="003A3922">
        <w:t>s</w:t>
      </w:r>
      <w:r w:rsidR="003A3922" w:rsidRPr="003A3922">
        <w:t xml:space="preserve"> </w:t>
      </w:r>
      <w:r w:rsidR="003A3922">
        <w:t xml:space="preserve">lower than expected based on </w:t>
      </w:r>
      <w:r w:rsidR="00C770A5">
        <w:t>their size</w:t>
      </w:r>
      <w:r w:rsidR="00D32A3B">
        <w:t xml:space="preserve">. </w:t>
      </w:r>
    </w:p>
    <w:p w:rsidR="00D32A3B" w:rsidRDefault="00D32A3B" w:rsidP="004F184E">
      <w:pPr>
        <w:pStyle w:val="BodyText"/>
      </w:pPr>
      <w:r>
        <w:t xml:space="preserve">The </w:t>
      </w:r>
      <w:r w:rsidR="004F184E">
        <w:t>data</w:t>
      </w:r>
      <w:r>
        <w:t xml:space="preserve"> in figure 5.2 illustrate </w:t>
      </w:r>
      <w:r w:rsidR="00463465">
        <w:t>the role played by workers entering employment and leaving employment</w:t>
      </w:r>
      <w:r w:rsidR="001E1485">
        <w:t xml:space="preserve"> altogether</w:t>
      </w:r>
      <w:r w:rsidR="00463465">
        <w:t xml:space="preserve"> in the relative expansion or contraction of sectoral </w:t>
      </w:r>
      <w:r w:rsidR="001E1485">
        <w:t>workforces</w:t>
      </w:r>
      <w:r w:rsidR="00463465">
        <w:t>.</w:t>
      </w:r>
      <w:r>
        <w:t xml:space="preserve"> For example, the agriculture sector</w:t>
      </w:r>
      <w:r w:rsidR="004F184E">
        <w:t xml:space="preserve"> consistently</w:t>
      </w:r>
      <w:r>
        <w:t xml:space="preserve"> </w:t>
      </w:r>
      <w:r w:rsidR="001E1485">
        <w:t>lost</w:t>
      </w:r>
      <w:r>
        <w:t xml:space="preserve"> more workers than it recruited, </w:t>
      </w:r>
      <w:r w:rsidR="0039501B">
        <w:t>during the 2001–2010 period</w:t>
      </w:r>
      <w:r>
        <w:t xml:space="preserve">. </w:t>
      </w:r>
      <w:r w:rsidR="00463465">
        <w:t>This net loss contributed to the contraction in its share of the overall workforce (chapter 4)</w:t>
      </w:r>
      <w:r>
        <w:t>.</w:t>
      </w:r>
      <w:r>
        <w:rPr>
          <w:rStyle w:val="FootnoteReference"/>
        </w:rPr>
        <w:footnoteReference w:id="5"/>
      </w:r>
    </w:p>
    <w:p w:rsidR="00D32A3B" w:rsidRDefault="00D32A3B" w:rsidP="00D32A3B">
      <w:pPr>
        <w:pStyle w:val="BodyText"/>
      </w:pPr>
      <w:r>
        <w:t>In contrast to agriculture, manufacturing’s propensities to attract new workers and shed existing ones were both low, relative to its workforce size (with relative proportion values consistently below 1 in figure 5.2). That sector’s workforce contraction over the 2000s — in both absolute and relative terms — is partly explained by:</w:t>
      </w:r>
    </w:p>
    <w:p w:rsidR="00D32A3B" w:rsidRDefault="00D32A3B" w:rsidP="00D32A3B">
      <w:pPr>
        <w:pStyle w:val="ListBullet"/>
      </w:pPr>
      <w:r>
        <w:t>its recruitment of progressively fewer workers from the ranks of the unemployed and people outside the labour force, and</w:t>
      </w:r>
    </w:p>
    <w:p w:rsidR="00D32A3B" w:rsidRDefault="00D32A3B" w:rsidP="00D32A3B">
      <w:pPr>
        <w:pStyle w:val="ListBullet"/>
      </w:pPr>
      <w:r>
        <w:t xml:space="preserve">its </w:t>
      </w:r>
      <w:r w:rsidR="001E1485">
        <w:t xml:space="preserve">loss </w:t>
      </w:r>
      <w:r>
        <w:t xml:space="preserve">of progressively more workers who became unemployed or left the labour force altogether. </w:t>
      </w:r>
    </w:p>
    <w:p w:rsidR="001F0840" w:rsidRDefault="002E770B" w:rsidP="001F0840">
      <w:pPr>
        <w:pStyle w:val="BodyText"/>
      </w:pPr>
      <w:r>
        <w:t>In utilities and construction, the scenario is similar to that in manufacturing, in that the sector’s propensities to attract new workers and shed existing ones were both low, relative to its workforce size.</w:t>
      </w:r>
      <w:r w:rsidR="001F0840">
        <w:t xml:space="preserve"> In personal services, the sector’s propensity to lose existing workers during the 2000s was much higher than in other sectors, relative to its workforce size. But the sector attracted an even higher proportion of new entrants.</w:t>
      </w:r>
      <w:r w:rsidR="001F0840">
        <w:rPr>
          <w:rStyle w:val="FootnoteReference"/>
        </w:rPr>
        <w:footnoteReference w:id="6"/>
      </w:r>
      <w:r w:rsidR="001F0840">
        <w:t xml:space="preserve"> These trends would have contributed to an expansion in the sector’s </w:t>
      </w:r>
      <w:r w:rsidR="001F0840">
        <w:lastRenderedPageBreak/>
        <w:t>relative employment size, all else equal. Distribution services exhibited features similar to those of personal services, though to a lesser extent.</w:t>
      </w:r>
    </w:p>
    <w:p w:rsidR="004A7B04" w:rsidRDefault="004A7B04" w:rsidP="004A7B04">
      <w:pPr>
        <w:pStyle w:val="FigureTitle"/>
        <w:rPr>
          <w:rStyle w:val="NoteLabel"/>
          <w:b/>
        </w:rPr>
      </w:pPr>
      <w:r>
        <w:rPr>
          <w:b w:val="0"/>
        </w:rPr>
        <w:t xml:space="preserve">Figure </w:t>
      </w:r>
      <w:r w:rsidR="003753D7">
        <w:rPr>
          <w:b w:val="0"/>
        </w:rPr>
        <w:t>5.</w:t>
      </w:r>
      <w:r w:rsidR="00FB66BF">
        <w:rPr>
          <w:b w:val="0"/>
          <w:noProof/>
        </w:rPr>
        <w:t>2</w:t>
      </w:r>
      <w:r>
        <w:tab/>
        <w:t>Workers moving into</w:t>
      </w:r>
      <w:r w:rsidR="00024660">
        <w:t xml:space="preserve"> or </w:t>
      </w:r>
      <w:r>
        <w:t>out of employment</w:t>
      </w:r>
      <w:r w:rsidR="007769C0">
        <w:t xml:space="preserve"> between consecutive years</w:t>
      </w:r>
      <w:r>
        <w:t xml:space="preserve">, by sector, </w:t>
      </w:r>
      <w:r w:rsidR="00F42B94">
        <w:t>relative to</w:t>
      </w:r>
      <w:r>
        <w:t xml:space="preserve"> sector s</w:t>
      </w:r>
      <w:r w:rsidR="00F42B94">
        <w:t>ize,</w:t>
      </w:r>
      <w:r w:rsidR="00F42B94">
        <w:br/>
      </w:r>
      <w:r w:rsidRPr="00036C6F">
        <w:t>2001</w:t>
      </w:r>
      <w:r w:rsidR="00F42B94">
        <w:t xml:space="preserve"> to </w:t>
      </w:r>
      <w:r w:rsidRPr="00036C6F">
        <w:t>20</w:t>
      </w:r>
      <w:r>
        <w:t>10</w:t>
      </w:r>
      <w:r w:rsidRPr="0032732C">
        <w:rPr>
          <w:rStyle w:val="NoteLabel"/>
          <w:b/>
        </w:rPr>
        <w:t>a</w:t>
      </w:r>
      <w:r w:rsidR="00F42B94">
        <w:rPr>
          <w:rStyle w:val="NoteLabel"/>
          <w:b/>
        </w:rPr>
        <w:t>, b, c, d</w:t>
      </w:r>
    </w:p>
    <w:p w:rsidR="004A7B04" w:rsidRPr="00003ED1" w:rsidRDefault="00F42B94" w:rsidP="004A7B04">
      <w:pPr>
        <w:pStyle w:val="Subtitle"/>
      </w:pPr>
      <w:r>
        <w:t>Relative proportion</w:t>
      </w:r>
      <w:r w:rsidR="004A7B04" w:rsidRPr="00003ED1">
        <w:t xml:space="preserve"> of all </w:t>
      </w:r>
      <w:r w:rsidR="004A7B04">
        <w:t>workers</w:t>
      </w:r>
      <w:r w:rsidR="004A7B04" w:rsidRPr="00003ED1">
        <w:t xml:space="preserve"> moving into</w:t>
      </w:r>
      <w:r w:rsidR="00024660">
        <w:t xml:space="preserve"> or </w:t>
      </w:r>
      <w:r w:rsidR="004A7B04" w:rsidRPr="00003ED1">
        <w:t>out of employment</w:t>
      </w:r>
      <w:r w:rsidR="004A7B04">
        <w:t xml:space="preserve">, </w:t>
      </w:r>
      <w:r>
        <w:t>by sector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Tr="00DF3C8C">
        <w:tc>
          <w:tcPr>
            <w:tcW w:w="8777" w:type="dxa"/>
          </w:tcPr>
          <w:p w:rsidR="004A7B04" w:rsidRDefault="00DF3C8C" w:rsidP="00A03993">
            <w:pPr>
              <w:pStyle w:val="Figure"/>
            </w:pPr>
            <w:r>
              <w:rPr>
                <w:noProof/>
              </w:rPr>
              <w:drawing>
                <wp:inline distT="0" distB="0" distL="0" distR="0" wp14:anchorId="0AEEF41A" wp14:editId="0C1749F6">
                  <wp:extent cx="5400000" cy="2880000"/>
                  <wp:effectExtent l="0" t="0" r="0" b="0"/>
                  <wp:docPr id="6" name="Chart 6" descr="Figure 5.2 The top graph of this figure shows the share of workers who moved into employment between one year to the next, disaggregated according to the sector they were moving into. The shares have been scaled according to each sector's relative employment size. The time period spans from 200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Del="00DF3C8C">
              <w:rPr>
                <w:noProof/>
              </w:rPr>
              <w:t xml:space="preserve"> </w:t>
            </w:r>
          </w:p>
        </w:tc>
      </w:tr>
      <w:tr w:rsidR="004A7B04" w:rsidTr="00DF3C8C">
        <w:tc>
          <w:tcPr>
            <w:tcW w:w="8777" w:type="dxa"/>
          </w:tcPr>
          <w:p w:rsidR="004A7B04" w:rsidRDefault="00DF3C8C" w:rsidP="00A03993">
            <w:pPr>
              <w:pStyle w:val="Figure"/>
            </w:pPr>
            <w:r>
              <w:rPr>
                <w:noProof/>
              </w:rPr>
              <w:drawing>
                <wp:inline distT="0" distB="0" distL="0" distR="0" wp14:anchorId="747D24E7" wp14:editId="7FFD9724">
                  <wp:extent cx="5400000" cy="2584724"/>
                  <wp:effectExtent l="0" t="0" r="0" b="6350"/>
                  <wp:docPr id="7" name="Chart 7" descr="The lower graph of this figure shows the share of workers who moved out of employment between one year to the next, disaggregated according to the sector they were moving out of. The shares have been scaled according to each sector's relative size. The time period spans from 2001 to 2010. Colour coding of bars is as for figure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Del="00DF3C8C">
              <w:rPr>
                <w:noProof/>
              </w:rPr>
              <w:t xml:space="preserve"> </w:t>
            </w:r>
          </w:p>
        </w:tc>
      </w:tr>
    </w:tbl>
    <w:p w:rsidR="00FC0101" w:rsidRDefault="00F42B94" w:rsidP="00FC0101">
      <w:pPr>
        <w:pStyle w:val="Note"/>
      </w:pPr>
      <w:r>
        <w:rPr>
          <w:rStyle w:val="NoteLabel"/>
        </w:rPr>
        <w:t>a</w:t>
      </w:r>
      <w:r>
        <w:t xml:space="preserve"> ‘Relative proportions’ compare sectoral shares of entering/exiting workers to that sector’s share of total employment. For example for ‘m</w:t>
      </w:r>
      <w:r w:rsidRPr="00FE7453">
        <w:t>ovements into employment</w:t>
      </w:r>
      <w:r>
        <w:t xml:space="preserve">’, a </w:t>
      </w:r>
      <w:r w:rsidRPr="009D3A6C">
        <w:t xml:space="preserve">value </w:t>
      </w:r>
      <w:r>
        <w:t>greater</w:t>
      </w:r>
      <w:r w:rsidRPr="009D3A6C">
        <w:t xml:space="preserve"> </w:t>
      </w:r>
      <w:r>
        <w:t xml:space="preserve">(less) </w:t>
      </w:r>
      <w:r w:rsidRPr="009D3A6C">
        <w:t>than one</w:t>
      </w:r>
      <w:r>
        <w:t xml:space="preserve"> indicates</w:t>
      </w:r>
      <w:r w:rsidRPr="009D3A6C">
        <w:t xml:space="preserve"> </w:t>
      </w:r>
      <w:r>
        <w:t xml:space="preserve">that </w:t>
      </w:r>
      <w:r w:rsidRPr="009D3A6C">
        <w:t>the share of ne</w:t>
      </w:r>
      <w:r>
        <w:t xml:space="preserve">w entrants joining a sector is greater (less) </w:t>
      </w:r>
      <w:r w:rsidRPr="009D3A6C">
        <w:t>than its s</w:t>
      </w:r>
      <w:r>
        <w:t>hare of total employment. A</w:t>
      </w:r>
      <w:r w:rsidRPr="009D3A6C">
        <w:t xml:space="preserve"> sector’s </w:t>
      </w:r>
      <w:r>
        <w:t xml:space="preserve">proportionally high (low) </w:t>
      </w:r>
      <w:r w:rsidRPr="009D3A6C">
        <w:t>intake of new entrants contribute</w:t>
      </w:r>
      <w:r>
        <w:t xml:space="preserve">s to an </w:t>
      </w:r>
      <w:r w:rsidRPr="009D3A6C">
        <w:t>expansion</w:t>
      </w:r>
      <w:r>
        <w:t xml:space="preserve"> (contraction) of that sector’s share of total employment</w:t>
      </w:r>
      <w:r w:rsidRPr="009D3A6C">
        <w:t>.</w:t>
      </w:r>
      <w:r>
        <w:t xml:space="preserve"> </w:t>
      </w:r>
      <w:r w:rsidR="00E71205">
        <w:t xml:space="preserve"> </w:t>
      </w:r>
      <w:r>
        <w:rPr>
          <w:rStyle w:val="NoteLabel"/>
        </w:rPr>
        <w:t>b</w:t>
      </w:r>
      <w:r>
        <w:t xml:space="preserve"> Mining is excluded due to a low sample count and high standard errors associated with its estimates. </w:t>
      </w:r>
      <w:r w:rsidR="00E71205">
        <w:t xml:space="preserve"> </w:t>
      </w:r>
      <w:r>
        <w:rPr>
          <w:rStyle w:val="NoteLabel"/>
        </w:rPr>
        <w:t>c</w:t>
      </w:r>
      <w:r>
        <w:t xml:space="preserve"> See figure 5.1 (note b) for an explanation of the year groups.</w:t>
      </w:r>
      <w:r w:rsidR="00E71205">
        <w:t xml:space="preserve"> </w:t>
      </w:r>
      <w:r>
        <w:t xml:space="preserve"> </w:t>
      </w:r>
      <w:r>
        <w:rPr>
          <w:rStyle w:val="NoteLabel"/>
        </w:rPr>
        <w:t xml:space="preserve">d </w:t>
      </w:r>
      <w:r>
        <w:t>See figure 5.1 (note d).</w:t>
      </w:r>
      <w:r w:rsidR="00FC0101" w:rsidRPr="00FC0101">
        <w:t xml:space="preserve"> </w:t>
      </w:r>
    </w:p>
    <w:p w:rsidR="00FC0101" w:rsidRPr="00B63AB9" w:rsidRDefault="00FC0101" w:rsidP="00FC0101">
      <w:pPr>
        <w:pStyle w:val="Source"/>
        <w:rPr>
          <w:b/>
        </w:rPr>
      </w:pPr>
      <w:r w:rsidRPr="00D3677C">
        <w:rPr>
          <w:i/>
        </w:rPr>
        <w:t>Source</w:t>
      </w:r>
      <w:r w:rsidRPr="00D3677C">
        <w:t xml:space="preserve">: </w:t>
      </w:r>
      <w:r w:rsidR="00100138">
        <w:t>Productivity Commission</w:t>
      </w:r>
      <w:r>
        <w:t xml:space="preserve"> </w:t>
      </w:r>
      <w:r w:rsidR="009F4456">
        <w:t>estimates</w:t>
      </w:r>
      <w:r>
        <w:t xml:space="preserve"> using HILDA Survey </w:t>
      </w:r>
      <w:r w:rsidRPr="002A5A31">
        <w:t>2001</w:t>
      </w:r>
      <w:r>
        <w:t>–</w:t>
      </w:r>
      <w:r w:rsidRPr="002A5A31">
        <w:t>2010</w:t>
      </w:r>
      <w:r>
        <w:t xml:space="preserve"> </w:t>
      </w:r>
      <w:r w:rsidRPr="00D3677C">
        <w:t>Unconfidentialised Release 10.1.</w:t>
      </w:r>
      <w:r w:rsidRPr="00955FAF">
        <w:rPr>
          <w:b/>
        </w:rPr>
        <w:t xml:space="preserve"> </w:t>
      </w:r>
    </w:p>
    <w:p w:rsidR="00034B41" w:rsidRDefault="00385E71">
      <w:pPr>
        <w:pStyle w:val="BodyText"/>
      </w:pPr>
      <w:r>
        <w:lastRenderedPageBreak/>
        <w:t xml:space="preserve">As was the case with </w:t>
      </w:r>
      <w:r w:rsidR="00832841">
        <w:t>unadjusted numbers in figure 5.1, t</w:t>
      </w:r>
      <w:r w:rsidR="00A07F45">
        <w:t xml:space="preserve">he magnitude of </w:t>
      </w:r>
      <w:r w:rsidR="00832841">
        <w:t xml:space="preserve">adjusted </w:t>
      </w:r>
      <w:r w:rsidR="00A07F45">
        <w:t>movements into and out of th</w:t>
      </w:r>
      <w:r w:rsidR="00A20948">
        <w:t>e</w:t>
      </w:r>
      <w:r w:rsidR="00A07F45">
        <w:t xml:space="preserve">se </w:t>
      </w:r>
      <w:r w:rsidR="00A20948">
        <w:t xml:space="preserve">two </w:t>
      </w:r>
      <w:r w:rsidR="00A07F45">
        <w:t xml:space="preserve">sectors </w:t>
      </w:r>
      <w:r w:rsidR="00A20948">
        <w:t>is</w:t>
      </w:r>
      <w:r w:rsidR="00A07F45">
        <w:t xml:space="preserve"> a reflection of the amount of job ‘churning’ that is typical of </w:t>
      </w:r>
      <w:r w:rsidR="00A20948">
        <w:t>some of their component industries</w:t>
      </w:r>
      <w:r w:rsidR="00A07F45">
        <w:t>, such as Accommodation and food services and Retail</w:t>
      </w:r>
      <w:r>
        <w:t xml:space="preserve"> trade</w:t>
      </w:r>
      <w:r w:rsidR="00A07F45">
        <w:t>.</w:t>
      </w:r>
      <w:r w:rsidR="00A20948">
        <w:t xml:space="preserve"> T</w:t>
      </w:r>
      <w:r w:rsidR="001B3AB4">
        <w:t xml:space="preserve">his trend </w:t>
      </w:r>
      <w:r w:rsidR="00034B41">
        <w:t xml:space="preserve">is </w:t>
      </w:r>
      <w:r w:rsidR="00A20948">
        <w:t>facilitated by the</w:t>
      </w:r>
      <w:r w:rsidR="00034B41">
        <w:t xml:space="preserve"> more accessible job opportunities</w:t>
      </w:r>
      <w:r w:rsidR="00A20948">
        <w:t xml:space="preserve"> offered by those industries,</w:t>
      </w:r>
      <w:r w:rsidR="00034B41">
        <w:t xml:space="preserve"> for those who are new entrants or marginally attached to the workforce.</w:t>
      </w:r>
    </w:p>
    <w:p w:rsidR="003F65E9" w:rsidRDefault="001E0090" w:rsidP="00C35ECD">
      <w:pPr>
        <w:pStyle w:val="BodyText"/>
      </w:pPr>
      <w:r>
        <w:t>In contrast</w:t>
      </w:r>
      <w:r w:rsidR="00A20948">
        <w:t xml:space="preserve"> to the personal and distribution services sectors</w:t>
      </w:r>
      <w:r>
        <w:t xml:space="preserve">, </w:t>
      </w:r>
      <w:r w:rsidR="00A20948">
        <w:t xml:space="preserve">in </w:t>
      </w:r>
      <w:r>
        <w:t>social services</w:t>
      </w:r>
      <w:r w:rsidR="00A20948">
        <w:t xml:space="preserve">, the propensities to attract new workers and shed existing ones were low, relative to </w:t>
      </w:r>
      <w:r w:rsidR="00832841">
        <w:t>the sector’s</w:t>
      </w:r>
      <w:r w:rsidR="00A20948">
        <w:t xml:space="preserve"> workforce size</w:t>
      </w:r>
      <w:r>
        <w:t xml:space="preserve">. </w:t>
      </w:r>
      <w:r w:rsidR="00034B41">
        <w:t xml:space="preserve">Given the growth </w:t>
      </w:r>
      <w:r w:rsidR="00825487">
        <w:t>in</w:t>
      </w:r>
      <w:r w:rsidR="00034B41">
        <w:t xml:space="preserve"> social services </w:t>
      </w:r>
      <w:r w:rsidR="00825487">
        <w:t>employment</w:t>
      </w:r>
      <w:r w:rsidR="00034B41">
        <w:t xml:space="preserve">, in relative </w:t>
      </w:r>
      <w:r w:rsidR="00776F72">
        <w:t>terms</w:t>
      </w:r>
      <w:r w:rsidR="00034B41">
        <w:t>, over time</w:t>
      </w:r>
      <w:r w:rsidR="00A20948">
        <w:t xml:space="preserve"> (chapter 4)</w:t>
      </w:r>
      <w:r w:rsidR="00034B41">
        <w:t>, t</w:t>
      </w:r>
      <w:r>
        <w:t>his suggest</w:t>
      </w:r>
      <w:r w:rsidR="00A20948">
        <w:t>s</w:t>
      </w:r>
      <w:r>
        <w:t xml:space="preserve"> that workers </w:t>
      </w:r>
      <w:r w:rsidR="00A20389">
        <w:t xml:space="preserve">in </w:t>
      </w:r>
      <w:r>
        <w:t xml:space="preserve">social services are </w:t>
      </w:r>
      <w:r w:rsidR="00034B41">
        <w:t>less</w:t>
      </w:r>
      <w:r>
        <w:t xml:space="preserve"> likely than those in other sectors to </w:t>
      </w:r>
      <w:r w:rsidR="00034B41">
        <w:t>be new entrants to the</w:t>
      </w:r>
      <w:r>
        <w:t xml:space="preserve"> workforce </w:t>
      </w:r>
      <w:r w:rsidR="00A20948">
        <w:t xml:space="preserve">at the time that </w:t>
      </w:r>
      <w:r w:rsidR="00034B41">
        <w:t>they join</w:t>
      </w:r>
      <w:r>
        <w:t xml:space="preserve"> the sector.</w:t>
      </w:r>
    </w:p>
    <w:p w:rsidR="005E2068" w:rsidRDefault="003F65E9" w:rsidP="0023410F">
      <w:pPr>
        <w:pStyle w:val="BodyText"/>
      </w:pPr>
      <w:r>
        <w:t xml:space="preserve">Business services, with </w:t>
      </w:r>
      <w:r w:rsidR="00415FBE">
        <w:t>relative proportions</w:t>
      </w:r>
      <w:r>
        <w:t xml:space="preserve"> close to one</w:t>
      </w:r>
      <w:r w:rsidR="00415FBE">
        <w:t xml:space="preserve"> in figure 5.2</w:t>
      </w:r>
      <w:r>
        <w:t>, illustrate</w:t>
      </w:r>
      <w:r w:rsidR="00825487">
        <w:t>s</w:t>
      </w:r>
      <w:r>
        <w:t xml:space="preserve"> a scenario where</w:t>
      </w:r>
      <w:r w:rsidR="009D3A6C">
        <w:t>by</w:t>
      </w:r>
      <w:r>
        <w:t xml:space="preserve"> </w:t>
      </w:r>
      <w:r w:rsidR="00415FBE">
        <w:t>entries into and exits from the sector were on par with its relative employment size. Given this,</w:t>
      </w:r>
      <w:r w:rsidR="004501B8">
        <w:t xml:space="preserve"> the </w:t>
      </w:r>
      <w:r w:rsidR="006549F4">
        <w:t xml:space="preserve">rapid </w:t>
      </w:r>
      <w:r w:rsidR="004501B8">
        <w:t xml:space="preserve">expansion </w:t>
      </w:r>
      <w:r w:rsidR="00415FBE">
        <w:t xml:space="preserve">in the employment share </w:t>
      </w:r>
      <w:r w:rsidR="004501B8">
        <w:t xml:space="preserve">of </w:t>
      </w:r>
      <w:r>
        <w:t>Professional, scientific and technical services</w:t>
      </w:r>
      <w:r w:rsidR="00776F72">
        <w:t xml:space="preserve"> employment</w:t>
      </w:r>
      <w:r>
        <w:t xml:space="preserve"> </w:t>
      </w:r>
      <w:r w:rsidR="00BC304E">
        <w:t>(</w:t>
      </w:r>
      <w:r w:rsidR="00BF13DA">
        <w:t xml:space="preserve">a </w:t>
      </w:r>
      <w:r w:rsidR="00BC304E">
        <w:t>component of business services</w:t>
      </w:r>
      <w:r w:rsidR="00415FBE">
        <w:t xml:space="preserve"> — chapter 4</w:t>
      </w:r>
      <w:r w:rsidR="00BC304E">
        <w:t xml:space="preserve">) </w:t>
      </w:r>
      <w:r w:rsidR="00825487">
        <w:t>is</w:t>
      </w:r>
      <w:r w:rsidR="00415FBE">
        <w:t xml:space="preserve"> likely</w:t>
      </w:r>
      <w:r w:rsidR="00825487">
        <w:t xml:space="preserve"> </w:t>
      </w:r>
      <w:r w:rsidR="004501B8">
        <w:t xml:space="preserve">due to </w:t>
      </w:r>
      <w:r w:rsidR="006549F4">
        <w:t>that industry</w:t>
      </w:r>
      <w:r w:rsidR="00BC304E">
        <w:t xml:space="preserve"> drawing</w:t>
      </w:r>
      <w:r w:rsidR="004501B8">
        <w:t xml:space="preserve"> existing</w:t>
      </w:r>
      <w:r w:rsidR="006134E9">
        <w:t xml:space="preserve"> workers</w:t>
      </w:r>
      <w:r>
        <w:t xml:space="preserve"> </w:t>
      </w:r>
      <w:r w:rsidR="006134E9">
        <w:t>from other industries</w:t>
      </w:r>
      <w:r w:rsidR="003A5A1B">
        <w:t>,</w:t>
      </w:r>
      <w:r w:rsidR="00825621">
        <w:t xml:space="preserve"> </w:t>
      </w:r>
      <w:r w:rsidR="004501B8">
        <w:t xml:space="preserve">rather </w:t>
      </w:r>
      <w:r w:rsidR="006549F4">
        <w:t xml:space="preserve">than from the pool of </w:t>
      </w:r>
      <w:r w:rsidR="00E307C2">
        <w:t xml:space="preserve">the </w:t>
      </w:r>
      <w:r w:rsidR="006549F4">
        <w:t xml:space="preserve">unemployed and </w:t>
      </w:r>
      <w:r w:rsidR="00E307C2">
        <w:t>those not in the labour force</w:t>
      </w:r>
      <w:r w:rsidR="00654DE6">
        <w:t>.</w:t>
      </w:r>
    </w:p>
    <w:p w:rsidR="006A5229" w:rsidRDefault="00082AE6" w:rsidP="003A5A1B">
      <w:pPr>
        <w:pStyle w:val="BodyText"/>
      </w:pPr>
      <w:bookmarkStart w:id="8" w:name="_Toc331405011"/>
      <w:bookmarkStart w:id="9" w:name="_Toc331491055"/>
      <w:r>
        <w:t>T</w:t>
      </w:r>
      <w:r w:rsidR="0066257B">
        <w:t>he mining sector</w:t>
      </w:r>
      <w:r w:rsidR="003B088B">
        <w:rPr>
          <w:rStyle w:val="FootnoteReference"/>
        </w:rPr>
        <w:footnoteReference w:id="7"/>
      </w:r>
      <w:r>
        <w:t xml:space="preserve"> appeared to attract only a relatively small share (less than one per cent) of new entrants to the workforce (data not shown </w:t>
      </w:r>
      <w:r w:rsidR="0066257B">
        <w:t xml:space="preserve">due to the small sample </w:t>
      </w:r>
      <w:r w:rsidR="00A84AB1">
        <w:t>count</w:t>
      </w:r>
      <w:r w:rsidR="0066257B">
        <w:t xml:space="preserve"> in </w:t>
      </w:r>
      <w:r w:rsidR="00A84AB1">
        <w:t>the dataset</w:t>
      </w:r>
      <w:r>
        <w:t xml:space="preserve"> and the indicative nature of the estimates</w:t>
      </w:r>
      <w:r w:rsidR="00A84AB1">
        <w:t>)</w:t>
      </w:r>
      <w:r w:rsidR="0066257B">
        <w:t>.</w:t>
      </w:r>
      <w:r w:rsidR="0066257B" w:rsidRPr="004A7B04">
        <w:t xml:space="preserve"> </w:t>
      </w:r>
      <w:r w:rsidR="0066257B">
        <w:t xml:space="preserve">Yet, this </w:t>
      </w:r>
      <w:r>
        <w:t>sector</w:t>
      </w:r>
      <w:r w:rsidR="001653CE">
        <w:t>’s workforce</w:t>
      </w:r>
      <w:r>
        <w:t xml:space="preserve"> expanded rapidly during the 2000s (chapter 4)</w:t>
      </w:r>
      <w:r w:rsidR="0066257B" w:rsidRPr="004A7B04">
        <w:t xml:space="preserve">. </w:t>
      </w:r>
      <w:r w:rsidR="0066257B">
        <w:t>This suggest</w:t>
      </w:r>
      <w:r w:rsidR="00926B31">
        <w:t>s</w:t>
      </w:r>
      <w:r w:rsidR="0066257B">
        <w:t xml:space="preserve"> that</w:t>
      </w:r>
      <w:r w:rsidR="0066257B" w:rsidRPr="004A7B04">
        <w:t xml:space="preserve">, compared to other </w:t>
      </w:r>
      <w:r>
        <w:t>sectors</w:t>
      </w:r>
      <w:r w:rsidR="0066257B" w:rsidRPr="004A7B04">
        <w:t xml:space="preserve">, mining sourced proportionally more of its </w:t>
      </w:r>
      <w:r w:rsidR="002862BD">
        <w:t xml:space="preserve">additional </w:t>
      </w:r>
      <w:r w:rsidR="0066257B" w:rsidRPr="004A7B04">
        <w:t xml:space="preserve">workforce </w:t>
      </w:r>
      <w:r>
        <w:t>from</w:t>
      </w:r>
      <w:r w:rsidR="0066257B" w:rsidRPr="004A7B04">
        <w:t xml:space="preserve"> existin</w:t>
      </w:r>
      <w:r w:rsidR="0066257B">
        <w:t xml:space="preserve">g workers </w:t>
      </w:r>
      <w:r>
        <w:t xml:space="preserve">in </w:t>
      </w:r>
      <w:r w:rsidR="0066257B">
        <w:t xml:space="preserve">other </w:t>
      </w:r>
      <w:r>
        <w:t xml:space="preserve">sectors </w:t>
      </w:r>
      <w:r w:rsidR="00DC75D6">
        <w:t xml:space="preserve">(both from the same jurisdiction and from interstate) </w:t>
      </w:r>
      <w:r w:rsidR="00A16CA2">
        <w:t xml:space="preserve">and </w:t>
      </w:r>
      <w:r>
        <w:t xml:space="preserve">from </w:t>
      </w:r>
      <w:r w:rsidR="002F41A9">
        <w:t>newly</w:t>
      </w:r>
      <w:r w:rsidR="00FD16FE">
        <w:noBreakHyphen/>
      </w:r>
      <w:r w:rsidR="002F41A9">
        <w:t>arrived skilled migrants from overseas</w:t>
      </w:r>
      <w:r w:rsidR="0066257B" w:rsidRPr="004A7B04">
        <w:t>.</w:t>
      </w:r>
      <w:r w:rsidR="008D5D34">
        <w:rPr>
          <w:rStyle w:val="FootnoteReference"/>
        </w:rPr>
        <w:footnoteReference w:id="8"/>
      </w:r>
      <w:r w:rsidR="0066257B" w:rsidRPr="004A7B04">
        <w:t xml:space="preserve"> </w:t>
      </w:r>
      <w:r w:rsidR="00A84AB1">
        <w:t>(Chapter</w:t>
      </w:r>
      <w:r w:rsidR="00AC71FA">
        <w:t> </w:t>
      </w:r>
      <w:r w:rsidR="00A84AB1">
        <w:t>6 further examines this point</w:t>
      </w:r>
      <w:r w:rsidR="001E7014">
        <w:t>.</w:t>
      </w:r>
      <w:r w:rsidR="00A84AB1">
        <w:t>)</w:t>
      </w:r>
    </w:p>
    <w:p w:rsidR="004A7B04" w:rsidRPr="004A7B04" w:rsidRDefault="004A7B04" w:rsidP="00C35ECD">
      <w:pPr>
        <w:pStyle w:val="Heading3"/>
      </w:pPr>
      <w:r w:rsidRPr="004A7B04">
        <w:lastRenderedPageBreak/>
        <w:t xml:space="preserve">Mobility between </w:t>
      </w:r>
      <w:bookmarkEnd w:id="8"/>
      <w:bookmarkEnd w:id="9"/>
      <w:r w:rsidRPr="004A7B04">
        <w:t>sectors</w:t>
      </w:r>
    </w:p>
    <w:p w:rsidR="00764444" w:rsidRDefault="00A32AFA" w:rsidP="00BA2B36">
      <w:pPr>
        <w:pStyle w:val="BodyText"/>
      </w:pPr>
      <w:r>
        <w:t>The labour reallocation component of</w:t>
      </w:r>
      <w:r w:rsidR="00A84AB1">
        <w:t xml:space="preserve"> structural </w:t>
      </w:r>
      <w:r>
        <w:t xml:space="preserve">adjustment </w:t>
      </w:r>
      <w:r w:rsidR="00A84AB1">
        <w:t>also entails workers moving between different industries</w:t>
      </w:r>
      <w:r w:rsidR="00012DAF">
        <w:t xml:space="preserve"> or sectors</w:t>
      </w:r>
      <w:r w:rsidR="00A84AB1">
        <w:t xml:space="preserve">. </w:t>
      </w:r>
      <w:r w:rsidR="00764444" w:rsidRPr="004A7B04">
        <w:t xml:space="preserve">Across all sectors, on average, around 20 per cent of workers </w:t>
      </w:r>
      <w:r w:rsidR="00764444">
        <w:t xml:space="preserve">changed sectors </w:t>
      </w:r>
      <w:r w:rsidR="00764444" w:rsidRPr="004A7B04">
        <w:t>within any given year</w:t>
      </w:r>
      <w:r w:rsidR="00764444">
        <w:t xml:space="preserve"> during the 2000s (</w:t>
      </w:r>
      <w:r w:rsidR="00100138">
        <w:t>Productivity Commission</w:t>
      </w:r>
      <w:r w:rsidR="00764444">
        <w:t xml:space="preserve"> </w:t>
      </w:r>
      <w:r w:rsidR="009F4456">
        <w:t>estimates</w:t>
      </w:r>
      <w:r w:rsidR="00764444">
        <w:t xml:space="preserve"> using HILDA Survey </w:t>
      </w:r>
      <w:r w:rsidR="00BC6A35">
        <w:t xml:space="preserve">data </w:t>
      </w:r>
      <w:r w:rsidR="00100138">
        <w:t xml:space="preserve">from </w:t>
      </w:r>
      <w:r w:rsidR="00764444" w:rsidRPr="00764444">
        <w:t>2001</w:t>
      </w:r>
      <w:r w:rsidR="00100138">
        <w:t xml:space="preserve"> to </w:t>
      </w:r>
      <w:r w:rsidR="00764444" w:rsidRPr="00764444">
        <w:t>2010</w:t>
      </w:r>
      <w:r w:rsidR="00764444">
        <w:t>)</w:t>
      </w:r>
      <w:r w:rsidR="00926B31">
        <w:t>.</w:t>
      </w:r>
      <w:r w:rsidR="00F92A4E">
        <w:rPr>
          <w:rStyle w:val="FootnoteReference"/>
        </w:rPr>
        <w:footnoteReference w:id="9"/>
      </w:r>
    </w:p>
    <w:p w:rsidR="00BA2B36" w:rsidRDefault="00A84AB1" w:rsidP="00BA2B36">
      <w:pPr>
        <w:pStyle w:val="BodyText"/>
      </w:pPr>
      <w:r>
        <w:t>F</w:t>
      </w:r>
      <w:r w:rsidR="00764444">
        <w:t>igure</w:t>
      </w:r>
      <w:r w:rsidR="00AC71FA">
        <w:t> </w:t>
      </w:r>
      <w:r w:rsidR="00764444">
        <w:t>5.3</w:t>
      </w:r>
      <w:r w:rsidR="004A7B04" w:rsidRPr="004A7B04">
        <w:t xml:space="preserve"> illustrates the share </w:t>
      </w:r>
      <w:r w:rsidR="00A20389">
        <w:t xml:space="preserve">of </w:t>
      </w:r>
      <w:r w:rsidR="004A7B04" w:rsidRPr="004A7B04">
        <w:t xml:space="preserve">workers who changed their sector of employment </w:t>
      </w:r>
      <w:r w:rsidR="00AB2481">
        <w:t>from one year to the next</w:t>
      </w:r>
      <w:r>
        <w:t>,</w:t>
      </w:r>
      <w:r w:rsidR="004A7B04" w:rsidRPr="004A7B04">
        <w:t xml:space="preserve"> according to the sector </w:t>
      </w:r>
      <w:r w:rsidR="00A32AFA">
        <w:t>they moved</w:t>
      </w:r>
      <w:r>
        <w:t xml:space="preserve"> out</w:t>
      </w:r>
      <w:r w:rsidR="00A32AFA">
        <w:t xml:space="preserve"> of</w:t>
      </w:r>
      <w:r w:rsidR="00764444">
        <w:t xml:space="preserve">. </w:t>
      </w:r>
      <w:r>
        <w:t xml:space="preserve">A relatively high </w:t>
      </w:r>
      <w:r w:rsidR="005E3758">
        <w:t xml:space="preserve">share </w:t>
      </w:r>
      <w:r w:rsidR="00A32AFA">
        <w:t xml:space="preserve">of workers </w:t>
      </w:r>
      <w:r w:rsidR="005E3758">
        <w:t xml:space="preserve">moved </w:t>
      </w:r>
      <w:r w:rsidR="00E307C2">
        <w:t xml:space="preserve">from </w:t>
      </w:r>
      <w:r w:rsidR="005E3758">
        <w:t>m</w:t>
      </w:r>
      <w:r w:rsidR="004A7B04" w:rsidRPr="004A7B04">
        <w:t xml:space="preserve">anufacturing and personal services, while </w:t>
      </w:r>
      <w:r w:rsidR="00AB2481">
        <w:t xml:space="preserve">a very low share moved </w:t>
      </w:r>
      <w:r w:rsidR="00E307C2">
        <w:t xml:space="preserve">from </w:t>
      </w:r>
      <w:r w:rsidR="004A7B04" w:rsidRPr="004A7B04">
        <w:t xml:space="preserve">social services. </w:t>
      </w:r>
      <w:r w:rsidR="005E3758">
        <w:t xml:space="preserve">Over </w:t>
      </w:r>
      <w:r w:rsidR="00012DAF">
        <w:t>the period</w:t>
      </w:r>
      <w:r w:rsidR="005E3758">
        <w:t>,</w:t>
      </w:r>
      <w:r w:rsidR="004A7B04" w:rsidRPr="004A7B04">
        <w:t xml:space="preserve"> </w:t>
      </w:r>
      <w:r w:rsidR="005E3758">
        <w:t xml:space="preserve">the </w:t>
      </w:r>
      <w:r w:rsidR="001819AF">
        <w:t>share</w:t>
      </w:r>
      <w:r w:rsidR="004A7B04" w:rsidRPr="004A7B04">
        <w:t xml:space="preserve"> moving </w:t>
      </w:r>
      <w:r w:rsidR="00E307C2">
        <w:t xml:space="preserve">from </w:t>
      </w:r>
      <w:r w:rsidR="004A7B04" w:rsidRPr="004A7B04">
        <w:t>manufacturing and agriculture</w:t>
      </w:r>
      <w:r w:rsidR="005E3758">
        <w:t xml:space="preserve"> </w:t>
      </w:r>
      <w:r w:rsidR="00764444">
        <w:t>grew</w:t>
      </w:r>
      <w:r w:rsidR="004A7B04" w:rsidRPr="004A7B04">
        <w:t xml:space="preserve">, </w:t>
      </w:r>
      <w:r w:rsidR="005E3758">
        <w:t>while</w:t>
      </w:r>
      <w:r w:rsidR="004A7B04" w:rsidRPr="004A7B04">
        <w:t xml:space="preserve"> </w:t>
      </w:r>
      <w:r w:rsidR="005E3758">
        <w:t xml:space="preserve">the </w:t>
      </w:r>
      <w:r w:rsidR="001819AF">
        <w:t>share</w:t>
      </w:r>
      <w:r w:rsidR="005E3758">
        <w:t xml:space="preserve"> moving </w:t>
      </w:r>
      <w:r w:rsidR="00E307C2">
        <w:t xml:space="preserve">from </w:t>
      </w:r>
      <w:r w:rsidR="004A7B04" w:rsidRPr="004A7B04">
        <w:t>mining and business services</w:t>
      </w:r>
      <w:r w:rsidR="005E3758">
        <w:t xml:space="preserve"> </w:t>
      </w:r>
      <w:r w:rsidR="00A32AFA">
        <w:t xml:space="preserve">contracted </w:t>
      </w:r>
      <w:r w:rsidR="00FB0AA0">
        <w:t>(figure</w:t>
      </w:r>
      <w:r w:rsidR="00AC71FA">
        <w:t> </w:t>
      </w:r>
      <w:r w:rsidR="00FB0AA0">
        <w:t>5.3</w:t>
      </w:r>
      <w:r w:rsidR="00AB2481">
        <w:t>)</w:t>
      </w:r>
      <w:r w:rsidR="004A7B04" w:rsidRPr="004A7B04">
        <w:t>.</w:t>
      </w:r>
      <w:r w:rsidR="00FB0AA0">
        <w:t xml:space="preserve"> Again, these flows are consistent with broader </w:t>
      </w:r>
      <w:r w:rsidR="00012DAF">
        <w:t xml:space="preserve">observed </w:t>
      </w:r>
      <w:r w:rsidR="00FB0AA0">
        <w:t>patterns of industry expansion and contraction associated with structural change.</w:t>
      </w:r>
      <w:r w:rsidR="001819AF" w:rsidRPr="004A7B04">
        <w:rPr>
          <w:position w:val="6"/>
          <w:sz w:val="22"/>
        </w:rPr>
        <w:footnoteReference w:id="10"/>
      </w:r>
      <w:r w:rsidR="004A7B04" w:rsidRPr="004A7B04">
        <w:t xml:space="preserve"> </w:t>
      </w:r>
    </w:p>
    <w:p w:rsidR="00650222" w:rsidRDefault="00650222" w:rsidP="00BA2B36">
      <w:pPr>
        <w:pStyle w:val="BodyText"/>
      </w:pPr>
      <w:r>
        <w:t>T</w:t>
      </w:r>
      <w:r w:rsidR="00285D2D">
        <w:t>he flow</w:t>
      </w:r>
      <w:r w:rsidR="00A63FE1">
        <w:t>s</w:t>
      </w:r>
      <w:r w:rsidR="00285D2D">
        <w:t xml:space="preserve"> of </w:t>
      </w:r>
      <w:r w:rsidR="0022493F">
        <w:t xml:space="preserve">individual </w:t>
      </w:r>
      <w:r>
        <w:t xml:space="preserve">workers between </w:t>
      </w:r>
      <w:r w:rsidR="00A63FE1">
        <w:t>sectors</w:t>
      </w:r>
      <w:r>
        <w:t xml:space="preserve"> can be </w:t>
      </w:r>
      <w:r w:rsidR="0022493F">
        <w:t xml:space="preserve">mapped </w:t>
      </w:r>
      <w:r>
        <w:t>more precisely</w:t>
      </w:r>
      <w:r w:rsidR="00A63FE1">
        <w:t xml:space="preserve"> than in figure 5.3</w:t>
      </w:r>
      <w:r>
        <w:t xml:space="preserve">. </w:t>
      </w:r>
      <w:r w:rsidR="00DC75D6">
        <w:t>D</w:t>
      </w:r>
      <w:r w:rsidR="00056BF3">
        <w:t xml:space="preserve">etailed estimates </w:t>
      </w:r>
      <w:r w:rsidR="00A32AFA">
        <w:t xml:space="preserve">of </w:t>
      </w:r>
      <w:r w:rsidR="00056BF3">
        <w:t xml:space="preserve">the number of workers moving into </w:t>
      </w:r>
      <w:r w:rsidR="00285D2D">
        <w:t>and</w:t>
      </w:r>
      <w:r w:rsidR="00056BF3">
        <w:t xml:space="preserve"> out of each sector between 2001 and 2002 and between 2009 and 2010</w:t>
      </w:r>
      <w:r w:rsidR="0022493F">
        <w:t xml:space="preserve"> are presented in </w:t>
      </w:r>
      <w:r w:rsidR="00EE7CCA">
        <w:t>figure</w:t>
      </w:r>
      <w:r w:rsidR="00E307C2">
        <w:t> </w:t>
      </w:r>
      <w:r w:rsidR="007637F1">
        <w:t>C</w:t>
      </w:r>
      <w:r w:rsidR="00EE7CCA">
        <w:t xml:space="preserve">.1 </w:t>
      </w:r>
      <w:r w:rsidR="00BE76E1">
        <w:t>(</w:t>
      </w:r>
      <w:r w:rsidR="0022493F">
        <w:t>appendix </w:t>
      </w:r>
      <w:r w:rsidR="007637F1">
        <w:t>C</w:t>
      </w:r>
      <w:r w:rsidR="00BE76E1">
        <w:t>)</w:t>
      </w:r>
      <w:r>
        <w:t xml:space="preserve">. </w:t>
      </w:r>
      <w:r w:rsidR="00056BF3">
        <w:t>Reiterating</w:t>
      </w:r>
      <w:r>
        <w:t xml:space="preserve"> </w:t>
      </w:r>
      <w:r w:rsidR="00212237">
        <w:t xml:space="preserve">some </w:t>
      </w:r>
      <w:r>
        <w:t>broader patterns of structural</w:t>
      </w:r>
      <w:r w:rsidR="00056BF3">
        <w:t xml:space="preserve"> change, these estimates show how, </w:t>
      </w:r>
      <w:r w:rsidR="009F46AE">
        <w:t>when comparing the start and end of the decade</w:t>
      </w:r>
      <w:r w:rsidR="00056BF3">
        <w:t xml:space="preserve">, the number of workers moving into manufacturing </w:t>
      </w:r>
      <w:r w:rsidR="00285D2D">
        <w:t>declined, while the number</w:t>
      </w:r>
      <w:r w:rsidR="00056BF3">
        <w:t xml:space="preserve"> </w:t>
      </w:r>
      <w:r w:rsidR="00285D2D">
        <w:t>moving into social services grew.</w:t>
      </w:r>
    </w:p>
    <w:p w:rsidR="00BA2B36" w:rsidRDefault="004A7B04" w:rsidP="00BA2B36">
      <w:pPr>
        <w:pStyle w:val="FigureTitle"/>
        <w:rPr>
          <w:position w:val="6"/>
          <w:sz w:val="18"/>
          <w:szCs w:val="20"/>
        </w:rPr>
      </w:pPr>
      <w:r w:rsidRPr="00BA2B36">
        <w:rPr>
          <w:b w:val="0"/>
        </w:rPr>
        <w:lastRenderedPageBreak/>
        <w:t xml:space="preserve">Figure </w:t>
      </w:r>
      <w:bookmarkStart w:id="10" w:name="OLE_LINK28"/>
      <w:r w:rsidR="003753D7">
        <w:rPr>
          <w:b w:val="0"/>
        </w:rPr>
        <w:t>5.</w:t>
      </w:r>
      <w:r w:rsidR="00FB66BF">
        <w:rPr>
          <w:b w:val="0"/>
          <w:noProof/>
        </w:rPr>
        <w:t>3</w:t>
      </w:r>
      <w:bookmarkEnd w:id="10"/>
      <w:r w:rsidR="00BA2B36">
        <w:t xml:space="preserve"> </w:t>
      </w:r>
      <w:r w:rsidR="00BA2B36">
        <w:tab/>
      </w:r>
      <w:r w:rsidRPr="004A7B04">
        <w:t>Workers changing se</w:t>
      </w:r>
      <w:r w:rsidR="00BA2B36">
        <w:t xml:space="preserve">ctor between consecutive years, </w:t>
      </w:r>
      <w:r w:rsidR="00BA2B36">
        <w:br/>
      </w:r>
      <w:r w:rsidRPr="004A7B04">
        <w:t>2001</w:t>
      </w:r>
      <w:r w:rsidR="00D67D16">
        <w:t xml:space="preserve"> to </w:t>
      </w:r>
      <w:r w:rsidRPr="004A7B04">
        <w:t>2010</w:t>
      </w:r>
      <w:r w:rsidRPr="00BA2B36">
        <w:rPr>
          <w:rStyle w:val="NoteLabel"/>
          <w:b/>
        </w:rPr>
        <w:t>a</w:t>
      </w:r>
      <w:r w:rsidR="00D67D16">
        <w:rPr>
          <w:rStyle w:val="NoteLabel"/>
          <w:b/>
        </w:rPr>
        <w:t>, b, c</w:t>
      </w:r>
      <w:r w:rsidR="003B088B">
        <w:rPr>
          <w:rStyle w:val="NoteLabel"/>
          <w:b/>
        </w:rPr>
        <w:t>, d</w:t>
      </w:r>
    </w:p>
    <w:p w:rsidR="004A7B04" w:rsidRPr="00BA2B36" w:rsidRDefault="004A7B04" w:rsidP="00BA2B36">
      <w:pPr>
        <w:pStyle w:val="Subtitle"/>
        <w:rPr>
          <w:position w:val="6"/>
          <w:sz w:val="18"/>
          <w:szCs w:val="20"/>
        </w:rPr>
      </w:pPr>
      <w:r w:rsidRPr="004A7B04">
        <w:t>P</w:t>
      </w:r>
      <w:r w:rsidR="00A63FE1">
        <w:t>roportion</w:t>
      </w:r>
      <w:r w:rsidRPr="004A7B04">
        <w:t xml:space="preserve"> of workers</w:t>
      </w:r>
      <w:r w:rsidR="00D67D16">
        <w:t xml:space="preserve"> moving out of each sector</w:t>
      </w:r>
      <w:r w:rsidR="00A63FE1">
        <w:t xml:space="preserve"> to join another</w:t>
      </w:r>
      <w:r w:rsidR="00D67D16">
        <w:t xml:space="preserve">, as a </w:t>
      </w:r>
      <w:r w:rsidR="00A63FE1">
        <w:t xml:space="preserve">percentage </w:t>
      </w:r>
      <w:r w:rsidR="00D67D16">
        <w:t xml:space="preserve">of all workers in </w:t>
      </w:r>
      <w:r w:rsidR="00A63FE1">
        <w:t xml:space="preserve">the </w:t>
      </w:r>
      <w:r w:rsidR="00D67D16">
        <w:t>sector</w:t>
      </w:r>
      <w:r w:rsidR="00A63FE1">
        <w:t xml:space="preserve"> of origin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143884">
        <w:tc>
          <w:tcPr>
            <w:tcW w:w="8777" w:type="dxa"/>
          </w:tcPr>
          <w:p w:rsidR="004A7B04" w:rsidRPr="004A7B04" w:rsidRDefault="00143884" w:rsidP="00BA2B36">
            <w:pPr>
              <w:keepNext/>
              <w:spacing w:before="120" w:after="120" w:line="240" w:lineRule="atLeast"/>
              <w:jc w:val="center"/>
              <w:rPr>
                <w:szCs w:val="20"/>
              </w:rPr>
            </w:pPr>
            <w:r>
              <w:rPr>
                <w:noProof/>
              </w:rPr>
              <w:drawing>
                <wp:inline distT="0" distB="0" distL="0" distR="0" wp14:anchorId="3E9C4F91" wp14:editId="0DA54186">
                  <wp:extent cx="5401733" cy="2463800"/>
                  <wp:effectExtent l="0" t="0" r="8890" b="0"/>
                  <wp:docPr id="1" name="Chart 1" descr="This figure shows the share of workers within each sector who changed sector between one year and the next, throughout the period 2001 to 2010. The sector refers to the sector that workers were moving out of. "/>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D67D16" w:rsidRPr="004A7B04" w:rsidRDefault="00D67D16" w:rsidP="00D67D16">
      <w:pPr>
        <w:pStyle w:val="Note"/>
      </w:pPr>
      <w:r w:rsidRPr="00BA2B36">
        <w:rPr>
          <w:rStyle w:val="NoteLabel"/>
        </w:rPr>
        <w:t>a</w:t>
      </w:r>
      <w:r w:rsidRPr="004A7B04">
        <w:rPr>
          <w:b/>
          <w:position w:val="6"/>
        </w:rPr>
        <w:t xml:space="preserve"> </w:t>
      </w:r>
      <w:r w:rsidRPr="004A7B04">
        <w:t>Sector</w:t>
      </w:r>
      <w:r>
        <w:t>al categories</w:t>
      </w:r>
      <w:r w:rsidRPr="004A7B04">
        <w:t xml:space="preserve"> refer to the sector that workers </w:t>
      </w:r>
      <w:r w:rsidRPr="009D5DC4">
        <w:t>moved</w:t>
      </w:r>
      <w:r>
        <w:rPr>
          <w:i/>
        </w:rPr>
        <w:t xml:space="preserve"> </w:t>
      </w:r>
      <w:r w:rsidRPr="005E3758">
        <w:rPr>
          <w:i/>
        </w:rPr>
        <w:t xml:space="preserve">out </w:t>
      </w:r>
      <w:r w:rsidRPr="009D5DC4">
        <w:t>of</w:t>
      </w:r>
      <w:r w:rsidRPr="004A7B04">
        <w:t xml:space="preserve">. </w:t>
      </w:r>
      <w:r w:rsidR="00602FA9">
        <w:t xml:space="preserve"> </w:t>
      </w:r>
      <w:r>
        <w:rPr>
          <w:rStyle w:val="NoteLabel"/>
        </w:rPr>
        <w:t>b</w:t>
      </w:r>
      <w:r w:rsidRPr="004A7B04">
        <w:t xml:space="preserve"> Estimates are averaged values for </w:t>
      </w:r>
      <w:r>
        <w:t>three</w:t>
      </w:r>
      <w:r w:rsidRPr="004A7B04">
        <w:t xml:space="preserve"> pairs of consecu</w:t>
      </w:r>
      <w:r>
        <w:t>tive years, for example</w:t>
      </w:r>
      <w:r w:rsidR="00012E16">
        <w:t>,</w:t>
      </w:r>
      <w:r>
        <w:t xml:space="preserve"> ‘average </w:t>
      </w:r>
      <w:r w:rsidRPr="005374E1">
        <w:t>2001</w:t>
      </w:r>
      <w:r>
        <w:t>–</w:t>
      </w:r>
      <w:r w:rsidRPr="005374E1">
        <w:t>2002</w:t>
      </w:r>
      <w:r>
        <w:t xml:space="preserve"> to </w:t>
      </w:r>
      <w:r w:rsidRPr="005374E1">
        <w:t>2003</w:t>
      </w:r>
      <w:r>
        <w:t>–</w:t>
      </w:r>
      <w:r w:rsidRPr="005374E1">
        <w:t>2004’</w:t>
      </w:r>
      <w:r w:rsidRPr="004A7B04">
        <w:t xml:space="preserve"> refers to workers who changed sector between 2001 and 2002, between 2002 and 2003, and/or between 2003 and 2004. Estimates exclude workers who moved into or </w:t>
      </w:r>
      <w:r>
        <w:t xml:space="preserve">out of the workforce completely. </w:t>
      </w:r>
      <w:r w:rsidR="00E71205">
        <w:t xml:space="preserve"> </w:t>
      </w:r>
      <w:r>
        <w:rPr>
          <w:rStyle w:val="NoteLabel"/>
        </w:rPr>
        <w:t>c</w:t>
      </w:r>
      <w:r w:rsidRPr="004A7B04">
        <w:t xml:space="preserve"> </w:t>
      </w:r>
      <w:r>
        <w:t>Estimates refer to the working</w:t>
      </w:r>
      <w:r>
        <w:noBreakHyphen/>
        <w:t>age population (15</w:t>
      </w:r>
      <w:r w:rsidRPr="004A7B04">
        <w:t>–</w:t>
      </w:r>
      <w:r>
        <w:t>64 years) and are population</w:t>
      </w:r>
      <w:r>
        <w:noBreakHyphen/>
        <w:t>weighted.</w:t>
      </w:r>
      <w:r w:rsidR="003B088B">
        <w:t xml:space="preserve">  </w:t>
      </w:r>
      <w:r w:rsidR="003B088B">
        <w:rPr>
          <w:rStyle w:val="NoteLabel"/>
        </w:rPr>
        <w:t>d</w:t>
      </w:r>
      <w:r w:rsidR="003B088B" w:rsidRPr="004A7B04">
        <w:t xml:space="preserve"> </w:t>
      </w:r>
      <w:r w:rsidR="003B088B">
        <w:t>Sectors are defined in appendix A.</w:t>
      </w:r>
    </w:p>
    <w:p w:rsidR="00F51DDE" w:rsidRDefault="004A7B04" w:rsidP="008138EF">
      <w:pPr>
        <w:pStyle w:val="Source"/>
      </w:pPr>
      <w:r w:rsidRPr="00BA2B36">
        <w:rPr>
          <w:i/>
        </w:rPr>
        <w:t>Source</w:t>
      </w:r>
      <w:r w:rsidRPr="004A7B04">
        <w:t xml:space="preserve">: </w:t>
      </w:r>
      <w:r w:rsidR="00100138">
        <w:t>Productivity Commission</w:t>
      </w:r>
      <w:r w:rsidRPr="004A7B04">
        <w:t xml:space="preserve"> </w:t>
      </w:r>
      <w:r w:rsidR="009F4456">
        <w:t>estimates</w:t>
      </w:r>
      <w:r w:rsidRPr="004A7B04">
        <w:t xml:space="preserve"> using HILDA Survey 2001–2010 U</w:t>
      </w:r>
      <w:bookmarkStart w:id="11" w:name="OLE_LINK6"/>
      <w:r w:rsidR="008138EF">
        <w:t>nconfidentialised Release 10.1.</w:t>
      </w:r>
    </w:p>
    <w:bookmarkEnd w:id="11"/>
    <w:p w:rsidR="004A7B04" w:rsidRPr="004A7B04" w:rsidRDefault="004A7B04" w:rsidP="00F51DDE">
      <w:pPr>
        <w:pStyle w:val="Heading3"/>
      </w:pPr>
      <w:r w:rsidRPr="004A7B04">
        <w:t>Mobility between occupations</w:t>
      </w:r>
    </w:p>
    <w:p w:rsidR="004A7B04" w:rsidRDefault="004A7B04" w:rsidP="00F51DDE">
      <w:pPr>
        <w:pStyle w:val="BodyText"/>
      </w:pPr>
      <w:r w:rsidRPr="004A7B04">
        <w:t xml:space="preserve">Given that occupational profiles differ between industries, workers’ adjustment to the changing structure of the economy </w:t>
      </w:r>
      <w:r w:rsidR="00762B68">
        <w:t>sometimes</w:t>
      </w:r>
      <w:r w:rsidRPr="004A7B04">
        <w:t xml:space="preserve"> entail</w:t>
      </w:r>
      <w:r w:rsidR="00762B68">
        <w:t>s</w:t>
      </w:r>
      <w:r w:rsidRPr="004A7B04">
        <w:t xml:space="preserve"> them </w:t>
      </w:r>
      <w:r w:rsidR="004A0541">
        <w:t>changing occupation</w:t>
      </w:r>
      <w:r w:rsidRPr="004A7B04">
        <w:t xml:space="preserve">. </w:t>
      </w:r>
      <w:r w:rsidR="00B61914">
        <w:t>Figure</w:t>
      </w:r>
      <w:r w:rsidR="00AC71FA">
        <w:t> </w:t>
      </w:r>
      <w:r w:rsidR="00B61914">
        <w:t>5.4</w:t>
      </w:r>
      <w:r w:rsidRPr="004A7B04">
        <w:t xml:space="preserve"> shows the share of workers who switched out of their occupa</w:t>
      </w:r>
      <w:r w:rsidR="004A0541">
        <w:t>tion from one year to the next.</w:t>
      </w:r>
      <w:r w:rsidR="005335DB">
        <w:t xml:space="preserve"> </w:t>
      </w:r>
      <w:r w:rsidR="005335DB" w:rsidRPr="004A7B04">
        <w:t xml:space="preserve">Managers, Sales workers and Labourers generally demonstrated the greatest propensity to switch to another occupation. Most commonly, </w:t>
      </w:r>
      <w:r w:rsidR="005335DB">
        <w:t>they switched</w:t>
      </w:r>
      <w:r w:rsidR="005335DB" w:rsidRPr="004A7B04">
        <w:t xml:space="preserve"> to either a Professional, Clerical or Administra</w:t>
      </w:r>
      <w:r w:rsidR="005335DB">
        <w:t xml:space="preserve">tive role (data not </w:t>
      </w:r>
      <w:r w:rsidR="00762B68">
        <w:t>shown</w:t>
      </w:r>
      <w:r w:rsidR="005335DB">
        <w:t xml:space="preserve">). </w:t>
      </w:r>
    </w:p>
    <w:p w:rsidR="005335DB" w:rsidRPr="004A7B04" w:rsidRDefault="00E47361" w:rsidP="00F51DDE">
      <w:pPr>
        <w:pStyle w:val="BodyText"/>
      </w:pPr>
      <w:r>
        <w:t>While s</w:t>
      </w:r>
      <w:r w:rsidR="005335DB">
        <w:t xml:space="preserve">ome </w:t>
      </w:r>
      <w:r w:rsidR="00762B68">
        <w:t xml:space="preserve">workers’ </w:t>
      </w:r>
      <w:r w:rsidR="00762B68" w:rsidRPr="004A7B04">
        <w:t xml:space="preserve">occupational </w:t>
      </w:r>
      <w:r w:rsidR="00762B68">
        <w:t>t</w:t>
      </w:r>
      <w:r w:rsidR="00762B68" w:rsidRPr="004A7B04">
        <w:t>rajectories</w:t>
      </w:r>
      <w:r w:rsidR="00762B68">
        <w:t xml:space="preserve"> </w:t>
      </w:r>
      <w:r w:rsidR="005335DB">
        <w:t xml:space="preserve">reflect </w:t>
      </w:r>
      <w:r w:rsidR="00762B68">
        <w:t>a</w:t>
      </w:r>
      <w:r w:rsidR="005335DB">
        <w:t xml:space="preserve"> </w:t>
      </w:r>
      <w:r w:rsidR="00762B68">
        <w:t>transition</w:t>
      </w:r>
      <w:r w:rsidR="005335DB" w:rsidRPr="004A7B04">
        <w:t xml:space="preserve"> to </w:t>
      </w:r>
      <w:r w:rsidR="00762B68">
        <w:t>a higher</w:t>
      </w:r>
      <w:r w:rsidR="00762B68">
        <w:noBreakHyphen/>
      </w:r>
      <w:r w:rsidR="005335DB">
        <w:t>skille</w:t>
      </w:r>
      <w:r>
        <w:t>d job</w:t>
      </w:r>
      <w:r w:rsidR="005335DB">
        <w:t xml:space="preserve"> </w:t>
      </w:r>
      <w:r w:rsidR="005335DB" w:rsidRPr="004A7B04">
        <w:t>as p</w:t>
      </w:r>
      <w:r w:rsidR="005335DB">
        <w:t xml:space="preserve">art of their career </w:t>
      </w:r>
      <w:r w:rsidR="00DC75D6">
        <w:t xml:space="preserve">progression </w:t>
      </w:r>
      <w:r w:rsidR="005335DB">
        <w:t>(such as Labourers transitioning to Technicians or Trades Workers, or Professional</w:t>
      </w:r>
      <w:r>
        <w:t>s moving into management roles),</w:t>
      </w:r>
      <w:r w:rsidR="005335DB">
        <w:t xml:space="preserve"> </w:t>
      </w:r>
      <w:r>
        <w:t>o</w:t>
      </w:r>
      <w:r w:rsidR="00762B68">
        <w:t>ther</w:t>
      </w:r>
      <w:r w:rsidR="005335DB">
        <w:t xml:space="preserve"> </w:t>
      </w:r>
      <w:r w:rsidR="005335DB" w:rsidRPr="004A7B04">
        <w:t>trajector</w:t>
      </w:r>
      <w:r w:rsidR="005335DB">
        <w:t xml:space="preserve">ies reflect the </w:t>
      </w:r>
      <w:r w:rsidR="00B32583">
        <w:t>rising</w:t>
      </w:r>
      <w:r w:rsidR="00B32583" w:rsidRPr="004A7B04">
        <w:t xml:space="preserve"> </w:t>
      </w:r>
      <w:r w:rsidR="005335DB" w:rsidRPr="004A7B04">
        <w:t>s</w:t>
      </w:r>
      <w:r>
        <w:t>kill</w:t>
      </w:r>
      <w:r w:rsidR="002825A7">
        <w:t>s</w:t>
      </w:r>
      <w:r>
        <w:t xml:space="preserve"> </w:t>
      </w:r>
      <w:r w:rsidR="00B32583">
        <w:t>or qualification</w:t>
      </w:r>
      <w:r w:rsidR="002825A7">
        <w:t>s</w:t>
      </w:r>
      <w:r w:rsidR="00B32583">
        <w:t xml:space="preserve"> </w:t>
      </w:r>
      <w:r>
        <w:t>requirements of jobs in general</w:t>
      </w:r>
      <w:r w:rsidR="003D177D">
        <w:t>,</w:t>
      </w:r>
      <w:r w:rsidR="005335DB">
        <w:t xml:space="preserve"> </w:t>
      </w:r>
      <w:r>
        <w:t>which</w:t>
      </w:r>
      <w:r w:rsidR="005335DB">
        <w:t xml:space="preserve"> is </w:t>
      </w:r>
      <w:r w:rsidR="005335DB" w:rsidRPr="004A7B04">
        <w:t>a feature of</w:t>
      </w:r>
      <w:r w:rsidR="00D25BE6">
        <w:t xml:space="preserve"> recent</w:t>
      </w:r>
      <w:r w:rsidR="005335DB" w:rsidRPr="004A7B04">
        <w:t xml:space="preserve"> </w:t>
      </w:r>
      <w:r w:rsidR="005335DB">
        <w:t>structural change.</w:t>
      </w:r>
      <w:r w:rsidR="00B26BA9">
        <w:t xml:space="preserve"> </w:t>
      </w:r>
      <w:r w:rsidR="00B32583">
        <w:t>A</w:t>
      </w:r>
      <w:r w:rsidR="00B26BA9">
        <w:t xml:space="preserve">s discussed further in section 5.2, </w:t>
      </w:r>
      <w:r w:rsidR="00986416">
        <w:t xml:space="preserve">some workers have shifted to </w:t>
      </w:r>
      <w:r w:rsidR="00B32583">
        <w:t xml:space="preserve">a </w:t>
      </w:r>
      <w:r w:rsidR="00986416">
        <w:t>higher</w:t>
      </w:r>
      <w:r w:rsidR="00FD16FE">
        <w:noBreakHyphen/>
      </w:r>
      <w:r w:rsidR="00986416">
        <w:t>ranked occupation (</w:t>
      </w:r>
      <w:r w:rsidR="00B32583">
        <w:t>reflecting</w:t>
      </w:r>
      <w:r w:rsidR="00DA6197">
        <w:t xml:space="preserve"> </w:t>
      </w:r>
      <w:r w:rsidR="00B32583">
        <w:t xml:space="preserve">a </w:t>
      </w:r>
      <w:r w:rsidR="00986416">
        <w:t>higher</w:t>
      </w:r>
      <w:r w:rsidR="00986416">
        <w:noBreakHyphen/>
        <w:t>skilled job) because their former</w:t>
      </w:r>
      <w:r w:rsidR="00B32583">
        <w:t>,</w:t>
      </w:r>
      <w:r w:rsidR="00986416">
        <w:t xml:space="preserve"> low</w:t>
      </w:r>
      <w:r w:rsidR="00B32583">
        <w:t>er</w:t>
      </w:r>
      <w:r w:rsidR="00986416">
        <w:noBreakHyphen/>
        <w:t xml:space="preserve">skilled job </w:t>
      </w:r>
      <w:r w:rsidR="00B32583">
        <w:t>has disappeared. Others have shifted because their</w:t>
      </w:r>
      <w:r>
        <w:t xml:space="preserve"> job </w:t>
      </w:r>
      <w:r w:rsidR="00B32583">
        <w:t xml:space="preserve">has </w:t>
      </w:r>
      <w:r w:rsidR="00C41E14">
        <w:t xml:space="preserve">been reclassified </w:t>
      </w:r>
      <w:r w:rsidR="004141C2">
        <w:t xml:space="preserve">to </w:t>
      </w:r>
      <w:r w:rsidR="00C41E14">
        <w:t>a</w:t>
      </w:r>
      <w:r w:rsidR="00B26BA9">
        <w:t xml:space="preserve"> higher</w:t>
      </w:r>
      <w:r w:rsidR="00B26BA9">
        <w:noBreakHyphen/>
      </w:r>
      <w:r w:rsidR="00C41E14">
        <w:t>ranked occupation</w:t>
      </w:r>
      <w:r w:rsidR="00B32583">
        <w:t xml:space="preserve">, due to </w:t>
      </w:r>
      <w:r w:rsidR="00C41E14">
        <w:t>the skill</w:t>
      </w:r>
      <w:r w:rsidR="002825A7">
        <w:t>s</w:t>
      </w:r>
      <w:r w:rsidR="00B32583">
        <w:t xml:space="preserve"> or qualification</w:t>
      </w:r>
      <w:r w:rsidR="002825A7">
        <w:t>s</w:t>
      </w:r>
      <w:r w:rsidR="00C41E14">
        <w:t xml:space="preserve"> requirements </w:t>
      </w:r>
      <w:r w:rsidR="00986416">
        <w:t xml:space="preserve">of that job </w:t>
      </w:r>
      <w:r w:rsidR="00B32583">
        <w:t>rising</w:t>
      </w:r>
      <w:r w:rsidR="00C41E14">
        <w:t xml:space="preserve"> over time.</w:t>
      </w:r>
    </w:p>
    <w:p w:rsidR="004A7B04" w:rsidRPr="004A7B04" w:rsidRDefault="004A7B04" w:rsidP="00F51DDE">
      <w:pPr>
        <w:pStyle w:val="FigureTitle"/>
        <w:rPr>
          <w:position w:val="6"/>
          <w:sz w:val="18"/>
          <w:szCs w:val="20"/>
        </w:rPr>
      </w:pPr>
      <w:bookmarkStart w:id="12" w:name="_Toc331491054"/>
      <w:bookmarkStart w:id="13" w:name="_Toc331405013"/>
      <w:bookmarkStart w:id="14" w:name="_Toc331491057"/>
      <w:r w:rsidRPr="00F51DDE">
        <w:rPr>
          <w:b w:val="0"/>
        </w:rPr>
        <w:lastRenderedPageBreak/>
        <w:t xml:space="preserve">Figure </w:t>
      </w:r>
      <w:bookmarkStart w:id="15" w:name="OLE_LINK31"/>
      <w:r w:rsidR="003753D7">
        <w:rPr>
          <w:b w:val="0"/>
        </w:rPr>
        <w:t>5.</w:t>
      </w:r>
      <w:r w:rsidR="00FB66BF">
        <w:rPr>
          <w:b w:val="0"/>
          <w:noProof/>
        </w:rPr>
        <w:t>4</w:t>
      </w:r>
      <w:bookmarkEnd w:id="15"/>
      <w:r w:rsidRPr="004A7B04">
        <w:tab/>
      </w:r>
      <w:r w:rsidR="0087536B">
        <w:t>W</w:t>
      </w:r>
      <w:r w:rsidRPr="004A7B04">
        <w:t>orkers changing occupation between consecutive years,</w:t>
      </w:r>
      <w:r w:rsidR="00602FA9">
        <w:br/>
      </w:r>
      <w:r w:rsidRPr="004A7B04">
        <w:t>2001</w:t>
      </w:r>
      <w:r w:rsidR="00602FA9">
        <w:t xml:space="preserve"> to </w:t>
      </w:r>
      <w:r w:rsidRPr="004A7B04">
        <w:t>2010</w:t>
      </w:r>
      <w:r w:rsidRPr="004A7B04">
        <w:rPr>
          <w:position w:val="6"/>
          <w:sz w:val="18"/>
          <w:szCs w:val="20"/>
        </w:rPr>
        <w:t>a</w:t>
      </w:r>
      <w:r w:rsidR="00602FA9">
        <w:rPr>
          <w:position w:val="6"/>
          <w:sz w:val="18"/>
          <w:szCs w:val="20"/>
        </w:rPr>
        <w:t>, b, c</w:t>
      </w:r>
    </w:p>
    <w:p w:rsidR="004A7B04" w:rsidRPr="004A7B04" w:rsidRDefault="004A7B04" w:rsidP="00F51DDE">
      <w:pPr>
        <w:pStyle w:val="Subtitle"/>
      </w:pPr>
      <w:r w:rsidRPr="004A7B04">
        <w:t>P</w:t>
      </w:r>
      <w:r w:rsidR="004141C2">
        <w:t>roportion</w:t>
      </w:r>
      <w:r w:rsidRPr="004A7B04">
        <w:t xml:space="preserve"> of workers</w:t>
      </w:r>
      <w:r w:rsidR="00D56F6A">
        <w:t xml:space="preserve"> </w:t>
      </w:r>
      <w:r w:rsidR="00602FA9">
        <w:t xml:space="preserve">moving out of </w:t>
      </w:r>
      <w:r w:rsidR="00D56F6A">
        <w:t>each occupation</w:t>
      </w:r>
      <w:r w:rsidR="006C32A9">
        <w:t xml:space="preserve"> and into another</w:t>
      </w:r>
      <w:r w:rsidR="00602FA9">
        <w:t xml:space="preserve">, as a </w:t>
      </w:r>
      <w:r w:rsidR="004141C2">
        <w:t xml:space="preserve">percentage </w:t>
      </w:r>
      <w:r w:rsidR="00602FA9">
        <w:t xml:space="preserve">of all workers in </w:t>
      </w:r>
      <w:r w:rsidR="006C32A9">
        <w:t xml:space="preserve">the </w:t>
      </w:r>
      <w:r w:rsidR="00602FA9">
        <w:t>occupation</w:t>
      </w:r>
      <w:r w:rsidR="006C32A9">
        <w:t xml:space="preserve"> of origin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782642">
        <w:tc>
          <w:tcPr>
            <w:tcW w:w="8777" w:type="dxa"/>
          </w:tcPr>
          <w:p w:rsidR="004A7B04" w:rsidRPr="004A7B04" w:rsidRDefault="00782642" w:rsidP="00F51DDE">
            <w:pPr>
              <w:keepNext/>
              <w:spacing w:before="120" w:after="120" w:line="240" w:lineRule="atLeast"/>
              <w:jc w:val="center"/>
            </w:pPr>
            <w:r>
              <w:rPr>
                <w:noProof/>
              </w:rPr>
              <w:drawing>
                <wp:inline distT="0" distB="0" distL="0" distR="0" wp14:anchorId="17CF6EF9" wp14:editId="0BE11044">
                  <wp:extent cx="5400000" cy="2880000"/>
                  <wp:effectExtent l="0" t="0" r="0" b="0"/>
                  <wp:docPr id="19" name="Chart 19" descr="Figure 5.4 This figure shows the share of workers who changed occupation between one year and the next, from 2001 to 2010. The occupation refers to their initial occupation, in each pair of years. Colour coding of bars is as for figure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02FA9" w:rsidRPr="004A7B04" w:rsidRDefault="00602FA9" w:rsidP="00602FA9">
      <w:pPr>
        <w:pStyle w:val="Note"/>
      </w:pPr>
      <w:r w:rsidRPr="00F51DDE">
        <w:rPr>
          <w:rStyle w:val="NoteLabel"/>
        </w:rPr>
        <w:t>a</w:t>
      </w:r>
      <w:r>
        <w:t> </w:t>
      </w:r>
      <w:r w:rsidRPr="004A7B04">
        <w:t>Occupation</w:t>
      </w:r>
      <w:r>
        <w:t>al categories</w:t>
      </w:r>
      <w:r w:rsidRPr="004A7B04">
        <w:t xml:space="preserve"> refer to </w:t>
      </w:r>
      <w:r>
        <w:t xml:space="preserve">the </w:t>
      </w:r>
      <w:r w:rsidRPr="004A7B04">
        <w:t xml:space="preserve">occupation </w:t>
      </w:r>
      <w:r>
        <w:t xml:space="preserve">that workers moved </w:t>
      </w:r>
      <w:r w:rsidRPr="005F09D9">
        <w:rPr>
          <w:i/>
        </w:rPr>
        <w:t>out</w:t>
      </w:r>
      <w:r>
        <w:t xml:space="preserve"> of</w:t>
      </w:r>
      <w:r w:rsidRPr="004A7B04">
        <w:t>.</w:t>
      </w:r>
      <w:r>
        <w:t xml:space="preserve"> </w:t>
      </w:r>
      <w:r w:rsidRPr="004A7B04">
        <w:t xml:space="preserve"> </w:t>
      </w:r>
      <w:r>
        <w:rPr>
          <w:rStyle w:val="NoteLabel"/>
        </w:rPr>
        <w:t>b </w:t>
      </w:r>
      <w:r w:rsidRPr="004A7B04">
        <w:t xml:space="preserve">Estimates are averaged values for </w:t>
      </w:r>
      <w:r>
        <w:t>three</w:t>
      </w:r>
      <w:r w:rsidRPr="004A7B04">
        <w:t xml:space="preserve"> pairs of consecu</w:t>
      </w:r>
      <w:r>
        <w:t>tive years, for example</w:t>
      </w:r>
      <w:r w:rsidR="00012E16">
        <w:t>,</w:t>
      </w:r>
      <w:r>
        <w:t xml:space="preserve"> ‘average </w:t>
      </w:r>
      <w:r w:rsidRPr="005374E1">
        <w:t>2001</w:t>
      </w:r>
      <w:r>
        <w:t>–</w:t>
      </w:r>
      <w:r w:rsidRPr="005374E1">
        <w:t>2002</w:t>
      </w:r>
      <w:r>
        <w:t xml:space="preserve"> to </w:t>
      </w:r>
      <w:r w:rsidRPr="005374E1">
        <w:t>2003</w:t>
      </w:r>
      <w:r>
        <w:t>–</w:t>
      </w:r>
      <w:r w:rsidRPr="005374E1">
        <w:t>2004’</w:t>
      </w:r>
      <w:r w:rsidRPr="004A7B04">
        <w:t xml:space="preserve"> refers to workers who changed occupation between 2001 and 2002, between 2002 and 2003, and/or between 2003 and 2004. Estimates exclude workers who moved into or </w:t>
      </w:r>
      <w:r>
        <w:t>out of the workforce completely</w:t>
      </w:r>
      <w:r w:rsidRPr="004A7B04">
        <w:t>.</w:t>
      </w:r>
      <w:r w:rsidR="00E71205" w:rsidRPr="00100138">
        <w:rPr>
          <w:rStyle w:val="NoteLabel"/>
          <w:b w:val="0"/>
        </w:rPr>
        <w:t xml:space="preserve">  </w:t>
      </w:r>
      <w:r>
        <w:rPr>
          <w:rStyle w:val="NoteLabel"/>
        </w:rPr>
        <w:t>c</w:t>
      </w:r>
      <w:r>
        <w:t xml:space="preserve"> Estimates refer to the working</w:t>
      </w:r>
      <w:r>
        <w:noBreakHyphen/>
        <w:t>age population (15</w:t>
      </w:r>
      <w:r w:rsidRPr="004A7B04">
        <w:t>–</w:t>
      </w:r>
      <w:r>
        <w:t>64 years) and are population</w:t>
      </w:r>
      <w:r>
        <w:noBreakHyphen/>
        <w:t>weighted.</w:t>
      </w:r>
    </w:p>
    <w:p w:rsidR="004A7B04" w:rsidRDefault="004A7B04" w:rsidP="00F51DDE">
      <w:pPr>
        <w:pStyle w:val="Source"/>
      </w:pPr>
      <w:r w:rsidRPr="004A7B04">
        <w:rPr>
          <w:i/>
        </w:rPr>
        <w:t>Source</w:t>
      </w:r>
      <w:r w:rsidRPr="004A7B04">
        <w:t xml:space="preserve">: </w:t>
      </w:r>
      <w:r w:rsidR="00100138">
        <w:t>Productivity Commission</w:t>
      </w:r>
      <w:r w:rsidRPr="004A7B04">
        <w:t xml:space="preserve"> </w:t>
      </w:r>
      <w:r w:rsidR="009F4456">
        <w:t>estimates</w:t>
      </w:r>
      <w:r w:rsidRPr="004A7B04">
        <w:t xml:space="preserve"> using HILDA Survey 2001–2010 Unconfidentialised Release 10.1.</w:t>
      </w:r>
    </w:p>
    <w:p w:rsidR="004A7B04" w:rsidRPr="004A7B04" w:rsidRDefault="004A7B04" w:rsidP="00974835">
      <w:pPr>
        <w:pStyle w:val="Heading3"/>
      </w:pPr>
      <w:r w:rsidRPr="004A7B04">
        <w:t>Mobility between jobs</w:t>
      </w:r>
    </w:p>
    <w:p w:rsidR="00AB699F" w:rsidRDefault="004A7B04" w:rsidP="00974835">
      <w:pPr>
        <w:pStyle w:val="BodyText"/>
      </w:pPr>
      <w:r w:rsidRPr="004A7B04">
        <w:t xml:space="preserve">On average, during the past decade, around one of every five workers changed his or her main job </w:t>
      </w:r>
      <w:r w:rsidR="00264094">
        <w:t>from</w:t>
      </w:r>
      <w:r w:rsidR="00264094" w:rsidRPr="004A7B04">
        <w:t xml:space="preserve"> </w:t>
      </w:r>
      <w:r w:rsidRPr="004A7B04">
        <w:t xml:space="preserve">one year </w:t>
      </w:r>
      <w:r w:rsidR="00264094">
        <w:t>to</w:t>
      </w:r>
      <w:r w:rsidR="00264094" w:rsidRPr="004A7B04">
        <w:t xml:space="preserve"> </w:t>
      </w:r>
      <w:r w:rsidRPr="004A7B04">
        <w:t>the next (</w:t>
      </w:r>
      <w:r w:rsidR="00100138">
        <w:t>Productivity Commission</w:t>
      </w:r>
      <w:r w:rsidRPr="004A7B04">
        <w:t xml:space="preserve"> esti</w:t>
      </w:r>
      <w:r w:rsidR="00A53282">
        <w:t>mates using HILDA Survey</w:t>
      </w:r>
      <w:r w:rsidR="00BC6A35">
        <w:t xml:space="preserve"> data 2001–2010</w:t>
      </w:r>
      <w:r w:rsidR="00A53282">
        <w:t>)</w:t>
      </w:r>
      <w:r w:rsidRPr="004A7B04">
        <w:t>.</w:t>
      </w:r>
      <w:r w:rsidR="00187F38">
        <w:rPr>
          <w:rStyle w:val="FootnoteReference"/>
        </w:rPr>
        <w:footnoteReference w:id="11"/>
      </w:r>
      <w:r w:rsidRPr="004A7B04">
        <w:t xml:space="preserve"> </w:t>
      </w:r>
      <w:r w:rsidR="00AB699F">
        <w:t xml:space="preserve">This is </w:t>
      </w:r>
      <w:r w:rsidR="00AA1E7E">
        <w:t xml:space="preserve">generally </w:t>
      </w:r>
      <w:r w:rsidR="00AB699F">
        <w:t xml:space="preserve">consistent with ABS labour mobility data </w:t>
      </w:r>
      <w:r w:rsidR="00AA1E7E">
        <w:t xml:space="preserve">collected </w:t>
      </w:r>
      <w:r w:rsidR="009F46AE">
        <w:t>at</w:t>
      </w:r>
      <w:r w:rsidR="00AA1E7E">
        <w:t xml:space="preserve"> interva</w:t>
      </w:r>
      <w:r w:rsidR="009F46AE">
        <w:t xml:space="preserve">ls throughout the </w:t>
      </w:r>
      <w:r w:rsidR="00AA1E7E">
        <w:t>same decade.</w:t>
      </w:r>
      <w:r w:rsidR="00AB699F">
        <w:t xml:space="preserve"> </w:t>
      </w:r>
      <w:r w:rsidR="00AA1E7E">
        <w:t xml:space="preserve">In February 2010, for instance, </w:t>
      </w:r>
      <w:r w:rsidR="00AB699F">
        <w:t xml:space="preserve">almost </w:t>
      </w:r>
      <w:r w:rsidR="00210145">
        <w:t>20 </w:t>
      </w:r>
      <w:r w:rsidR="00AB699F">
        <w:t>per</w:t>
      </w:r>
      <w:r w:rsidR="00210145">
        <w:t> </w:t>
      </w:r>
      <w:r w:rsidR="00AB699F">
        <w:t xml:space="preserve">cent of all workers had started working for their current employer within the </w:t>
      </w:r>
      <w:r w:rsidR="001E19B4">
        <w:t xml:space="preserve">previous </w:t>
      </w:r>
      <w:r w:rsidR="00AB699F">
        <w:t xml:space="preserve">12 months (ABS </w:t>
      </w:r>
      <w:proofErr w:type="spellStart"/>
      <w:r w:rsidR="00AB699F">
        <w:t>2012</w:t>
      </w:r>
      <w:r w:rsidR="00210145">
        <w:t>i</w:t>
      </w:r>
      <w:proofErr w:type="spellEnd"/>
      <w:r w:rsidR="00AB699F">
        <w:t xml:space="preserve">). </w:t>
      </w:r>
    </w:p>
    <w:p w:rsidR="004A7B04" w:rsidRDefault="004A7B04" w:rsidP="00AB699F">
      <w:pPr>
        <w:pStyle w:val="BodyText"/>
      </w:pPr>
      <w:r w:rsidRPr="004A7B04">
        <w:t xml:space="preserve">Of those who changed jobs </w:t>
      </w:r>
      <w:r w:rsidR="00A53282">
        <w:t>while remaining within</w:t>
      </w:r>
      <w:r w:rsidRPr="004A7B04">
        <w:t xml:space="preserve"> the same sector, the highest rates </w:t>
      </w:r>
      <w:r w:rsidR="005335DB">
        <w:t xml:space="preserve">of </w:t>
      </w:r>
      <w:r w:rsidR="00AB699F">
        <w:t>intra</w:t>
      </w:r>
      <w:r w:rsidR="00FD16FE">
        <w:noBreakHyphen/>
      </w:r>
      <w:r w:rsidR="00AB699F">
        <w:t xml:space="preserve">sectoral </w:t>
      </w:r>
      <w:r w:rsidR="00D7283D">
        <w:t xml:space="preserve">job </w:t>
      </w:r>
      <w:r w:rsidR="005335DB">
        <w:t>change</w:t>
      </w:r>
      <w:r w:rsidRPr="004A7B04">
        <w:t xml:space="preserve"> occurred in utilities and construction, business services and personal services. In contrast, </w:t>
      </w:r>
      <w:r w:rsidR="005335DB">
        <w:t xml:space="preserve">workers were less likely to change jobs within manufacturing, </w:t>
      </w:r>
      <w:r w:rsidRPr="004A7B04">
        <w:t>agriculture, social services and distribution services</w:t>
      </w:r>
      <w:bookmarkStart w:id="16" w:name="_Toc331405015"/>
      <w:bookmarkStart w:id="17" w:name="_Toc331491059"/>
      <w:bookmarkEnd w:id="12"/>
      <w:bookmarkEnd w:id="13"/>
      <w:bookmarkEnd w:id="14"/>
      <w:r w:rsidR="00AB699F" w:rsidRPr="00AB699F">
        <w:t xml:space="preserve"> </w:t>
      </w:r>
      <w:r w:rsidR="00AB699F" w:rsidRPr="004A7B04">
        <w:t>(</w:t>
      </w:r>
      <w:r w:rsidR="00100138">
        <w:t>Productivity Commission</w:t>
      </w:r>
      <w:r w:rsidR="00AB699F" w:rsidRPr="004A7B04">
        <w:t xml:space="preserve"> esti</w:t>
      </w:r>
      <w:r w:rsidR="00AB699F">
        <w:t>mates using HILDA Survey</w:t>
      </w:r>
      <w:r w:rsidR="00B77C59">
        <w:t xml:space="preserve"> data</w:t>
      </w:r>
      <w:r w:rsidR="00BC6A35">
        <w:t xml:space="preserve"> 2001–2010</w:t>
      </w:r>
      <w:r w:rsidR="00AB699F">
        <w:t>)</w:t>
      </w:r>
      <w:r w:rsidR="00AB699F" w:rsidRPr="004A7B04">
        <w:t>.</w:t>
      </w:r>
    </w:p>
    <w:p w:rsidR="00633EA6" w:rsidRDefault="00264094" w:rsidP="00187F38">
      <w:pPr>
        <w:pStyle w:val="BodyText"/>
      </w:pPr>
      <w:r>
        <w:lastRenderedPageBreak/>
        <w:t>W</w:t>
      </w:r>
      <w:r w:rsidR="00595F57">
        <w:t xml:space="preserve">orkers’ length of </w:t>
      </w:r>
      <w:r w:rsidR="00AB699F">
        <w:t>tenure</w:t>
      </w:r>
      <w:r w:rsidR="00633EA6">
        <w:t xml:space="preserve"> </w:t>
      </w:r>
      <w:r w:rsidR="007027FA">
        <w:t xml:space="preserve">provides </w:t>
      </w:r>
      <w:r w:rsidR="00595F57">
        <w:t xml:space="preserve">another indicator of labour mobility. </w:t>
      </w:r>
      <w:r w:rsidR="00633EA6">
        <w:t xml:space="preserve">Throughout the 2000s, on average, the personal services sector had the largest share of workers who had been working for their current employer for less than one year, and the </w:t>
      </w:r>
      <w:r>
        <w:t xml:space="preserve">lowest </w:t>
      </w:r>
      <w:r w:rsidR="00633EA6">
        <w:t xml:space="preserve">share of those who had been working for their current employer for at least </w:t>
      </w:r>
      <w:r w:rsidR="00210145">
        <w:t xml:space="preserve">five </w:t>
      </w:r>
      <w:r w:rsidR="00633EA6">
        <w:t>years (</w:t>
      </w:r>
      <w:r w:rsidR="00282844">
        <w:t xml:space="preserve">figure </w:t>
      </w:r>
      <w:r w:rsidR="007637F1">
        <w:t>C</w:t>
      </w:r>
      <w:r w:rsidR="00282844">
        <w:t>.2 in appendix</w:t>
      </w:r>
      <w:r w:rsidR="00AC71FA">
        <w:t> </w:t>
      </w:r>
      <w:r w:rsidR="007637F1">
        <w:t>C</w:t>
      </w:r>
      <w:r w:rsidR="00633EA6">
        <w:t xml:space="preserve">). </w:t>
      </w:r>
    </w:p>
    <w:p w:rsidR="00187F38" w:rsidRPr="00187F38" w:rsidRDefault="007027FA" w:rsidP="00187F38">
      <w:pPr>
        <w:pStyle w:val="BodyText"/>
      </w:pPr>
      <w:r>
        <w:t>T</w:t>
      </w:r>
      <w:r w:rsidR="00AB699F">
        <w:t>he mining sector underwent the largest degree of change</w:t>
      </w:r>
      <w:r w:rsidR="00633EA6">
        <w:t xml:space="preserve"> in the composition of </w:t>
      </w:r>
      <w:r w:rsidR="002B1CDC">
        <w:t>its</w:t>
      </w:r>
      <w:r w:rsidR="00633EA6">
        <w:t xml:space="preserve"> workforce</w:t>
      </w:r>
      <w:r w:rsidR="00595F57">
        <w:t xml:space="preserve"> during the 2000s</w:t>
      </w:r>
      <w:r w:rsidR="00024A87">
        <w:t xml:space="preserve">. </w:t>
      </w:r>
      <w:r w:rsidR="00633EA6">
        <w:t xml:space="preserve">Between </w:t>
      </w:r>
      <w:r>
        <w:t>2002 and 2010</w:t>
      </w:r>
      <w:r w:rsidR="00633EA6">
        <w:t xml:space="preserve">, </w:t>
      </w:r>
      <w:r w:rsidR="00024A87">
        <w:t>t</w:t>
      </w:r>
      <w:r w:rsidR="00187F38" w:rsidRPr="004A7B04">
        <w:t xml:space="preserve">he share of </w:t>
      </w:r>
      <w:r w:rsidR="00633EA6">
        <w:t xml:space="preserve">mining </w:t>
      </w:r>
      <w:r w:rsidR="00AB699F">
        <w:t xml:space="preserve">workers </w:t>
      </w:r>
      <w:r w:rsidR="00024A87">
        <w:t xml:space="preserve">who had been </w:t>
      </w:r>
      <w:r w:rsidR="00625AB4">
        <w:t>working for</w:t>
      </w:r>
      <w:r w:rsidR="00187F38" w:rsidRPr="004A7B04">
        <w:t xml:space="preserve"> </w:t>
      </w:r>
      <w:r w:rsidR="00625AB4">
        <w:t>their current employer</w:t>
      </w:r>
      <w:r w:rsidR="00625AB4" w:rsidRPr="004A7B04">
        <w:t xml:space="preserve"> </w:t>
      </w:r>
      <w:r w:rsidR="00187F38" w:rsidRPr="004A7B04">
        <w:t xml:space="preserve">for </w:t>
      </w:r>
      <w:r w:rsidR="00024A87">
        <w:t xml:space="preserve">between one and three years expanded considerably, while the share of </w:t>
      </w:r>
      <w:r w:rsidR="00D7283D">
        <w:t xml:space="preserve">those </w:t>
      </w:r>
      <w:r w:rsidR="00024A87">
        <w:t xml:space="preserve">employed for </w:t>
      </w:r>
      <w:r w:rsidR="00AB699F">
        <w:t xml:space="preserve">at least 10 years </w:t>
      </w:r>
      <w:r w:rsidR="00024A87">
        <w:t>shrank considerably</w:t>
      </w:r>
      <w:r w:rsidR="00187F38" w:rsidRPr="004A7B04">
        <w:t xml:space="preserve">. </w:t>
      </w:r>
      <w:r w:rsidR="00633EA6">
        <w:t>These data</w:t>
      </w:r>
      <w:r w:rsidR="00633EA6" w:rsidRPr="004A7B04">
        <w:t xml:space="preserve"> </w:t>
      </w:r>
      <w:r w:rsidR="00187F38" w:rsidRPr="004A7B04">
        <w:t xml:space="preserve">reflect the </w:t>
      </w:r>
      <w:r w:rsidR="007208AB">
        <w:t>sector</w:t>
      </w:r>
      <w:r w:rsidR="008E36B1">
        <w:t>’s large</w:t>
      </w:r>
      <w:r w:rsidR="00187F38" w:rsidRPr="004A7B04">
        <w:t xml:space="preserve"> </w:t>
      </w:r>
      <w:r w:rsidR="008E36B1">
        <w:t xml:space="preserve">intake of </w:t>
      </w:r>
      <w:r w:rsidR="00187F38" w:rsidRPr="004A7B04">
        <w:t xml:space="preserve">new employees </w:t>
      </w:r>
      <w:r w:rsidR="00024A87">
        <w:t>from 2003 onwards</w:t>
      </w:r>
      <w:r w:rsidR="00AB699F">
        <w:t>.</w:t>
      </w:r>
      <w:r w:rsidR="00595748">
        <w:t xml:space="preserve"> </w:t>
      </w:r>
      <w:r w:rsidR="00AB699F">
        <w:t xml:space="preserve">As a contrast, </w:t>
      </w:r>
      <w:r w:rsidR="00187F38" w:rsidRPr="004A7B04">
        <w:t xml:space="preserve">the </w:t>
      </w:r>
      <w:r w:rsidR="00024A87">
        <w:t>profile</w:t>
      </w:r>
      <w:r w:rsidR="00187F38" w:rsidRPr="004A7B04">
        <w:t xml:space="preserve"> of workers </w:t>
      </w:r>
      <w:r w:rsidR="00254C39">
        <w:t xml:space="preserve">by tenure </w:t>
      </w:r>
      <w:r w:rsidR="00024A87">
        <w:t>in</w:t>
      </w:r>
      <w:r w:rsidR="00AB699F">
        <w:t xml:space="preserve"> manufacturing </w:t>
      </w:r>
      <w:r w:rsidR="00595748">
        <w:t>did</w:t>
      </w:r>
      <w:r w:rsidR="00024A87">
        <w:t xml:space="preserve"> not change</w:t>
      </w:r>
      <w:r w:rsidR="00254C39">
        <w:t xml:space="preserve"> much </w:t>
      </w:r>
      <w:r w:rsidR="00187F38" w:rsidRPr="004A7B04">
        <w:t xml:space="preserve">between 2002 and 2010. This suggests that </w:t>
      </w:r>
      <w:r w:rsidR="00264094">
        <w:t>movements from</w:t>
      </w:r>
      <w:r w:rsidR="00024A87">
        <w:t xml:space="preserve"> this sector throughout the 2000s </w:t>
      </w:r>
      <w:r w:rsidR="00210145">
        <w:t xml:space="preserve">were </w:t>
      </w:r>
      <w:r w:rsidR="00024A87">
        <w:t>concentrated</w:t>
      </w:r>
      <w:r w:rsidR="00953E84" w:rsidRPr="00953E84">
        <w:t xml:space="preserve"> </w:t>
      </w:r>
      <w:r w:rsidR="00953E84">
        <w:t>neither</w:t>
      </w:r>
      <w:r w:rsidR="00024A87">
        <w:t xml:space="preserve"> among </w:t>
      </w:r>
      <w:r w:rsidR="00D179E4">
        <w:t>the sector’s short</w:t>
      </w:r>
      <w:r w:rsidR="00FD16FE">
        <w:noBreakHyphen/>
      </w:r>
      <w:r w:rsidR="00D179E4">
        <w:t xml:space="preserve">term </w:t>
      </w:r>
      <w:r w:rsidR="00282844">
        <w:t>n</w:t>
      </w:r>
      <w:r w:rsidR="009F46AE">
        <w:t xml:space="preserve">or </w:t>
      </w:r>
      <w:r w:rsidR="00264094">
        <w:t xml:space="preserve">among </w:t>
      </w:r>
      <w:r w:rsidR="009F46AE">
        <w:t>long</w:t>
      </w:r>
      <w:r w:rsidR="00FD16FE">
        <w:noBreakHyphen/>
      </w:r>
      <w:r w:rsidR="009F46AE">
        <w:t>term employees</w:t>
      </w:r>
      <w:r w:rsidR="00282844">
        <w:t xml:space="preserve"> (figure </w:t>
      </w:r>
      <w:r w:rsidR="007637F1">
        <w:t>C</w:t>
      </w:r>
      <w:r w:rsidR="00282844">
        <w:t>.2 in appendix</w:t>
      </w:r>
      <w:r w:rsidR="00AC71FA">
        <w:t> </w:t>
      </w:r>
      <w:r w:rsidR="007637F1">
        <w:t>C</w:t>
      </w:r>
      <w:r w:rsidR="00282844">
        <w:t>)</w:t>
      </w:r>
      <w:r w:rsidR="009F46AE">
        <w:t>.</w:t>
      </w:r>
      <w:r w:rsidR="00187F38" w:rsidRPr="004A7B04">
        <w:t xml:space="preserve"> </w:t>
      </w:r>
    </w:p>
    <w:p w:rsidR="004A7B04" w:rsidRPr="004A7B04" w:rsidRDefault="004A7B04" w:rsidP="00974835">
      <w:pPr>
        <w:pStyle w:val="Heading3"/>
      </w:pPr>
      <w:r w:rsidRPr="004A7B04">
        <w:t xml:space="preserve">Mobility </w:t>
      </w:r>
      <w:r w:rsidR="00254C39">
        <w:t>between</w:t>
      </w:r>
      <w:r w:rsidRPr="004A7B04">
        <w:t xml:space="preserve"> geographic location</w:t>
      </w:r>
      <w:r w:rsidR="00254C39">
        <w:t>s</w:t>
      </w:r>
    </w:p>
    <w:p w:rsidR="004A7B04" w:rsidRDefault="00B77C59" w:rsidP="00974835">
      <w:pPr>
        <w:pStyle w:val="BodyText"/>
      </w:pPr>
      <w:r>
        <w:t>Better</w:t>
      </w:r>
      <w:r w:rsidR="004A7B04" w:rsidRPr="004A7B04">
        <w:t xml:space="preserve"> job opportunities</w:t>
      </w:r>
      <w:r w:rsidR="00254C39">
        <w:t xml:space="preserve"> and earnings prospects can </w:t>
      </w:r>
      <w:r w:rsidR="007C00EA">
        <w:t>motivate</w:t>
      </w:r>
      <w:r w:rsidR="00286DBD" w:rsidRPr="004A7B04">
        <w:t xml:space="preserve"> </w:t>
      </w:r>
      <w:r w:rsidR="004A7B04" w:rsidRPr="004A7B04">
        <w:t xml:space="preserve">workers to move </w:t>
      </w:r>
      <w:r w:rsidR="001F5E7D">
        <w:t xml:space="preserve">location, be it </w:t>
      </w:r>
      <w:r w:rsidR="004A7B04" w:rsidRPr="004A7B04">
        <w:t xml:space="preserve">across regional, state or international borders. </w:t>
      </w:r>
      <w:r w:rsidR="001F5E7D">
        <w:t>P</w:t>
      </w:r>
      <w:r w:rsidR="004A7B04" w:rsidRPr="004A7B04">
        <w:t>revious research indicates that</w:t>
      </w:r>
      <w:r w:rsidR="00254C39">
        <w:t xml:space="preserve"> </w:t>
      </w:r>
      <w:r>
        <w:t xml:space="preserve">interstate and even overseas </w:t>
      </w:r>
      <w:r w:rsidR="001F5E7D">
        <w:t>migration patterns can be linked to differences in</w:t>
      </w:r>
      <w:r w:rsidR="004A7B04" w:rsidRPr="004A7B04">
        <w:t xml:space="preserve"> unemployment</w:t>
      </w:r>
      <w:r w:rsidR="001F5E7D">
        <w:t xml:space="preserve"> rates and average wage levels (Debelle and Vickery</w:t>
      </w:r>
      <w:r w:rsidR="00210145">
        <w:t> </w:t>
      </w:r>
      <w:r w:rsidR="001F5E7D">
        <w:t xml:space="preserve">1998; </w:t>
      </w:r>
      <w:r w:rsidR="004A7B04" w:rsidRPr="004A7B04">
        <w:t>PC and NZPC 2012).</w:t>
      </w:r>
    </w:p>
    <w:p w:rsidR="008F2C49" w:rsidRPr="004A7B04" w:rsidRDefault="00D7283D" w:rsidP="00974835">
      <w:pPr>
        <w:pStyle w:val="BodyText"/>
      </w:pPr>
      <w:r>
        <w:t xml:space="preserve">Australian data </w:t>
      </w:r>
      <w:r w:rsidR="008F2C49">
        <w:t>are lacking with which to analyse annual movements of workers in the geographic dimension. The main data source available for that purpose</w:t>
      </w:r>
      <w:r w:rsidR="007454CF">
        <w:t xml:space="preserve"> (and used below)</w:t>
      </w:r>
      <w:r w:rsidR="008F2C49">
        <w:t xml:space="preserve"> is the HILDA </w:t>
      </w:r>
      <w:r w:rsidR="00EF64FE">
        <w:t>Survey</w:t>
      </w:r>
      <w:r w:rsidR="008F2C49">
        <w:t xml:space="preserve">. However, the size of that survey means that the number of people who move locations </w:t>
      </w:r>
      <w:r w:rsidR="008F2C49" w:rsidRPr="008F2C49">
        <w:rPr>
          <w:i/>
        </w:rPr>
        <w:t>for work purposes</w:t>
      </w:r>
      <w:r w:rsidR="008F2C49">
        <w:t xml:space="preserve">, from one year to the next, is </w:t>
      </w:r>
      <w:r w:rsidR="007454CF">
        <w:t>relatively</w:t>
      </w:r>
      <w:r w:rsidR="008F2C49">
        <w:t xml:space="preserve"> small.</w:t>
      </w:r>
      <w:r w:rsidR="00BA5856">
        <w:t xml:space="preserve"> Moreover, HILDA is a longitudinal survey, </w:t>
      </w:r>
      <w:r w:rsidR="007454CF">
        <w:t>so</w:t>
      </w:r>
      <w:r w:rsidR="00BA5856">
        <w:t xml:space="preserve"> that individuals are surveyed over several consecutive years. This characteristic means that the number of ‘movers’ in the sample </w:t>
      </w:r>
      <w:r w:rsidR="007454CF">
        <w:t>may</w:t>
      </w:r>
      <w:r w:rsidR="00BA5856">
        <w:t xml:space="preserve"> become </w:t>
      </w:r>
      <w:r w:rsidR="00876E0B">
        <w:t>unavoidably</w:t>
      </w:r>
      <w:r w:rsidR="00BA5856">
        <w:t xml:space="preserve"> lower over time, as data collectors lose track of </w:t>
      </w:r>
      <w:r w:rsidR="0073594D">
        <w:t>some</w:t>
      </w:r>
      <w:r w:rsidR="00BA5856">
        <w:t xml:space="preserve"> individuals</w:t>
      </w:r>
      <w:r w:rsidR="007454CF">
        <w:t xml:space="preserve"> who change</w:t>
      </w:r>
      <w:r w:rsidR="0063586D">
        <w:t>d</w:t>
      </w:r>
      <w:r w:rsidR="007454CF">
        <w:t xml:space="preserve"> addresses</w:t>
      </w:r>
      <w:r w:rsidR="00BA5856">
        <w:t xml:space="preserve">. Further </w:t>
      </w:r>
      <w:r w:rsidR="007454CF">
        <w:t xml:space="preserve">caveats applying to the </w:t>
      </w:r>
      <w:r w:rsidR="00BA5856">
        <w:t xml:space="preserve">HILDA </w:t>
      </w:r>
      <w:r w:rsidR="00EF64FE">
        <w:t>S</w:t>
      </w:r>
      <w:r w:rsidR="00BA5856">
        <w:t xml:space="preserve">urvey are </w:t>
      </w:r>
      <w:r w:rsidR="00965D69">
        <w:t>listed</w:t>
      </w:r>
      <w:r w:rsidR="00BA5856">
        <w:t xml:space="preserve"> in appendix</w:t>
      </w:r>
      <w:r w:rsidR="00AC71FA">
        <w:t> </w:t>
      </w:r>
      <w:r w:rsidR="00BA5856">
        <w:t>C.</w:t>
      </w:r>
    </w:p>
    <w:p w:rsidR="004A7B04" w:rsidRPr="004A7B04" w:rsidRDefault="004A7B04" w:rsidP="00974835">
      <w:pPr>
        <w:pStyle w:val="BodyText"/>
      </w:pPr>
      <w:r w:rsidRPr="004A7B04">
        <w:t xml:space="preserve">Between 2001 and 2010, between 15 and 18 per cent of Australian workers </w:t>
      </w:r>
      <w:r w:rsidR="00254C39">
        <w:t>changed</w:t>
      </w:r>
      <w:r w:rsidRPr="004A7B04">
        <w:t xml:space="preserve"> </w:t>
      </w:r>
      <w:r w:rsidR="00254C39">
        <w:t xml:space="preserve">their </w:t>
      </w:r>
      <w:r w:rsidRPr="004A7B04">
        <w:t xml:space="preserve">residential </w:t>
      </w:r>
      <w:r w:rsidR="00254C39">
        <w:t>address</w:t>
      </w:r>
      <w:r w:rsidR="00974835">
        <w:t xml:space="preserve"> </w:t>
      </w:r>
      <w:r w:rsidR="00254C39">
        <w:t xml:space="preserve">between </w:t>
      </w:r>
      <w:r w:rsidR="001F5E7D">
        <w:t>one</w:t>
      </w:r>
      <w:r w:rsidR="00974835">
        <w:t xml:space="preserve"> year</w:t>
      </w:r>
      <w:r w:rsidR="00254C39">
        <w:t xml:space="preserve"> and the next</w:t>
      </w:r>
      <w:r w:rsidR="00CD16CB">
        <w:t>.</w:t>
      </w:r>
      <w:r w:rsidR="00254C39" w:rsidRPr="004A7B04">
        <w:rPr>
          <w:position w:val="6"/>
          <w:sz w:val="22"/>
        </w:rPr>
        <w:footnoteReference w:id="12"/>
      </w:r>
      <w:r w:rsidRPr="004A7B04">
        <w:t xml:space="preserve"> </w:t>
      </w:r>
      <w:r w:rsidR="00254C39">
        <w:t>However, only around 3 to </w:t>
      </w:r>
      <w:r w:rsidRPr="004A7B04">
        <w:t xml:space="preserve">4 per cent of all </w:t>
      </w:r>
      <w:r w:rsidR="001F5E7D">
        <w:t xml:space="preserve">workers moved for work purposes, </w:t>
      </w:r>
      <w:r w:rsidRPr="004A7B04">
        <w:t xml:space="preserve">with reasons including to look for work, start a new job with a new employer, be near to work, </w:t>
      </w:r>
      <w:r w:rsidR="006B6D19">
        <w:t xml:space="preserve">undergoing a work </w:t>
      </w:r>
      <w:r w:rsidR="00BC22F8">
        <w:t>transfer</w:t>
      </w:r>
      <w:r w:rsidRPr="004A7B04">
        <w:t>, or to start</w:t>
      </w:r>
      <w:r w:rsidR="001F5E7D">
        <w:t xml:space="preserve"> or relocate their own business</w:t>
      </w:r>
      <w:r w:rsidRPr="004A7B04">
        <w:t xml:space="preserve">. Of those workers who </w:t>
      </w:r>
      <w:r w:rsidRPr="004A7B04">
        <w:lastRenderedPageBreak/>
        <w:t xml:space="preserve">moved for work purposes, around half </w:t>
      </w:r>
      <w:r w:rsidR="00264094">
        <w:t>moved by</w:t>
      </w:r>
      <w:r w:rsidRPr="00B53DF0">
        <w:rPr>
          <w:spacing w:val="-30"/>
        </w:rPr>
        <w:t xml:space="preserve"> </w:t>
      </w:r>
      <w:r w:rsidRPr="004A7B04">
        <w:t>more</w:t>
      </w:r>
      <w:r w:rsidRPr="00B53DF0">
        <w:rPr>
          <w:spacing w:val="-30"/>
        </w:rPr>
        <w:t xml:space="preserve"> </w:t>
      </w:r>
      <w:r w:rsidRPr="004A7B04">
        <w:t>than</w:t>
      </w:r>
      <w:r w:rsidRPr="00B53DF0">
        <w:rPr>
          <w:spacing w:val="-30"/>
        </w:rPr>
        <w:t xml:space="preserve"> </w:t>
      </w:r>
      <w:r w:rsidRPr="004A7B04">
        <w:t>50</w:t>
      </w:r>
      <w:r w:rsidRPr="00B53DF0">
        <w:rPr>
          <w:spacing w:val="-30"/>
        </w:rPr>
        <w:t xml:space="preserve"> </w:t>
      </w:r>
      <w:r w:rsidRPr="004A7B04">
        <w:t>kilometres</w:t>
      </w:r>
      <w:r w:rsidR="00B77C59">
        <w:t xml:space="preserve"> </w:t>
      </w:r>
      <w:r w:rsidR="00CD16CB">
        <w:t>(</w:t>
      </w:r>
      <w:r w:rsidR="009F4456">
        <w:t>Productivity Commission estimates</w:t>
      </w:r>
      <w:r w:rsidR="00CD16CB">
        <w:t xml:space="preserve"> using HILDA Survey data 2001–2010)</w:t>
      </w:r>
      <w:r w:rsidR="00CD16CB" w:rsidRPr="004A7B04">
        <w:t>.</w:t>
      </w:r>
    </w:p>
    <w:p w:rsidR="004A7B04" w:rsidRDefault="00C42DDA" w:rsidP="00974835">
      <w:pPr>
        <w:pStyle w:val="BodyText"/>
      </w:pPr>
      <w:r>
        <w:t xml:space="preserve">Further light is shed on </w:t>
      </w:r>
      <w:r w:rsidR="00B26602">
        <w:t xml:space="preserve">geographic </w:t>
      </w:r>
      <w:r>
        <w:t xml:space="preserve">labour mobility by </w:t>
      </w:r>
      <w:r w:rsidR="004A7B04" w:rsidRPr="004A7B04">
        <w:t>ABS survey data show</w:t>
      </w:r>
      <w:r>
        <w:t>ing</w:t>
      </w:r>
      <w:r w:rsidR="004A7B04" w:rsidRPr="004A7B04">
        <w:t xml:space="preserve"> that </w:t>
      </w:r>
      <w:r w:rsidR="00264094">
        <w:t>a</w:t>
      </w:r>
      <w:r w:rsidR="00264094" w:rsidRPr="004A7B04">
        <w:t xml:space="preserve"> </w:t>
      </w:r>
      <w:r w:rsidR="004A7B04" w:rsidRPr="004A7B04">
        <w:t>majority of</w:t>
      </w:r>
      <w:r w:rsidR="00264094">
        <w:t xml:space="preserve"> self-reporting</w:t>
      </w:r>
      <w:r w:rsidR="004A7B04" w:rsidRPr="004A7B04">
        <w:t xml:space="preserve"> </w:t>
      </w:r>
      <w:r w:rsidR="007F3FDB">
        <w:t>‘</w:t>
      </w:r>
      <w:r w:rsidR="001F5E7D">
        <w:t>underemployed</w:t>
      </w:r>
      <w:r w:rsidR="007F3FDB">
        <w:t>’</w:t>
      </w:r>
      <w:r w:rsidR="001F5E7D">
        <w:t xml:space="preserve"> workers</w:t>
      </w:r>
      <w:r w:rsidR="004A7B04" w:rsidRPr="004A7B04">
        <w:rPr>
          <w:position w:val="6"/>
          <w:sz w:val="22"/>
        </w:rPr>
        <w:footnoteReference w:id="13"/>
      </w:r>
      <w:r w:rsidR="004A7B04" w:rsidRPr="004A7B04">
        <w:t xml:space="preserve"> would </w:t>
      </w:r>
      <w:r w:rsidR="004A7B04" w:rsidRPr="00953E84">
        <w:t>not</w:t>
      </w:r>
      <w:r w:rsidR="004A7B04" w:rsidRPr="00B26602">
        <w:t xml:space="preserve"> </w:t>
      </w:r>
      <w:r w:rsidR="004A7B04" w:rsidRPr="004A7B04">
        <w:t xml:space="preserve">be prepared to move </w:t>
      </w:r>
      <w:r w:rsidR="00C17FB3">
        <w:t>‘if offered a suitable job’</w:t>
      </w:r>
      <w:r w:rsidR="004A7B04" w:rsidRPr="004A7B04">
        <w:t>.</w:t>
      </w:r>
      <w:r w:rsidR="00C17FB3">
        <w:rPr>
          <w:rStyle w:val="FootnoteReference"/>
        </w:rPr>
        <w:footnoteReference w:id="14"/>
      </w:r>
      <w:r w:rsidR="004A7B04" w:rsidRPr="004A7B04">
        <w:t xml:space="preserve"> </w:t>
      </w:r>
      <w:r w:rsidR="00CD16CB">
        <w:t>O</w:t>
      </w:r>
      <w:r w:rsidR="004A7B04" w:rsidRPr="004A7B04">
        <w:t>n average from 2000 to 2010, around 25</w:t>
      </w:r>
      <w:r w:rsidR="00210145">
        <w:t> </w:t>
      </w:r>
      <w:r w:rsidR="004A7B04" w:rsidRPr="004A7B04">
        <w:t>per</w:t>
      </w:r>
      <w:r w:rsidR="00210145">
        <w:t> </w:t>
      </w:r>
      <w:r w:rsidR="004A7B04" w:rsidRPr="004A7B04">
        <w:t>cent of underemployed workers were prepared to move intrastate</w:t>
      </w:r>
      <w:r w:rsidR="00E10A98">
        <w:t>, while around 18 per </w:t>
      </w:r>
      <w:r w:rsidR="004A7B04" w:rsidRPr="004A7B04">
        <w:t>cent would move interstate</w:t>
      </w:r>
      <w:r w:rsidR="00CD16CB" w:rsidRPr="00CD16CB">
        <w:t xml:space="preserve"> </w:t>
      </w:r>
      <w:r w:rsidR="00CD16CB">
        <w:t>(</w:t>
      </w:r>
      <w:r w:rsidR="00CD16CB" w:rsidRPr="00CD16CB">
        <w:t>ABS</w:t>
      </w:r>
      <w:r w:rsidR="0017294B">
        <w:t xml:space="preserve"> </w:t>
      </w:r>
      <w:proofErr w:type="spellStart"/>
      <w:r w:rsidR="00865052">
        <w:t>2012j</w:t>
      </w:r>
      <w:proofErr w:type="spellEnd"/>
      <w:r w:rsidR="00CD16CB">
        <w:t>)</w:t>
      </w:r>
      <w:r w:rsidR="004A7B04" w:rsidRPr="004A7B04">
        <w:t>.</w:t>
      </w:r>
      <w:r w:rsidR="00796F6E">
        <w:t xml:space="preserve"> </w:t>
      </w:r>
      <w:r w:rsidR="00B7512C" w:rsidRPr="00B7512C">
        <w:t>This result is likely to be influenced by the fact that underemployed workers are mainly part</w:t>
      </w:r>
      <w:r w:rsidR="00AC71FA">
        <w:noBreakHyphen/>
      </w:r>
      <w:r w:rsidR="00B7512C" w:rsidRPr="00B7512C">
        <w:t>time and female. Their ability to move may, therefore, be constrained by the employment status of the primary income earner in the</w:t>
      </w:r>
      <w:r w:rsidR="00253034">
        <w:t>ir</w:t>
      </w:r>
      <w:r w:rsidR="00B7512C" w:rsidRPr="00B7512C">
        <w:t xml:space="preserve"> household</w:t>
      </w:r>
      <w:r w:rsidR="00B26602">
        <w:t>, as well as broader family characteristics</w:t>
      </w:r>
      <w:r w:rsidR="00B7512C" w:rsidRPr="00B7512C">
        <w:t>.</w:t>
      </w:r>
    </w:p>
    <w:p w:rsidR="00134D97" w:rsidRDefault="00134D97" w:rsidP="00974835">
      <w:pPr>
        <w:pStyle w:val="BodyText"/>
      </w:pPr>
      <w:r>
        <w:t xml:space="preserve">Household </w:t>
      </w:r>
      <w:r w:rsidR="00C42DDA">
        <w:t>composition</w:t>
      </w:r>
      <w:r>
        <w:t xml:space="preserve"> and preferences </w:t>
      </w:r>
      <w:r w:rsidR="00C42DDA">
        <w:t>are</w:t>
      </w:r>
      <w:r>
        <w:t xml:space="preserve"> one of</w:t>
      </w:r>
      <w:r w:rsidR="00B26602">
        <w:t xml:space="preserve"> the</w:t>
      </w:r>
      <w:r>
        <w:t xml:space="preserve"> </w:t>
      </w:r>
      <w:r w:rsidR="00C42DDA">
        <w:t>factors influencing</w:t>
      </w:r>
      <w:r>
        <w:t xml:space="preserve"> the movement of workers, geographically or </w:t>
      </w:r>
      <w:r w:rsidR="00C42DDA">
        <w:t xml:space="preserve">just </w:t>
      </w:r>
      <w:r>
        <w:t xml:space="preserve">between jobs. A number of other potential </w:t>
      </w:r>
      <w:r w:rsidR="00C42DDA">
        <w:t>influences</w:t>
      </w:r>
      <w:r>
        <w:t xml:space="preserve"> have been </w:t>
      </w:r>
      <w:r w:rsidR="00C42DDA">
        <w:t>identified</w:t>
      </w:r>
      <w:r>
        <w:t xml:space="preserve"> in the literature, some </w:t>
      </w:r>
      <w:r w:rsidR="00C42DDA">
        <w:t xml:space="preserve">of which are </w:t>
      </w:r>
      <w:r>
        <w:t>relevant across countries</w:t>
      </w:r>
      <w:r w:rsidR="00C42DDA">
        <w:t xml:space="preserve"> and some of which are specific to Australia</w:t>
      </w:r>
      <w:r>
        <w:t xml:space="preserve"> (box 5.1).</w:t>
      </w:r>
    </w:p>
    <w:p w:rsidR="001F0840" w:rsidRDefault="001F0840" w:rsidP="001F0840">
      <w:pPr>
        <w:pStyle w:val="BodyText"/>
      </w:pPr>
      <w:r>
        <w:t>Among the group of workers (not just those who are underemployed) who moved residential location for work purposes from one year to the next during the 2000s, some distinctive patterns are apparent (figure 5.5). For example, as a percentage of the destination sector’s workforce, a small and declining number of workers joined manufacturing during that period. This may reflect the fact that a sector with declining employment is likely to offer relatively few job opportunities worth relocating for. In addition, relocation is not always necessary, when changing jobs, if the destination sector also happens to be concentrated geographically.</w:t>
      </w:r>
      <w:r>
        <w:rPr>
          <w:rStyle w:val="FootnoteReference"/>
        </w:rPr>
        <w:footnoteReference w:id="15"/>
      </w:r>
      <w:r>
        <w:t xml:space="preserve"> </w:t>
      </w:r>
    </w:p>
    <w:p w:rsidR="001F0840" w:rsidRDefault="001F0840" w:rsidP="00974835">
      <w:pPr>
        <w:pStyle w:val="BodyText"/>
      </w:pPr>
    </w:p>
    <w:p w:rsidR="009671E0" w:rsidRDefault="009671E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671E0">
        <w:tc>
          <w:tcPr>
            <w:tcW w:w="8771" w:type="dxa"/>
            <w:tcBorders>
              <w:top w:val="single" w:sz="6" w:space="0" w:color="auto"/>
              <w:bottom w:val="nil"/>
            </w:tcBorders>
          </w:tcPr>
          <w:p w:rsidR="009671E0" w:rsidRDefault="009671E0">
            <w:pPr>
              <w:pStyle w:val="BoxTitle"/>
            </w:pPr>
            <w:r>
              <w:rPr>
                <w:b w:val="0"/>
              </w:rPr>
              <w:t>Box 5.</w:t>
            </w:r>
            <w:r>
              <w:rPr>
                <w:b w:val="0"/>
                <w:noProof/>
              </w:rPr>
              <w:t>1</w:t>
            </w:r>
            <w:r>
              <w:tab/>
              <w:t>Factors influencing labour mobility</w:t>
            </w:r>
          </w:p>
        </w:tc>
      </w:tr>
      <w:tr w:rsidR="009671E0">
        <w:trPr>
          <w:cantSplit/>
        </w:trPr>
        <w:tc>
          <w:tcPr>
            <w:tcW w:w="8771" w:type="dxa"/>
            <w:tcBorders>
              <w:top w:val="nil"/>
              <w:left w:val="single" w:sz="6" w:space="0" w:color="auto"/>
              <w:bottom w:val="nil"/>
              <w:right w:val="single" w:sz="6" w:space="0" w:color="auto"/>
            </w:tcBorders>
          </w:tcPr>
          <w:p w:rsidR="009671E0" w:rsidRDefault="009671E0" w:rsidP="009671E0">
            <w:pPr>
              <w:pStyle w:val="Box"/>
            </w:pPr>
            <w:r>
              <w:t>A range of factors</w:t>
            </w:r>
            <w:r w:rsidRPr="00B75127">
              <w:rPr>
                <w:spacing w:val="-30"/>
              </w:rPr>
              <w:t xml:space="preserve"> </w:t>
            </w:r>
            <w:r>
              <w:t>can</w:t>
            </w:r>
            <w:r w:rsidRPr="00B75127">
              <w:rPr>
                <w:spacing w:val="-30"/>
              </w:rPr>
              <w:t xml:space="preserve"> </w:t>
            </w:r>
            <w:r>
              <w:t>potentially</w:t>
            </w:r>
            <w:r w:rsidRPr="00B75127">
              <w:rPr>
                <w:spacing w:val="-30"/>
              </w:rPr>
              <w:t xml:space="preserve"> </w:t>
            </w:r>
            <w:r>
              <w:t>influence</w:t>
            </w:r>
            <w:r w:rsidRPr="00B75127">
              <w:rPr>
                <w:spacing w:val="-30"/>
              </w:rPr>
              <w:t xml:space="preserve"> </w:t>
            </w:r>
            <w:r>
              <w:t>labour’s</w:t>
            </w:r>
            <w:r w:rsidRPr="00B75127">
              <w:rPr>
                <w:spacing w:val="-30"/>
              </w:rPr>
              <w:t xml:space="preserve"> </w:t>
            </w:r>
            <w:r>
              <w:t>capacity</w:t>
            </w:r>
            <w:r w:rsidRPr="00B75127">
              <w:rPr>
                <w:spacing w:val="-30"/>
              </w:rPr>
              <w:t xml:space="preserve"> </w:t>
            </w:r>
            <w:r>
              <w:t>to</w:t>
            </w:r>
            <w:r w:rsidRPr="00B75127">
              <w:rPr>
                <w:spacing w:val="-30"/>
              </w:rPr>
              <w:t xml:space="preserve"> </w:t>
            </w:r>
            <w:r>
              <w:t>respond</w:t>
            </w:r>
            <w:r w:rsidRPr="00B75127">
              <w:rPr>
                <w:spacing w:val="-30"/>
              </w:rPr>
              <w:t xml:space="preserve"> </w:t>
            </w:r>
            <w:r>
              <w:t>to</w:t>
            </w:r>
            <w:r w:rsidRPr="00B75127">
              <w:rPr>
                <w:spacing w:val="-30"/>
              </w:rPr>
              <w:t xml:space="preserve"> </w:t>
            </w:r>
            <w:r>
              <w:t>pressures</w:t>
            </w:r>
            <w:r w:rsidRPr="00B75127">
              <w:rPr>
                <w:spacing w:val="-30"/>
              </w:rPr>
              <w:t xml:space="preserve"> </w:t>
            </w:r>
            <w:r>
              <w:t>for structural</w:t>
            </w:r>
            <w:r w:rsidRPr="00B75127">
              <w:rPr>
                <w:spacing w:val="-30"/>
              </w:rPr>
              <w:t xml:space="preserve"> </w:t>
            </w:r>
            <w:r>
              <w:t>change,</w:t>
            </w:r>
            <w:r w:rsidRPr="00B75127">
              <w:rPr>
                <w:spacing w:val="-30"/>
              </w:rPr>
              <w:t xml:space="preserve"> </w:t>
            </w:r>
            <w:r>
              <w:t>especially</w:t>
            </w:r>
            <w:r w:rsidRPr="00B75127">
              <w:rPr>
                <w:spacing w:val="-30"/>
              </w:rPr>
              <w:t xml:space="preserve"> </w:t>
            </w:r>
            <w:r>
              <w:t>with</w:t>
            </w:r>
            <w:r w:rsidRPr="00B75127">
              <w:rPr>
                <w:spacing w:val="-30"/>
              </w:rPr>
              <w:t xml:space="preserve"> </w:t>
            </w:r>
            <w:r>
              <w:t>respect</w:t>
            </w:r>
            <w:r w:rsidRPr="00B75127">
              <w:rPr>
                <w:spacing w:val="-30"/>
              </w:rPr>
              <w:t xml:space="preserve"> </w:t>
            </w:r>
            <w:r>
              <w:t>to</w:t>
            </w:r>
            <w:r w:rsidRPr="00B75127">
              <w:rPr>
                <w:spacing w:val="-30"/>
              </w:rPr>
              <w:t xml:space="preserve"> </w:t>
            </w:r>
            <w:r>
              <w:t>moving geographic</w:t>
            </w:r>
            <w:r w:rsidRPr="00B75127">
              <w:rPr>
                <w:spacing w:val="-30"/>
              </w:rPr>
              <w:t xml:space="preserve"> </w:t>
            </w:r>
            <w:r>
              <w:t>location.</w:t>
            </w:r>
            <w:r w:rsidRPr="00B75127">
              <w:rPr>
                <w:spacing w:val="-30"/>
              </w:rPr>
              <w:t xml:space="preserve"> </w:t>
            </w:r>
            <w:r>
              <w:t>Factors identified</w:t>
            </w:r>
            <w:r w:rsidRPr="00B75127">
              <w:rPr>
                <w:spacing w:val="-30"/>
              </w:rPr>
              <w:t xml:space="preserve"> </w:t>
            </w:r>
            <w:r>
              <w:t>in</w:t>
            </w:r>
            <w:r w:rsidRPr="00B75127">
              <w:rPr>
                <w:spacing w:val="-30"/>
              </w:rPr>
              <w:t xml:space="preserve"> </w:t>
            </w:r>
            <w:r>
              <w:t>the</w:t>
            </w:r>
            <w:r w:rsidRPr="00B75127">
              <w:rPr>
                <w:spacing w:val="-30"/>
              </w:rPr>
              <w:t xml:space="preserve"> </w:t>
            </w:r>
            <w:r>
              <w:t>literature</w:t>
            </w:r>
            <w:r w:rsidRPr="00B75127">
              <w:rPr>
                <w:spacing w:val="-30"/>
              </w:rPr>
              <w:t xml:space="preserve"> </w:t>
            </w:r>
            <w:r>
              <w:t>that</w:t>
            </w:r>
            <w:r w:rsidRPr="00B75127">
              <w:rPr>
                <w:spacing w:val="-30"/>
              </w:rPr>
              <w:t xml:space="preserve"> </w:t>
            </w:r>
            <w:r>
              <w:t>might</w:t>
            </w:r>
            <w:r w:rsidRPr="00B75127">
              <w:rPr>
                <w:spacing w:val="-30"/>
              </w:rPr>
              <w:t xml:space="preserve"> </w:t>
            </w:r>
            <w:r>
              <w:t>reduce</w:t>
            </w:r>
            <w:r w:rsidRPr="00B75127">
              <w:rPr>
                <w:spacing w:val="-30"/>
              </w:rPr>
              <w:t xml:space="preserve"> </w:t>
            </w:r>
            <w:r>
              <w:t>the</w:t>
            </w:r>
            <w:r w:rsidRPr="00B75127">
              <w:rPr>
                <w:spacing w:val="-30"/>
              </w:rPr>
              <w:t xml:space="preserve"> </w:t>
            </w:r>
            <w:r>
              <w:t>mobility</w:t>
            </w:r>
            <w:r w:rsidRPr="00B75127">
              <w:rPr>
                <w:spacing w:val="-30"/>
              </w:rPr>
              <w:t xml:space="preserve"> </w:t>
            </w:r>
            <w:r>
              <w:t>of</w:t>
            </w:r>
            <w:r w:rsidRPr="00B75127">
              <w:rPr>
                <w:spacing w:val="-30"/>
              </w:rPr>
              <w:t xml:space="preserve"> </w:t>
            </w:r>
            <w:r>
              <w:t>Australian</w:t>
            </w:r>
            <w:r w:rsidRPr="00B75127">
              <w:rPr>
                <w:spacing w:val="-30"/>
              </w:rPr>
              <w:t xml:space="preserve"> </w:t>
            </w:r>
            <w:r>
              <w:t xml:space="preserve">workers include: </w:t>
            </w:r>
          </w:p>
          <w:p w:rsidR="009671E0" w:rsidRDefault="009671E0" w:rsidP="009671E0">
            <w:pPr>
              <w:pStyle w:val="BoxListBullet"/>
            </w:pPr>
            <w:r>
              <w:t xml:space="preserve">the costs of relocation, including the costs of travel, removal and property transaction, such as stamp duties and </w:t>
            </w:r>
            <w:proofErr w:type="spellStart"/>
            <w:r>
              <w:t>conveyancing</w:t>
            </w:r>
            <w:proofErr w:type="spellEnd"/>
            <w:r>
              <w:t xml:space="preserve"> (Ferreira, </w:t>
            </w:r>
            <w:proofErr w:type="spellStart"/>
            <w:r>
              <w:t>Gyourko</w:t>
            </w:r>
            <w:proofErr w:type="spellEnd"/>
            <w:r>
              <w:t xml:space="preserve"> and Tracy 2011; Grady and Macmillan 2007; PC 2004, 2013)</w:t>
            </w:r>
          </w:p>
          <w:p w:rsidR="009671E0" w:rsidRDefault="009671E0" w:rsidP="009671E0">
            <w:pPr>
              <w:pStyle w:val="BoxListBullet"/>
            </w:pPr>
            <w:r>
              <w:t>rates of home ownership and factors affecting home ownership, such as conditions in the housing market and differences in housing prices between different areas (Blanchflower and Oswald 2013)</w:t>
            </w:r>
          </w:p>
          <w:p w:rsidR="009671E0" w:rsidRDefault="009671E0" w:rsidP="009671E0">
            <w:pPr>
              <w:pStyle w:val="BoxListBullet"/>
            </w:pPr>
            <w:r>
              <w:t>registration and licensing requirements of a given industry or occupation, which can sometimes be jurisdiction</w:t>
            </w:r>
            <w:r>
              <w:noBreakHyphen/>
              <w:t>specific (Grady and Macmillan 2007; Knox 2010; PC 2009)</w:t>
            </w:r>
          </w:p>
          <w:p w:rsidR="009671E0" w:rsidRDefault="009671E0" w:rsidP="009671E0">
            <w:pPr>
              <w:pStyle w:val="BoxListBullet"/>
            </w:pPr>
            <w:r>
              <w:t>the portability and eligibility requirements of a worker’s employment</w:t>
            </w:r>
            <w:r>
              <w:noBreakHyphen/>
              <w:t>based entitlements (such as some forms of leave) (Grady and Macmillan 2007)</w:t>
            </w:r>
          </w:p>
          <w:p w:rsidR="009671E0" w:rsidRDefault="009671E0" w:rsidP="009671E0">
            <w:pPr>
              <w:pStyle w:val="BoxListBullet"/>
            </w:pPr>
            <w:r>
              <w:t>the needs and preferences of a worker’s family and other household members, including the availability of school and community facilities, and their employment and earning prospects (Berger</w:t>
            </w:r>
            <w:r>
              <w:noBreakHyphen/>
              <w:t>Thomson and Roberts 2012)</w:t>
            </w:r>
          </w:p>
          <w:p w:rsidR="009671E0" w:rsidRDefault="009671E0" w:rsidP="009671E0">
            <w:pPr>
              <w:pStyle w:val="BoxListBullet"/>
            </w:pPr>
            <w:r>
              <w:t xml:space="preserve">less tangible factors, including a worker’s ability to cope with separation from their family and social networks, the sense of isolation if relocating to a remote area, and the potential stress of dislocation experienced by their family if they relocate too (McKissack et al. 2008). </w:t>
            </w:r>
          </w:p>
          <w:p w:rsidR="009671E0" w:rsidRDefault="009671E0" w:rsidP="009671E0">
            <w:pPr>
              <w:pStyle w:val="Box"/>
            </w:pPr>
            <w:r>
              <w:t>At the very least, workers’ capacity to respond to the changing structure of the economy requires them to be aware of job opportunities and wages available in other industries, occupations and locations. A lack of sufficient information could, therefore, impede workers’ responsiveness, which could be borne out in lower mobility.</w:t>
            </w:r>
          </w:p>
          <w:p w:rsidR="009671E0" w:rsidRDefault="009671E0" w:rsidP="009671E0">
            <w:pPr>
              <w:pStyle w:val="Box"/>
            </w:pPr>
            <w:r>
              <w:t>Information deficiencies and other barriers to mobility mean that, even if workers are willing to move as a result of a downturn, their relocation may take time. Previous research suggests that, during the 1990s, it took an average of four years for most of the out-migration of labour to occur, in response to state</w:t>
            </w:r>
            <w:r>
              <w:noBreakHyphen/>
              <w:t>specific economic downturns (Debelle and Vickery 1998). All else equal, the entire process of adjustment through interstate migration was estimated to reach completion after seven years. Labour’s responsiveness appears to have increased during the 2000s, yet such adjustments are still thought to take several years (McKissack et al. 2008). The lengthy nature of the geographic mobility process may contribute to the persistence of unfilled vacancies in some industries and regions.</w:t>
            </w:r>
          </w:p>
        </w:tc>
      </w:tr>
      <w:tr w:rsidR="009671E0">
        <w:trPr>
          <w:cantSplit/>
        </w:trPr>
        <w:tc>
          <w:tcPr>
            <w:tcW w:w="8771" w:type="dxa"/>
            <w:tcBorders>
              <w:top w:val="nil"/>
              <w:left w:val="single" w:sz="6" w:space="0" w:color="auto"/>
              <w:bottom w:val="single" w:sz="6" w:space="0" w:color="auto"/>
              <w:right w:val="single" w:sz="6" w:space="0" w:color="auto"/>
            </w:tcBorders>
          </w:tcPr>
          <w:p w:rsidR="009671E0" w:rsidRDefault="009671E0">
            <w:pPr>
              <w:pStyle w:val="Box"/>
              <w:spacing w:before="0" w:line="120" w:lineRule="exact"/>
            </w:pPr>
          </w:p>
        </w:tc>
      </w:tr>
      <w:tr w:rsidR="009671E0" w:rsidRPr="000863A5">
        <w:tc>
          <w:tcPr>
            <w:tcW w:w="8771" w:type="dxa"/>
            <w:tcBorders>
              <w:top w:val="nil"/>
              <w:left w:val="nil"/>
              <w:bottom w:val="nil"/>
              <w:right w:val="nil"/>
            </w:tcBorders>
          </w:tcPr>
          <w:p w:rsidR="009671E0" w:rsidRPr="00626D32" w:rsidRDefault="009671E0" w:rsidP="00537BB4">
            <w:pPr>
              <w:pStyle w:val="BoxSpaceBelow"/>
            </w:pPr>
          </w:p>
        </w:tc>
      </w:tr>
    </w:tbl>
    <w:p w:rsidR="004A7B04" w:rsidRPr="004A7B04" w:rsidRDefault="004A7B04" w:rsidP="0092792B">
      <w:pPr>
        <w:pStyle w:val="FigureTitle"/>
        <w:rPr>
          <w:position w:val="6"/>
          <w:sz w:val="18"/>
        </w:rPr>
      </w:pPr>
      <w:r w:rsidRPr="0092792B">
        <w:rPr>
          <w:b w:val="0"/>
        </w:rPr>
        <w:lastRenderedPageBreak/>
        <w:t xml:space="preserve">Figure </w:t>
      </w:r>
      <w:bookmarkStart w:id="18" w:name="OLE_LINK21"/>
      <w:r w:rsidR="003753D7">
        <w:rPr>
          <w:b w:val="0"/>
        </w:rPr>
        <w:t>5.</w:t>
      </w:r>
      <w:r w:rsidR="00FB66BF">
        <w:rPr>
          <w:b w:val="0"/>
          <w:noProof/>
        </w:rPr>
        <w:t>5</w:t>
      </w:r>
      <w:bookmarkEnd w:id="18"/>
      <w:r w:rsidRPr="0092792B">
        <w:rPr>
          <w:b w:val="0"/>
        </w:rPr>
        <w:tab/>
      </w:r>
      <w:r w:rsidR="007B691D">
        <w:t>W</w:t>
      </w:r>
      <w:r w:rsidRPr="004A7B04">
        <w:t>orkers who moved residential location</w:t>
      </w:r>
      <w:r w:rsidR="007B691D">
        <w:t xml:space="preserve"> between consecutive years</w:t>
      </w:r>
      <w:r w:rsidRPr="004A7B04">
        <w:t xml:space="preserve"> for work reasons, </w:t>
      </w:r>
      <w:r w:rsidR="007B691D">
        <w:t xml:space="preserve">by sector, </w:t>
      </w:r>
      <w:r w:rsidRPr="004A7B04">
        <w:t>2001</w:t>
      </w:r>
      <w:r w:rsidR="0084039D">
        <w:t xml:space="preserve"> to </w:t>
      </w:r>
      <w:r w:rsidRPr="004A7B04">
        <w:t>2010</w:t>
      </w:r>
      <w:r w:rsidRPr="004A7B04">
        <w:rPr>
          <w:position w:val="6"/>
          <w:sz w:val="18"/>
        </w:rPr>
        <w:t>a</w:t>
      </w:r>
      <w:r w:rsidR="00FD4350">
        <w:rPr>
          <w:position w:val="6"/>
          <w:sz w:val="18"/>
        </w:rPr>
        <w:t>, b, c, d</w:t>
      </w:r>
      <w:r w:rsidR="003B088B">
        <w:rPr>
          <w:position w:val="6"/>
          <w:sz w:val="18"/>
        </w:rPr>
        <w:t>, e</w:t>
      </w:r>
    </w:p>
    <w:p w:rsidR="004A7B04" w:rsidRPr="004A7B04" w:rsidRDefault="005724EA" w:rsidP="0092792B">
      <w:pPr>
        <w:pStyle w:val="Subtitle"/>
      </w:pPr>
      <w:r>
        <w:t>Moving</w:t>
      </w:r>
      <w:r w:rsidR="004A7B04" w:rsidRPr="004A7B04">
        <w:t xml:space="preserve"> work</w:t>
      </w:r>
      <w:r w:rsidR="006E08F6">
        <w:t>ers</w:t>
      </w:r>
      <w:r w:rsidR="00FD4350">
        <w:t xml:space="preserve"> as a </w:t>
      </w:r>
      <w:r>
        <w:t xml:space="preserve">percentage </w:t>
      </w:r>
      <w:r w:rsidR="00FD4350">
        <w:t>of all workers in each</w:t>
      </w:r>
      <w:r>
        <w:t xml:space="preserve"> destination</w:t>
      </w:r>
      <w:r w:rsidR="00FD4350">
        <w:t xml:space="preserve"> sector</w:t>
      </w:r>
      <w:r w:rsidR="00EC735F">
        <w:t xml:space="preserve"> (LHS) and number of workers (RHS)</w:t>
      </w:r>
      <w:r w:rsidR="006E08F6">
        <w:t xml:space="preserve"> in each sector who moved for work reasons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95348E">
        <w:tc>
          <w:tcPr>
            <w:tcW w:w="8777" w:type="dxa"/>
          </w:tcPr>
          <w:p w:rsidR="004A7B04" w:rsidRPr="004A7B04" w:rsidRDefault="00EC735F" w:rsidP="0092792B">
            <w:pPr>
              <w:keepNext/>
              <w:spacing w:before="120" w:after="120" w:line="240" w:lineRule="atLeast"/>
              <w:jc w:val="center"/>
              <w:rPr>
                <w:szCs w:val="20"/>
              </w:rPr>
            </w:pPr>
            <w:r>
              <w:rPr>
                <w:noProof/>
              </w:rPr>
              <w:drawing>
                <wp:inline distT="0" distB="0" distL="0" distR="0" wp14:anchorId="5439B0F5" wp14:editId="44467FF2">
                  <wp:extent cx="5410200" cy="2844800"/>
                  <wp:effectExtent l="0" t="0" r="0" b="0"/>
                  <wp:docPr id="8" name="Chart 8" descr="This figure shows the share of workers who moved residential location from one year to the next, for work reasons, from 2001 to 2010, disaggregated according to the sector that they were employed in after they moved. These shares are represented by the vertical bars, for which the axis is on the left-hand side. The solid line shows the number of workers in sector who moved residential location for work reasons, for which the axis is on the right-hand sid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FD4350" w:rsidRPr="000A485E" w:rsidRDefault="00FD4350" w:rsidP="00FD4350">
      <w:pPr>
        <w:pStyle w:val="Note"/>
        <w:rPr>
          <w:b/>
        </w:rPr>
      </w:pPr>
      <w:r w:rsidRPr="0092792B">
        <w:rPr>
          <w:rStyle w:val="NoteLabel"/>
        </w:rPr>
        <w:t>a</w:t>
      </w:r>
      <w:r w:rsidRPr="004A7B04">
        <w:t xml:space="preserve"> </w:t>
      </w:r>
      <w:r>
        <w:t xml:space="preserve">Sectoral categories refer to workers’ sector of employment </w:t>
      </w:r>
      <w:r w:rsidRPr="000A485E">
        <w:rPr>
          <w:i/>
        </w:rPr>
        <w:t>after</w:t>
      </w:r>
      <w:r>
        <w:t xml:space="preserve"> moving, which, in some cases, might differ from the sector they were employed in </w:t>
      </w:r>
      <w:r w:rsidRPr="000A485E">
        <w:rPr>
          <w:i/>
        </w:rPr>
        <w:t>before</w:t>
      </w:r>
      <w:r>
        <w:t xml:space="preserve"> moving. Estimates also include</w:t>
      </w:r>
      <w:r w:rsidRPr="004A7B04">
        <w:t xml:space="preserve"> people who were not employed before moving, but gained employment after moving</w:t>
      </w:r>
      <w:r>
        <w:t xml:space="preserve">. </w:t>
      </w:r>
      <w:r w:rsidR="00E71205">
        <w:t xml:space="preserve"> </w:t>
      </w:r>
      <w:r>
        <w:rPr>
          <w:rStyle w:val="NoteLabel"/>
        </w:rPr>
        <w:t>b</w:t>
      </w:r>
      <w:r w:rsidRPr="004A7B04">
        <w:t xml:space="preserve"> </w:t>
      </w:r>
      <w:r>
        <w:t>Data represented by the vertical bars refer to the left</w:t>
      </w:r>
      <w:r>
        <w:noBreakHyphen/>
        <w:t>hand side axis, and the solid line refers to the right</w:t>
      </w:r>
      <w:r>
        <w:noBreakHyphen/>
        <w:t>hand</w:t>
      </w:r>
      <w:r>
        <w:noBreakHyphen/>
        <w:t xml:space="preserve">side axis. </w:t>
      </w:r>
      <w:r w:rsidR="00E71205">
        <w:t xml:space="preserve"> </w:t>
      </w:r>
      <w:r>
        <w:rPr>
          <w:rStyle w:val="NoteLabel"/>
        </w:rPr>
        <w:t>c</w:t>
      </w:r>
      <w:r w:rsidRPr="004A7B04">
        <w:t xml:space="preserve"> </w:t>
      </w:r>
      <w:r>
        <w:t xml:space="preserve">Number of workers employed in each sector is the average number for each year between 2001 and 2010. </w:t>
      </w:r>
      <w:r w:rsidRPr="004A7B04">
        <w:t xml:space="preserve">Estimates are averaged values for </w:t>
      </w:r>
      <w:r>
        <w:t>three</w:t>
      </w:r>
      <w:r w:rsidRPr="004A7B04">
        <w:t xml:space="preserve"> pairs of consecutive years, </w:t>
      </w:r>
      <w:r>
        <w:t>for example</w:t>
      </w:r>
      <w:r w:rsidR="00012E16">
        <w:t>,</w:t>
      </w:r>
      <w:r w:rsidRPr="004A7B04">
        <w:t xml:space="preserve"> ‘</w:t>
      </w:r>
      <w:r>
        <w:t>a</w:t>
      </w:r>
      <w:r w:rsidRPr="004A7B04">
        <w:t xml:space="preserve">verage </w:t>
      </w:r>
      <w:r w:rsidRPr="005374E1">
        <w:t>2001</w:t>
      </w:r>
      <w:r>
        <w:t>–</w:t>
      </w:r>
      <w:r w:rsidRPr="005374E1">
        <w:t>2002</w:t>
      </w:r>
      <w:r>
        <w:t xml:space="preserve"> to </w:t>
      </w:r>
      <w:r w:rsidRPr="005374E1">
        <w:t>2003</w:t>
      </w:r>
      <w:r>
        <w:t>–</w:t>
      </w:r>
      <w:r w:rsidRPr="005374E1">
        <w:t>2004’</w:t>
      </w:r>
      <w:r w:rsidRPr="004A7B04">
        <w:t xml:space="preserve"> refers to workers who </w:t>
      </w:r>
      <w:r>
        <w:t>moved</w:t>
      </w:r>
      <w:r w:rsidRPr="004A7B04">
        <w:t xml:space="preserve"> between 2001 and 2002, between 2002 and 2003, and/or between 2003 and 2004. </w:t>
      </w:r>
      <w:r w:rsidR="00E71205">
        <w:t xml:space="preserve"> </w:t>
      </w:r>
      <w:r>
        <w:rPr>
          <w:rStyle w:val="NoteLabel"/>
        </w:rPr>
        <w:t>d</w:t>
      </w:r>
      <w:r w:rsidRPr="004A7B04">
        <w:t xml:space="preserve"> </w:t>
      </w:r>
      <w:r>
        <w:t>Estimates refer to the working</w:t>
      </w:r>
      <w:r>
        <w:noBreakHyphen/>
        <w:t>age population (15</w:t>
      </w:r>
      <w:r>
        <w:rPr>
          <w:rFonts w:cs="Arial"/>
        </w:rPr>
        <w:t>–</w:t>
      </w:r>
      <w:r>
        <w:t>64 years) and are population</w:t>
      </w:r>
      <w:r>
        <w:noBreakHyphen/>
        <w:t>weighted.</w:t>
      </w:r>
      <w:r w:rsidR="003B088B">
        <w:t xml:space="preserve">  </w:t>
      </w:r>
      <w:r w:rsidR="003B088B">
        <w:rPr>
          <w:rStyle w:val="NoteLabel"/>
        </w:rPr>
        <w:t>e</w:t>
      </w:r>
      <w:r w:rsidR="003B088B" w:rsidRPr="004A7B04">
        <w:t xml:space="preserve"> </w:t>
      </w:r>
      <w:r w:rsidR="003B088B">
        <w:t xml:space="preserve">Sectors are defined </w:t>
      </w:r>
      <w:r w:rsidR="006B7164">
        <w:t>in appendix </w:t>
      </w:r>
      <w:r w:rsidR="003B088B">
        <w:t>A.</w:t>
      </w:r>
    </w:p>
    <w:p w:rsidR="004A7B04" w:rsidRDefault="004A7B04" w:rsidP="0092792B">
      <w:pPr>
        <w:pStyle w:val="Source"/>
      </w:pPr>
      <w:r w:rsidRPr="004A7B04">
        <w:rPr>
          <w:i/>
        </w:rPr>
        <w:t>Source</w:t>
      </w:r>
      <w:r w:rsidRPr="00FD16FE">
        <w:t>:</w:t>
      </w:r>
      <w:r w:rsidRPr="004A7B04">
        <w:rPr>
          <w:i/>
        </w:rPr>
        <w:t xml:space="preserve"> </w:t>
      </w:r>
      <w:r w:rsidR="00100138">
        <w:t>Productivity Commission</w:t>
      </w:r>
      <w:r w:rsidRPr="004A7B04">
        <w:t xml:space="preserve"> </w:t>
      </w:r>
      <w:r w:rsidR="009F4456">
        <w:t>estimates</w:t>
      </w:r>
      <w:r w:rsidRPr="004A7B04">
        <w:t xml:space="preserve"> using HILDA Survey 2001–2010 Unconfidentialised Release 10.1.</w:t>
      </w:r>
    </w:p>
    <w:p w:rsidR="00210145" w:rsidRPr="004A7B04" w:rsidRDefault="00210145" w:rsidP="00210145">
      <w:pPr>
        <w:pStyle w:val="BodyText"/>
      </w:pPr>
      <w:r>
        <w:t>By contrast, mining workers appear to have a greater relative propensity to move for work purposes, compared to those in other sectors (figure 5.5). This is to be expected, since many workers now employed in mining have come from other industries, in other locations (chapter 6). Indeed, those now employed in mining are more likely to</w:t>
      </w:r>
      <w:r w:rsidRPr="004A7B04">
        <w:t xml:space="preserve"> </w:t>
      </w:r>
      <w:r>
        <w:t xml:space="preserve">have </w:t>
      </w:r>
      <w:r w:rsidRPr="004A7B04">
        <w:t>move</w:t>
      </w:r>
      <w:r>
        <w:t>d</w:t>
      </w:r>
      <w:r w:rsidRPr="004A7B04">
        <w:t xml:space="preserve"> </w:t>
      </w:r>
      <w:r>
        <w:t>for work purposes than for any other reason (data not shown). These findings illustrate that</w:t>
      </w:r>
      <w:r w:rsidR="00164CAF">
        <w:t>, as expected,</w:t>
      </w:r>
      <w:r>
        <w:t xml:space="preserve"> some labour has relocated in response to the growing job opportunities and higher wages associated with the </w:t>
      </w:r>
      <w:r w:rsidR="0041280E">
        <w:t xml:space="preserve">resources </w:t>
      </w:r>
      <w:r>
        <w:t>boom.</w:t>
      </w:r>
    </w:p>
    <w:p w:rsidR="00DD7E69" w:rsidRDefault="00DD7E69" w:rsidP="00DD7E69">
      <w:pPr>
        <w:pStyle w:val="BodyText"/>
      </w:pPr>
      <w:r>
        <w:t xml:space="preserve">The estimates </w:t>
      </w:r>
      <w:r w:rsidR="009920E3">
        <w:t>for mining, discussed above, focus</w:t>
      </w:r>
      <w:r>
        <w:t xml:space="preserve"> on workers moving their permanent place of residence. But an increasing </w:t>
      </w:r>
      <w:r w:rsidRPr="004A7B04">
        <w:t xml:space="preserve">number </w:t>
      </w:r>
      <w:r>
        <w:t>of workers</w:t>
      </w:r>
      <w:r w:rsidR="009920E3">
        <w:t xml:space="preserve"> in that sector</w:t>
      </w:r>
      <w:r>
        <w:t xml:space="preserve"> have taken up job opportunities in remote areas, without needing to move to these locations permanently, </w:t>
      </w:r>
      <w:r w:rsidRPr="004A7B04">
        <w:t xml:space="preserve">under </w:t>
      </w:r>
      <w:r w:rsidR="009920E3">
        <w:t>‘</w:t>
      </w:r>
      <w:r>
        <w:t>Fly</w:t>
      </w:r>
      <w:r>
        <w:noBreakHyphen/>
        <w:t>in, Fly</w:t>
      </w:r>
      <w:r>
        <w:noBreakHyphen/>
      </w:r>
      <w:r w:rsidRPr="004A7B04">
        <w:t>out</w:t>
      </w:r>
      <w:r w:rsidR="009920E3">
        <w:t>’</w:t>
      </w:r>
      <w:r w:rsidRPr="004A7B04">
        <w:t xml:space="preserve"> and </w:t>
      </w:r>
      <w:r w:rsidR="009920E3">
        <w:t>‘</w:t>
      </w:r>
      <w:r>
        <w:t>Drive</w:t>
      </w:r>
      <w:r>
        <w:noBreakHyphen/>
        <w:t>in, Drive</w:t>
      </w:r>
      <w:r>
        <w:noBreakHyphen/>
        <w:t>out</w:t>
      </w:r>
      <w:r w:rsidR="009920E3">
        <w:t>’</w:t>
      </w:r>
      <w:r>
        <w:t xml:space="preserve"> work arrangements. As discussed </w:t>
      </w:r>
      <w:r w:rsidR="00B26602">
        <w:t>further</w:t>
      </w:r>
      <w:r>
        <w:t xml:space="preserve"> in chapter</w:t>
      </w:r>
      <w:r w:rsidR="00AC71FA">
        <w:t> </w:t>
      </w:r>
      <w:r>
        <w:t>6, the rising prevalence of these long</w:t>
      </w:r>
      <w:r>
        <w:noBreakHyphen/>
      </w:r>
      <w:r w:rsidRPr="004A7B04">
        <w:t xml:space="preserve">distance commuting arrangements </w:t>
      </w:r>
      <w:r>
        <w:t xml:space="preserve">has </w:t>
      </w:r>
      <w:r w:rsidR="00B26602">
        <w:t>challenged</w:t>
      </w:r>
      <w:r w:rsidR="00B26602" w:rsidRPr="004A7B04">
        <w:t xml:space="preserve"> </w:t>
      </w:r>
      <w:r w:rsidRPr="004A7B04">
        <w:t xml:space="preserve">the traditional notion that </w:t>
      </w:r>
      <w:r w:rsidRPr="004A7B04">
        <w:lastRenderedPageBreak/>
        <w:t xml:space="preserve">geographic labour mobility </w:t>
      </w:r>
      <w:r>
        <w:t>entails workers</w:t>
      </w:r>
      <w:r w:rsidRPr="004A7B04">
        <w:t xml:space="preserve"> </w:t>
      </w:r>
      <w:r>
        <w:t>changing their permanent place of residence</w:t>
      </w:r>
      <w:r w:rsidRPr="004A7B04">
        <w:t xml:space="preserve">. </w:t>
      </w:r>
      <w:r>
        <w:t xml:space="preserve">Viewed </w:t>
      </w:r>
      <w:r w:rsidR="00ED52D6">
        <w:t xml:space="preserve">in </w:t>
      </w:r>
      <w:r>
        <w:t>this way, figure</w:t>
      </w:r>
      <w:r w:rsidR="00AC71FA">
        <w:t> </w:t>
      </w:r>
      <w:r>
        <w:t>5.5</w:t>
      </w:r>
      <w:r w:rsidRPr="004A7B04">
        <w:t xml:space="preserve"> </w:t>
      </w:r>
      <w:r w:rsidR="00ED52D6">
        <w:t xml:space="preserve">is likely to </w:t>
      </w:r>
      <w:r w:rsidRPr="004A7B04">
        <w:t xml:space="preserve">understate the </w:t>
      </w:r>
      <w:r w:rsidR="005724EA">
        <w:t>overall</w:t>
      </w:r>
      <w:r w:rsidR="005724EA" w:rsidRPr="004A7B04">
        <w:t xml:space="preserve"> </w:t>
      </w:r>
      <w:r w:rsidRPr="004A7B04">
        <w:t>rate of geographic mobility</w:t>
      </w:r>
      <w:r>
        <w:t xml:space="preserve"> </w:t>
      </w:r>
      <w:r w:rsidR="00515DFB">
        <w:t xml:space="preserve">of </w:t>
      </w:r>
      <w:r>
        <w:t>Australia’s labour force, especially within, but not limited to, mining.</w:t>
      </w:r>
    </w:p>
    <w:p w:rsidR="00CA539C" w:rsidRDefault="00715BE2" w:rsidP="00DD7E69">
      <w:pPr>
        <w:pStyle w:val="BodyText"/>
      </w:pPr>
      <w:r>
        <w:t>Compared to that</w:t>
      </w:r>
      <w:r w:rsidR="00CA539C">
        <w:t xml:space="preserve"> in the other sectors (except manufacturing)</w:t>
      </w:r>
      <w:r>
        <w:t xml:space="preserve">, permanent geographic labour mobility </w:t>
      </w:r>
      <w:r w:rsidR="00FE4FA5">
        <w:t>towards</w:t>
      </w:r>
      <w:r>
        <w:t xml:space="preserve"> the services sectors was generally low</w:t>
      </w:r>
      <w:r w:rsidR="00CA539C">
        <w:t xml:space="preserve"> and declining throughout the 2000s</w:t>
      </w:r>
      <w:r>
        <w:t xml:space="preserve"> (figure 5.5)</w:t>
      </w:r>
      <w:r w:rsidR="00CA539C">
        <w:t>.</w:t>
      </w:r>
      <w:r>
        <w:t xml:space="preserve"> In absolute terms, however, these sectors </w:t>
      </w:r>
      <w:r w:rsidR="00B614D7">
        <w:t>received</w:t>
      </w:r>
      <w:r>
        <w:t xml:space="preserve"> the largest number of ‘movers’, </w:t>
      </w:r>
      <w:r w:rsidR="00B26602">
        <w:t>due to</w:t>
      </w:r>
      <w:r>
        <w:t xml:space="preserve"> their size.</w:t>
      </w:r>
      <w:r>
        <w:rPr>
          <w:rStyle w:val="FootnoteReference"/>
        </w:rPr>
        <w:footnoteReference w:id="16"/>
      </w:r>
      <w:r>
        <w:t xml:space="preserve"> </w:t>
      </w:r>
    </w:p>
    <w:p w:rsidR="004A7B04" w:rsidRPr="004A7B04" w:rsidRDefault="003753D7" w:rsidP="00EF3627">
      <w:pPr>
        <w:pStyle w:val="Heading2"/>
      </w:pPr>
      <w:bookmarkStart w:id="19" w:name="_Toc328470216"/>
      <w:bookmarkStart w:id="20" w:name="_Toc330368701"/>
      <w:bookmarkStart w:id="21" w:name="_Toc331405017"/>
      <w:bookmarkStart w:id="22" w:name="_Toc331491061"/>
      <w:bookmarkEnd w:id="16"/>
      <w:bookmarkEnd w:id="17"/>
      <w:r>
        <w:t>5.</w:t>
      </w:r>
      <w:r w:rsidR="00FB66BF">
        <w:rPr>
          <w:noProof/>
        </w:rPr>
        <w:t>2</w:t>
      </w:r>
      <w:r w:rsidR="004A7B04" w:rsidRPr="004A7B04">
        <w:tab/>
        <w:t>The changing nature of work</w:t>
      </w:r>
      <w:bookmarkEnd w:id="19"/>
      <w:bookmarkEnd w:id="20"/>
      <w:bookmarkEnd w:id="21"/>
      <w:bookmarkEnd w:id="22"/>
    </w:p>
    <w:p w:rsidR="004A7B04" w:rsidRPr="00EF3627" w:rsidRDefault="00C23B91" w:rsidP="00EF3627">
      <w:pPr>
        <w:pStyle w:val="BodyText"/>
      </w:pPr>
      <w:r>
        <w:t>This section look</w:t>
      </w:r>
      <w:r w:rsidR="008C1F54">
        <w:t>s</w:t>
      </w:r>
      <w:r>
        <w:t xml:space="preserve"> at how </w:t>
      </w:r>
      <w:r w:rsidR="004A7B04" w:rsidRPr="00EF3627">
        <w:t xml:space="preserve">the nature of work itself </w:t>
      </w:r>
      <w:r>
        <w:t>has evolved</w:t>
      </w:r>
      <w:r w:rsidR="004A7B04" w:rsidRPr="00EF3627">
        <w:t xml:space="preserve"> in ways that </w:t>
      </w:r>
      <w:r w:rsidR="00D953B5">
        <w:t>not only</w:t>
      </w:r>
      <w:r w:rsidR="00413698">
        <w:t xml:space="preserve"> </w:t>
      </w:r>
      <w:r w:rsidR="004A7B04" w:rsidRPr="00EF3627">
        <w:t xml:space="preserve">reflect broader </w:t>
      </w:r>
      <w:r w:rsidR="00D953B5">
        <w:t xml:space="preserve">pressures for structural change, but can also help to facilitate labour’s adjustment. Changes in the nature of work </w:t>
      </w:r>
      <w:r>
        <w:t xml:space="preserve">encompasses changes in </w:t>
      </w:r>
      <w:r w:rsidR="004A7B04" w:rsidRPr="00EF3627">
        <w:t xml:space="preserve">the types of skill </w:t>
      </w:r>
      <w:r w:rsidR="00B84FB1">
        <w:t>and qualification</w:t>
      </w:r>
      <w:r w:rsidR="00F2445E">
        <w:t xml:space="preserve"> </w:t>
      </w:r>
      <w:r w:rsidR="004A7B04" w:rsidRPr="00EF3627">
        <w:t xml:space="preserve">required </w:t>
      </w:r>
      <w:r w:rsidR="00B26602">
        <w:t>by employers</w:t>
      </w:r>
      <w:r>
        <w:t xml:space="preserve">, the flexibility of workplace </w:t>
      </w:r>
      <w:r w:rsidR="00380432">
        <w:t xml:space="preserve">arrangements and </w:t>
      </w:r>
      <w:r w:rsidR="00D953B5">
        <w:t xml:space="preserve">the flexibility of </w:t>
      </w:r>
      <w:r w:rsidR="00380432">
        <w:t>wage</w:t>
      </w:r>
      <w:r w:rsidR="00380432">
        <w:noBreakHyphen/>
      </w:r>
      <w:r w:rsidR="004A7B04" w:rsidRPr="00EF3627">
        <w:t>setting mechanisms.</w:t>
      </w:r>
    </w:p>
    <w:p w:rsidR="004A7B04" w:rsidRPr="004A7B04" w:rsidRDefault="004A7B04" w:rsidP="00EF3627">
      <w:pPr>
        <w:pStyle w:val="Heading3"/>
      </w:pPr>
      <w:r w:rsidRPr="004A7B04">
        <w:t>Changes in skill requirements</w:t>
      </w:r>
    </w:p>
    <w:p w:rsidR="00985F94" w:rsidRDefault="004E1038" w:rsidP="007E2C66">
      <w:pPr>
        <w:pStyle w:val="BodyText"/>
      </w:pPr>
      <w:bookmarkStart w:id="23" w:name="_Toc331405019"/>
      <w:bookmarkStart w:id="24" w:name="_Toc331491063"/>
      <w:r>
        <w:t>In Australia as in most modern economies, structural change</w:t>
      </w:r>
      <w:r w:rsidR="007E2C66">
        <w:t xml:space="preserve"> has been accompanied by an overall increase in the complexity, and hence the skill requirements, of jobs</w:t>
      </w:r>
      <w:r w:rsidR="00D97918">
        <w:t xml:space="preserve"> (De Laine, Laplagne</w:t>
      </w:r>
      <w:r w:rsidR="003F377A">
        <w:t xml:space="preserve"> and Stone</w:t>
      </w:r>
      <w:r w:rsidR="00D97918">
        <w:t xml:space="preserve"> 2000; Downes and Stoeckel 2006; Jorgenson and Timmer 2011)</w:t>
      </w:r>
      <w:r w:rsidR="007E2C66">
        <w:t xml:space="preserve">. This increase had been fuelled, in particular, by advances in technology that have not only </w:t>
      </w:r>
      <w:r w:rsidR="00327167">
        <w:t xml:space="preserve">reduced demand for a number of </w:t>
      </w:r>
      <w:r w:rsidR="007E2C66">
        <w:t>low</w:t>
      </w:r>
      <w:r w:rsidR="008A2FEF">
        <w:t>er</w:t>
      </w:r>
      <w:r w:rsidR="007E2C66">
        <w:noBreakHyphen/>
        <w:t xml:space="preserve">skilled jobs, but also </w:t>
      </w:r>
      <w:r w:rsidR="007C4991">
        <w:t>created new highly</w:t>
      </w:r>
      <w:r w:rsidR="007C4991">
        <w:noBreakHyphen/>
        <w:t xml:space="preserve">skilled ones </w:t>
      </w:r>
      <w:r w:rsidR="00381E33">
        <w:t xml:space="preserve">and </w:t>
      </w:r>
      <w:r w:rsidR="007E2C66">
        <w:t xml:space="preserve">heightened the level of cognitive skill component of most existing </w:t>
      </w:r>
      <w:r w:rsidR="007C4991">
        <w:t>one</w:t>
      </w:r>
      <w:r w:rsidR="00A20389">
        <w:t>s</w:t>
      </w:r>
      <w:r w:rsidR="007E2C66">
        <w:t xml:space="preserve">. </w:t>
      </w:r>
      <w:r w:rsidR="00B26602">
        <w:t xml:space="preserve">For </w:t>
      </w:r>
      <w:r w:rsidR="007C4991">
        <w:t>example</w:t>
      </w:r>
      <w:r w:rsidR="007E2C66" w:rsidRPr="004A7B04">
        <w:t xml:space="preserve">, </w:t>
      </w:r>
      <w:r w:rsidR="007C4991">
        <w:t xml:space="preserve">many of </w:t>
      </w:r>
      <w:r w:rsidR="00D35E11">
        <w:t>the jobs that are</w:t>
      </w:r>
      <w:r w:rsidR="007C4991">
        <w:t xml:space="preserve"> core to </w:t>
      </w:r>
      <w:r w:rsidR="00D35E11">
        <w:t xml:space="preserve">today’s </w:t>
      </w:r>
      <w:r w:rsidR="007C4991">
        <w:t>Information</w:t>
      </w:r>
      <w:r w:rsidR="00A20389">
        <w:t>,</w:t>
      </w:r>
      <w:r w:rsidR="007C4991">
        <w:t xml:space="preserve"> media and telecommunications</w:t>
      </w:r>
      <w:r w:rsidR="00D35E11">
        <w:t xml:space="preserve"> industry</w:t>
      </w:r>
      <w:r w:rsidR="007C4991">
        <w:t xml:space="preserve"> (such</w:t>
      </w:r>
      <w:r w:rsidR="008A2FEF">
        <w:t xml:space="preserve"> as</w:t>
      </w:r>
      <w:r w:rsidR="007C4991">
        <w:t xml:space="preserve"> Web developers and Network administrators) </w:t>
      </w:r>
      <w:r w:rsidR="00D35E11">
        <w:t>used to be</w:t>
      </w:r>
      <w:r w:rsidR="007C4991">
        <w:t xml:space="preserve"> </w:t>
      </w:r>
      <w:r w:rsidR="00381E33">
        <w:t>rare or non</w:t>
      </w:r>
      <w:r w:rsidR="00FD16FE">
        <w:noBreakHyphen/>
      </w:r>
      <w:r w:rsidR="00381E33">
        <w:t>existent</w:t>
      </w:r>
      <w:r w:rsidR="007C4991">
        <w:t xml:space="preserve">. </w:t>
      </w:r>
      <w:r w:rsidR="00D35E11">
        <w:t>Also</w:t>
      </w:r>
      <w:r w:rsidR="007C4991">
        <w:t xml:space="preserve"> </w:t>
      </w:r>
      <w:r w:rsidR="00D35E11">
        <w:t>in</w:t>
      </w:r>
      <w:r w:rsidR="00D35E11" w:rsidRPr="004A7B04">
        <w:t xml:space="preserve"> </w:t>
      </w:r>
      <w:r w:rsidR="00D35E11">
        <w:t>recent</w:t>
      </w:r>
      <w:r w:rsidR="00D35E11" w:rsidRPr="004A7B04">
        <w:t xml:space="preserve"> decades, </w:t>
      </w:r>
      <w:r w:rsidR="007E2C66" w:rsidRPr="004A7B04">
        <w:t xml:space="preserve">the </w:t>
      </w:r>
      <w:r w:rsidR="00F2445E">
        <w:t>qualification</w:t>
      </w:r>
      <w:r w:rsidR="00DF3B10">
        <w:t>s</w:t>
      </w:r>
      <w:r w:rsidR="00F2445E" w:rsidRPr="004A7B04">
        <w:t xml:space="preserve"> </w:t>
      </w:r>
      <w:r w:rsidR="007E2C66" w:rsidRPr="004A7B04">
        <w:t xml:space="preserve">requirements </w:t>
      </w:r>
      <w:r w:rsidR="005724EA">
        <w:t xml:space="preserve">of many jobs have risen. For example, those </w:t>
      </w:r>
      <w:r w:rsidR="007E2C66" w:rsidRPr="004A7B04">
        <w:t>for nurses and teachers</w:t>
      </w:r>
      <w:r w:rsidR="00D35E11">
        <w:t xml:space="preserve"> have been upgraded</w:t>
      </w:r>
      <w:r w:rsidR="007E2C66" w:rsidRPr="004A7B04">
        <w:t xml:space="preserve"> from </w:t>
      </w:r>
      <w:r w:rsidR="008F6D8E">
        <w:t>C</w:t>
      </w:r>
      <w:r w:rsidR="008F6D8E" w:rsidRPr="004A7B04">
        <w:t>ertificate</w:t>
      </w:r>
      <w:r w:rsidR="007E2C66" w:rsidRPr="004A7B04">
        <w:noBreakHyphen/>
        <w:t xml:space="preserve">level to </w:t>
      </w:r>
      <w:r w:rsidR="008F6D8E">
        <w:t>Bachelor</w:t>
      </w:r>
      <w:r w:rsidR="007E2C66" w:rsidRPr="004A7B04">
        <w:noBreakHyphen/>
        <w:t>level qualification</w:t>
      </w:r>
      <w:r w:rsidR="003E4FFD">
        <w:t>s</w:t>
      </w:r>
      <w:r w:rsidR="007E2C66" w:rsidRPr="004A7B04">
        <w:t xml:space="preserve"> (ABS</w:t>
      </w:r>
      <w:r w:rsidR="008C1F54">
        <w:t> </w:t>
      </w:r>
      <w:r w:rsidR="007E2C66" w:rsidRPr="004A7B04">
        <w:t>2009)</w:t>
      </w:r>
      <w:r w:rsidR="00D35E11">
        <w:t>, meaning</w:t>
      </w:r>
      <w:r w:rsidR="007E2C66" w:rsidRPr="004A7B04">
        <w:t xml:space="preserve"> that these occupations </w:t>
      </w:r>
      <w:r w:rsidR="00381E33">
        <w:t>were</w:t>
      </w:r>
      <w:r w:rsidR="007E2C66">
        <w:t xml:space="preserve"> </w:t>
      </w:r>
      <w:r w:rsidR="007C4991">
        <w:t>re</w:t>
      </w:r>
      <w:r w:rsidR="007E2C66">
        <w:t xml:space="preserve">classified </w:t>
      </w:r>
      <w:r w:rsidR="007C4991">
        <w:t>from</w:t>
      </w:r>
      <w:r w:rsidR="007E2C66">
        <w:t xml:space="preserve"> Technicians and trades workers to P</w:t>
      </w:r>
      <w:r w:rsidR="007E2C66" w:rsidRPr="004A7B04">
        <w:t>rofession</w:t>
      </w:r>
      <w:r w:rsidR="007E2C66">
        <w:t>als</w:t>
      </w:r>
      <w:r w:rsidR="00B017B0">
        <w:t xml:space="preserve"> in employment statistics</w:t>
      </w:r>
      <w:r w:rsidR="007E2C66" w:rsidRPr="004A7B04">
        <w:t>.</w:t>
      </w:r>
      <w:r w:rsidR="007E2C66">
        <w:t xml:space="preserve"> </w:t>
      </w:r>
    </w:p>
    <w:p w:rsidR="00F1520F" w:rsidRDefault="007C4991" w:rsidP="00F1520F">
      <w:pPr>
        <w:pStyle w:val="BodyText"/>
        <w:spacing w:before="0"/>
      </w:pPr>
      <w:r>
        <w:t>T</w:t>
      </w:r>
      <w:r w:rsidR="007E2C66">
        <w:t xml:space="preserve">he comparative mix of skills required by each sector, and the </w:t>
      </w:r>
      <w:r w:rsidR="002E7151">
        <w:t>way in</w:t>
      </w:r>
      <w:r w:rsidR="007E2C66">
        <w:t xml:space="preserve"> which this mix </w:t>
      </w:r>
      <w:r w:rsidR="000E378B">
        <w:t>has</w:t>
      </w:r>
      <w:r w:rsidR="002E7151">
        <w:t xml:space="preserve"> </w:t>
      </w:r>
      <w:r w:rsidR="007E2C66">
        <w:t xml:space="preserve">changed </w:t>
      </w:r>
      <w:r w:rsidR="000E378B">
        <w:t>during recent years</w:t>
      </w:r>
      <w:r w:rsidR="00DD2C7B">
        <w:t>, is illustrated in figure</w:t>
      </w:r>
      <w:r w:rsidR="00AC71FA">
        <w:t> </w:t>
      </w:r>
      <w:r w:rsidR="00DD2C7B">
        <w:t>5.6</w:t>
      </w:r>
      <w:r w:rsidR="00F2445E">
        <w:t>.</w:t>
      </w:r>
      <w:r w:rsidR="00DD2C7B">
        <w:t xml:space="preserve"> (</w:t>
      </w:r>
      <w:r w:rsidR="00F2445E">
        <w:t>O</w:t>
      </w:r>
      <w:r w:rsidR="00DD2C7B">
        <w:t xml:space="preserve">ccupational </w:t>
      </w:r>
      <w:r w:rsidR="00F1520F">
        <w:lastRenderedPageBreak/>
        <w:t>categories are traditionally used to represent workers’ skill levels.)</w:t>
      </w:r>
      <w:r w:rsidR="00F1520F" w:rsidRPr="008C7C68">
        <w:t xml:space="preserve"> </w:t>
      </w:r>
      <w:r w:rsidR="00F1520F" w:rsidRPr="004A7B04">
        <w:t>I</w:t>
      </w:r>
      <w:r w:rsidR="00F1520F">
        <w:t>n general,</w:t>
      </w:r>
      <w:r w:rsidR="00F1520F" w:rsidRPr="004A7B04">
        <w:t xml:space="preserve"> the sectors requi</w:t>
      </w:r>
      <w:r w:rsidR="00F1520F">
        <w:t>ring proportionally the most highly</w:t>
      </w:r>
      <w:r w:rsidR="00F1520F">
        <w:noBreakHyphen/>
      </w:r>
      <w:r w:rsidR="00F1520F" w:rsidRPr="004A7B04">
        <w:t>skilled workers</w:t>
      </w:r>
      <w:r w:rsidR="00F1520F">
        <w:t xml:space="preserve"> (Managers and P</w:t>
      </w:r>
      <w:r w:rsidR="00F1520F" w:rsidRPr="004A7B04">
        <w:t>rofessionals</w:t>
      </w:r>
      <w:r w:rsidR="00F1520F">
        <w:t>)</w:t>
      </w:r>
      <w:r w:rsidR="00F1520F" w:rsidRPr="004A7B04">
        <w:t xml:space="preserve"> are business services and social servi</w:t>
      </w:r>
      <w:r w:rsidR="00F1520F">
        <w:t xml:space="preserve">ces. Within these sectors, these occupations together </w:t>
      </w:r>
      <w:r w:rsidR="00F1520F" w:rsidRPr="004A7B04">
        <w:t>constitute at least half of the workforce.</w:t>
      </w:r>
      <w:r w:rsidR="00F1520F">
        <w:t xml:space="preserve"> When comparing 2001 and 2010,</w:t>
      </w:r>
      <w:r w:rsidR="00F1520F" w:rsidRPr="004A7B04">
        <w:t xml:space="preserve"> </w:t>
      </w:r>
      <w:r w:rsidR="00F1520F">
        <w:t>the sector with the largest proportional decrease in its lowest</w:t>
      </w:r>
      <w:r w:rsidR="00F1520F">
        <w:noBreakHyphen/>
        <w:t>skilled workforce (Machinery operators and drivers and Labourers) was manufacturing. This indicates that net job losses in that sector comprised mainly lower-skilled jobs.</w:t>
      </w:r>
    </w:p>
    <w:p w:rsidR="00F1520F" w:rsidRPr="004A7B04" w:rsidRDefault="00F1520F" w:rsidP="00F1520F">
      <w:pPr>
        <w:pStyle w:val="FigureTitle"/>
        <w:rPr>
          <w:position w:val="6"/>
          <w:sz w:val="18"/>
        </w:rPr>
      </w:pPr>
      <w:r w:rsidRPr="00EF3627">
        <w:rPr>
          <w:b w:val="0"/>
        </w:rPr>
        <w:t xml:space="preserve">Figure </w:t>
      </w:r>
      <w:bookmarkStart w:id="25" w:name="OLE_LINK15"/>
      <w:r>
        <w:rPr>
          <w:b w:val="0"/>
        </w:rPr>
        <w:t>5.</w:t>
      </w:r>
      <w:r>
        <w:rPr>
          <w:b w:val="0"/>
          <w:noProof/>
        </w:rPr>
        <w:t>6</w:t>
      </w:r>
      <w:bookmarkEnd w:id="25"/>
      <w:r w:rsidRPr="004A7B04">
        <w:tab/>
        <w:t>Change in occupational composition of sectors,</w:t>
      </w:r>
      <w:r>
        <w:br/>
      </w:r>
      <w:r w:rsidRPr="004A7B04">
        <w:t>2001 and 2010</w:t>
      </w:r>
      <w:r w:rsidRPr="004A7B04">
        <w:rPr>
          <w:position w:val="6"/>
          <w:sz w:val="18"/>
        </w:rPr>
        <w:t>a</w:t>
      </w:r>
      <w:r>
        <w:rPr>
          <w:position w:val="6"/>
          <w:sz w:val="18"/>
        </w:rPr>
        <w:t>, b, c, d</w:t>
      </w:r>
    </w:p>
    <w:p w:rsidR="00F1520F" w:rsidRPr="004A7B04" w:rsidRDefault="00F1520F" w:rsidP="00F1520F">
      <w:pPr>
        <w:pStyle w:val="Subtitle"/>
      </w:pPr>
      <w:r>
        <w:t>Percentage of workers in each occupation, within each sector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1520F" w:rsidRPr="004A7B04" w:rsidTr="0065095B">
        <w:tc>
          <w:tcPr>
            <w:tcW w:w="8777" w:type="dxa"/>
          </w:tcPr>
          <w:p w:rsidR="00F1520F" w:rsidRPr="004A7B04" w:rsidRDefault="00B02BC6" w:rsidP="000D14F4">
            <w:pPr>
              <w:keepNext/>
              <w:spacing w:before="120" w:after="120" w:line="240" w:lineRule="atLeast"/>
              <w:jc w:val="center"/>
              <w:rPr>
                <w:noProof/>
                <w:szCs w:val="20"/>
              </w:rPr>
            </w:pPr>
            <w:r>
              <w:rPr>
                <w:noProof/>
                <w:szCs w:val="20"/>
              </w:rPr>
              <w:drawing>
                <wp:inline distT="0" distB="0" distL="0" distR="0">
                  <wp:extent cx="5375275" cy="2727325"/>
                  <wp:effectExtent l="0" t="0" r="0" b="0"/>
                  <wp:docPr id="2" name="Picture 2" descr="This figures shows the occupational composition of each sector. The composition in 2001, which is represented by the first vertical bar for each sector, is compared to the composition in 2010, which is represented by the second vertical bar. The five broad occupational categories are managers, followed by professionals, followed by technicians and trades workers, followed by community and personal services, clerical and administrative and sales workers, followed by machinery operators, drivers and labour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5275" cy="2727325"/>
                          </a:xfrm>
                          <a:prstGeom prst="rect">
                            <a:avLst/>
                          </a:prstGeom>
                          <a:noFill/>
                          <a:ln>
                            <a:noFill/>
                          </a:ln>
                        </pic:spPr>
                      </pic:pic>
                    </a:graphicData>
                  </a:graphic>
                </wp:inline>
              </w:drawing>
            </w:r>
          </w:p>
        </w:tc>
      </w:tr>
    </w:tbl>
    <w:p w:rsidR="00F1520F" w:rsidRPr="004A7B04" w:rsidRDefault="00F1520F" w:rsidP="00F1520F">
      <w:pPr>
        <w:pStyle w:val="Note"/>
      </w:pPr>
      <w:r w:rsidRPr="00EF3627">
        <w:rPr>
          <w:rStyle w:val="NoteLabel"/>
        </w:rPr>
        <w:t>a</w:t>
      </w:r>
      <w:r w:rsidRPr="004A7B04">
        <w:t xml:space="preserve"> For each sector, the left bar refers to 2001 while the right bar refers to 2010. </w:t>
      </w:r>
      <w:r>
        <w:t>Similar occupational categories have been grouped together to retain a sufficiently large sample size. From highest</w:t>
      </w:r>
      <w:r>
        <w:noBreakHyphen/>
        <w:t>skilled to lowest</w:t>
      </w:r>
      <w:r>
        <w:noBreakHyphen/>
        <w:t xml:space="preserve">skilled, occupations are approximately ranked in the following order: Managers and Professionals; Technicians and trades workers; Community and personal services, Clerical and administrative, and Sales workers; Machinery Operators and Drivers; and Labourers (ABS </w:t>
      </w:r>
      <w:proofErr w:type="spellStart"/>
      <w:r>
        <w:t>2006a</w:t>
      </w:r>
      <w:proofErr w:type="spellEnd"/>
      <w:r>
        <w:t xml:space="preserve">).  </w:t>
      </w:r>
      <w:r>
        <w:rPr>
          <w:rStyle w:val="NoteLabel"/>
        </w:rPr>
        <w:t>b</w:t>
      </w:r>
      <w:r w:rsidRPr="004A7B04">
        <w:t xml:space="preserve"> Agriculture is excluded because of the high proportion of o</w:t>
      </w:r>
      <w:r>
        <w:t>wner</w:t>
      </w:r>
      <w:r>
        <w:noBreakHyphen/>
        <w:t xml:space="preserve">managers in this industry.  </w:t>
      </w:r>
      <w:r>
        <w:rPr>
          <w:rStyle w:val="NoteLabel"/>
        </w:rPr>
        <w:t>c</w:t>
      </w:r>
      <w:r w:rsidRPr="004A7B04">
        <w:t xml:space="preserve"> </w:t>
      </w:r>
      <w:r>
        <w:t>Estimates refer to the working</w:t>
      </w:r>
      <w:r>
        <w:noBreakHyphen/>
        <w:t>age population (15–</w:t>
      </w:r>
      <w:r>
        <w:softHyphen/>
        <w:t>64 years) and are population</w:t>
      </w:r>
      <w:r>
        <w:noBreakHyphen/>
        <w:t xml:space="preserve">weighted.  </w:t>
      </w:r>
      <w:r>
        <w:rPr>
          <w:rStyle w:val="NoteLabel"/>
        </w:rPr>
        <w:t>d</w:t>
      </w:r>
      <w:r w:rsidRPr="004A7B04">
        <w:t xml:space="preserve"> </w:t>
      </w:r>
      <w:r>
        <w:t>Sectors are defined in appendix A.</w:t>
      </w:r>
    </w:p>
    <w:p w:rsidR="00F1520F" w:rsidRDefault="00F1520F" w:rsidP="00F1520F">
      <w:pPr>
        <w:pStyle w:val="Source"/>
      </w:pPr>
      <w:r w:rsidRPr="004A7B04">
        <w:rPr>
          <w:i/>
        </w:rPr>
        <w:t>Source</w:t>
      </w:r>
      <w:r w:rsidRPr="004A7B04">
        <w:t xml:space="preserve">: </w:t>
      </w:r>
      <w:r>
        <w:t>Productivity Commission</w:t>
      </w:r>
      <w:r w:rsidRPr="004A7B04">
        <w:t xml:space="preserve"> </w:t>
      </w:r>
      <w:r>
        <w:t>estimates</w:t>
      </w:r>
      <w:r w:rsidRPr="004A7B04">
        <w:t xml:space="preserve"> using HILDA Survey 2001–2010 U</w:t>
      </w:r>
      <w:r>
        <w:t>nconfidentialised Release 10.1.</w:t>
      </w:r>
    </w:p>
    <w:p w:rsidR="00F1520F" w:rsidRDefault="00F1520F" w:rsidP="00F1520F">
      <w:pPr>
        <w:pStyle w:val="BodyText"/>
      </w:pPr>
      <w:r>
        <w:t>At the same time, within the rapidly</w:t>
      </w:r>
      <w:r>
        <w:noBreakHyphen/>
        <w:t>growing mining sector, the proportion of workers in the lowest</w:t>
      </w:r>
      <w:r>
        <w:noBreakHyphen/>
        <w:t>skilled occupations was expanding. This is likely to reflect the types of labour required during the construction phase of the resources boom. These observations also suggest that the boom created jobs for lower</w:t>
      </w:r>
      <w:r>
        <w:noBreakHyphen/>
        <w:t>skilled workers who were no longer required in other industries. As discussed in chapter 6, many of the workers joining the mining sector appear to have come from manufacturing, as expected given the broad similarity of skills required.</w:t>
      </w:r>
    </w:p>
    <w:p w:rsidR="004A7B04" w:rsidRPr="004A7B04" w:rsidRDefault="005B4166" w:rsidP="00F1520F">
      <w:pPr>
        <w:pStyle w:val="BodyText"/>
      </w:pPr>
      <w:r>
        <w:lastRenderedPageBreak/>
        <w:t>Indeed, i</w:t>
      </w:r>
      <w:r w:rsidR="0021191B">
        <w:t xml:space="preserve">f displaced by </w:t>
      </w:r>
      <w:r w:rsidR="004A7B04" w:rsidRPr="004A7B04">
        <w:t>structural change, workers’ capacity to transition from a contracting to an expandi</w:t>
      </w:r>
      <w:r w:rsidR="007B3564">
        <w:t>ng industry depends on how well</w:t>
      </w:r>
      <w:r w:rsidR="004A7B04" w:rsidRPr="004A7B04">
        <w:t xml:space="preserve"> they can acquire the skills necessar</w:t>
      </w:r>
      <w:r w:rsidR="007B3564">
        <w:t>y for their prospective new job</w:t>
      </w:r>
      <w:r w:rsidR="004A7B04" w:rsidRPr="004A7B04">
        <w:t>, or how well the</w:t>
      </w:r>
      <w:r w:rsidR="007B3564">
        <w:t>ir existing</w:t>
      </w:r>
      <w:r w:rsidR="004A7B04" w:rsidRPr="004A7B04">
        <w:t xml:space="preserve"> skills can be applied to their new role. </w:t>
      </w:r>
      <w:r w:rsidR="00EC4B78" w:rsidRPr="004A7B04">
        <w:t>Some industries or occupations require workers to have a high level of specialised, firm</w:t>
      </w:r>
      <w:r w:rsidR="00FD16FE">
        <w:noBreakHyphen/>
      </w:r>
      <w:r w:rsidR="00EC4B78" w:rsidRPr="004A7B04">
        <w:t>specific knowledge or skill</w:t>
      </w:r>
      <w:r w:rsidR="00EC4B78">
        <w:t>s</w:t>
      </w:r>
      <w:r w:rsidR="00EC4B78" w:rsidRPr="004A7B04">
        <w:t xml:space="preserve">, which </w:t>
      </w:r>
      <w:r w:rsidR="00EC4B78">
        <w:t>are</w:t>
      </w:r>
      <w:r w:rsidR="00EC4B78" w:rsidRPr="004A7B04">
        <w:t xml:space="preserve"> inherently less transferable.</w:t>
      </w:r>
      <w:r w:rsidR="00EC4B78">
        <w:t xml:space="preserve"> </w:t>
      </w:r>
      <w:r w:rsidR="00EE6076">
        <w:t>A</w:t>
      </w:r>
      <w:r w:rsidR="00541725">
        <w:t xml:space="preserve"> </w:t>
      </w:r>
      <w:r w:rsidR="00F54A86">
        <w:t xml:space="preserve">worker’s </w:t>
      </w:r>
      <w:r w:rsidR="00541725">
        <w:t>skills deficiency</w:t>
      </w:r>
      <w:r w:rsidR="00EE6076">
        <w:t>, therefore, represents</w:t>
      </w:r>
      <w:r w:rsidR="00541725">
        <w:t xml:space="preserve"> a potential barrier to labour mobility</w:t>
      </w:r>
      <w:r w:rsidR="00EE6076">
        <w:t xml:space="preserve">: </w:t>
      </w:r>
      <w:r w:rsidR="007B3564">
        <w:t>around 10 per cent of</w:t>
      </w:r>
      <w:r w:rsidR="004A7B04" w:rsidRPr="004A7B04">
        <w:t xml:space="preserve"> </w:t>
      </w:r>
      <w:r w:rsidR="007B3564">
        <w:t>unemployed jobseekers</w:t>
      </w:r>
      <w:r w:rsidR="004A7B04" w:rsidRPr="004A7B04">
        <w:t xml:space="preserve"> who experienced difficulty </w:t>
      </w:r>
      <w:r w:rsidR="007B3564">
        <w:t xml:space="preserve">finding work </w:t>
      </w:r>
      <w:r w:rsidR="007B3564" w:rsidRPr="004A7B04">
        <w:t>durin</w:t>
      </w:r>
      <w:r w:rsidR="007B3564">
        <w:t xml:space="preserve">g the 2000s </w:t>
      </w:r>
      <w:r w:rsidR="004A7B04" w:rsidRPr="004A7B04">
        <w:t xml:space="preserve">attributed </w:t>
      </w:r>
      <w:r w:rsidR="00726C89">
        <w:t>this</w:t>
      </w:r>
      <w:r w:rsidR="00726C89" w:rsidRPr="004A7B04">
        <w:t xml:space="preserve"> </w:t>
      </w:r>
      <w:r w:rsidR="004A7B04" w:rsidRPr="004A7B04">
        <w:t>to a lack of s</w:t>
      </w:r>
      <w:r w:rsidR="00EC4B78">
        <w:t>kills or education (ABS</w:t>
      </w:r>
      <w:r w:rsidR="008C1F54">
        <w:t> </w:t>
      </w:r>
      <w:proofErr w:type="spellStart"/>
      <w:r w:rsidR="00EC4B78">
        <w:t>2012</w:t>
      </w:r>
      <w:r w:rsidR="008C1F54">
        <w:t>e</w:t>
      </w:r>
      <w:proofErr w:type="spellEnd"/>
      <w:r w:rsidR="00EC4B78">
        <w:t>).</w:t>
      </w:r>
    </w:p>
    <w:p w:rsidR="004A7B04" w:rsidRPr="004A7B04" w:rsidRDefault="00726C89" w:rsidP="00EF3627">
      <w:pPr>
        <w:pStyle w:val="Heading3"/>
      </w:pPr>
      <w:r>
        <w:t>Non-traditional</w:t>
      </w:r>
      <w:r w:rsidRPr="004A7B04">
        <w:t xml:space="preserve"> </w:t>
      </w:r>
      <w:r w:rsidR="004A7B04" w:rsidRPr="004A7B04">
        <w:t>modes of employment</w:t>
      </w:r>
    </w:p>
    <w:p w:rsidR="007968B7" w:rsidRPr="001C4D42" w:rsidRDefault="00A47867" w:rsidP="00EF3627">
      <w:pPr>
        <w:pStyle w:val="BodyText"/>
      </w:pPr>
      <w:r>
        <w:t>Permanent</w:t>
      </w:r>
      <w:r w:rsidR="00DF3B10">
        <w:t>, full-time</w:t>
      </w:r>
      <w:r>
        <w:t xml:space="preserve"> employment remains by far the most common mode of employment across the labour force as a whole (ABS </w:t>
      </w:r>
      <w:proofErr w:type="spellStart"/>
      <w:r>
        <w:t>2011</w:t>
      </w:r>
      <w:r w:rsidR="00C845F3">
        <w:t>c</w:t>
      </w:r>
      <w:proofErr w:type="spellEnd"/>
      <w:r w:rsidRPr="00366F82">
        <w:t>; Shomos</w:t>
      </w:r>
      <w:r>
        <w:t xml:space="preserve">, Turner and Will 2013). Nonetheless, compared </w:t>
      </w:r>
      <w:r w:rsidR="009D09DC">
        <w:t xml:space="preserve">with </w:t>
      </w:r>
      <w:r w:rsidR="00D31894">
        <w:t xml:space="preserve">earlier </w:t>
      </w:r>
      <w:r w:rsidR="00351053">
        <w:t>decades,</w:t>
      </w:r>
      <w:r w:rsidR="00351053" w:rsidRPr="004A7B04">
        <w:t xml:space="preserve"> </w:t>
      </w:r>
      <w:r w:rsidR="00726C89">
        <w:t>non-traditional modes of employment</w:t>
      </w:r>
      <w:r w:rsidR="00351053">
        <w:t xml:space="preserve"> </w:t>
      </w:r>
      <w:r w:rsidR="00A90C92">
        <w:t xml:space="preserve">— such </w:t>
      </w:r>
      <w:r w:rsidR="0013459B">
        <w:t xml:space="preserve">as </w:t>
      </w:r>
      <w:r w:rsidR="00A90C92">
        <w:t>casual and part</w:t>
      </w:r>
      <w:r w:rsidR="00A90C92">
        <w:noBreakHyphen/>
      </w:r>
      <w:r w:rsidR="00A90C92" w:rsidRPr="004A7B04">
        <w:t>time employment, flexible start and finishing tim</w:t>
      </w:r>
      <w:r w:rsidR="00A90C92">
        <w:t>es, and working from home —</w:t>
      </w:r>
      <w:r w:rsidR="00FD16FE">
        <w:t xml:space="preserve"> </w:t>
      </w:r>
      <w:r w:rsidR="00885184">
        <w:t xml:space="preserve">have </w:t>
      </w:r>
      <w:r w:rsidR="00351053">
        <w:t>bec</w:t>
      </w:r>
      <w:r w:rsidR="00885184">
        <w:t>o</w:t>
      </w:r>
      <w:r w:rsidR="00351053">
        <w:t xml:space="preserve">me more common. This trend </w:t>
      </w:r>
      <w:r w:rsidR="0013459B">
        <w:t xml:space="preserve">began </w:t>
      </w:r>
      <w:r w:rsidR="00A90C92">
        <w:t>with</w:t>
      </w:r>
      <w:r w:rsidR="00351053" w:rsidRPr="004A7B04">
        <w:t xml:space="preserve"> the </w:t>
      </w:r>
      <w:r w:rsidR="00272F45">
        <w:t xml:space="preserve">rising </w:t>
      </w:r>
      <w:r w:rsidR="00351053">
        <w:t>casualisation of the workforce during the 1980s and 1990s.</w:t>
      </w:r>
      <w:r w:rsidR="00351053" w:rsidRPr="004A7B04">
        <w:t xml:space="preserve"> </w:t>
      </w:r>
      <w:r w:rsidR="00272F45">
        <w:t xml:space="preserve">Although there is </w:t>
      </w:r>
      <w:r>
        <w:t xml:space="preserve">clear </w:t>
      </w:r>
      <w:r w:rsidR="00272F45">
        <w:t xml:space="preserve">evidence that </w:t>
      </w:r>
      <w:r>
        <w:t>casualisation</w:t>
      </w:r>
      <w:r w:rsidR="007F3040">
        <w:t xml:space="preserve"> </w:t>
      </w:r>
      <w:r>
        <w:t xml:space="preserve">plateaued </w:t>
      </w:r>
      <w:r w:rsidR="00272F45">
        <w:t>throughout the 2000s</w:t>
      </w:r>
      <w:r w:rsidR="009D09DC">
        <w:t xml:space="preserve"> (Shomos, Turner and Will 2013)</w:t>
      </w:r>
      <w:r w:rsidR="00272F45">
        <w:t xml:space="preserve">, </w:t>
      </w:r>
      <w:r w:rsidR="00874A22">
        <w:t>non</w:t>
      </w:r>
      <w:r w:rsidR="00874A22">
        <w:noBreakHyphen/>
      </w:r>
      <w:r w:rsidR="00726C89">
        <w:t xml:space="preserve">traditional </w:t>
      </w:r>
      <w:r w:rsidR="00272F45">
        <w:t xml:space="preserve">modes of employment are more </w:t>
      </w:r>
      <w:r w:rsidR="0020243A">
        <w:t xml:space="preserve">widely used </w:t>
      </w:r>
      <w:r w:rsidR="00554B9C">
        <w:t xml:space="preserve">across </w:t>
      </w:r>
      <w:r w:rsidR="00272F45">
        <w:t>today’s workplace</w:t>
      </w:r>
      <w:r w:rsidR="00554B9C">
        <w:t>s</w:t>
      </w:r>
      <w:r w:rsidR="00272F45">
        <w:t xml:space="preserve"> </w:t>
      </w:r>
      <w:r w:rsidR="0013459B">
        <w:t xml:space="preserve">than </w:t>
      </w:r>
      <w:r w:rsidR="0020243A">
        <w:t xml:space="preserve">they were </w:t>
      </w:r>
      <w:r w:rsidR="00272F45">
        <w:t>several decades ago</w:t>
      </w:r>
      <w:r w:rsidR="00885184">
        <w:t xml:space="preserve">. </w:t>
      </w:r>
      <w:r w:rsidR="004A2908">
        <w:t>The increased availability</w:t>
      </w:r>
      <w:r w:rsidR="008B1C32" w:rsidRPr="001C4D42">
        <w:t xml:space="preserve"> of </w:t>
      </w:r>
      <w:r w:rsidR="00726C89">
        <w:t>these</w:t>
      </w:r>
      <w:r w:rsidR="00726C89" w:rsidRPr="001C4D42">
        <w:t xml:space="preserve"> </w:t>
      </w:r>
      <w:r w:rsidR="004A7B04" w:rsidRPr="001C4D42">
        <w:t>work arrangements</w:t>
      </w:r>
      <w:r w:rsidR="0026567F" w:rsidRPr="001C4D42">
        <w:t xml:space="preserve"> </w:t>
      </w:r>
      <w:r w:rsidR="009E31F0">
        <w:t>partly reflect</w:t>
      </w:r>
      <w:r w:rsidR="00554B9C">
        <w:t>s</w:t>
      </w:r>
      <w:r w:rsidR="009E31F0">
        <w:t xml:space="preserve"> demand</w:t>
      </w:r>
      <w:r w:rsidR="00AC71FA">
        <w:noBreakHyphen/>
      </w:r>
      <w:r w:rsidR="009E31F0">
        <w:t>side drivers of</w:t>
      </w:r>
      <w:r w:rsidR="004A2908">
        <w:t xml:space="preserve"> </w:t>
      </w:r>
      <w:r w:rsidR="00B50129" w:rsidRPr="001C4D42">
        <w:t>structural change</w:t>
      </w:r>
      <w:r w:rsidR="007968B7" w:rsidRPr="001C4D42">
        <w:t xml:space="preserve">. Technology, as well as changing preferences, </w:t>
      </w:r>
      <w:r w:rsidRPr="001C4D42">
        <w:t>ha</w:t>
      </w:r>
      <w:r>
        <w:t>ve</w:t>
      </w:r>
      <w:r w:rsidRPr="001C4D42">
        <w:t xml:space="preserve"> </w:t>
      </w:r>
      <w:r w:rsidR="007968B7" w:rsidRPr="001C4D42">
        <w:t xml:space="preserve">meant that consumers are increasingly demanding that </w:t>
      </w:r>
      <w:r>
        <w:t xml:space="preserve">goods and </w:t>
      </w:r>
      <w:r w:rsidR="007968B7" w:rsidRPr="001C4D42">
        <w:t>service</w:t>
      </w:r>
      <w:r>
        <w:t>s</w:t>
      </w:r>
      <w:r w:rsidR="007968B7" w:rsidRPr="001C4D42">
        <w:t xml:space="preserve"> providers extend their hours of operation beyond a standard working day, giving rise to the </w:t>
      </w:r>
      <w:r w:rsidR="00D4153C">
        <w:t>greater</w:t>
      </w:r>
      <w:r w:rsidR="00744927" w:rsidRPr="001C4D42">
        <w:t xml:space="preserve"> </w:t>
      </w:r>
      <w:r w:rsidR="00D4153C">
        <w:t>use</w:t>
      </w:r>
      <w:r w:rsidR="007968B7" w:rsidRPr="001C4D42">
        <w:t xml:space="preserve"> of </w:t>
      </w:r>
      <w:r>
        <w:t>home</w:t>
      </w:r>
      <w:r w:rsidR="00AC71FA">
        <w:noBreakHyphen/>
      </w:r>
      <w:r>
        <w:t>based work</w:t>
      </w:r>
      <w:r w:rsidR="007968B7" w:rsidRPr="001C4D42">
        <w:t xml:space="preserve"> and flexible start and finishing times. </w:t>
      </w:r>
    </w:p>
    <w:p w:rsidR="00B50129" w:rsidRPr="001C4D42" w:rsidRDefault="007968B7" w:rsidP="00EF3627">
      <w:pPr>
        <w:pStyle w:val="BodyText"/>
      </w:pPr>
      <w:r w:rsidRPr="001C4D42">
        <w:t xml:space="preserve">At the same time, </w:t>
      </w:r>
      <w:r w:rsidR="00726C89">
        <w:t>non-traditional</w:t>
      </w:r>
      <w:r w:rsidR="00726C89" w:rsidRPr="001C4D42">
        <w:t xml:space="preserve"> </w:t>
      </w:r>
      <w:r w:rsidRPr="001C4D42">
        <w:t>work arrangements</w:t>
      </w:r>
      <w:r w:rsidR="00B50129" w:rsidRPr="001C4D42">
        <w:t xml:space="preserve"> </w:t>
      </w:r>
      <w:r w:rsidR="00361CF1" w:rsidRPr="001C4D42">
        <w:t>can facilitate</w:t>
      </w:r>
      <w:r w:rsidR="00B50129" w:rsidRPr="001C4D42">
        <w:t xml:space="preserve"> </w:t>
      </w:r>
      <w:r w:rsidR="00E93BA7" w:rsidRPr="001C4D42">
        <w:t>the labour market’s</w:t>
      </w:r>
      <w:r w:rsidR="00361CF1" w:rsidRPr="001C4D42">
        <w:t xml:space="preserve"> adjustment to the </w:t>
      </w:r>
      <w:r w:rsidR="00E93BA7" w:rsidRPr="001C4D42">
        <w:t xml:space="preserve">changing shape of the economy. As a case in point, </w:t>
      </w:r>
      <w:r w:rsidR="00361CF1" w:rsidRPr="001C4D42">
        <w:t>the greater s</w:t>
      </w:r>
      <w:r w:rsidR="00744927" w:rsidRPr="001C4D42">
        <w:t xml:space="preserve">kills demands of today’s jobs, </w:t>
      </w:r>
      <w:r w:rsidR="00361CF1" w:rsidRPr="001C4D42">
        <w:t xml:space="preserve">and hence the higher importance of </w:t>
      </w:r>
      <w:r w:rsidR="00E93BA7" w:rsidRPr="001C4D42">
        <w:t>post</w:t>
      </w:r>
      <w:r w:rsidR="00E93BA7" w:rsidRPr="001C4D42">
        <w:noBreakHyphen/>
        <w:t xml:space="preserve">compulsory </w:t>
      </w:r>
      <w:r w:rsidR="00361CF1" w:rsidRPr="001C4D42">
        <w:t>ed</w:t>
      </w:r>
      <w:r w:rsidR="00744927" w:rsidRPr="001C4D42">
        <w:t>ucation in today’s economy,</w:t>
      </w:r>
      <w:r w:rsidR="00FD16FE">
        <w:t xml:space="preserve"> </w:t>
      </w:r>
      <w:r w:rsidR="00744927" w:rsidRPr="001C4D42">
        <w:t xml:space="preserve">mean that </w:t>
      </w:r>
      <w:r w:rsidR="00361CF1" w:rsidRPr="001C4D42">
        <w:t xml:space="preserve">proportionally more workers are seeking employment arrangements that allow </w:t>
      </w:r>
      <w:r w:rsidR="00E93BA7" w:rsidRPr="001C4D42">
        <w:t xml:space="preserve">them to study </w:t>
      </w:r>
      <w:r w:rsidR="008A08D6">
        <w:t>while</w:t>
      </w:r>
      <w:r w:rsidR="004A2908">
        <w:t xml:space="preserve"> working</w:t>
      </w:r>
      <w:r w:rsidR="00E93BA7" w:rsidRPr="001C4D42">
        <w:t xml:space="preserve">. </w:t>
      </w:r>
      <w:r w:rsidR="00726C89">
        <w:t>Forms of employment that depart from t</w:t>
      </w:r>
      <w:r w:rsidR="00874A22">
        <w:t>he traditional, permanent, full</w:t>
      </w:r>
      <w:r w:rsidR="00874A22">
        <w:noBreakHyphen/>
      </w:r>
      <w:r w:rsidR="00726C89">
        <w:t>time work contract</w:t>
      </w:r>
      <w:r w:rsidR="00E93BA7" w:rsidRPr="001C4D42">
        <w:t xml:space="preserve"> are one</w:t>
      </w:r>
      <w:r w:rsidR="00361CF1" w:rsidRPr="001C4D42">
        <w:t xml:space="preserve"> way to accommodate this.</w:t>
      </w:r>
      <w:r w:rsidR="00D4153C" w:rsidRPr="00D4153C">
        <w:t xml:space="preserve"> </w:t>
      </w:r>
      <w:r w:rsidR="008A08D6">
        <w:t>N</w:t>
      </w:r>
      <w:r w:rsidR="00F23544">
        <w:t>on-standard</w:t>
      </w:r>
      <w:r w:rsidR="00F23544" w:rsidRPr="001C4D42">
        <w:t xml:space="preserve"> </w:t>
      </w:r>
      <w:r w:rsidR="00D4153C" w:rsidRPr="001C4D42">
        <w:t xml:space="preserve">work arrangements </w:t>
      </w:r>
      <w:r w:rsidR="00D4153C">
        <w:t>have</w:t>
      </w:r>
      <w:r w:rsidR="00D4153C" w:rsidRPr="001C4D42">
        <w:t xml:space="preserve"> opened</w:t>
      </w:r>
      <w:r w:rsidR="00F23544">
        <w:t>-</w:t>
      </w:r>
      <w:r w:rsidR="00D4153C" w:rsidRPr="001C4D42">
        <w:t xml:space="preserve">up opportunities for </w:t>
      </w:r>
      <w:r w:rsidR="008D7EA1">
        <w:t>more</w:t>
      </w:r>
      <w:r w:rsidR="00D4153C" w:rsidRPr="001C4D42">
        <w:t xml:space="preserve"> people to participate in the </w:t>
      </w:r>
      <w:r w:rsidR="008D7EA1">
        <w:t xml:space="preserve">labour </w:t>
      </w:r>
      <w:r w:rsidR="008D7EA1" w:rsidRPr="001C4D42">
        <w:t>force</w:t>
      </w:r>
      <w:r w:rsidR="00D4153C" w:rsidRPr="001C4D42">
        <w:t xml:space="preserve">. </w:t>
      </w:r>
      <w:r w:rsidR="008A08D6">
        <w:t>G</w:t>
      </w:r>
      <w:r w:rsidR="00D4153C">
        <w:t>reater use of</w:t>
      </w:r>
      <w:r w:rsidR="00D4153C" w:rsidRPr="001C4D42">
        <w:t xml:space="preserve"> part</w:t>
      </w:r>
      <w:r w:rsidR="00D4153C" w:rsidRPr="001C4D42">
        <w:noBreakHyphen/>
        <w:t>time work</w:t>
      </w:r>
      <w:r w:rsidR="00D4153C">
        <w:t xml:space="preserve"> arrangements</w:t>
      </w:r>
      <w:r w:rsidR="00D4153C" w:rsidRPr="001C4D42">
        <w:t xml:space="preserve">, and flexible start and finishing times, </w:t>
      </w:r>
      <w:r w:rsidR="000054A6">
        <w:t xml:space="preserve">have </w:t>
      </w:r>
      <w:r w:rsidR="00D4153C" w:rsidRPr="001C4D42">
        <w:t>enabled more women to join the labour market, especially those with young children.</w:t>
      </w:r>
      <w:r w:rsidR="006F656F">
        <w:t xml:space="preserve"> Such shifts in the </w:t>
      </w:r>
      <w:r w:rsidR="00D4153C">
        <w:t xml:space="preserve">composition of the workforce have been </w:t>
      </w:r>
      <w:r w:rsidR="00710FAB">
        <w:t xml:space="preserve">associated with the </w:t>
      </w:r>
      <w:r w:rsidR="00D4153C">
        <w:t>expansion of the services sector</w:t>
      </w:r>
      <w:r w:rsidR="00710FAB">
        <w:t>, for both labour demand and supply reasons (Gilfillan and Andrews</w:t>
      </w:r>
      <w:r w:rsidR="00C845F3">
        <w:t> </w:t>
      </w:r>
      <w:r w:rsidR="00710FAB">
        <w:t>2010; McLachlan, Clark and Monday 2002).</w:t>
      </w:r>
    </w:p>
    <w:p w:rsidR="004A7B04" w:rsidRDefault="00837CD1" w:rsidP="00EF3627">
      <w:pPr>
        <w:pStyle w:val="BodyText"/>
      </w:pPr>
      <w:r>
        <w:lastRenderedPageBreak/>
        <w:t>The</w:t>
      </w:r>
      <w:r w:rsidR="004A7B04" w:rsidRPr="004A7B04">
        <w:t xml:space="preserve"> prevalence of </w:t>
      </w:r>
      <w:r w:rsidR="00F23544">
        <w:t xml:space="preserve">non-traditional </w:t>
      </w:r>
      <w:r w:rsidR="00D4153C">
        <w:t xml:space="preserve">work arrangements </w:t>
      </w:r>
      <w:r w:rsidR="00351053">
        <w:t>is not uniform</w:t>
      </w:r>
      <w:r w:rsidR="004A7B04" w:rsidRPr="004A7B04">
        <w:t xml:space="preserve"> </w:t>
      </w:r>
      <w:r>
        <w:t>across</w:t>
      </w:r>
      <w:r w:rsidR="004A7B04" w:rsidRPr="004A7B04">
        <w:t xml:space="preserve"> sectors. </w:t>
      </w:r>
      <w:r w:rsidR="004A6D5C">
        <w:t>The fastest</w:t>
      </w:r>
      <w:r w:rsidR="00FD16FE">
        <w:noBreakHyphen/>
      </w:r>
      <w:r w:rsidR="004A6D5C">
        <w:t xml:space="preserve">growing sectors tend to have a high reliance on at least one </w:t>
      </w:r>
      <w:r w:rsidR="00F40E6F">
        <w:t xml:space="preserve">of the </w:t>
      </w:r>
      <w:r w:rsidR="000F2444">
        <w:t>modes of</w:t>
      </w:r>
      <w:r w:rsidR="004A6D5C">
        <w:t xml:space="preserve"> </w:t>
      </w:r>
      <w:r w:rsidR="000F2444">
        <w:t>employment</w:t>
      </w:r>
      <w:r w:rsidR="008D7EA1">
        <w:t xml:space="preserve"> identified</w:t>
      </w:r>
      <w:r w:rsidR="00F23544">
        <w:t xml:space="preserve"> in figure 5.7</w:t>
      </w:r>
      <w:r w:rsidR="004A6D5C">
        <w:t xml:space="preserve">. </w:t>
      </w:r>
      <w:r w:rsidR="006F656F">
        <w:t xml:space="preserve">For instance, compared to most other sectors, </w:t>
      </w:r>
      <w:r w:rsidR="0096016D">
        <w:t xml:space="preserve">personal services and distribution services </w:t>
      </w:r>
      <w:r w:rsidR="00493045">
        <w:t xml:space="preserve">sectors </w:t>
      </w:r>
      <w:r w:rsidR="0096016D">
        <w:t>have</w:t>
      </w:r>
      <w:r w:rsidR="0096016D" w:rsidRPr="004A7B04">
        <w:t xml:space="preserve"> </w:t>
      </w:r>
      <w:r w:rsidR="00493045">
        <w:t xml:space="preserve">a </w:t>
      </w:r>
      <w:r w:rsidR="0096016D">
        <w:t xml:space="preserve">high prevalence of </w:t>
      </w:r>
      <w:r w:rsidR="0096016D" w:rsidRPr="004A7B04">
        <w:t>casual and part</w:t>
      </w:r>
      <w:r w:rsidR="0096016D" w:rsidRPr="004A7B04">
        <w:noBreakHyphen/>
        <w:t>time employment</w:t>
      </w:r>
      <w:r w:rsidR="0096016D">
        <w:t xml:space="preserve"> (</w:t>
      </w:r>
      <w:r w:rsidR="0096016D" w:rsidRPr="004A7B04">
        <w:t>especially</w:t>
      </w:r>
      <w:r w:rsidR="00C845F3">
        <w:t xml:space="preserve"> in</w:t>
      </w:r>
      <w:r w:rsidR="0096016D" w:rsidRPr="004A7B04">
        <w:t xml:space="preserve"> </w:t>
      </w:r>
      <w:r w:rsidR="00C845F3">
        <w:t xml:space="preserve">the </w:t>
      </w:r>
      <w:r w:rsidR="0096016D" w:rsidRPr="004A7B04">
        <w:t xml:space="preserve">Accommodation and food services and </w:t>
      </w:r>
      <w:r w:rsidR="0096016D">
        <w:t>Retail t</w:t>
      </w:r>
      <w:r w:rsidR="004A6D5C">
        <w:t>rade</w:t>
      </w:r>
      <w:r w:rsidR="00C845F3">
        <w:t xml:space="preserve"> industries</w:t>
      </w:r>
      <w:r w:rsidR="004A6D5C">
        <w:t>)</w:t>
      </w:r>
      <w:r w:rsidR="00867ABD">
        <w:t xml:space="preserve">, while the business services sector has a </w:t>
      </w:r>
      <w:r w:rsidR="00867ABD" w:rsidRPr="004A7B04">
        <w:t>high</w:t>
      </w:r>
      <w:r w:rsidR="00867ABD">
        <w:t>,</w:t>
      </w:r>
      <w:r w:rsidR="00867ABD" w:rsidRPr="004A7B04">
        <w:t xml:space="preserve"> and rising</w:t>
      </w:r>
      <w:r w:rsidR="00867ABD">
        <w:t>,</w:t>
      </w:r>
      <w:r w:rsidR="00867ABD" w:rsidRPr="004A7B04">
        <w:t xml:space="preserve"> </w:t>
      </w:r>
      <w:r w:rsidR="00867ABD">
        <w:t>share of workers with</w:t>
      </w:r>
      <w:r w:rsidR="00867ABD" w:rsidRPr="004A7B04">
        <w:t xml:space="preserve"> flexible starting and finishing work t</w:t>
      </w:r>
      <w:r w:rsidR="00867ABD">
        <w:t>imes or entitlement to home</w:t>
      </w:r>
      <w:r w:rsidR="00867ABD">
        <w:noBreakHyphen/>
      </w:r>
      <w:r w:rsidR="00867ABD" w:rsidRPr="004A7B04">
        <w:t>based e</w:t>
      </w:r>
      <w:r w:rsidR="00867ABD">
        <w:t>mployment (</w:t>
      </w:r>
      <w:r w:rsidR="00867ABD" w:rsidRPr="004A7B04">
        <w:t xml:space="preserve">especially </w:t>
      </w:r>
      <w:r w:rsidR="00867ABD">
        <w:t>in P</w:t>
      </w:r>
      <w:r w:rsidR="00867ABD" w:rsidRPr="004A7B04">
        <w:t>rofessional, scientific and technical services</w:t>
      </w:r>
      <w:r w:rsidR="00867ABD">
        <w:t xml:space="preserve">). </w:t>
      </w:r>
      <w:r w:rsidR="00F40E6F">
        <w:t>This is unsurprising, g</w:t>
      </w:r>
      <w:r w:rsidR="00850669">
        <w:t xml:space="preserve">iven that these sectors </w:t>
      </w:r>
      <w:r w:rsidR="00F40E6F">
        <w:t>have been</w:t>
      </w:r>
      <w:r w:rsidR="00493045">
        <w:t xml:space="preserve"> </w:t>
      </w:r>
      <w:r w:rsidR="00850669">
        <w:t xml:space="preserve">reliant on </w:t>
      </w:r>
      <w:r w:rsidR="00C4169D">
        <w:t xml:space="preserve">the </w:t>
      </w:r>
      <w:r w:rsidR="00867ABD">
        <w:t>growing</w:t>
      </w:r>
      <w:r w:rsidR="00C4169D">
        <w:t xml:space="preserve"> </w:t>
      </w:r>
      <w:r w:rsidR="00850669">
        <w:t xml:space="preserve">labour force participation </w:t>
      </w:r>
      <w:r w:rsidR="00867ABD">
        <w:t>of women</w:t>
      </w:r>
      <w:r w:rsidR="00F40E6F">
        <w:t xml:space="preserve"> as a source of additional workers.</w:t>
      </w:r>
    </w:p>
    <w:p w:rsidR="001F0840" w:rsidRDefault="001F0840" w:rsidP="001F0840">
      <w:pPr>
        <w:pStyle w:val="BodyText"/>
      </w:pPr>
      <w:r>
        <w:t>Of the slowest</w:t>
      </w:r>
      <w:r>
        <w:noBreakHyphen/>
        <w:t xml:space="preserve">growing sectors in terms of employment, </w:t>
      </w:r>
      <w:r w:rsidRPr="004A7B04">
        <w:t xml:space="preserve">agriculture </w:t>
      </w:r>
      <w:r>
        <w:t xml:space="preserve">is </w:t>
      </w:r>
      <w:r w:rsidRPr="004A7B04">
        <w:t xml:space="preserve">characterised by a relatively high prevalence of </w:t>
      </w:r>
      <w:r>
        <w:t>some forms of non-traditional work. The prevalence of flexible start and finishing times, as well as of home</w:t>
      </w:r>
      <w:r>
        <w:noBreakHyphen/>
        <w:t>based employment, may</w:t>
      </w:r>
      <w:r w:rsidRPr="004A7B04">
        <w:t xml:space="preserve"> be</w:t>
      </w:r>
      <w:r>
        <w:t xml:space="preserve"> partly</w:t>
      </w:r>
      <w:r w:rsidRPr="004A7B04">
        <w:t xml:space="preserve"> associated w</w:t>
      </w:r>
      <w:r>
        <w:t>ith the high proportion of self</w:t>
      </w:r>
      <w:r>
        <w:noBreakHyphen/>
      </w:r>
      <w:r w:rsidRPr="004A7B04">
        <w:t>employed workers and owner</w:t>
      </w:r>
      <w:r w:rsidRPr="004A7B04">
        <w:noBreakHyphen/>
        <w:t xml:space="preserve">managers </w:t>
      </w:r>
      <w:r>
        <w:t xml:space="preserve">within the agricultural workforce. High casualisation, on the other hand, may be explained by the seasonal nature of much agricultural work (ABS </w:t>
      </w:r>
      <w:proofErr w:type="spellStart"/>
      <w:r>
        <w:t>2011c</w:t>
      </w:r>
      <w:proofErr w:type="spellEnd"/>
      <w:r>
        <w:t>).</w:t>
      </w:r>
    </w:p>
    <w:p w:rsidR="001F0840" w:rsidRPr="004A7B04" w:rsidRDefault="001F0840" w:rsidP="001F0840">
      <w:pPr>
        <w:pStyle w:val="BodyText"/>
      </w:pPr>
      <w:r w:rsidRPr="004A7B04">
        <w:t>Manufacturing</w:t>
      </w:r>
      <w:r>
        <w:t>,</w:t>
      </w:r>
      <w:r w:rsidRPr="004A7B04">
        <w:t xml:space="preserve"> </w:t>
      </w:r>
      <w:r>
        <w:t xml:space="preserve">on the whole, has a </w:t>
      </w:r>
      <w:r w:rsidRPr="004A7B04">
        <w:t>lowe</w:t>
      </w:r>
      <w:r>
        <w:t>r</w:t>
      </w:r>
      <w:r w:rsidRPr="004A7B04">
        <w:t xml:space="preserve"> </w:t>
      </w:r>
      <w:r>
        <w:t>prevalence</w:t>
      </w:r>
      <w:r w:rsidRPr="004A7B04">
        <w:t xml:space="preserve"> of </w:t>
      </w:r>
      <w:r>
        <w:t>non-traditional</w:t>
      </w:r>
      <w:r w:rsidRPr="004A7B04">
        <w:t xml:space="preserve"> work arrangements</w:t>
      </w:r>
      <w:r>
        <w:t xml:space="preserve"> than other sectors. A possible exception is its use of labour hire, even though it is declining</w:t>
      </w:r>
      <w:r w:rsidRPr="004A7B04">
        <w:t xml:space="preserve">. </w:t>
      </w:r>
      <w:r>
        <w:t>Indeed, the</w:t>
      </w:r>
      <w:r w:rsidRPr="004A7B04">
        <w:t xml:space="preserve"> prevalence of labour hire workers </w:t>
      </w:r>
      <w:r>
        <w:t>fell in most sectors during the 2000s, particularly during the 2008–10 period.</w:t>
      </w:r>
      <w:r w:rsidRPr="004A7B04">
        <w:t xml:space="preserve"> </w:t>
      </w:r>
      <w:r>
        <w:t>This</w:t>
      </w:r>
      <w:r w:rsidRPr="004A7B04">
        <w:t xml:space="preserve"> could be indicative of the effects of the GFC, with employers laying off labour</w:t>
      </w:r>
      <w:r>
        <w:noBreakHyphen/>
      </w:r>
      <w:r w:rsidRPr="004A7B04">
        <w:t>hire and other short</w:t>
      </w:r>
      <w:r>
        <w:noBreakHyphen/>
      </w:r>
      <w:r w:rsidRPr="004A7B04">
        <w:t>term contract workers in preference to permanent staff.</w:t>
      </w:r>
    </w:p>
    <w:p w:rsidR="001F0840" w:rsidRDefault="001F0840" w:rsidP="001F0840">
      <w:pPr>
        <w:pStyle w:val="BodyText"/>
      </w:pPr>
      <w:r>
        <w:t>T</w:t>
      </w:r>
      <w:r w:rsidRPr="004A7B04">
        <w:t xml:space="preserve">he </w:t>
      </w:r>
      <w:r>
        <w:t>indicators presented in figure 5.7 suggest that</w:t>
      </w:r>
      <w:r w:rsidRPr="004A7B04">
        <w:t xml:space="preserve"> the </w:t>
      </w:r>
      <w:r>
        <w:t>mining</w:t>
      </w:r>
      <w:r w:rsidRPr="004A7B04">
        <w:t xml:space="preserve"> </w:t>
      </w:r>
      <w:r>
        <w:t>sector offers relatively few non-traditional work arrangements. However, this figure does</w:t>
      </w:r>
      <w:r w:rsidRPr="004A7B04">
        <w:t xml:space="preserve"> not </w:t>
      </w:r>
      <w:r>
        <w:t>capture</w:t>
      </w:r>
      <w:r w:rsidRPr="004A7B04">
        <w:t xml:space="preserve"> the prevalence of </w:t>
      </w:r>
      <w:r>
        <w:t>another non-traditional work arrangement in this sector, namely ‘</w:t>
      </w:r>
      <w:r w:rsidRPr="004A7B04">
        <w:t>Fly</w:t>
      </w:r>
      <w:r>
        <w:noBreakHyphen/>
      </w:r>
      <w:r w:rsidRPr="004A7B04">
        <w:t>in, Fly</w:t>
      </w:r>
      <w:r>
        <w:noBreakHyphen/>
      </w:r>
      <w:r w:rsidRPr="004A7B04">
        <w:t>out</w:t>
      </w:r>
      <w:r>
        <w:t>’</w:t>
      </w:r>
      <w:r w:rsidRPr="004A7B04">
        <w:t xml:space="preserve"> </w:t>
      </w:r>
      <w:r>
        <w:t>employment</w:t>
      </w:r>
      <w:r w:rsidRPr="004A7B04">
        <w:t>. As discussed in chapter</w:t>
      </w:r>
      <w:r>
        <w:t> </w:t>
      </w:r>
      <w:r w:rsidRPr="004A7B04">
        <w:t xml:space="preserve">6, </w:t>
      </w:r>
      <w:r>
        <w:t>this long</w:t>
      </w:r>
      <w:r>
        <w:noBreakHyphen/>
        <w:t>distance commuting arrangement has been instrumental in assisting the mining sector adjust its workforce capability during the natural resources boom.</w:t>
      </w:r>
    </w:p>
    <w:p w:rsidR="001F0840" w:rsidRDefault="001F0840" w:rsidP="00EF3627">
      <w:pPr>
        <w:pStyle w:val="BodyText"/>
      </w:pPr>
    </w:p>
    <w:p w:rsidR="007E463D" w:rsidRPr="004A7B04" w:rsidRDefault="007E463D" w:rsidP="00EF3627">
      <w:pPr>
        <w:pStyle w:val="BodyText"/>
      </w:pPr>
    </w:p>
    <w:bookmarkEnd w:id="23"/>
    <w:bookmarkEnd w:id="24"/>
    <w:p w:rsidR="004A7B04" w:rsidRPr="004A7B04" w:rsidRDefault="004A7B04" w:rsidP="00EF3627">
      <w:pPr>
        <w:pStyle w:val="FigureTitle"/>
        <w:rPr>
          <w:position w:val="6"/>
          <w:sz w:val="18"/>
        </w:rPr>
      </w:pPr>
      <w:r w:rsidRPr="00EF3627">
        <w:rPr>
          <w:b w:val="0"/>
        </w:rPr>
        <w:lastRenderedPageBreak/>
        <w:t xml:space="preserve">Figure </w:t>
      </w:r>
      <w:r w:rsidR="003753D7">
        <w:rPr>
          <w:b w:val="0"/>
        </w:rPr>
        <w:t>5.</w:t>
      </w:r>
      <w:r w:rsidR="00FB66BF">
        <w:rPr>
          <w:b w:val="0"/>
          <w:noProof/>
        </w:rPr>
        <w:t>7</w:t>
      </w:r>
      <w:r w:rsidRPr="004A7B04">
        <w:tab/>
        <w:t xml:space="preserve">Share of workers with </w:t>
      </w:r>
      <w:r w:rsidR="00F23544">
        <w:t>non-traditional</w:t>
      </w:r>
      <w:r w:rsidR="00F23544" w:rsidRPr="004A7B04">
        <w:t xml:space="preserve"> </w:t>
      </w:r>
      <w:r w:rsidR="00867ABD">
        <w:t>work arrangements</w:t>
      </w:r>
      <w:r w:rsidRPr="004A7B04">
        <w:t>, by sector, 2001</w:t>
      </w:r>
      <w:r w:rsidR="00112557">
        <w:t xml:space="preserve"> to </w:t>
      </w:r>
      <w:r w:rsidRPr="004A7B04">
        <w:t>2010</w:t>
      </w:r>
      <w:r w:rsidRPr="004A7B04">
        <w:rPr>
          <w:position w:val="6"/>
          <w:sz w:val="18"/>
        </w:rPr>
        <w:t>a</w:t>
      </w:r>
      <w:r w:rsidR="003B088B">
        <w:rPr>
          <w:position w:val="6"/>
          <w:sz w:val="18"/>
        </w:rPr>
        <w:t>, g</w:t>
      </w:r>
    </w:p>
    <w:p w:rsidR="004A7B04" w:rsidRPr="004A7B04" w:rsidRDefault="004A7B04" w:rsidP="00EF3627">
      <w:pPr>
        <w:pStyle w:val="Subtitle"/>
      </w:pPr>
      <w:r w:rsidRPr="004A7B04">
        <w:t>Percent</w:t>
      </w:r>
      <w:r w:rsidR="003B088B">
        <w:t>age</w:t>
      </w:r>
      <w:r w:rsidRPr="004A7B04">
        <w:t xml:space="preserve"> of workers, as a share of all workers in each sector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210297">
        <w:trPr>
          <w:trHeight w:val="10301"/>
        </w:trPr>
        <w:tc>
          <w:tcPr>
            <w:tcW w:w="8777" w:type="dxa"/>
          </w:tcPr>
          <w:p w:rsidR="004A7B04" w:rsidRPr="004A7B04" w:rsidRDefault="00210297" w:rsidP="00EF3627">
            <w:pPr>
              <w:keepNext/>
              <w:spacing w:before="120" w:after="120" w:line="240" w:lineRule="atLeast"/>
              <w:jc w:val="center"/>
              <w:rPr>
                <w:szCs w:val="20"/>
              </w:rPr>
            </w:pPr>
            <w:r>
              <w:rPr>
                <w:noProof/>
              </w:rPr>
              <w:drawing>
                <wp:inline distT="0" distB="0" distL="0" distR="0" wp14:anchorId="5FA731B1" wp14:editId="2C2A37C8">
                  <wp:extent cx="5350933" cy="1464733"/>
                  <wp:effectExtent l="0" t="0" r="2540" b="2540"/>
                  <wp:docPr id="27" name="Chart 27" descr="The first graph in this figure shows the share of workers within each sector who were casually employed. The time period spans 200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4A7B04" w:rsidRPr="004A7B04">
              <w:rPr>
                <w:noProof/>
                <w:szCs w:val="20"/>
              </w:rPr>
              <w:t xml:space="preserve"> </w:t>
            </w:r>
            <w:r w:rsidR="004A7B04" w:rsidRPr="004A7B04">
              <w:rPr>
                <w:noProof/>
                <w:szCs w:val="20"/>
              </w:rPr>
              <w:drawing>
                <wp:inline distT="0" distB="0" distL="0" distR="0" wp14:anchorId="6AAABD62" wp14:editId="33304E9D">
                  <wp:extent cx="5417820" cy="1295400"/>
                  <wp:effectExtent l="0" t="0" r="0" b="0"/>
                  <wp:docPr id="329" name="Chart 329" descr="The second graph in this figure shows the share of workers within each sector who were employed part-ti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4A7B04" w:rsidRPr="004A7B04">
              <w:rPr>
                <w:noProof/>
                <w:szCs w:val="20"/>
              </w:rPr>
              <w:t xml:space="preserve"> </w:t>
            </w:r>
            <w:r w:rsidR="004A7B04" w:rsidRPr="004A7B04">
              <w:rPr>
                <w:noProof/>
                <w:szCs w:val="20"/>
              </w:rPr>
              <w:drawing>
                <wp:inline distT="0" distB="0" distL="0" distR="0" wp14:anchorId="5F44BA18" wp14:editId="6AA41B7C">
                  <wp:extent cx="5417820" cy="1257300"/>
                  <wp:effectExtent l="0" t="0" r="0" b="0"/>
                  <wp:docPr id="330" name="Chart 330" descr="The third graph in this figure shows the share of workers within each sector who had flexible starting and finishing work tim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4A7B04" w:rsidRPr="004A7B04">
              <w:rPr>
                <w:noProof/>
                <w:szCs w:val="20"/>
              </w:rPr>
              <w:t xml:space="preserve"> </w:t>
            </w:r>
            <w:r w:rsidR="004A7B04" w:rsidRPr="004A7B04">
              <w:rPr>
                <w:noProof/>
                <w:szCs w:val="20"/>
              </w:rPr>
              <w:drawing>
                <wp:inline distT="0" distB="0" distL="0" distR="0" wp14:anchorId="34BF4C0C" wp14:editId="29D546B2">
                  <wp:extent cx="5448300" cy="1196340"/>
                  <wp:effectExtent l="0" t="0" r="0" b="3810"/>
                  <wp:docPr id="331" name="Chart 331" descr="The fourth graph in this figure shows the share of workers within each sector who had entitlement to home-based employm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4A7B04" w:rsidRPr="004A7B04">
              <w:rPr>
                <w:noProof/>
                <w:szCs w:val="20"/>
              </w:rPr>
              <w:drawing>
                <wp:inline distT="0" distB="0" distL="0" distR="0" wp14:anchorId="7605E870" wp14:editId="5BB2FF5B">
                  <wp:extent cx="5410200" cy="1196340"/>
                  <wp:effectExtent l="0" t="0" r="0" b="3810"/>
                  <wp:docPr id="332" name="Chart 332" descr="The fifth graph in this figure shows the share of workers within each secotr who were employed through a labour hire company or a temporary employment agency."/>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4A7B04" w:rsidRPr="004A7B04">
              <w:rPr>
                <w:noProof/>
                <w:szCs w:val="20"/>
              </w:rPr>
              <w:t xml:space="preserve"> </w:t>
            </w:r>
          </w:p>
        </w:tc>
      </w:tr>
    </w:tbl>
    <w:p w:rsidR="004A7B04" w:rsidRPr="004A7B04" w:rsidRDefault="004A7B04" w:rsidP="00EF3627">
      <w:pPr>
        <w:pStyle w:val="Note"/>
      </w:pPr>
      <w:r w:rsidRPr="00EF3627">
        <w:rPr>
          <w:rStyle w:val="NoteLabel"/>
        </w:rPr>
        <w:t>a</w:t>
      </w:r>
      <w:r w:rsidR="00FC5621">
        <w:t> Data for f</w:t>
      </w:r>
      <w:r w:rsidRPr="004A7B04">
        <w:t>lexible work times, home</w:t>
      </w:r>
      <w:r w:rsidR="00FD16FE">
        <w:noBreakHyphen/>
      </w:r>
      <w:r w:rsidRPr="004A7B04">
        <w:t xml:space="preserve">based employment and labour hire </w:t>
      </w:r>
      <w:r w:rsidR="00FC5621">
        <w:t>are for</w:t>
      </w:r>
      <w:r w:rsidRPr="004A7B04">
        <w:t xml:space="preserve"> 2002 onwards. Estimates are averaged </w:t>
      </w:r>
      <w:r w:rsidR="00FC5621">
        <w:t xml:space="preserve">values for the groups of years, </w:t>
      </w:r>
      <w:r w:rsidRPr="004A7B04">
        <w:t>refer to working</w:t>
      </w:r>
      <w:r w:rsidR="00FD16FE">
        <w:noBreakHyphen/>
      </w:r>
      <w:r w:rsidRPr="004A7B04">
        <w:t>ag</w:t>
      </w:r>
      <w:r w:rsidR="00FC5621">
        <w:t>e population</w:t>
      </w:r>
      <w:r w:rsidR="0023410F">
        <w:t xml:space="preserve"> (15–64)</w:t>
      </w:r>
      <w:r w:rsidR="00FC5621">
        <w:t xml:space="preserve"> and are population</w:t>
      </w:r>
      <w:r w:rsidR="00FC5621">
        <w:noBreakHyphen/>
      </w:r>
      <w:r w:rsidRPr="004A7B04">
        <w:t xml:space="preserve">weighted. </w:t>
      </w:r>
      <w:r w:rsidR="00E71205">
        <w:t xml:space="preserve"> </w:t>
      </w:r>
      <w:r w:rsidRPr="00EF3627">
        <w:rPr>
          <w:rStyle w:val="NoteLabel"/>
        </w:rPr>
        <w:t>b</w:t>
      </w:r>
      <w:r w:rsidRPr="004A7B04">
        <w:t> </w:t>
      </w:r>
      <w:r w:rsidR="00A07F41">
        <w:t>W</w:t>
      </w:r>
      <w:r w:rsidRPr="004A7B04">
        <w:t xml:space="preserve">orkers </w:t>
      </w:r>
      <w:r w:rsidR="001846AB">
        <w:t>do not have an</w:t>
      </w:r>
      <w:r w:rsidRPr="004A7B04">
        <w:t xml:space="preserve"> entitlement to paid sick or holiday leave</w:t>
      </w:r>
      <w:r w:rsidR="00E25A81">
        <w:t>.</w:t>
      </w:r>
      <w:r w:rsidRPr="004A7B04">
        <w:t xml:space="preserve"> </w:t>
      </w:r>
      <w:r w:rsidR="00E71205">
        <w:t xml:space="preserve"> </w:t>
      </w:r>
      <w:r w:rsidRPr="004A7B04">
        <w:rPr>
          <w:b/>
          <w:position w:val="6"/>
        </w:rPr>
        <w:t>c</w:t>
      </w:r>
      <w:r w:rsidRPr="004A7B04">
        <w:t> </w:t>
      </w:r>
      <w:r w:rsidR="00A07F41">
        <w:t>E</w:t>
      </w:r>
      <w:r w:rsidR="001846AB" w:rsidRPr="004A7B04">
        <w:t xml:space="preserve">xcludes </w:t>
      </w:r>
      <w:r w:rsidRPr="004A7B04">
        <w:t>part</w:t>
      </w:r>
      <w:r w:rsidR="00FD16FE">
        <w:noBreakHyphen/>
      </w:r>
      <w:r w:rsidRPr="004A7B04">
        <w:t xml:space="preserve">time workers who wanted to work more hours. </w:t>
      </w:r>
      <w:r w:rsidR="00E71205">
        <w:t xml:space="preserve"> </w:t>
      </w:r>
      <w:r w:rsidRPr="00EF3627">
        <w:rPr>
          <w:rStyle w:val="NoteLabel"/>
        </w:rPr>
        <w:t>d</w:t>
      </w:r>
      <w:r w:rsidRPr="004A7B04">
        <w:t xml:space="preserve"> Entitlement </w:t>
      </w:r>
      <w:r w:rsidR="001846AB">
        <w:t xml:space="preserve">to ‘flexible start and finishing work times’ or to ‘home-based employment’ </w:t>
      </w:r>
      <w:r w:rsidRPr="004A7B04">
        <w:t xml:space="preserve">does not necessarily mean that a worker is making use of </w:t>
      </w:r>
      <w:r w:rsidR="00403401" w:rsidRPr="004A7B04">
        <w:t>th</w:t>
      </w:r>
      <w:r w:rsidR="00403401">
        <w:t>ese</w:t>
      </w:r>
      <w:r w:rsidR="00403401" w:rsidRPr="004A7B04">
        <w:t xml:space="preserve"> </w:t>
      </w:r>
      <w:r w:rsidRPr="004A7B04">
        <w:t>arrangement</w:t>
      </w:r>
      <w:r w:rsidR="00403401">
        <w:t>s</w:t>
      </w:r>
      <w:r w:rsidRPr="004A7B04">
        <w:t xml:space="preserve">. </w:t>
      </w:r>
      <w:r w:rsidR="00E71205">
        <w:t xml:space="preserve"> </w:t>
      </w:r>
      <w:r w:rsidR="00481EC6">
        <w:rPr>
          <w:b/>
          <w:position w:val="6"/>
        </w:rPr>
        <w:t>e</w:t>
      </w:r>
      <w:r w:rsidRPr="004A7B04">
        <w:t> Workers employed through labour hire company or temporary empl</w:t>
      </w:r>
      <w:r w:rsidR="0089527C">
        <w:t xml:space="preserve">oyment agency. </w:t>
      </w:r>
      <w:r w:rsidR="00E71205">
        <w:t xml:space="preserve"> </w:t>
      </w:r>
      <w:r w:rsidR="0023410F">
        <w:rPr>
          <w:rStyle w:val="NoteLabel"/>
        </w:rPr>
        <w:t>f</w:t>
      </w:r>
      <w:r w:rsidR="00BB36BD">
        <w:t> </w:t>
      </w:r>
      <w:r w:rsidR="0089527C">
        <w:t>Agriculture and M</w:t>
      </w:r>
      <w:r w:rsidRPr="004A7B04">
        <w:t xml:space="preserve">ining are excluded </w:t>
      </w:r>
      <w:r w:rsidR="001846AB">
        <w:t>from the estimates for labour hire</w:t>
      </w:r>
      <w:r w:rsidRPr="004A7B04">
        <w:t>.</w:t>
      </w:r>
      <w:r w:rsidR="003B088B">
        <w:t xml:space="preserve">  </w:t>
      </w:r>
      <w:r w:rsidR="003B088B">
        <w:rPr>
          <w:rStyle w:val="NoteLabel"/>
        </w:rPr>
        <w:t>g</w:t>
      </w:r>
      <w:r w:rsidR="00E25A81">
        <w:t> </w:t>
      </w:r>
      <w:r w:rsidR="003B088B">
        <w:t>Sectors are defined in appendix A.</w:t>
      </w:r>
    </w:p>
    <w:p w:rsidR="004A7B04" w:rsidRDefault="004A7B04" w:rsidP="00EF3627">
      <w:pPr>
        <w:pStyle w:val="Source"/>
      </w:pPr>
      <w:r w:rsidRPr="004A7B04">
        <w:rPr>
          <w:i/>
        </w:rPr>
        <w:t>Source</w:t>
      </w:r>
      <w:r w:rsidRPr="004A7B04">
        <w:t xml:space="preserve">: </w:t>
      </w:r>
      <w:r w:rsidR="00100138">
        <w:t>Productivity Commission</w:t>
      </w:r>
      <w:r w:rsidRPr="004A7B04">
        <w:t xml:space="preserve"> </w:t>
      </w:r>
      <w:r w:rsidR="009F4456">
        <w:t>estimates</w:t>
      </w:r>
      <w:r w:rsidRPr="004A7B04">
        <w:t xml:space="preserve"> using HILDA Survey 2001–2010 Unconfidentialised Release 10.1.</w:t>
      </w:r>
    </w:p>
    <w:p w:rsidR="004A7B04" w:rsidRPr="004A7B04" w:rsidRDefault="003304ED" w:rsidP="008A4184">
      <w:pPr>
        <w:pStyle w:val="Heading3"/>
      </w:pPr>
      <w:r>
        <w:lastRenderedPageBreak/>
        <w:t>Decentralised</w:t>
      </w:r>
      <w:r w:rsidR="004A7B04" w:rsidRPr="004A7B04">
        <w:t xml:space="preserve"> </w:t>
      </w:r>
      <w:r w:rsidR="00D646CA">
        <w:t>wage</w:t>
      </w:r>
      <w:r w:rsidR="00FD16FE">
        <w:noBreakHyphen/>
      </w:r>
      <w:r w:rsidR="00D646CA">
        <w:t xml:space="preserve">setting </w:t>
      </w:r>
      <w:r w:rsidR="00020BEB">
        <w:t>systems</w:t>
      </w:r>
    </w:p>
    <w:p w:rsidR="00C359A0" w:rsidRDefault="004A7B04" w:rsidP="009A1AD2">
      <w:pPr>
        <w:spacing w:before="240" w:line="320" w:lineRule="atLeast"/>
        <w:jc w:val="both"/>
        <w:rPr>
          <w:szCs w:val="20"/>
        </w:rPr>
      </w:pPr>
      <w:r w:rsidRPr="004A7B04">
        <w:rPr>
          <w:szCs w:val="20"/>
        </w:rPr>
        <w:t xml:space="preserve">Another key aspect of labour market </w:t>
      </w:r>
      <w:r w:rsidR="006F34AC">
        <w:rPr>
          <w:szCs w:val="20"/>
        </w:rPr>
        <w:t>adjustment</w:t>
      </w:r>
      <w:r w:rsidR="006F34AC" w:rsidRPr="004A7B04">
        <w:rPr>
          <w:szCs w:val="20"/>
        </w:rPr>
        <w:t xml:space="preserve"> </w:t>
      </w:r>
      <w:r w:rsidRPr="004A7B04">
        <w:rPr>
          <w:szCs w:val="20"/>
        </w:rPr>
        <w:t xml:space="preserve">is the </w:t>
      </w:r>
      <w:r w:rsidR="00D646CA">
        <w:rPr>
          <w:szCs w:val="20"/>
        </w:rPr>
        <w:t>scope</w:t>
      </w:r>
      <w:r w:rsidRPr="004A7B04">
        <w:rPr>
          <w:szCs w:val="20"/>
        </w:rPr>
        <w:t xml:space="preserve"> </w:t>
      </w:r>
      <w:r w:rsidR="000D1FC3">
        <w:rPr>
          <w:szCs w:val="20"/>
        </w:rPr>
        <w:t>for</w:t>
      </w:r>
      <w:r w:rsidR="00D646CA">
        <w:rPr>
          <w:szCs w:val="20"/>
        </w:rPr>
        <w:t xml:space="preserve"> </w:t>
      </w:r>
      <w:r w:rsidRPr="004A7B04">
        <w:rPr>
          <w:szCs w:val="20"/>
        </w:rPr>
        <w:t xml:space="preserve">employers and workers </w:t>
      </w:r>
      <w:r w:rsidR="000D1FC3">
        <w:rPr>
          <w:szCs w:val="20"/>
        </w:rPr>
        <w:t>to</w:t>
      </w:r>
      <w:r w:rsidRPr="004A7B04">
        <w:rPr>
          <w:szCs w:val="20"/>
        </w:rPr>
        <w:t xml:space="preserve"> negotiate wages</w:t>
      </w:r>
      <w:r w:rsidR="00AD11C8">
        <w:rPr>
          <w:szCs w:val="20"/>
        </w:rPr>
        <w:t xml:space="preserve"> and work arrangements</w:t>
      </w:r>
      <w:r w:rsidRPr="004A7B04">
        <w:rPr>
          <w:szCs w:val="20"/>
        </w:rPr>
        <w:t xml:space="preserve"> that are </w:t>
      </w:r>
      <w:r w:rsidR="00D646CA">
        <w:rPr>
          <w:szCs w:val="20"/>
        </w:rPr>
        <w:t xml:space="preserve">not only </w:t>
      </w:r>
      <w:r w:rsidRPr="004A7B04">
        <w:rPr>
          <w:szCs w:val="20"/>
        </w:rPr>
        <w:t xml:space="preserve">tailored to their </w:t>
      </w:r>
      <w:r w:rsidR="00D646CA">
        <w:rPr>
          <w:szCs w:val="20"/>
        </w:rPr>
        <w:t xml:space="preserve">individual </w:t>
      </w:r>
      <w:r w:rsidRPr="004A7B04">
        <w:rPr>
          <w:szCs w:val="20"/>
        </w:rPr>
        <w:t xml:space="preserve">needs and preferences, </w:t>
      </w:r>
      <w:r w:rsidR="00D646CA">
        <w:rPr>
          <w:szCs w:val="20"/>
        </w:rPr>
        <w:t xml:space="preserve">but also reflect the </w:t>
      </w:r>
      <w:r w:rsidRPr="004A7B04">
        <w:rPr>
          <w:szCs w:val="20"/>
        </w:rPr>
        <w:t xml:space="preserve">labour market </w:t>
      </w:r>
      <w:r w:rsidR="00D646CA">
        <w:rPr>
          <w:szCs w:val="20"/>
        </w:rPr>
        <w:t xml:space="preserve">conditions of their particular </w:t>
      </w:r>
      <w:r w:rsidRPr="004A7B04">
        <w:rPr>
          <w:szCs w:val="20"/>
        </w:rPr>
        <w:t xml:space="preserve">industry. </w:t>
      </w:r>
      <w:r w:rsidR="00C359A0" w:rsidRPr="004A7B04">
        <w:t xml:space="preserve">In recent decades, Australia’s industrial relations landscape has progressively </w:t>
      </w:r>
      <w:r w:rsidR="00C359A0">
        <w:t>shifted away from</w:t>
      </w:r>
      <w:r w:rsidR="00C359A0" w:rsidRPr="004A7B04">
        <w:t xml:space="preserve"> centralised </w:t>
      </w:r>
      <w:r w:rsidR="00F54A86">
        <w:t>methods</w:t>
      </w:r>
      <w:r w:rsidR="00F54A86" w:rsidRPr="004A7B04">
        <w:t xml:space="preserve"> </w:t>
      </w:r>
      <w:r w:rsidR="00C359A0">
        <w:t>of wage</w:t>
      </w:r>
      <w:r w:rsidR="00C845F3">
        <w:t xml:space="preserve"> </w:t>
      </w:r>
      <w:r w:rsidR="00C359A0">
        <w:t xml:space="preserve">setting, with </w:t>
      </w:r>
      <w:r w:rsidR="003814CE">
        <w:t>a</w:t>
      </w:r>
      <w:r w:rsidR="00C359A0">
        <w:t xml:space="preserve"> rising prevalence </w:t>
      </w:r>
      <w:r w:rsidR="003814CE">
        <w:t xml:space="preserve">of collective (or </w:t>
      </w:r>
      <w:r w:rsidR="00C359A0" w:rsidRPr="004A7B04">
        <w:t>enterprise bargaining</w:t>
      </w:r>
      <w:r w:rsidR="003814CE">
        <w:t>)</w:t>
      </w:r>
      <w:r w:rsidR="00C359A0" w:rsidRPr="004A7B04">
        <w:t xml:space="preserve"> agreements and individual </w:t>
      </w:r>
      <w:r w:rsidR="003814CE">
        <w:t xml:space="preserve">arrangements, </w:t>
      </w:r>
      <w:r w:rsidR="0024208A">
        <w:t>in place of</w:t>
      </w:r>
      <w:r w:rsidR="003814CE">
        <w:t xml:space="preserve"> awards</w:t>
      </w:r>
      <w:r w:rsidR="00FD16FE">
        <w:noBreakHyphen/>
      </w:r>
      <w:r w:rsidR="003814CE">
        <w:t>only arrangements</w:t>
      </w:r>
      <w:r w:rsidR="00C359A0">
        <w:t>.</w:t>
      </w:r>
    </w:p>
    <w:p w:rsidR="006F34AC" w:rsidRDefault="0024208A">
      <w:pPr>
        <w:spacing w:before="240" w:line="320" w:lineRule="atLeast"/>
        <w:jc w:val="both"/>
        <w:rPr>
          <w:szCs w:val="20"/>
        </w:rPr>
      </w:pPr>
      <w:r>
        <w:rPr>
          <w:szCs w:val="20"/>
        </w:rPr>
        <w:t>Decentralised wage</w:t>
      </w:r>
      <w:r w:rsidR="00C845F3">
        <w:rPr>
          <w:szCs w:val="20"/>
        </w:rPr>
        <w:t xml:space="preserve"> </w:t>
      </w:r>
      <w:r>
        <w:rPr>
          <w:szCs w:val="20"/>
        </w:rPr>
        <w:t>setting</w:t>
      </w:r>
      <w:r w:rsidR="004A7B04" w:rsidRPr="004A7B04">
        <w:rPr>
          <w:szCs w:val="20"/>
        </w:rPr>
        <w:t xml:space="preserve"> </w:t>
      </w:r>
      <w:r w:rsidR="008A08D6">
        <w:rPr>
          <w:szCs w:val="20"/>
        </w:rPr>
        <w:t>is more responsive to</w:t>
      </w:r>
      <w:r w:rsidR="004A7B04" w:rsidRPr="004A7B04">
        <w:rPr>
          <w:szCs w:val="20"/>
        </w:rPr>
        <w:t xml:space="preserve"> </w:t>
      </w:r>
      <w:r w:rsidR="00D646CA">
        <w:rPr>
          <w:szCs w:val="20"/>
        </w:rPr>
        <w:t>different demand and supply</w:t>
      </w:r>
      <w:r w:rsidR="004A7B04" w:rsidRPr="004A7B04">
        <w:rPr>
          <w:szCs w:val="20"/>
        </w:rPr>
        <w:t xml:space="preserve"> conditions</w:t>
      </w:r>
      <w:r w:rsidR="006F34AC">
        <w:rPr>
          <w:szCs w:val="20"/>
        </w:rPr>
        <w:t xml:space="preserve"> faced by different firms or industries. W</w:t>
      </w:r>
      <w:r w:rsidR="005E1091">
        <w:rPr>
          <w:szCs w:val="20"/>
        </w:rPr>
        <w:t xml:space="preserve">hen </w:t>
      </w:r>
      <w:r w:rsidR="00051FB7">
        <w:rPr>
          <w:szCs w:val="20"/>
        </w:rPr>
        <w:t>pressures for</w:t>
      </w:r>
      <w:r w:rsidR="005E1091">
        <w:rPr>
          <w:szCs w:val="20"/>
        </w:rPr>
        <w:t xml:space="preserve"> change </w:t>
      </w:r>
      <w:r w:rsidR="008E631F">
        <w:rPr>
          <w:szCs w:val="20"/>
        </w:rPr>
        <w:t>impact on the economy</w:t>
      </w:r>
      <w:r w:rsidR="005E1091">
        <w:rPr>
          <w:szCs w:val="20"/>
        </w:rPr>
        <w:t>,</w:t>
      </w:r>
      <w:r w:rsidR="004A7B04" w:rsidRPr="004A7B04">
        <w:rPr>
          <w:szCs w:val="20"/>
        </w:rPr>
        <w:t xml:space="preserve"> </w:t>
      </w:r>
      <w:r w:rsidR="005E1091">
        <w:rPr>
          <w:szCs w:val="20"/>
        </w:rPr>
        <w:t xml:space="preserve">any </w:t>
      </w:r>
      <w:r w:rsidR="004A7B04" w:rsidRPr="004A7B04">
        <w:rPr>
          <w:szCs w:val="20"/>
        </w:rPr>
        <w:t>shortages or surpluses of labour</w:t>
      </w:r>
      <w:r w:rsidR="00E4671B">
        <w:rPr>
          <w:szCs w:val="20"/>
        </w:rPr>
        <w:t xml:space="preserve"> </w:t>
      </w:r>
      <w:r w:rsidR="005E1091">
        <w:rPr>
          <w:szCs w:val="20"/>
        </w:rPr>
        <w:t xml:space="preserve">that arise in a particular </w:t>
      </w:r>
      <w:r w:rsidR="005F3BED">
        <w:rPr>
          <w:szCs w:val="20"/>
        </w:rPr>
        <w:t xml:space="preserve">sector </w:t>
      </w:r>
      <w:r w:rsidR="006F34AC">
        <w:rPr>
          <w:szCs w:val="20"/>
        </w:rPr>
        <w:t>or region</w:t>
      </w:r>
      <w:r w:rsidR="005E1091">
        <w:rPr>
          <w:szCs w:val="20"/>
        </w:rPr>
        <w:t xml:space="preserve"> </w:t>
      </w:r>
      <w:r w:rsidR="008A08D6">
        <w:rPr>
          <w:szCs w:val="20"/>
        </w:rPr>
        <w:t>are</w:t>
      </w:r>
      <w:r w:rsidR="00E4671B">
        <w:rPr>
          <w:szCs w:val="20"/>
        </w:rPr>
        <w:t xml:space="preserve"> signalled in the </w:t>
      </w:r>
      <w:r w:rsidR="004A7B04" w:rsidRPr="004A7B04">
        <w:rPr>
          <w:szCs w:val="20"/>
        </w:rPr>
        <w:t>market</w:t>
      </w:r>
      <w:r w:rsidR="006F34AC">
        <w:rPr>
          <w:szCs w:val="20"/>
        </w:rPr>
        <w:t xml:space="preserve"> if wages are able to adjust accordingly.</w:t>
      </w:r>
      <w:r w:rsidR="004A7B04" w:rsidRPr="004A7B04">
        <w:rPr>
          <w:szCs w:val="20"/>
        </w:rPr>
        <w:t xml:space="preserve"> In a decentralised wage</w:t>
      </w:r>
      <w:r w:rsidR="004A7B04" w:rsidRPr="004A7B04">
        <w:rPr>
          <w:szCs w:val="20"/>
        </w:rPr>
        <w:noBreakHyphen/>
        <w:t xml:space="preserve">setting environment, employers in </w:t>
      </w:r>
      <w:r w:rsidR="005F3BED">
        <w:rPr>
          <w:szCs w:val="20"/>
        </w:rPr>
        <w:t>sectors</w:t>
      </w:r>
      <w:r w:rsidR="005F3BED" w:rsidRPr="004A7B04">
        <w:rPr>
          <w:szCs w:val="20"/>
        </w:rPr>
        <w:t xml:space="preserve"> </w:t>
      </w:r>
      <w:r w:rsidR="004A7B04" w:rsidRPr="004A7B04">
        <w:rPr>
          <w:szCs w:val="20"/>
        </w:rPr>
        <w:t xml:space="preserve">or </w:t>
      </w:r>
      <w:r w:rsidR="006F34AC">
        <w:rPr>
          <w:szCs w:val="20"/>
        </w:rPr>
        <w:t>reg</w:t>
      </w:r>
      <w:r w:rsidR="006F34AC" w:rsidRPr="004A7B04">
        <w:rPr>
          <w:szCs w:val="20"/>
        </w:rPr>
        <w:t xml:space="preserve">ions </w:t>
      </w:r>
      <w:r w:rsidR="004A7B04" w:rsidRPr="004A7B04">
        <w:rPr>
          <w:szCs w:val="20"/>
        </w:rPr>
        <w:t xml:space="preserve">with the most acute </w:t>
      </w:r>
      <w:r w:rsidR="00B4682F">
        <w:rPr>
          <w:szCs w:val="20"/>
        </w:rPr>
        <w:t>demand</w:t>
      </w:r>
      <w:r w:rsidR="004A7B04" w:rsidRPr="004A7B04">
        <w:rPr>
          <w:szCs w:val="20"/>
        </w:rPr>
        <w:t xml:space="preserve"> for labour can offer higher wages or </w:t>
      </w:r>
      <w:r w:rsidR="006036A7">
        <w:rPr>
          <w:szCs w:val="20"/>
        </w:rPr>
        <w:t>adjust</w:t>
      </w:r>
      <w:r w:rsidR="006036A7" w:rsidRPr="004A7B04">
        <w:rPr>
          <w:szCs w:val="20"/>
        </w:rPr>
        <w:t xml:space="preserve"> </w:t>
      </w:r>
      <w:r w:rsidR="004A7B04" w:rsidRPr="004A7B04">
        <w:rPr>
          <w:szCs w:val="20"/>
        </w:rPr>
        <w:t xml:space="preserve">work conditions, </w:t>
      </w:r>
      <w:r w:rsidR="00FB2BA1">
        <w:rPr>
          <w:szCs w:val="20"/>
        </w:rPr>
        <w:t>so as</w:t>
      </w:r>
      <w:r w:rsidR="004A7B04" w:rsidRPr="004A7B04">
        <w:rPr>
          <w:szCs w:val="20"/>
        </w:rPr>
        <w:t xml:space="preserve"> to re</w:t>
      </w:r>
      <w:r w:rsidR="00B4682F">
        <w:rPr>
          <w:szCs w:val="20"/>
        </w:rPr>
        <w:t xml:space="preserve">tain their existing workers </w:t>
      </w:r>
      <w:r w:rsidR="004A7B04" w:rsidRPr="004A7B04">
        <w:rPr>
          <w:szCs w:val="20"/>
        </w:rPr>
        <w:t>or attract more workers.</w:t>
      </w:r>
      <w:r w:rsidR="006F34AC" w:rsidRPr="006F34AC">
        <w:rPr>
          <w:szCs w:val="20"/>
        </w:rPr>
        <w:t xml:space="preserve"> </w:t>
      </w:r>
      <w:r w:rsidR="006F34AC">
        <w:rPr>
          <w:szCs w:val="20"/>
        </w:rPr>
        <w:t>W</w:t>
      </w:r>
      <w:r w:rsidR="006F34AC" w:rsidRPr="004A7B04">
        <w:rPr>
          <w:szCs w:val="20"/>
        </w:rPr>
        <w:t xml:space="preserve">hen wages are bid up </w:t>
      </w:r>
      <w:r w:rsidR="008A08D6">
        <w:rPr>
          <w:szCs w:val="20"/>
        </w:rPr>
        <w:t>for some types of labour</w:t>
      </w:r>
      <w:r w:rsidR="006F34AC" w:rsidRPr="004A7B04">
        <w:rPr>
          <w:szCs w:val="20"/>
        </w:rPr>
        <w:t xml:space="preserve">, decentralisation </w:t>
      </w:r>
      <w:r w:rsidR="008A08D6">
        <w:rPr>
          <w:szCs w:val="20"/>
        </w:rPr>
        <w:t>reduces the likelihood that</w:t>
      </w:r>
      <w:r w:rsidR="008A08D6" w:rsidRPr="004A7B04">
        <w:rPr>
          <w:szCs w:val="20"/>
        </w:rPr>
        <w:t xml:space="preserve"> </w:t>
      </w:r>
      <w:r w:rsidR="006F34AC" w:rsidRPr="004A7B04">
        <w:rPr>
          <w:szCs w:val="20"/>
        </w:rPr>
        <w:t xml:space="preserve">wage inflation pressures </w:t>
      </w:r>
      <w:r w:rsidR="008A08D6">
        <w:rPr>
          <w:szCs w:val="20"/>
        </w:rPr>
        <w:t>will be</w:t>
      </w:r>
      <w:r w:rsidR="006F34AC" w:rsidRPr="004A7B04">
        <w:rPr>
          <w:szCs w:val="20"/>
        </w:rPr>
        <w:t xml:space="preserve"> spread to </w:t>
      </w:r>
      <w:r w:rsidR="001132CA">
        <w:rPr>
          <w:szCs w:val="20"/>
        </w:rPr>
        <w:t xml:space="preserve">other </w:t>
      </w:r>
      <w:r w:rsidR="008A08D6">
        <w:rPr>
          <w:szCs w:val="20"/>
        </w:rPr>
        <w:t>labour categories for which</w:t>
      </w:r>
      <w:r w:rsidR="006F34AC" w:rsidRPr="004A7B04">
        <w:rPr>
          <w:szCs w:val="20"/>
        </w:rPr>
        <w:t xml:space="preserve"> </w:t>
      </w:r>
      <w:r w:rsidR="006F34AC">
        <w:rPr>
          <w:szCs w:val="20"/>
        </w:rPr>
        <w:t>demand is not as strong</w:t>
      </w:r>
      <w:r w:rsidR="006F34AC" w:rsidRPr="004A7B04">
        <w:rPr>
          <w:szCs w:val="20"/>
        </w:rPr>
        <w:t xml:space="preserve"> (Banks 2011; Borland 2011; Connoll</w:t>
      </w:r>
      <w:r w:rsidR="006F34AC">
        <w:rPr>
          <w:szCs w:val="20"/>
        </w:rPr>
        <w:t>y and Orsmond 2011; Lowe 2012).</w:t>
      </w:r>
    </w:p>
    <w:p w:rsidR="004A7B04" w:rsidRPr="0024208A" w:rsidRDefault="001132CA">
      <w:pPr>
        <w:spacing w:before="240" w:line="320" w:lineRule="atLeast"/>
        <w:jc w:val="both"/>
        <w:rPr>
          <w:szCs w:val="20"/>
        </w:rPr>
      </w:pPr>
      <w:r>
        <w:t>H</w:t>
      </w:r>
      <w:r w:rsidR="008E631F" w:rsidRPr="004A7B04">
        <w:t>ig</w:t>
      </w:r>
      <w:r w:rsidR="008E631F">
        <w:t xml:space="preserve">her wages </w:t>
      </w:r>
      <w:r>
        <w:t xml:space="preserve">initially </w:t>
      </w:r>
      <w:r w:rsidR="005F3BED">
        <w:t>benefit</w:t>
      </w:r>
      <w:r>
        <w:t xml:space="preserve"> </w:t>
      </w:r>
      <w:r w:rsidR="005F3BED">
        <w:t>‘</w:t>
      </w:r>
      <w:r>
        <w:t>incumbents</w:t>
      </w:r>
      <w:r w:rsidR="005F3BED">
        <w:t>’</w:t>
      </w:r>
      <w:r w:rsidR="004526D3" w:rsidRPr="004526D3">
        <w:t xml:space="preserve"> </w:t>
      </w:r>
      <w:r w:rsidR="004526D3">
        <w:t>employed in expanding</w:t>
      </w:r>
      <w:r w:rsidR="004526D3" w:rsidRPr="004A7B04">
        <w:t xml:space="preserve"> </w:t>
      </w:r>
      <w:r w:rsidR="004526D3">
        <w:t>sectors or regions</w:t>
      </w:r>
      <w:r>
        <w:t>. However, over time</w:t>
      </w:r>
      <w:r w:rsidR="008E631F" w:rsidRPr="004A7B04">
        <w:t xml:space="preserve">, </w:t>
      </w:r>
      <w:r>
        <w:t>higher wages provide ‘outsiders’ with</w:t>
      </w:r>
      <w:r w:rsidR="008E631F">
        <w:t xml:space="preserve"> an</w:t>
      </w:r>
      <w:r w:rsidR="008E631F" w:rsidRPr="004A7B04">
        <w:t xml:space="preserve"> incentive to undertake training and equip themselves with the skills necessary to fill </w:t>
      </w:r>
      <w:r w:rsidR="005F3BED" w:rsidRPr="004A7B04">
        <w:t>th</w:t>
      </w:r>
      <w:r w:rsidR="005F3BED">
        <w:t>e new</w:t>
      </w:r>
      <w:r w:rsidR="005F3BED" w:rsidRPr="004A7B04">
        <w:t xml:space="preserve"> </w:t>
      </w:r>
      <w:r w:rsidR="008E631F" w:rsidRPr="004A7B04">
        <w:t xml:space="preserve">jobs, and to move to the locations where </w:t>
      </w:r>
      <w:r w:rsidR="00C845F3">
        <w:t xml:space="preserve">the </w:t>
      </w:r>
      <w:r w:rsidR="008E631F" w:rsidRPr="004A7B04">
        <w:t>jobs are based.</w:t>
      </w:r>
      <w:r>
        <w:t xml:space="preserve"> As a result of workers moving to take up jobs in sectors</w:t>
      </w:r>
      <w:r w:rsidR="005F3BED">
        <w:t>/regions</w:t>
      </w:r>
      <w:r>
        <w:t xml:space="preserve"> </w:t>
      </w:r>
      <w:r w:rsidR="005F3BED">
        <w:t>offering</w:t>
      </w:r>
      <w:r>
        <w:t xml:space="preserve"> higher wages (or better work conditions), </w:t>
      </w:r>
      <w:r w:rsidR="00810330">
        <w:t>growth in</w:t>
      </w:r>
      <w:r w:rsidR="005F3BED">
        <w:t xml:space="preserve"> wages</w:t>
      </w:r>
      <w:r>
        <w:t xml:space="preserve"> </w:t>
      </w:r>
      <w:r w:rsidR="00810330">
        <w:t>in these areas would be expected to moderate</w:t>
      </w:r>
      <w:r>
        <w:t xml:space="preserve">, while </w:t>
      </w:r>
      <w:r w:rsidR="00E25A81">
        <w:t>wages</w:t>
      </w:r>
      <w:r>
        <w:t xml:space="preserve"> on offer in </w:t>
      </w:r>
      <w:r w:rsidR="005F3BED">
        <w:t>other parts of the economy</w:t>
      </w:r>
      <w:r>
        <w:t xml:space="preserve"> </w:t>
      </w:r>
      <w:r w:rsidR="00810330">
        <w:t xml:space="preserve">could </w:t>
      </w:r>
      <w:r>
        <w:t>rise</w:t>
      </w:r>
      <w:r w:rsidR="00810330">
        <w:t xml:space="preserve">, due to </w:t>
      </w:r>
      <w:r w:rsidR="00036647">
        <w:t>greater</w:t>
      </w:r>
      <w:r w:rsidR="00810330">
        <w:t xml:space="preserve"> labour scarcity</w:t>
      </w:r>
      <w:r>
        <w:t>. Thus</w:t>
      </w:r>
      <w:r w:rsidR="00F404FA">
        <w:t>, i</w:t>
      </w:r>
      <w:r w:rsidR="008E631F">
        <w:t>t has been shown empirically that the combination of decentralised wage</w:t>
      </w:r>
      <w:r w:rsidR="001325DA">
        <w:t xml:space="preserve"> </w:t>
      </w:r>
      <w:r w:rsidR="008E631F">
        <w:t xml:space="preserve">setting and labour mobility </w:t>
      </w:r>
      <w:r w:rsidR="00F404FA">
        <w:t>can result</w:t>
      </w:r>
      <w:r w:rsidR="008E631F">
        <w:t xml:space="preserve"> in higher real wages for all workers, not just those in expanding sectors</w:t>
      </w:r>
      <w:r w:rsidR="004A7B04" w:rsidRPr="004A7B04">
        <w:t xml:space="preserve"> (Th</w:t>
      </w:r>
      <w:r w:rsidR="000D1FC3">
        <w:t xml:space="preserve">ompson, Murray and </w:t>
      </w:r>
      <w:r w:rsidR="009A1AD2">
        <w:t>Jomini 2012</w:t>
      </w:r>
      <w:r w:rsidR="008E631F">
        <w:t>; PC 2009</w:t>
      </w:r>
      <w:r w:rsidR="00A20389">
        <w:t>)</w:t>
      </w:r>
      <w:r w:rsidR="000D1FC3">
        <w:t>.</w:t>
      </w:r>
    </w:p>
    <w:p w:rsidR="009A1AD2" w:rsidRDefault="00AD11C8" w:rsidP="008A4184">
      <w:pPr>
        <w:pStyle w:val="BodyText"/>
      </w:pPr>
      <w:r>
        <w:t>While m</w:t>
      </w:r>
      <w:r w:rsidR="004A7B04" w:rsidRPr="004A7B04">
        <w:t xml:space="preserve">uch of </w:t>
      </w:r>
      <w:r w:rsidR="00C359A0">
        <w:t>the</w:t>
      </w:r>
      <w:r>
        <w:t xml:space="preserve"> </w:t>
      </w:r>
      <w:r w:rsidR="004A7B04" w:rsidRPr="004A7B04">
        <w:t>re</w:t>
      </w:r>
      <w:r>
        <w:t xml:space="preserve">form </w:t>
      </w:r>
      <w:r w:rsidR="00C359A0">
        <w:t>in wage</w:t>
      </w:r>
      <w:r w:rsidR="00FD16FE">
        <w:noBreakHyphen/>
      </w:r>
      <w:r w:rsidR="00C359A0">
        <w:t xml:space="preserve">setting methods </w:t>
      </w:r>
      <w:r>
        <w:t>occurred during the 1990</w:t>
      </w:r>
      <w:r w:rsidR="009A1AD2">
        <w:t>s (Borland 2011, 2012)</w:t>
      </w:r>
      <w:r w:rsidR="001024E0">
        <w:t>,</w:t>
      </w:r>
      <w:r w:rsidR="009A1AD2">
        <w:t xml:space="preserve"> industry</w:t>
      </w:r>
      <w:r w:rsidR="009A1AD2">
        <w:noBreakHyphen/>
      </w:r>
      <w:r>
        <w:t xml:space="preserve">specific </w:t>
      </w:r>
      <w:r w:rsidR="00C359A0">
        <w:t xml:space="preserve">data </w:t>
      </w:r>
      <w:r>
        <w:t>are</w:t>
      </w:r>
      <w:r w:rsidR="004A7B04" w:rsidRPr="004A7B04">
        <w:t xml:space="preserve"> difficult to </w:t>
      </w:r>
      <w:r w:rsidR="0059347E">
        <w:t>obtain</w:t>
      </w:r>
      <w:r w:rsidR="004A7B04" w:rsidRPr="004A7B04">
        <w:t xml:space="preserve"> for the period prior to 2000. </w:t>
      </w:r>
      <w:r w:rsidR="00C359A0">
        <w:t>T</w:t>
      </w:r>
      <w:r w:rsidR="004A7B04" w:rsidRPr="004A7B04">
        <w:t xml:space="preserve">he analysis presented in this section </w:t>
      </w:r>
      <w:r w:rsidR="00C359A0">
        <w:t xml:space="preserve">therefore </w:t>
      </w:r>
      <w:r>
        <w:t>focuses on the</w:t>
      </w:r>
      <w:r w:rsidR="004A7B04" w:rsidRPr="004A7B04">
        <w:t xml:space="preserve"> past decade. </w:t>
      </w:r>
      <w:r>
        <w:t>F</w:t>
      </w:r>
      <w:r w:rsidR="00624FC4">
        <w:t>igure</w:t>
      </w:r>
      <w:r w:rsidR="00AC71FA">
        <w:t> </w:t>
      </w:r>
      <w:r w:rsidR="00624FC4">
        <w:t>5.8</w:t>
      </w:r>
      <w:r w:rsidR="004A7B04" w:rsidRPr="004A7B04">
        <w:t xml:space="preserve"> </w:t>
      </w:r>
      <w:r w:rsidR="0059347E">
        <w:t>shows</w:t>
      </w:r>
      <w:r w:rsidR="004A7B04" w:rsidRPr="004A7B04">
        <w:t xml:space="preserve"> the </w:t>
      </w:r>
      <w:r w:rsidR="0059347E">
        <w:t>relative prevalence of</w:t>
      </w:r>
      <w:r w:rsidR="004A7B04" w:rsidRPr="004A7B04">
        <w:t xml:space="preserve"> the three main </w:t>
      </w:r>
      <w:r w:rsidR="001024E0">
        <w:t xml:space="preserve">wage setting </w:t>
      </w:r>
      <w:r w:rsidR="004A7B04" w:rsidRPr="004A7B04">
        <w:t>methods — awards</w:t>
      </w:r>
      <w:r w:rsidR="004A7B04" w:rsidRPr="004A7B04">
        <w:noBreakHyphen/>
        <w:t xml:space="preserve">only, collective (or enterprise bargaining) agreements, and individual </w:t>
      </w:r>
      <w:r w:rsidR="0059347E">
        <w:t>arrangements</w:t>
      </w:r>
      <w:r w:rsidR="004A7B04" w:rsidRPr="004A7B04">
        <w:t xml:space="preserve"> — </w:t>
      </w:r>
      <w:r w:rsidR="0059347E">
        <w:t>within each sector</w:t>
      </w:r>
      <w:r w:rsidR="00C359A0">
        <w:t xml:space="preserve"> from 2000 to 2010.</w:t>
      </w:r>
    </w:p>
    <w:p w:rsidR="00D66F7E" w:rsidRPr="009B3AC0" w:rsidRDefault="00EB29C6" w:rsidP="00D66F7E">
      <w:pPr>
        <w:pStyle w:val="FigureTitle"/>
      </w:pPr>
      <w:r>
        <w:rPr>
          <w:b w:val="0"/>
        </w:rPr>
        <w:lastRenderedPageBreak/>
        <w:t xml:space="preserve">Figure </w:t>
      </w:r>
      <w:r w:rsidR="003753D7">
        <w:rPr>
          <w:b w:val="0"/>
        </w:rPr>
        <w:t>5.</w:t>
      </w:r>
      <w:r w:rsidR="00FB66BF">
        <w:rPr>
          <w:b w:val="0"/>
          <w:noProof/>
        </w:rPr>
        <w:t>8</w:t>
      </w:r>
      <w:r>
        <w:tab/>
      </w:r>
      <w:r w:rsidR="00D66F7E" w:rsidRPr="009B3AC0">
        <w:t>Wage</w:t>
      </w:r>
      <w:r w:rsidR="00D66F7E" w:rsidRPr="009B3AC0">
        <w:noBreakHyphen/>
        <w:t>setting methods, by sector, 2000</w:t>
      </w:r>
      <w:r w:rsidR="00C5381B">
        <w:t xml:space="preserve"> to </w:t>
      </w:r>
      <w:r w:rsidR="00D66F7E" w:rsidRPr="009B3AC0">
        <w:t>2010</w:t>
      </w:r>
      <w:r w:rsidR="00D66F7E" w:rsidRPr="009B3AC0">
        <w:rPr>
          <w:rStyle w:val="NoteLabel"/>
          <w:b/>
        </w:rPr>
        <w:t>a</w:t>
      </w:r>
      <w:r w:rsidR="009B12D5">
        <w:rPr>
          <w:rStyle w:val="NoteLabel"/>
          <w:b/>
        </w:rPr>
        <w:t>, b, c</w:t>
      </w:r>
      <w:r w:rsidR="00302323">
        <w:rPr>
          <w:rStyle w:val="NoteLabel"/>
          <w:b/>
        </w:rPr>
        <w:t>, d</w:t>
      </w:r>
      <w:r w:rsidR="00D66F7E" w:rsidRPr="009B3AC0">
        <w:t xml:space="preserve"> </w:t>
      </w:r>
    </w:p>
    <w:p w:rsidR="004A7B04" w:rsidRPr="004A7B04" w:rsidRDefault="003B088B" w:rsidP="008A4184">
      <w:pPr>
        <w:pStyle w:val="Subtitle"/>
      </w:pPr>
      <w:r>
        <w:t xml:space="preserve">Percentage of workers </w:t>
      </w:r>
      <w:r w:rsidR="009B12D5">
        <w:t>, as a share of workers in each sector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DA3A1F">
        <w:tc>
          <w:tcPr>
            <w:tcW w:w="8777" w:type="dxa"/>
          </w:tcPr>
          <w:p w:rsidR="004A7B04" w:rsidRPr="004A7B04" w:rsidRDefault="00DA3A1F" w:rsidP="008A4184">
            <w:pPr>
              <w:keepNext/>
              <w:spacing w:before="120" w:after="120" w:line="240" w:lineRule="atLeast"/>
              <w:jc w:val="center"/>
              <w:rPr>
                <w:szCs w:val="20"/>
              </w:rPr>
            </w:pPr>
            <w:r>
              <w:rPr>
                <w:noProof/>
              </w:rPr>
              <w:drawing>
                <wp:inline distT="0" distB="0" distL="0" distR="0" wp14:anchorId="7CFB2AD5" wp14:editId="4AA73958">
                  <wp:extent cx="5579533" cy="2353733"/>
                  <wp:effectExtent l="0" t="0" r="2540" b="8890"/>
                  <wp:docPr id="13" name="Chart 13" descr="This figures shows the composition of workers in each sector, according to the type of wage setting method by which they are employed. For each sector, the vertical bars represent, from left to right, 2000, 2002, 2004, 2006, 2008 and 2010. The three categories of wage setting methods are awards only, collective agreements, and individual arrangem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4A7B04" w:rsidRPr="004A7B04" w:rsidRDefault="004A7B04" w:rsidP="008A4184">
      <w:pPr>
        <w:pStyle w:val="Note"/>
      </w:pPr>
      <w:r w:rsidRPr="008A4184">
        <w:rPr>
          <w:rStyle w:val="NoteLabel"/>
        </w:rPr>
        <w:t>a</w:t>
      </w:r>
      <w:r w:rsidR="00722B37">
        <w:t xml:space="preserve"> </w:t>
      </w:r>
      <w:r w:rsidR="006A48C5">
        <w:t>For each sector, the vertical bar</w:t>
      </w:r>
      <w:r w:rsidR="00DA3A1F">
        <w:t>s represent, from left to right,</w:t>
      </w:r>
      <w:r w:rsidR="006A48C5">
        <w:t xml:space="preserve"> </w:t>
      </w:r>
      <w:r w:rsidR="00DA3A1F">
        <w:t xml:space="preserve">2000, </w:t>
      </w:r>
      <w:r w:rsidR="006A48C5">
        <w:t xml:space="preserve">2002, </w:t>
      </w:r>
      <w:r w:rsidR="00DA3A1F">
        <w:t xml:space="preserve">2004, </w:t>
      </w:r>
      <w:r w:rsidR="006A48C5">
        <w:t>2006</w:t>
      </w:r>
      <w:r w:rsidR="00DA3A1F">
        <w:t>,</w:t>
      </w:r>
      <w:r w:rsidR="006A48C5">
        <w:t xml:space="preserve"> 2008 and 2010. </w:t>
      </w:r>
      <w:r w:rsidR="00166347">
        <w:t>For each of these years, v</w:t>
      </w:r>
      <w:r w:rsidR="001034B6">
        <w:t>alues</w:t>
      </w:r>
      <w:r w:rsidR="00264428">
        <w:t xml:space="preserve"> </w:t>
      </w:r>
      <w:r w:rsidR="00166347">
        <w:t>are for</w:t>
      </w:r>
      <w:r w:rsidR="00AA23F3">
        <w:t xml:space="preserve"> </w:t>
      </w:r>
      <w:r w:rsidR="00166347">
        <w:t xml:space="preserve">May, </w:t>
      </w:r>
      <w:r w:rsidR="008A6E3B">
        <w:t>except for 2008 which is for August</w:t>
      </w:r>
      <w:r w:rsidR="00166347">
        <w:t xml:space="preserve"> (due to data availability)</w:t>
      </w:r>
      <w:r w:rsidR="008A6E3B">
        <w:t xml:space="preserve">. </w:t>
      </w:r>
      <w:r w:rsidR="00E71205">
        <w:t xml:space="preserve"> </w:t>
      </w:r>
      <w:r w:rsidR="009B12D5">
        <w:rPr>
          <w:rStyle w:val="NoteLabel"/>
        </w:rPr>
        <w:t>b</w:t>
      </w:r>
      <w:r w:rsidR="009B12D5">
        <w:t> </w:t>
      </w:r>
      <w:r w:rsidRPr="004A7B04">
        <w:t>Estimates exclude owner</w:t>
      </w:r>
      <w:r w:rsidR="00FD16FE">
        <w:noBreakHyphen/>
      </w:r>
      <w:r w:rsidRPr="004A7B04">
        <w:t>managers of incorporated enterprises.</w:t>
      </w:r>
      <w:r w:rsidR="009B12D5">
        <w:t xml:space="preserve"> </w:t>
      </w:r>
      <w:r w:rsidRPr="004A7B04">
        <w:t xml:space="preserve"> </w:t>
      </w:r>
      <w:r w:rsidR="009B12D5">
        <w:rPr>
          <w:rStyle w:val="NoteLabel"/>
        </w:rPr>
        <w:t>c</w:t>
      </w:r>
      <w:r w:rsidR="009B12D5" w:rsidRPr="004A7B04">
        <w:t xml:space="preserve"> </w:t>
      </w:r>
      <w:r w:rsidRPr="004A7B04">
        <w:t xml:space="preserve">Data </w:t>
      </w:r>
      <w:r w:rsidR="0089527C">
        <w:t xml:space="preserve">are </w:t>
      </w:r>
      <w:r w:rsidRPr="004A7B04">
        <w:t>not available for Agriculture</w:t>
      </w:r>
      <w:r w:rsidR="0089527C">
        <w:t>.</w:t>
      </w:r>
      <w:r w:rsidR="00302323">
        <w:t xml:space="preserve">  </w:t>
      </w:r>
      <w:r w:rsidR="00302323">
        <w:rPr>
          <w:rStyle w:val="NoteLabel"/>
        </w:rPr>
        <w:t>d</w:t>
      </w:r>
      <w:r w:rsidR="00302323">
        <w:t> Sectors are defined in appendix A.</w:t>
      </w:r>
    </w:p>
    <w:p w:rsidR="004A7B04" w:rsidRDefault="004A7B04" w:rsidP="008A4184">
      <w:pPr>
        <w:pStyle w:val="Source"/>
      </w:pPr>
      <w:r w:rsidRPr="008A4184">
        <w:rPr>
          <w:i/>
        </w:rPr>
        <w:t>Source</w:t>
      </w:r>
      <w:r w:rsidR="00AC71FA">
        <w:rPr>
          <w:i/>
        </w:rPr>
        <w:t>s</w:t>
      </w:r>
      <w:r w:rsidRPr="008A4184">
        <w:t>: ABS (</w:t>
      </w:r>
      <w:r w:rsidRPr="00D922C3">
        <w:rPr>
          <w:i/>
        </w:rPr>
        <w:t>Employee Earnings and Hours, Australia</w:t>
      </w:r>
      <w:r w:rsidRPr="008A4184">
        <w:t>, Cat. no. 6306.0</w:t>
      </w:r>
      <w:r w:rsidR="00722B37">
        <w:t xml:space="preserve">; </w:t>
      </w:r>
      <w:r w:rsidR="00722B37">
        <w:rPr>
          <w:i/>
        </w:rPr>
        <w:t>Labour Force, Australia, Detailed, Quarterly</w:t>
      </w:r>
      <w:r w:rsidR="00722B37">
        <w:t>, Cat</w:t>
      </w:r>
      <w:r w:rsidR="004758AF">
        <w:t>.</w:t>
      </w:r>
      <w:r w:rsidR="00722B37">
        <w:t xml:space="preserve"> no. 6291.0.55.003</w:t>
      </w:r>
      <w:r w:rsidRPr="008A4184">
        <w:t>).</w:t>
      </w:r>
    </w:p>
    <w:p w:rsidR="00310F5A" w:rsidRPr="00310F5A" w:rsidRDefault="00310F5A" w:rsidP="00310F5A">
      <w:pPr>
        <w:pStyle w:val="BodyText"/>
      </w:pPr>
      <w:bookmarkStart w:id="26" w:name="_Toc328470217"/>
      <w:bookmarkStart w:id="27" w:name="_Toc330368702"/>
      <w:bookmarkStart w:id="28" w:name="_Toc331405023"/>
      <w:bookmarkStart w:id="29" w:name="_Toc331491067"/>
      <w:r>
        <w:t>Looking specifically at some of the fastest</w:t>
      </w:r>
      <w:r>
        <w:noBreakHyphen/>
        <w:t>growing sectors in terms of employment, the business services sector displays a strong reliance on individual arrangements (driven largely by their take-up in Professional, scientific and technical services). In the mining sector, the use of individual arrangements increased notably between 2004 and 2006, coinciding with rapid growth in the sector’s workforce size. Although the social services sector has a proportionally very low use of individual arrangements, it has made strong and increasing use of collective agreements, especially due to arrangements in the Education and training and Health care and social assistance industries. Measured differences in</w:t>
      </w:r>
      <w:r w:rsidRPr="004A7B04">
        <w:t xml:space="preserve"> wage </w:t>
      </w:r>
      <w:r>
        <w:t>levels, by sector,</w:t>
      </w:r>
      <w:r w:rsidRPr="004A7B04">
        <w:t xml:space="preserve"> </w:t>
      </w:r>
      <w:r>
        <w:t xml:space="preserve">are examined </w:t>
      </w:r>
      <w:r w:rsidRPr="004A7B04">
        <w:t>in mo</w:t>
      </w:r>
      <w:r>
        <w:t>re detail in the next section.</w:t>
      </w:r>
    </w:p>
    <w:p w:rsidR="004A7B04" w:rsidRPr="004A7B04" w:rsidRDefault="003753D7" w:rsidP="008A4184">
      <w:pPr>
        <w:pStyle w:val="Heading2"/>
      </w:pPr>
      <w:r>
        <w:t>5.</w:t>
      </w:r>
      <w:r w:rsidR="00FB66BF">
        <w:rPr>
          <w:noProof/>
        </w:rPr>
        <w:t>3</w:t>
      </w:r>
      <w:r w:rsidR="004A7B04" w:rsidRPr="004A7B04">
        <w:tab/>
        <w:t xml:space="preserve">Signals for labour market </w:t>
      </w:r>
      <w:bookmarkEnd w:id="26"/>
      <w:r w:rsidR="004A7B04" w:rsidRPr="004A7B04">
        <w:t>adjustment</w:t>
      </w:r>
      <w:bookmarkEnd w:id="27"/>
      <w:bookmarkEnd w:id="28"/>
      <w:bookmarkEnd w:id="29"/>
    </w:p>
    <w:p w:rsidR="004A7B04" w:rsidRPr="004A7B04" w:rsidRDefault="006D057A" w:rsidP="008A4184">
      <w:pPr>
        <w:pStyle w:val="BodyText"/>
      </w:pPr>
      <w:r>
        <w:t xml:space="preserve">This section looks at </w:t>
      </w:r>
      <w:r w:rsidR="007068AB">
        <w:t xml:space="preserve">three </w:t>
      </w:r>
      <w:r>
        <w:t xml:space="preserve">indicators </w:t>
      </w:r>
      <w:r w:rsidR="007068AB">
        <w:t xml:space="preserve">that </w:t>
      </w:r>
      <w:r w:rsidR="00FB2BA1">
        <w:t>signal a need for</w:t>
      </w:r>
      <w:r w:rsidR="007068AB">
        <w:t xml:space="preserve"> adjustment </w:t>
      </w:r>
      <w:r>
        <w:t>in the labour market</w:t>
      </w:r>
      <w:r w:rsidR="007068AB">
        <w:t>: job vacancies; job redundancies; and wage differentials</w:t>
      </w:r>
      <w:r>
        <w:t xml:space="preserve">. Essentially, these are </w:t>
      </w:r>
      <w:r w:rsidR="000B6207">
        <w:t>indications that there is</w:t>
      </w:r>
      <w:r>
        <w:t xml:space="preserve"> some </w:t>
      </w:r>
      <w:r w:rsidR="00FB2BA1">
        <w:t>imbalance</w:t>
      </w:r>
      <w:r w:rsidR="000B6207">
        <w:t xml:space="preserve"> between </w:t>
      </w:r>
      <w:r>
        <w:t xml:space="preserve">demand </w:t>
      </w:r>
      <w:r w:rsidR="00CD2E20">
        <w:t xml:space="preserve">for </w:t>
      </w:r>
      <w:r>
        <w:t>an</w:t>
      </w:r>
      <w:r w:rsidR="000B6207">
        <w:t>d supply of labour, by sector</w:t>
      </w:r>
      <w:r w:rsidR="007068AB">
        <w:t xml:space="preserve"> or region</w:t>
      </w:r>
      <w:r w:rsidR="000B6207">
        <w:t xml:space="preserve">. </w:t>
      </w:r>
      <w:r w:rsidR="007068AB">
        <w:t xml:space="preserve">Such disequilibrium </w:t>
      </w:r>
      <w:r w:rsidR="00CD2E20">
        <w:t xml:space="preserve">may be ephemeral, such as that caused by daily start-ups and closures of </w:t>
      </w:r>
      <w:r w:rsidR="006C29F4">
        <w:t xml:space="preserve">individual </w:t>
      </w:r>
      <w:r w:rsidR="00CD2E20">
        <w:t>businesses. It may be long</w:t>
      </w:r>
      <w:r w:rsidR="006C29F4">
        <w:t>er</w:t>
      </w:r>
      <w:r w:rsidR="006C29F4">
        <w:noBreakHyphen/>
      </w:r>
      <w:r w:rsidR="00CD2E20">
        <w:t>lasting, if resulting from</w:t>
      </w:r>
      <w:r w:rsidR="007068AB">
        <w:t xml:space="preserve"> cyclical influences. </w:t>
      </w:r>
      <w:r w:rsidR="00CD2E20">
        <w:t>More long-lasting still are</w:t>
      </w:r>
      <w:r w:rsidR="007068AB">
        <w:t xml:space="preserve"> </w:t>
      </w:r>
      <w:r w:rsidR="000B6207">
        <w:lastRenderedPageBreak/>
        <w:t xml:space="preserve">imbalances </w:t>
      </w:r>
      <w:r w:rsidR="00CD2E20">
        <w:t xml:space="preserve">that </w:t>
      </w:r>
      <w:r w:rsidR="009A1AD2">
        <w:t>arise from</w:t>
      </w:r>
      <w:r w:rsidR="000B6207">
        <w:t xml:space="preserve"> patterns of industry expansion and contraction associated with structural change.</w:t>
      </w:r>
    </w:p>
    <w:p w:rsidR="004A7B04" w:rsidRPr="004A7B04" w:rsidRDefault="004A7B04" w:rsidP="008A4184">
      <w:pPr>
        <w:pStyle w:val="Heading3"/>
      </w:pPr>
      <w:r w:rsidRPr="004A7B04">
        <w:t>Job vacancies</w:t>
      </w:r>
    </w:p>
    <w:p w:rsidR="004A7B04" w:rsidRPr="004A7B04" w:rsidRDefault="004A7B04" w:rsidP="008A4184">
      <w:pPr>
        <w:pStyle w:val="BodyText"/>
      </w:pPr>
      <w:r w:rsidRPr="004A7B04">
        <w:t>Persistent job vacancies could indicate that:</w:t>
      </w:r>
    </w:p>
    <w:p w:rsidR="008A4184" w:rsidRDefault="004A7B04" w:rsidP="008A4184">
      <w:pPr>
        <w:pStyle w:val="ListBullet"/>
      </w:pPr>
      <w:r w:rsidRPr="004A7B04">
        <w:t>available workers are not suitable to fill the jobs on offer (</w:t>
      </w:r>
      <w:r w:rsidR="00945C98">
        <w:t xml:space="preserve">because, </w:t>
      </w:r>
      <w:r w:rsidRPr="004A7B04">
        <w:t xml:space="preserve">for example, they might lack the necessary </w:t>
      </w:r>
      <w:r w:rsidR="0089527C">
        <w:t>skills or qualifications)</w:t>
      </w:r>
    </w:p>
    <w:p w:rsidR="008A4184" w:rsidRDefault="004A7B04" w:rsidP="008A4184">
      <w:pPr>
        <w:pStyle w:val="ListBullet"/>
      </w:pPr>
      <w:r w:rsidRPr="008A4184">
        <w:t>pros</w:t>
      </w:r>
      <w:r w:rsidR="00945C98">
        <w:t xml:space="preserve">pective workers are not making </w:t>
      </w:r>
      <w:r w:rsidRPr="008A4184">
        <w:t xml:space="preserve">themselves </w:t>
      </w:r>
      <w:r w:rsidR="00945C98">
        <w:t>available to fill the</w:t>
      </w:r>
      <w:r w:rsidRPr="008A4184">
        <w:t xml:space="preserve"> job opportunities (for example, they might not be </w:t>
      </w:r>
      <w:r w:rsidR="00945C98">
        <w:t xml:space="preserve">able or </w:t>
      </w:r>
      <w:r w:rsidRPr="008A4184">
        <w:t xml:space="preserve">willing to move </w:t>
      </w:r>
      <w:r w:rsidR="00945C98">
        <w:t>locations</w:t>
      </w:r>
      <w:r w:rsidR="0089527C">
        <w:t>)</w:t>
      </w:r>
    </w:p>
    <w:p w:rsidR="004A7B04" w:rsidRPr="008A4184" w:rsidRDefault="004A7B04" w:rsidP="008A4184">
      <w:pPr>
        <w:pStyle w:val="ListBullet"/>
      </w:pPr>
      <w:r w:rsidRPr="008A4184">
        <w:t xml:space="preserve">employers are not offering sufficient incentives (in the form of wages, other components of remuneration </w:t>
      </w:r>
      <w:r w:rsidR="00945C98">
        <w:t>or</w:t>
      </w:r>
      <w:r w:rsidRPr="008A4184">
        <w:t xml:space="preserve"> work conditions) for workers to take up the job opportunities on</w:t>
      </w:r>
      <w:r w:rsidR="008A4184">
        <w:t xml:space="preserve"> offer.</w:t>
      </w:r>
    </w:p>
    <w:p w:rsidR="0078474A" w:rsidRDefault="004A7B04" w:rsidP="0078474A">
      <w:pPr>
        <w:pStyle w:val="BodyText"/>
      </w:pPr>
      <w:r w:rsidRPr="004A7B04">
        <w:t>Based</w:t>
      </w:r>
      <w:r w:rsidR="0089527C">
        <w:t xml:space="preserve"> on ABS Job Vacanc</w:t>
      </w:r>
      <w:r w:rsidR="003B41E1">
        <w:t>ies</w:t>
      </w:r>
      <w:r w:rsidR="0089527C">
        <w:t xml:space="preserve"> Survey</w:t>
      </w:r>
      <w:r w:rsidRPr="004A7B04">
        <w:t xml:space="preserve"> </w:t>
      </w:r>
      <w:r w:rsidR="00916E17">
        <w:t>data, figure</w:t>
      </w:r>
      <w:r w:rsidR="00AC71FA">
        <w:t> </w:t>
      </w:r>
      <w:r w:rsidR="00916E17">
        <w:t>5.9</w:t>
      </w:r>
      <w:r w:rsidRPr="004A7B04">
        <w:t xml:space="preserve"> shows the number of job vacancies reported from 2000 to 2012.</w:t>
      </w:r>
      <w:r w:rsidRPr="004A7B04">
        <w:rPr>
          <w:position w:val="6"/>
          <w:sz w:val="22"/>
        </w:rPr>
        <w:footnoteReference w:id="17"/>
      </w:r>
      <w:r w:rsidRPr="004A7B04">
        <w:t xml:space="preserve"> </w:t>
      </w:r>
      <w:r w:rsidR="00945C98">
        <w:t>F</w:t>
      </w:r>
      <w:r w:rsidR="00945C98" w:rsidRPr="004A7B04">
        <w:t xml:space="preserve">or most of this period, the sectors with the largest number of job vacancies were business services and distribution services. </w:t>
      </w:r>
      <w:r w:rsidR="00945C98">
        <w:t>Yet, t</w:t>
      </w:r>
      <w:r w:rsidRPr="004A7B04">
        <w:t xml:space="preserve">he sector </w:t>
      </w:r>
      <w:r w:rsidR="00945C98">
        <w:t>with</w:t>
      </w:r>
      <w:r w:rsidRPr="004A7B04">
        <w:t xml:space="preserve"> the fastest </w:t>
      </w:r>
      <w:r w:rsidR="00945C98">
        <w:t>growth in</w:t>
      </w:r>
      <w:r w:rsidRPr="004A7B04">
        <w:t xml:space="preserve"> vacancies </w:t>
      </w:r>
      <w:r w:rsidR="005A7FB5">
        <w:t xml:space="preserve">over this </w:t>
      </w:r>
      <w:r w:rsidR="00945C98">
        <w:t>period was mining, followed by</w:t>
      </w:r>
      <w:r w:rsidRPr="004A7B04">
        <w:t xml:space="preserve"> </w:t>
      </w:r>
      <w:r w:rsidR="00945C98">
        <w:t>b</w:t>
      </w:r>
      <w:r w:rsidRPr="004A7B04">
        <w:t>usiness services</w:t>
      </w:r>
      <w:r w:rsidR="00945C98">
        <w:t xml:space="preserve">. </w:t>
      </w:r>
      <w:r w:rsidRPr="004A7B04">
        <w:t xml:space="preserve">The only sector to </w:t>
      </w:r>
      <w:r w:rsidR="009A1AD2">
        <w:t>record</w:t>
      </w:r>
      <w:r w:rsidRPr="004A7B04">
        <w:t xml:space="preserve"> </w:t>
      </w:r>
      <w:r w:rsidR="00945C98">
        <w:t xml:space="preserve">a drop in the number of vacancies </w:t>
      </w:r>
      <w:r w:rsidR="009A1AD2">
        <w:t xml:space="preserve">over the whole of this period </w:t>
      </w:r>
      <w:r w:rsidR="00945C98">
        <w:t>was manufacturing.</w:t>
      </w:r>
      <w:r w:rsidR="0036515B">
        <w:t xml:space="preserve"> While the drop in vacancies observed in </w:t>
      </w:r>
      <w:r w:rsidR="004B25CC">
        <w:t xml:space="preserve">some </w:t>
      </w:r>
      <w:r w:rsidR="0036515B">
        <w:t xml:space="preserve">sectors </w:t>
      </w:r>
      <w:r w:rsidR="003B41E1">
        <w:t xml:space="preserve">between </w:t>
      </w:r>
      <w:r w:rsidR="0036515B">
        <w:t>2009</w:t>
      </w:r>
      <w:r w:rsidR="003B41E1">
        <w:t xml:space="preserve"> and </w:t>
      </w:r>
      <w:r w:rsidR="0036515B">
        <w:t>2012 reflects the impact of the</w:t>
      </w:r>
      <w:r w:rsidR="0036515B" w:rsidRPr="004A7B04">
        <w:t xml:space="preserve"> GFC</w:t>
      </w:r>
      <w:r w:rsidR="0036515B">
        <w:t xml:space="preserve">, </w:t>
      </w:r>
      <w:r w:rsidR="004B25CC">
        <w:t>others</w:t>
      </w:r>
      <w:r w:rsidR="0036515B">
        <w:t xml:space="preserve"> appeared more resistant to this downturn.</w:t>
      </w:r>
      <w:r w:rsidR="0078474A" w:rsidRPr="0078474A">
        <w:t xml:space="preserve"> </w:t>
      </w:r>
      <w:r w:rsidR="009B2541">
        <w:t>M</w:t>
      </w:r>
      <w:r w:rsidR="004B25CC">
        <w:t xml:space="preserve">ining and </w:t>
      </w:r>
      <w:r w:rsidR="009B2541">
        <w:t xml:space="preserve">utilities and </w:t>
      </w:r>
      <w:r w:rsidR="004B25CC">
        <w:t>construction</w:t>
      </w:r>
      <w:r w:rsidR="009B2541">
        <w:t>, in particular, recorded large proportional increases in vacancy numbers between 2006–08 and 2009–12</w:t>
      </w:r>
      <w:r w:rsidR="000A1561">
        <w:t xml:space="preserve"> (figure</w:t>
      </w:r>
      <w:r w:rsidR="00627523">
        <w:t> </w:t>
      </w:r>
      <w:r w:rsidR="000A1561">
        <w:t>5.9)</w:t>
      </w:r>
      <w:r w:rsidR="004B25CC">
        <w:t>.</w:t>
      </w:r>
    </w:p>
    <w:p w:rsidR="001F0840" w:rsidRDefault="001F0840" w:rsidP="001F0840">
      <w:pPr>
        <w:pStyle w:val="BodyText"/>
      </w:pPr>
      <w:r w:rsidRPr="004A7B04">
        <w:t>Job vacancy figures, when expressed relative to</w:t>
      </w:r>
      <w:r>
        <w:t xml:space="preserve"> each sector’s workforce size, </w:t>
      </w:r>
      <w:r w:rsidRPr="004A7B04">
        <w:t xml:space="preserve">shed further light on </w:t>
      </w:r>
      <w:r>
        <w:t>the relative growth of different sectors</w:t>
      </w:r>
      <w:r w:rsidRPr="004A7B04">
        <w:t>.</w:t>
      </w:r>
      <w:r>
        <w:t xml:space="preserve"> I</w:t>
      </w:r>
      <w:r w:rsidRPr="004A7B04">
        <w:t>n the February quarter of 2</w:t>
      </w:r>
      <w:r>
        <w:t>012, mining employed around 250 </w:t>
      </w:r>
      <w:r w:rsidRPr="004A7B04">
        <w:t xml:space="preserve">000 workers, </w:t>
      </w:r>
      <w:r>
        <w:t>with</w:t>
      </w:r>
      <w:r w:rsidRPr="004A7B04">
        <w:t xml:space="preserve"> nearly another 10 000 jobs on offer.</w:t>
      </w:r>
      <w:r>
        <w:t xml:space="preserve"> That is, for every 100 existing jobs in mining, another</w:t>
      </w:r>
      <w:r w:rsidRPr="004A7B04">
        <w:t xml:space="preserve"> </w:t>
      </w:r>
      <w:r>
        <w:t>four jobs were advertised. M</w:t>
      </w:r>
      <w:r w:rsidRPr="004A7B04">
        <w:t>anufacturing</w:t>
      </w:r>
      <w:r>
        <w:t>, with</w:t>
      </w:r>
      <w:r w:rsidRPr="004A7B04">
        <w:t xml:space="preserve"> an existing workforce o</w:t>
      </w:r>
      <w:r>
        <w:t>f 970 000 workers, had only another 12 </w:t>
      </w:r>
      <w:r w:rsidRPr="004A7B04">
        <w:t>000 jobs on offer</w:t>
      </w:r>
      <w:r>
        <w:t>. That is, for every 100 existing jobs in manufacturing, only around one extra job was advertised.</w:t>
      </w:r>
    </w:p>
    <w:p w:rsidR="001F0840" w:rsidRDefault="001F0840" w:rsidP="0078474A">
      <w:pPr>
        <w:pStyle w:val="BodyText"/>
      </w:pPr>
    </w:p>
    <w:p w:rsidR="004A7B04" w:rsidRPr="004A7B04" w:rsidRDefault="004A7B04" w:rsidP="003A22AD">
      <w:pPr>
        <w:pStyle w:val="FigureTitle"/>
      </w:pPr>
      <w:bookmarkStart w:id="30" w:name="_Toc330368706"/>
      <w:bookmarkStart w:id="31" w:name="_Toc331405021"/>
      <w:bookmarkStart w:id="32" w:name="_Toc331491065"/>
      <w:bookmarkStart w:id="33" w:name="_Toc330368703"/>
      <w:bookmarkStart w:id="34" w:name="_Toc331405024"/>
      <w:bookmarkStart w:id="35" w:name="_Toc331491068"/>
      <w:r w:rsidRPr="003A22AD">
        <w:rPr>
          <w:b w:val="0"/>
        </w:rPr>
        <w:lastRenderedPageBreak/>
        <w:t xml:space="preserve">Figure </w:t>
      </w:r>
      <w:bookmarkStart w:id="36" w:name="OLE_LINK16"/>
      <w:r w:rsidR="003753D7">
        <w:rPr>
          <w:b w:val="0"/>
        </w:rPr>
        <w:t>5.</w:t>
      </w:r>
      <w:r w:rsidR="00FB66BF">
        <w:rPr>
          <w:b w:val="0"/>
          <w:noProof/>
        </w:rPr>
        <w:t>9</w:t>
      </w:r>
      <w:bookmarkEnd w:id="36"/>
      <w:r w:rsidRPr="004A7B04">
        <w:tab/>
        <w:t xml:space="preserve">Job </w:t>
      </w:r>
      <w:r w:rsidR="003A22AD">
        <w:t>vacancies, by sector, 2000</w:t>
      </w:r>
      <w:r w:rsidR="00C5381B">
        <w:t xml:space="preserve"> to </w:t>
      </w:r>
      <w:r w:rsidR="003A22AD">
        <w:t>2012</w:t>
      </w:r>
      <w:r w:rsidRPr="004A7B04">
        <w:rPr>
          <w:position w:val="6"/>
          <w:sz w:val="18"/>
        </w:rPr>
        <w:t>a</w:t>
      </w:r>
      <w:r w:rsidR="009447AB">
        <w:rPr>
          <w:position w:val="6"/>
          <w:sz w:val="18"/>
        </w:rPr>
        <w:t>, b</w:t>
      </w:r>
      <w:r w:rsidR="00302323">
        <w:rPr>
          <w:position w:val="6"/>
          <w:sz w:val="18"/>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ED7585">
        <w:tc>
          <w:tcPr>
            <w:tcW w:w="8777" w:type="dxa"/>
          </w:tcPr>
          <w:p w:rsidR="004A7B04" w:rsidRPr="004A7B04" w:rsidRDefault="00ED7585" w:rsidP="003A22AD">
            <w:pPr>
              <w:keepNext/>
              <w:spacing w:before="120" w:after="120" w:line="240" w:lineRule="atLeast"/>
              <w:jc w:val="center"/>
              <w:rPr>
                <w:szCs w:val="20"/>
              </w:rPr>
            </w:pPr>
            <w:r>
              <w:rPr>
                <w:noProof/>
              </w:rPr>
              <w:drawing>
                <wp:inline distT="0" distB="0" distL="0" distR="0" wp14:anchorId="0C4FCA80" wp14:editId="6C1848B2">
                  <wp:extent cx="5396948" cy="2737816"/>
                  <wp:effectExtent l="0" t="0" r="0" b="5715"/>
                  <wp:docPr id="15" name="Chart 15" descr="Figure 5.9 This figure shows the number of job vacancies (in thousands) for each sector, spanning the period from 2000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4A7B04" w:rsidRPr="004A7B04" w:rsidRDefault="004A7B04" w:rsidP="003A22AD">
      <w:pPr>
        <w:pStyle w:val="Note"/>
      </w:pPr>
      <w:r w:rsidRPr="003A22AD">
        <w:rPr>
          <w:rStyle w:val="NoteLabel"/>
        </w:rPr>
        <w:t>a</w:t>
      </w:r>
      <w:r w:rsidRPr="004A7B04">
        <w:t xml:space="preserve"> Data based on the number of vacancies reported quarterly, except for 2008 (based on February and May quarters only) and 2009 (based on November quarter only), due to data unavailability. </w:t>
      </w:r>
      <w:r w:rsidR="009F4456">
        <w:t>Estimates</w:t>
      </w:r>
      <w:r w:rsidR="009F4456" w:rsidRPr="004A7B04">
        <w:t xml:space="preserve"> </w:t>
      </w:r>
      <w:r w:rsidRPr="004A7B04">
        <w:t>are based on the annual averages using quarterly data, which are then averaged out over multiple years.</w:t>
      </w:r>
      <w:r w:rsidR="009447AB">
        <w:t xml:space="preserve"> </w:t>
      </w:r>
      <w:r w:rsidRPr="004A7B04">
        <w:t xml:space="preserve"> </w:t>
      </w:r>
      <w:r w:rsidR="009447AB">
        <w:rPr>
          <w:rStyle w:val="NoteLabel"/>
        </w:rPr>
        <w:t>b</w:t>
      </w:r>
      <w:r w:rsidR="009447AB" w:rsidRPr="004A7B04">
        <w:t xml:space="preserve"> </w:t>
      </w:r>
      <w:r w:rsidRPr="004A7B04">
        <w:t>Data are</w:t>
      </w:r>
      <w:r w:rsidR="003A22AD">
        <w:t xml:space="preserve"> not available for Agriculture.</w:t>
      </w:r>
      <w:r w:rsidR="00302323">
        <w:t xml:space="preserve">  </w:t>
      </w:r>
      <w:r w:rsidR="00302323">
        <w:rPr>
          <w:rStyle w:val="NoteLabel"/>
        </w:rPr>
        <w:t>c</w:t>
      </w:r>
      <w:r w:rsidR="00302323" w:rsidRPr="004A7B04">
        <w:t xml:space="preserve"> </w:t>
      </w:r>
      <w:r w:rsidR="00302323">
        <w:t>Sectors are defined in appendix A.</w:t>
      </w:r>
    </w:p>
    <w:p w:rsidR="004A7B04" w:rsidRPr="004A7B04" w:rsidRDefault="004A7B04" w:rsidP="003A22AD">
      <w:pPr>
        <w:pStyle w:val="Source"/>
      </w:pPr>
      <w:r w:rsidRPr="003A22AD">
        <w:rPr>
          <w:i/>
        </w:rPr>
        <w:t>Source</w:t>
      </w:r>
      <w:r w:rsidRPr="004A7B04">
        <w:t>: ABS (</w:t>
      </w:r>
      <w:r w:rsidRPr="003A22AD">
        <w:rPr>
          <w:i/>
        </w:rPr>
        <w:t>Job Vacancies, Australia</w:t>
      </w:r>
      <w:r w:rsidRPr="004A7B04">
        <w:t>, Cat. no. 6354.0).</w:t>
      </w:r>
    </w:p>
    <w:p w:rsidR="004A7B04" w:rsidRDefault="007A564D" w:rsidP="00D922C3">
      <w:pPr>
        <w:pStyle w:val="BodyText"/>
      </w:pPr>
      <w:r>
        <w:t>J</w:t>
      </w:r>
      <w:r w:rsidR="004A7B04" w:rsidRPr="004A7B04">
        <w:t>ob vacan</w:t>
      </w:r>
      <w:r w:rsidR="00BE3E26">
        <w:t>cy</w:t>
      </w:r>
      <w:r w:rsidR="004A7B04" w:rsidRPr="004A7B04">
        <w:t xml:space="preserve"> </w:t>
      </w:r>
      <w:r>
        <w:t xml:space="preserve">numbers, disaggregated </w:t>
      </w:r>
      <w:r w:rsidRPr="004A7B04">
        <w:t>by state or territory</w:t>
      </w:r>
      <w:r>
        <w:t>,</w:t>
      </w:r>
      <w:r w:rsidRPr="004A7B04">
        <w:t xml:space="preserve"> </w:t>
      </w:r>
      <w:r w:rsidR="004A7B04" w:rsidRPr="004A7B04">
        <w:t xml:space="preserve">are also indicative of </w:t>
      </w:r>
      <w:r>
        <w:t xml:space="preserve">broader </w:t>
      </w:r>
      <w:r w:rsidR="004A7B04" w:rsidRPr="004A7B04">
        <w:t>sectoral sh</w:t>
      </w:r>
      <w:r w:rsidR="00916E17">
        <w:t>ifts in the economy (figure</w:t>
      </w:r>
      <w:r w:rsidR="00AC71FA">
        <w:t> </w:t>
      </w:r>
      <w:r w:rsidR="00916E17">
        <w:t>5.10</w:t>
      </w:r>
      <w:r w:rsidR="004A7B04" w:rsidRPr="004A7B04">
        <w:t xml:space="preserve">). Most notable are the jumps in the number of jobs advertised in Queensland and Western Australia at the height of the </w:t>
      </w:r>
      <w:r w:rsidR="009447AB">
        <w:t xml:space="preserve">resources </w:t>
      </w:r>
      <w:r w:rsidR="0097248A">
        <w:t xml:space="preserve">boom (that is, comparing </w:t>
      </w:r>
      <w:r w:rsidR="0097248A" w:rsidRPr="0097248A">
        <w:t>2003</w:t>
      </w:r>
      <w:r w:rsidR="0097248A">
        <w:t>–</w:t>
      </w:r>
      <w:r w:rsidR="004A7B04" w:rsidRPr="0097248A">
        <w:t>2005</w:t>
      </w:r>
      <w:r w:rsidR="0097248A">
        <w:t xml:space="preserve"> to </w:t>
      </w:r>
      <w:r w:rsidR="0097248A" w:rsidRPr="0097248A">
        <w:t>2006</w:t>
      </w:r>
      <w:r w:rsidR="0097248A">
        <w:t>–</w:t>
      </w:r>
      <w:r w:rsidR="004A7B04" w:rsidRPr="0097248A">
        <w:t>2008</w:t>
      </w:r>
      <w:r>
        <w:t>).</w:t>
      </w:r>
    </w:p>
    <w:p w:rsidR="001F0840" w:rsidRPr="00034559" w:rsidRDefault="001F0840" w:rsidP="001F0840">
      <w:pPr>
        <w:pStyle w:val="BodyText"/>
      </w:pPr>
      <w:r>
        <w:t xml:space="preserve">Job vacancies, by region, are reported by </w:t>
      </w:r>
      <w:r w:rsidRPr="004A7B04">
        <w:t xml:space="preserve">the Department of Education, Employment and Workplace Relations (DEEWR) </w:t>
      </w:r>
      <w:r>
        <w:t>in the form of</w:t>
      </w:r>
      <w:r w:rsidRPr="004A7B04">
        <w:t xml:space="preserve"> t</w:t>
      </w:r>
      <w:r>
        <w:t>he Internet Vacancy Index (IVI). The IVI</w:t>
      </w:r>
      <w:r w:rsidRPr="004A7B04">
        <w:t xml:space="preserve"> reports the number</w:t>
      </w:r>
      <w:r>
        <w:t xml:space="preserve"> of online job vacancies for 38 </w:t>
      </w:r>
      <w:r w:rsidRPr="004A7B04">
        <w:t>regions across Australia</w:t>
      </w:r>
      <w:r>
        <w:t>,</w:t>
      </w:r>
      <w:r w:rsidRPr="007A564D">
        <w:t xml:space="preserve"> </w:t>
      </w:r>
      <w:r>
        <w:t>including</w:t>
      </w:r>
      <w:r w:rsidRPr="004A7B04">
        <w:t xml:space="preserve"> </w:t>
      </w:r>
      <w:r>
        <w:t xml:space="preserve">specific </w:t>
      </w:r>
      <w:r w:rsidRPr="004A7B04">
        <w:t>mining areas, such as the Pilbara and Kimberley.</w:t>
      </w:r>
      <w:r w:rsidRPr="004A7B04">
        <w:rPr>
          <w:position w:val="6"/>
          <w:sz w:val="22"/>
        </w:rPr>
        <w:footnoteReference w:id="18"/>
      </w:r>
      <w:r>
        <w:t xml:space="preserve"> Exemplifying</w:t>
      </w:r>
      <w:r w:rsidRPr="004A7B04">
        <w:t xml:space="preserve"> the contrast between regions, between April 2010 and 2011, online vacancies increased in all regions of Western Australia and the Northern Territory, and in the central and outback regions of Queensland. The highest vacancy growth rates were experienced in the Pilbara and Kimberley, Goldfields and Southern Western Australia, South</w:t>
      </w:r>
      <w:r>
        <w:noBreakHyphen/>
      </w:r>
      <w:r w:rsidRPr="004A7B04">
        <w:t>West Western Australia, Central Queensland, and Reg</w:t>
      </w:r>
      <w:r>
        <w:t xml:space="preserve">ional Northern Territory (DEEWR 2012d). In contrast, </w:t>
      </w:r>
      <w:r w:rsidRPr="004A7B04">
        <w:t>all other regions within Australia experienced a decline in online job vacancies</w:t>
      </w:r>
      <w:r>
        <w:t xml:space="preserve"> during the same period</w:t>
      </w:r>
      <w:r w:rsidRPr="004A7B04">
        <w:t xml:space="preserve">. The largest rates of decline were experienced in several inland regions of New South Wales (including Bathurst and Central West New South </w:t>
      </w:r>
      <w:r w:rsidRPr="004A7B04">
        <w:lastRenderedPageBreak/>
        <w:t>Wales and the Blue Mountains)</w:t>
      </w:r>
      <w:r>
        <w:t xml:space="preserve"> and in much of Tasmania (DEEWR </w:t>
      </w:r>
      <w:r w:rsidRPr="004A7B04">
        <w:t>2012</w:t>
      </w:r>
      <w:r>
        <w:t>d</w:t>
      </w:r>
      <w:r w:rsidRPr="004A7B04">
        <w:t xml:space="preserve">). These data </w:t>
      </w:r>
      <w:r>
        <w:t>broad</w:t>
      </w:r>
      <w:r w:rsidRPr="004A7B04">
        <w:t xml:space="preserve">ly accord with the </w:t>
      </w:r>
      <w:r>
        <w:t>Job Vacancies Survey data presented in figure 5.10.</w:t>
      </w:r>
    </w:p>
    <w:p w:rsidR="004A7B04" w:rsidRPr="004A7B04" w:rsidRDefault="004A7B04" w:rsidP="00D922C3">
      <w:pPr>
        <w:pStyle w:val="FigureTitle"/>
      </w:pPr>
      <w:r w:rsidRPr="00D922C3">
        <w:rPr>
          <w:b w:val="0"/>
        </w:rPr>
        <w:t xml:space="preserve">Figure </w:t>
      </w:r>
      <w:bookmarkStart w:id="37" w:name="OLE_LINK24"/>
      <w:r w:rsidR="003753D7">
        <w:rPr>
          <w:b w:val="0"/>
        </w:rPr>
        <w:t>5.</w:t>
      </w:r>
      <w:r w:rsidR="00FB66BF">
        <w:rPr>
          <w:b w:val="0"/>
          <w:noProof/>
        </w:rPr>
        <w:t>10</w:t>
      </w:r>
      <w:bookmarkEnd w:id="37"/>
      <w:r w:rsidRPr="00D922C3">
        <w:rPr>
          <w:b w:val="0"/>
        </w:rPr>
        <w:tab/>
      </w:r>
      <w:r w:rsidRPr="004A7B04">
        <w:t>Job vacancies, by state/territory, 2000</w:t>
      </w:r>
      <w:r w:rsidR="00C5381B">
        <w:t xml:space="preserve"> to </w:t>
      </w:r>
      <w:r w:rsidRPr="004A7B04">
        <w:t>2012</w:t>
      </w:r>
      <w:r w:rsidRPr="004A7B04">
        <w:rPr>
          <w:position w:val="6"/>
          <w:sz w:val="18"/>
        </w:rPr>
        <w:t>a</w:t>
      </w:r>
      <w:r w:rsidR="009447AB">
        <w:rPr>
          <w:position w:val="6"/>
          <w:sz w:val="18"/>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E64325">
        <w:tc>
          <w:tcPr>
            <w:tcW w:w="8777" w:type="dxa"/>
          </w:tcPr>
          <w:p w:rsidR="004A7B04" w:rsidRPr="004A7B04" w:rsidRDefault="00E64325" w:rsidP="00D922C3">
            <w:pPr>
              <w:keepNext/>
              <w:spacing w:before="120" w:after="120" w:line="240" w:lineRule="atLeast"/>
              <w:jc w:val="center"/>
              <w:rPr>
                <w:szCs w:val="20"/>
              </w:rPr>
            </w:pPr>
            <w:r>
              <w:rPr>
                <w:noProof/>
              </w:rPr>
              <w:drawing>
                <wp:inline distT="0" distB="0" distL="0" distR="0" wp14:anchorId="7AA9B757" wp14:editId="5BEB8D59">
                  <wp:extent cx="5400000" cy="2880000"/>
                  <wp:effectExtent l="0" t="0" r="0" b="0"/>
                  <wp:docPr id="17" name="Chart 17" descr="Figure 5.10 This figure shows the number of job vacancies (in thousands) for each state or territory, spanning the period from 2000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4A7B04" w:rsidRPr="004A7B04" w:rsidRDefault="004A7B04" w:rsidP="00D922C3">
      <w:pPr>
        <w:pStyle w:val="Note"/>
      </w:pPr>
      <w:r w:rsidRPr="004A7B04">
        <w:rPr>
          <w:b/>
          <w:position w:val="6"/>
        </w:rPr>
        <w:t>a</w:t>
      </w:r>
      <w:r w:rsidRPr="004A7B04">
        <w:t xml:space="preserve"> Data based on the number of vacancies reported quarterly, except for 2008 (based on February and May quarters only) and 2009 (based on November quarter only), due to data unavailability. </w:t>
      </w:r>
      <w:r w:rsidR="009F4456">
        <w:t>Estimates</w:t>
      </w:r>
      <w:r w:rsidR="009F4456" w:rsidRPr="004A7B04">
        <w:t xml:space="preserve"> </w:t>
      </w:r>
      <w:r w:rsidRPr="004A7B04">
        <w:t xml:space="preserve">are based on computing the annual averages using quarterly data, which are then averaged out over multiple years. </w:t>
      </w:r>
      <w:r w:rsidR="00E71205">
        <w:t xml:space="preserve"> </w:t>
      </w:r>
      <w:r w:rsidR="009447AB">
        <w:rPr>
          <w:rStyle w:val="NoteLabel"/>
        </w:rPr>
        <w:t>b</w:t>
      </w:r>
      <w:r w:rsidR="009447AB">
        <w:t> </w:t>
      </w:r>
      <w:r w:rsidRPr="004A7B04">
        <w:t>Data exclude job vacancies for the Agriculture industry.</w:t>
      </w:r>
    </w:p>
    <w:p w:rsidR="004A7B04" w:rsidRDefault="004A7B04" w:rsidP="00D922C3">
      <w:pPr>
        <w:pStyle w:val="Source"/>
      </w:pPr>
      <w:r w:rsidRPr="00D922C3">
        <w:rPr>
          <w:i/>
        </w:rPr>
        <w:t>Source</w:t>
      </w:r>
      <w:r w:rsidRPr="004A7B04">
        <w:t>: ABS (</w:t>
      </w:r>
      <w:r w:rsidRPr="00D922C3">
        <w:rPr>
          <w:i/>
        </w:rPr>
        <w:t>Job Vacancies, Australia</w:t>
      </w:r>
      <w:r w:rsidRPr="004A7B04">
        <w:t>, Cat. no. 6354.0).</w:t>
      </w:r>
    </w:p>
    <w:p w:rsidR="004A7B04" w:rsidRPr="004A7B04" w:rsidRDefault="004A7B04" w:rsidP="00A81A67">
      <w:pPr>
        <w:pStyle w:val="Heading3"/>
      </w:pPr>
      <w:bookmarkStart w:id="38" w:name="_Toc330368705"/>
      <w:bookmarkStart w:id="39" w:name="_Toc331405029"/>
      <w:bookmarkStart w:id="40" w:name="_Toc331491073"/>
      <w:bookmarkStart w:id="41" w:name="_Toc330368704"/>
      <w:bookmarkStart w:id="42" w:name="_Toc331405028"/>
      <w:bookmarkStart w:id="43" w:name="_Toc331491072"/>
      <w:r w:rsidRPr="004A7B04">
        <w:t>Job redundancies</w:t>
      </w:r>
    </w:p>
    <w:p w:rsidR="00872CC4" w:rsidRDefault="003304ED" w:rsidP="00A81A67">
      <w:pPr>
        <w:pStyle w:val="BodyText"/>
      </w:pPr>
      <w:r>
        <w:t>E</w:t>
      </w:r>
      <w:r w:rsidR="00872CC4">
        <w:t xml:space="preserve">xamining </w:t>
      </w:r>
      <w:r w:rsidR="00F42297">
        <w:t>p</w:t>
      </w:r>
      <w:r w:rsidR="00291706">
        <w:t>atterns of job redundancies</w:t>
      </w:r>
      <w:r w:rsidR="00F42297">
        <w:t>,</w:t>
      </w:r>
      <w:r w:rsidR="00291706">
        <w:t xml:space="preserve"> by workers’ previous sector of employment,</w:t>
      </w:r>
      <w:r w:rsidR="00291706" w:rsidRPr="004A7B04">
        <w:t xml:space="preserve"> </w:t>
      </w:r>
      <w:r w:rsidR="00F42297">
        <w:t>can help</w:t>
      </w:r>
      <w:r w:rsidR="004A7B04" w:rsidRPr="004A7B04">
        <w:t xml:space="preserve"> to identify those parts of the economy that are shedding jobs for reason</w:t>
      </w:r>
      <w:r w:rsidR="00A81A67">
        <w:t>s related to structural change.</w:t>
      </w:r>
    </w:p>
    <w:p w:rsidR="004A7B04" w:rsidRDefault="006371A7" w:rsidP="00A81A67">
      <w:pPr>
        <w:pStyle w:val="BodyText"/>
      </w:pPr>
      <w:r>
        <w:t>During</w:t>
      </w:r>
      <w:r w:rsidRPr="004A7B04">
        <w:t xml:space="preserve"> the 2000s</w:t>
      </w:r>
      <w:r>
        <w:t>, t</w:t>
      </w:r>
      <w:r w:rsidR="00D177A4">
        <w:t>he sector that</w:t>
      </w:r>
      <w:r w:rsidR="004A7B04" w:rsidRPr="004A7B04">
        <w:t xml:space="preserve"> shed the largest proportion</w:t>
      </w:r>
      <w:r w:rsidR="00291706">
        <w:t xml:space="preserve"> of its workforce </w:t>
      </w:r>
      <w:r>
        <w:t xml:space="preserve">due to redundancies </w:t>
      </w:r>
      <w:r w:rsidR="00D177A4">
        <w:t xml:space="preserve">was manufacturing </w:t>
      </w:r>
      <w:r w:rsidR="00916E17">
        <w:t>(figure 5.11</w:t>
      </w:r>
      <w:r w:rsidR="00291706">
        <w:t>)</w:t>
      </w:r>
      <w:r>
        <w:t>.</w:t>
      </w:r>
      <w:r w:rsidR="004F0E0C" w:rsidRPr="004A7B04">
        <w:rPr>
          <w:position w:val="6"/>
          <w:sz w:val="22"/>
        </w:rPr>
        <w:footnoteReference w:id="19"/>
      </w:r>
      <w:r w:rsidR="00291706">
        <w:t xml:space="preserve"> </w:t>
      </w:r>
      <w:r w:rsidR="00D177A4">
        <w:t>T</w:t>
      </w:r>
      <w:r w:rsidR="004A7B04" w:rsidRPr="004A7B04">
        <w:t>he</w:t>
      </w:r>
      <w:r w:rsidR="00291706">
        <w:t xml:space="preserve"> next highest redundancy rates </w:t>
      </w:r>
      <w:r w:rsidR="00283180">
        <w:t>were experienced</w:t>
      </w:r>
      <w:r w:rsidR="004A7B04" w:rsidRPr="004A7B04">
        <w:t xml:space="preserve"> in utilities and construction and busines</w:t>
      </w:r>
      <w:r w:rsidR="00291706">
        <w:t xml:space="preserve">s services (especially </w:t>
      </w:r>
      <w:r w:rsidR="00D177A4">
        <w:t>in</w:t>
      </w:r>
      <w:r w:rsidR="00291706">
        <w:t xml:space="preserve"> </w:t>
      </w:r>
      <w:r w:rsidR="00283180">
        <w:t>R</w:t>
      </w:r>
      <w:r w:rsidR="004A7B04" w:rsidRPr="004A7B04">
        <w:t>ental, h</w:t>
      </w:r>
      <w:r w:rsidR="00291706">
        <w:t>iring and real estate services</w:t>
      </w:r>
      <w:r w:rsidR="00BB6C7A">
        <w:t xml:space="preserve"> within the latter</w:t>
      </w:r>
      <w:r w:rsidR="00291706">
        <w:t xml:space="preserve">). </w:t>
      </w:r>
      <w:r w:rsidR="004A7B04" w:rsidRPr="004A7B04">
        <w:t xml:space="preserve">In contrast, social services had, by a considerable margin, proportionally fewer redundancies than the other </w:t>
      </w:r>
      <w:r w:rsidR="004A7B04" w:rsidRPr="004A7B04">
        <w:lastRenderedPageBreak/>
        <w:t>sectors. This was particularly due to the low redundancy rates in Hea</w:t>
      </w:r>
      <w:r w:rsidR="00291706">
        <w:t>lth care and social assistance</w:t>
      </w:r>
      <w:r w:rsidR="00BC091E">
        <w:t xml:space="preserve"> —</w:t>
      </w:r>
      <w:r w:rsidR="00291706">
        <w:t xml:space="preserve"> the </w:t>
      </w:r>
      <w:r w:rsidR="004A7B04" w:rsidRPr="004A7B04">
        <w:t xml:space="preserve">industry </w:t>
      </w:r>
      <w:r w:rsidR="00291706">
        <w:t>with</w:t>
      </w:r>
      <w:r w:rsidR="004A7B04" w:rsidRPr="004A7B04">
        <w:t xml:space="preserve"> </w:t>
      </w:r>
      <w:r w:rsidR="00283180">
        <w:t xml:space="preserve">the </w:t>
      </w:r>
      <w:r w:rsidR="004A7B04" w:rsidRPr="004A7B04">
        <w:t>most rapidly growing workforce during the 2000s.</w:t>
      </w:r>
    </w:p>
    <w:p w:rsidR="004A7B04" w:rsidRPr="004A7B04" w:rsidRDefault="004A7B04" w:rsidP="00A81A67">
      <w:pPr>
        <w:pStyle w:val="FigureTitle"/>
        <w:rPr>
          <w:position w:val="6"/>
          <w:sz w:val="18"/>
        </w:rPr>
      </w:pPr>
      <w:bookmarkStart w:id="44" w:name="OLE_LINK3"/>
      <w:bookmarkEnd w:id="38"/>
      <w:bookmarkEnd w:id="39"/>
      <w:bookmarkEnd w:id="40"/>
      <w:r w:rsidRPr="00A81A67">
        <w:rPr>
          <w:b w:val="0"/>
        </w:rPr>
        <w:t xml:space="preserve">Figure </w:t>
      </w:r>
      <w:bookmarkStart w:id="45" w:name="OLE_LINK1"/>
      <w:r w:rsidR="003753D7">
        <w:rPr>
          <w:b w:val="0"/>
        </w:rPr>
        <w:t>5.</w:t>
      </w:r>
      <w:r w:rsidR="00FB66BF">
        <w:rPr>
          <w:b w:val="0"/>
          <w:noProof/>
        </w:rPr>
        <w:t>11</w:t>
      </w:r>
      <w:bookmarkEnd w:id="44"/>
      <w:bookmarkEnd w:id="45"/>
      <w:r w:rsidRPr="004A7B04">
        <w:tab/>
        <w:t xml:space="preserve">Share of workers </w:t>
      </w:r>
      <w:r w:rsidR="00B15BC2">
        <w:t xml:space="preserve">in each sector </w:t>
      </w:r>
      <w:r w:rsidRPr="004A7B04">
        <w:t>made redundant</w:t>
      </w:r>
      <w:r w:rsidR="00283180">
        <w:t xml:space="preserve"> or fired</w:t>
      </w:r>
      <w:r w:rsidR="00B15BC2">
        <w:t>,</w:t>
      </w:r>
      <w:r w:rsidR="00283180">
        <w:br/>
      </w:r>
      <w:r w:rsidRPr="004A7B04">
        <w:t>2001</w:t>
      </w:r>
      <w:r w:rsidR="00C5381B">
        <w:t xml:space="preserve"> to </w:t>
      </w:r>
      <w:r w:rsidRPr="004A7B04">
        <w:t>2010</w:t>
      </w:r>
      <w:r w:rsidRPr="004A7B04">
        <w:rPr>
          <w:position w:val="6"/>
          <w:sz w:val="18"/>
        </w:rPr>
        <w:t>a</w:t>
      </w:r>
      <w:r w:rsidR="00993CD6">
        <w:rPr>
          <w:position w:val="6"/>
          <w:sz w:val="18"/>
        </w:rPr>
        <w:t>, b, c</w:t>
      </w:r>
      <w:r w:rsidR="00302323">
        <w:rPr>
          <w:position w:val="6"/>
          <w:sz w:val="18"/>
        </w:rPr>
        <w:t>, d</w:t>
      </w:r>
    </w:p>
    <w:p w:rsidR="004A7B04" w:rsidRPr="004A7B04" w:rsidRDefault="003B088B" w:rsidP="00A81A67">
      <w:pPr>
        <w:pStyle w:val="Subtitle"/>
      </w:pPr>
      <w:r>
        <w:t xml:space="preserve">Percentage of workers </w:t>
      </w:r>
      <w:r w:rsidR="00993CD6">
        <w:t>, as a share of workers in each sector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EF27A8">
        <w:tc>
          <w:tcPr>
            <w:tcW w:w="8777" w:type="dxa"/>
          </w:tcPr>
          <w:p w:rsidR="004A7B04" w:rsidRPr="004A7B04" w:rsidRDefault="00F73FC2" w:rsidP="00A81A67">
            <w:pPr>
              <w:keepNext/>
              <w:spacing w:before="120" w:after="120" w:line="240" w:lineRule="atLeast"/>
              <w:jc w:val="center"/>
              <w:rPr>
                <w:szCs w:val="20"/>
              </w:rPr>
            </w:pPr>
            <w:r>
              <w:rPr>
                <w:noProof/>
              </w:rPr>
              <w:drawing>
                <wp:inline distT="0" distB="0" distL="0" distR="0" wp14:anchorId="769A7C33" wp14:editId="1F9BADCF">
                  <wp:extent cx="5418667" cy="2421466"/>
                  <wp:effectExtent l="0" t="0" r="0" b="0"/>
                  <wp:docPr id="11" name="Chart 11" descr="This figure shows the share of workers within each sector who were made redundant or fired, from 200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993CD6" w:rsidRPr="004A7B04" w:rsidRDefault="00993CD6" w:rsidP="00993CD6">
      <w:pPr>
        <w:pStyle w:val="Note"/>
      </w:pPr>
      <w:r w:rsidRPr="00A81A67">
        <w:rPr>
          <w:rStyle w:val="NoteLabel"/>
        </w:rPr>
        <w:t>a</w:t>
      </w:r>
      <w:r w:rsidRPr="004A7B04">
        <w:t xml:space="preserve"> Number of workers made redundant or fired, as a share of all workers in the sector. Estimates are averaged values for </w:t>
      </w:r>
      <w:r>
        <w:t>three</w:t>
      </w:r>
      <w:r w:rsidRPr="004A7B04">
        <w:t xml:space="preserve"> pairs of consecutive</w:t>
      </w:r>
      <w:r>
        <w:t xml:space="preserve"> years, for example, ‘average </w:t>
      </w:r>
      <w:r w:rsidRPr="00283180">
        <w:t>2001</w:t>
      </w:r>
      <w:r>
        <w:t>–</w:t>
      </w:r>
      <w:r w:rsidRPr="00283180">
        <w:t>2002</w:t>
      </w:r>
      <w:r w:rsidRPr="004A7B04">
        <w:t xml:space="preserve"> to</w:t>
      </w:r>
      <w:r>
        <w:t xml:space="preserve"> 2003–</w:t>
      </w:r>
      <w:r w:rsidRPr="004A7B04">
        <w:t xml:space="preserve">2004’ refers to workers who were made redundant </w:t>
      </w:r>
      <w:r>
        <w:t xml:space="preserve">or fired </w:t>
      </w:r>
      <w:r w:rsidRPr="004A7B04">
        <w:t>between 2001 and 2002, between 2002 and 2003, and/or between 2003 and 2004.</w:t>
      </w:r>
      <w:r>
        <w:t xml:space="preserve"> </w:t>
      </w:r>
      <w:r w:rsidRPr="004A7B04">
        <w:t xml:space="preserve"> </w:t>
      </w:r>
      <w:r>
        <w:rPr>
          <w:rStyle w:val="NoteLabel"/>
        </w:rPr>
        <w:t>b</w:t>
      </w:r>
      <w:r w:rsidRPr="004A7B04">
        <w:t xml:space="preserve"> Agriculture and Mining are excluded due to low sample count and high standard errors associated with these estimates. </w:t>
      </w:r>
      <w:r>
        <w:t xml:space="preserve"> </w:t>
      </w:r>
      <w:r>
        <w:rPr>
          <w:rStyle w:val="NoteLabel"/>
        </w:rPr>
        <w:t>c</w:t>
      </w:r>
      <w:r w:rsidRPr="004A7B04">
        <w:t xml:space="preserve"> </w:t>
      </w:r>
      <w:r>
        <w:t>Estimates refer to the working</w:t>
      </w:r>
      <w:r>
        <w:noBreakHyphen/>
        <w:t>age population (15–64 years) and are population</w:t>
      </w:r>
      <w:r>
        <w:noBreakHyphen/>
        <w:t>weighted.</w:t>
      </w:r>
      <w:r w:rsidR="00302323">
        <w:t xml:space="preserve">  </w:t>
      </w:r>
      <w:r w:rsidR="00302323">
        <w:rPr>
          <w:rStyle w:val="NoteLabel"/>
        </w:rPr>
        <w:t>d</w:t>
      </w:r>
      <w:r w:rsidR="00302323" w:rsidRPr="004A7B04">
        <w:t xml:space="preserve"> </w:t>
      </w:r>
      <w:r w:rsidR="00302323">
        <w:t>Sectors are defined in appendix A.</w:t>
      </w:r>
    </w:p>
    <w:p w:rsidR="004A7B04" w:rsidRDefault="004A7B04" w:rsidP="00A81A67">
      <w:pPr>
        <w:pStyle w:val="Source"/>
      </w:pPr>
      <w:r w:rsidRPr="00A81A67">
        <w:rPr>
          <w:i/>
        </w:rPr>
        <w:t>Source</w:t>
      </w:r>
      <w:r w:rsidRPr="00FD16FE">
        <w:t>:</w:t>
      </w:r>
      <w:r w:rsidRPr="004A7B04">
        <w:rPr>
          <w:i/>
        </w:rPr>
        <w:t xml:space="preserve"> </w:t>
      </w:r>
      <w:r w:rsidR="00100138">
        <w:t>Productivity Commission</w:t>
      </w:r>
      <w:r w:rsidRPr="004A7B04">
        <w:t xml:space="preserve"> </w:t>
      </w:r>
      <w:r w:rsidR="009F4456">
        <w:t>estimates</w:t>
      </w:r>
      <w:r w:rsidR="009F4456" w:rsidRPr="004A7B04">
        <w:t xml:space="preserve"> </w:t>
      </w:r>
      <w:r w:rsidRPr="004A7B04">
        <w:t>using HILDA Survey 2001–2010 Unconfidentialised Release 10.1.</w:t>
      </w:r>
    </w:p>
    <w:p w:rsidR="001F0840" w:rsidRDefault="001F0840" w:rsidP="001F0840">
      <w:pPr>
        <w:pStyle w:val="BodyText"/>
      </w:pPr>
      <w:r>
        <w:t xml:space="preserve">Even though these broad trends accord with the broad traits of structural change over the 2000s, the impact of the GFC is also evident across most sectors, with a general rise in vacancy numbers between </w:t>
      </w:r>
      <w:r w:rsidRPr="00D177A4">
        <w:t>2009</w:t>
      </w:r>
      <w:r>
        <w:t xml:space="preserve"> and </w:t>
      </w:r>
      <w:r w:rsidRPr="00D177A4">
        <w:t>2012</w:t>
      </w:r>
      <w:r>
        <w:t>.</w:t>
      </w:r>
    </w:p>
    <w:p w:rsidR="001F0840" w:rsidRPr="004A7B04" w:rsidRDefault="001F0840" w:rsidP="001F0840">
      <w:pPr>
        <w:pStyle w:val="BodyText"/>
      </w:pPr>
      <w:r>
        <w:t>Although the data for the Agriculture and M</w:t>
      </w:r>
      <w:r w:rsidRPr="004A7B04">
        <w:t>ining industries are not presented (</w:t>
      </w:r>
      <w:r>
        <w:t>due to small sample counts and high standard errors</w:t>
      </w:r>
      <w:r w:rsidRPr="004A7B04">
        <w:t>)</w:t>
      </w:r>
      <w:r>
        <w:t>, indicative estimates for A</w:t>
      </w:r>
      <w:r w:rsidRPr="004A7B04">
        <w:t xml:space="preserve">griculture suggest that redundancy rates were highest between 2003 and 2007, </w:t>
      </w:r>
      <w:r>
        <w:t>coinciding</w:t>
      </w:r>
      <w:r w:rsidRPr="004A7B04">
        <w:t xml:space="preserve"> with the drought </w:t>
      </w:r>
      <w:r>
        <w:t xml:space="preserve">that </w:t>
      </w:r>
      <w:r w:rsidRPr="004A7B04">
        <w:t xml:space="preserve">affected much of Australia’s rural areas. This demonstrates how workers’ involuntary </w:t>
      </w:r>
      <w:r>
        <w:t>departures from</w:t>
      </w:r>
      <w:r w:rsidRPr="004A7B04">
        <w:t xml:space="preserve"> a sector can be </w:t>
      </w:r>
      <w:r>
        <w:t>triggered</w:t>
      </w:r>
      <w:r w:rsidRPr="004A7B04">
        <w:t xml:space="preserve"> by external shocks to the economy</w:t>
      </w:r>
      <w:r>
        <w:t>,</w:t>
      </w:r>
      <w:r w:rsidRPr="004A7B04">
        <w:t xml:space="preserve"> such as natural disasters. </w:t>
      </w:r>
      <w:r>
        <w:t>For</w:t>
      </w:r>
      <w:r w:rsidRPr="004A7B04">
        <w:t xml:space="preserve"> </w:t>
      </w:r>
      <w:r>
        <w:t>M</w:t>
      </w:r>
      <w:r w:rsidRPr="004A7B04">
        <w:t>ining, in</w:t>
      </w:r>
      <w:r>
        <w:t>dicative estimates suggest that</w:t>
      </w:r>
      <w:r w:rsidRPr="004A7B04">
        <w:t>, unsurprisingly, redundanc</w:t>
      </w:r>
      <w:r>
        <w:t xml:space="preserve">y rates </w:t>
      </w:r>
      <w:r w:rsidRPr="004A7B04">
        <w:t xml:space="preserve">dropped to their lowest during the </w:t>
      </w:r>
      <w:r>
        <w:t>resources</w:t>
      </w:r>
      <w:r w:rsidRPr="004A7B04">
        <w:t xml:space="preserve"> boom</w:t>
      </w:r>
      <w:r>
        <w:t>.</w:t>
      </w:r>
    </w:p>
    <w:p w:rsidR="00310F5A" w:rsidRPr="00310F5A" w:rsidRDefault="00310F5A" w:rsidP="00310F5A">
      <w:pPr>
        <w:pStyle w:val="BodyText"/>
      </w:pPr>
      <w:r>
        <w:t>Turning to job redundancies in each state,</w:t>
      </w:r>
      <w:r w:rsidRPr="004A7B04">
        <w:t xml:space="preserve"> </w:t>
      </w:r>
      <w:r>
        <w:t xml:space="preserve">the </w:t>
      </w:r>
      <w:r w:rsidRPr="004A7B04">
        <w:t>effects</w:t>
      </w:r>
      <w:r>
        <w:t xml:space="preserve"> of the boom are evident,</w:t>
      </w:r>
      <w:r w:rsidRPr="004A7B04">
        <w:t xml:space="preserve"> </w:t>
      </w:r>
      <w:r>
        <w:t xml:space="preserve">with </w:t>
      </w:r>
      <w:r w:rsidRPr="004A7B04">
        <w:t xml:space="preserve">Western Australia generally </w:t>
      </w:r>
      <w:r>
        <w:t>having</w:t>
      </w:r>
      <w:r w:rsidRPr="004A7B04">
        <w:t xml:space="preserve"> the lowest redundancy rates</w:t>
      </w:r>
      <w:r w:rsidRPr="002C0C2C">
        <w:t xml:space="preserve"> </w:t>
      </w:r>
      <w:r>
        <w:t>(o</w:t>
      </w:r>
      <w:r w:rsidRPr="004A7B04">
        <w:t>ut o</w:t>
      </w:r>
      <w:r>
        <w:t>f all the states under analysis)</w:t>
      </w:r>
      <w:r w:rsidRPr="004A7B04">
        <w:t xml:space="preserve"> </w:t>
      </w:r>
      <w:r>
        <w:t>during the early and mid</w:t>
      </w:r>
      <w:r>
        <w:noBreakHyphen/>
        <w:t>2000s (figure 5.12)</w:t>
      </w:r>
      <w:r w:rsidRPr="004A7B04">
        <w:t xml:space="preserve">. However, the Western </w:t>
      </w:r>
      <w:r w:rsidRPr="004A7B04">
        <w:lastRenderedPageBreak/>
        <w:t xml:space="preserve">Australian job market </w:t>
      </w:r>
      <w:r>
        <w:t>still appeared</w:t>
      </w:r>
      <w:r w:rsidRPr="004A7B04">
        <w:t xml:space="preserve"> </w:t>
      </w:r>
      <w:r>
        <w:t>volatile</w:t>
      </w:r>
      <w:r w:rsidRPr="004A7B04">
        <w:t xml:space="preserve">, </w:t>
      </w:r>
      <w:r>
        <w:t>with many of these workers later losing their jobs as the resources boom temporarily subsided and the GFC took hold.</w:t>
      </w:r>
    </w:p>
    <w:p w:rsidR="004A7B04" w:rsidRDefault="004A7B04" w:rsidP="00A81A67">
      <w:pPr>
        <w:pStyle w:val="FigureTitle"/>
        <w:rPr>
          <w:position w:val="6"/>
          <w:sz w:val="18"/>
        </w:rPr>
      </w:pPr>
      <w:r w:rsidRPr="00A81A67">
        <w:rPr>
          <w:b w:val="0"/>
        </w:rPr>
        <w:t xml:space="preserve">Figure </w:t>
      </w:r>
      <w:bookmarkStart w:id="46" w:name="OLE_LINK4"/>
      <w:r w:rsidR="003753D7">
        <w:rPr>
          <w:b w:val="0"/>
        </w:rPr>
        <w:t>5.</w:t>
      </w:r>
      <w:r w:rsidR="00FB66BF">
        <w:rPr>
          <w:b w:val="0"/>
          <w:noProof/>
        </w:rPr>
        <w:t>12</w:t>
      </w:r>
      <w:bookmarkEnd w:id="46"/>
      <w:r w:rsidRPr="004A7B04">
        <w:tab/>
        <w:t xml:space="preserve">Share of workers </w:t>
      </w:r>
      <w:r w:rsidR="00B15BC2">
        <w:t xml:space="preserve">in each state </w:t>
      </w:r>
      <w:r w:rsidRPr="004A7B04">
        <w:t>made redundant</w:t>
      </w:r>
      <w:r w:rsidR="00F73FC2">
        <w:t xml:space="preserve"> or fired</w:t>
      </w:r>
      <w:r w:rsidR="00B15BC2">
        <w:t>,</w:t>
      </w:r>
      <w:r w:rsidR="00B15BC2">
        <w:br/>
      </w:r>
      <w:r w:rsidR="00B15BC2" w:rsidRPr="004A7B04">
        <w:t>2001</w:t>
      </w:r>
      <w:r w:rsidR="00C5381B">
        <w:t xml:space="preserve"> to </w:t>
      </w:r>
      <w:r w:rsidR="00B15BC2" w:rsidRPr="004A7B04">
        <w:t>2010</w:t>
      </w:r>
      <w:r w:rsidR="00B15BC2" w:rsidRPr="004A7B04">
        <w:rPr>
          <w:position w:val="6"/>
          <w:sz w:val="18"/>
        </w:rPr>
        <w:t>a</w:t>
      </w:r>
      <w:r w:rsidR="00263BCB">
        <w:rPr>
          <w:position w:val="6"/>
          <w:sz w:val="18"/>
        </w:rPr>
        <w:t>, b, c, d</w:t>
      </w:r>
    </w:p>
    <w:p w:rsidR="00A81A67" w:rsidRPr="00A81A67" w:rsidRDefault="003B088B" w:rsidP="00A81A67">
      <w:pPr>
        <w:pStyle w:val="Subtitle"/>
      </w:pPr>
      <w:r>
        <w:t xml:space="preserve">Percentage of workers </w:t>
      </w:r>
      <w:r w:rsidR="00263BCB">
        <w:t>, as a share of all workers</w:t>
      </w:r>
      <w:r w:rsidR="00F73FC2">
        <w:t xml:space="preserve"> in each state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F73FC2">
        <w:tc>
          <w:tcPr>
            <w:tcW w:w="8777" w:type="dxa"/>
          </w:tcPr>
          <w:p w:rsidR="004A7B04" w:rsidRPr="004A7B04" w:rsidRDefault="00F73FC2" w:rsidP="00A81A67">
            <w:pPr>
              <w:keepNext/>
              <w:spacing w:before="120" w:after="120" w:line="240" w:lineRule="atLeast"/>
              <w:jc w:val="center"/>
              <w:rPr>
                <w:szCs w:val="20"/>
              </w:rPr>
            </w:pPr>
            <w:r>
              <w:rPr>
                <w:noProof/>
              </w:rPr>
              <w:drawing>
                <wp:inline distT="0" distB="0" distL="0" distR="0" wp14:anchorId="3267ACA6" wp14:editId="4E573CF6">
                  <wp:extent cx="5452534" cy="2159000"/>
                  <wp:effectExtent l="0" t="0" r="0" b="0"/>
                  <wp:docPr id="14" name="Chart 14" descr="This figure shows the share of workers within each state who were made redundant or fired, from 200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012E16" w:rsidRPr="004A7B04" w:rsidRDefault="00012E16" w:rsidP="00012E16">
      <w:pPr>
        <w:pStyle w:val="Note"/>
      </w:pPr>
      <w:r w:rsidRPr="002A25B2">
        <w:rPr>
          <w:rStyle w:val="NoteLabel"/>
        </w:rPr>
        <w:t>a</w:t>
      </w:r>
      <w:r w:rsidRPr="004A7B04">
        <w:t xml:space="preserve"> Estimates are averaged values for </w:t>
      </w:r>
      <w:r>
        <w:t>three</w:t>
      </w:r>
      <w:r w:rsidRPr="004A7B04">
        <w:t xml:space="preserve"> pairs of consecutive years, </w:t>
      </w:r>
      <w:r>
        <w:t>for example, ‘average 2001–2002 to 2003–</w:t>
      </w:r>
      <w:r w:rsidRPr="004A7B04">
        <w:t xml:space="preserve">2004’ refers to workers who were made redundant </w:t>
      </w:r>
      <w:r>
        <w:t xml:space="preserve">or fired </w:t>
      </w:r>
      <w:r w:rsidRPr="004A7B04">
        <w:t xml:space="preserve">between 2001 and 2002, between 2002 and 2003, and/or between 2003 and 2004. </w:t>
      </w:r>
      <w:r w:rsidR="00E71205">
        <w:t xml:space="preserve"> </w:t>
      </w:r>
      <w:r>
        <w:rPr>
          <w:rStyle w:val="NoteLabel"/>
        </w:rPr>
        <w:t>b</w:t>
      </w:r>
      <w:r w:rsidRPr="004A7B04">
        <w:t xml:space="preserve"> Tasmania, Northern Territory and Australian Capital Territory are excluded due to low sample count and high standard errors associated with these estimates.</w:t>
      </w:r>
      <w:r w:rsidR="00E71205">
        <w:t xml:space="preserve"> </w:t>
      </w:r>
      <w:r w:rsidRPr="004A7B04">
        <w:t xml:space="preserve"> </w:t>
      </w:r>
      <w:r>
        <w:rPr>
          <w:rStyle w:val="NoteLabel"/>
        </w:rPr>
        <w:t>c</w:t>
      </w:r>
      <w:r w:rsidRPr="004A7B04">
        <w:t xml:space="preserve"> Includes workers of all industries (including industries excluded from figure</w:t>
      </w:r>
      <w:r>
        <w:t> </w:t>
      </w:r>
      <w:r w:rsidRPr="004A7B04">
        <w:t>5.1</w:t>
      </w:r>
      <w:r>
        <w:t>1</w:t>
      </w:r>
      <w:r w:rsidRPr="004A7B04">
        <w:t xml:space="preserve">). </w:t>
      </w:r>
      <w:r w:rsidR="00E71205">
        <w:t xml:space="preserve"> </w:t>
      </w:r>
      <w:r>
        <w:rPr>
          <w:rStyle w:val="NoteLabel"/>
        </w:rPr>
        <w:t>d </w:t>
      </w:r>
      <w:r>
        <w:t>Estimates refer to the working</w:t>
      </w:r>
      <w:r>
        <w:noBreakHyphen/>
        <w:t>age population (15–64 years) and are population</w:t>
      </w:r>
      <w:r>
        <w:noBreakHyphen/>
        <w:t>weighted.</w:t>
      </w:r>
    </w:p>
    <w:p w:rsidR="004A7B04" w:rsidRPr="004A7B04" w:rsidRDefault="004A7B04" w:rsidP="002A25B2">
      <w:pPr>
        <w:pStyle w:val="Source"/>
      </w:pPr>
      <w:r w:rsidRPr="004A7B04">
        <w:rPr>
          <w:i/>
        </w:rPr>
        <w:t>Source</w:t>
      </w:r>
      <w:r w:rsidRPr="00FD16FE">
        <w:t>:</w:t>
      </w:r>
      <w:r w:rsidRPr="004A7B04">
        <w:rPr>
          <w:i/>
        </w:rPr>
        <w:t xml:space="preserve"> </w:t>
      </w:r>
      <w:r w:rsidR="00100138">
        <w:t>Productivity Commission</w:t>
      </w:r>
      <w:r w:rsidRPr="004A7B04">
        <w:t xml:space="preserve"> </w:t>
      </w:r>
      <w:r w:rsidR="009F4456">
        <w:t>estimates</w:t>
      </w:r>
      <w:r w:rsidRPr="004A7B04">
        <w:t xml:space="preserve"> using HILDA Survey 2001–2010 Unconfidentialised Release 10.1.</w:t>
      </w:r>
    </w:p>
    <w:p w:rsidR="004A7B04" w:rsidRPr="004A7B04" w:rsidRDefault="00D27C43" w:rsidP="00034559">
      <w:pPr>
        <w:pStyle w:val="BodyText"/>
      </w:pPr>
      <w:r>
        <w:t>Figure</w:t>
      </w:r>
      <w:r w:rsidR="00AC71FA">
        <w:t> </w:t>
      </w:r>
      <w:r>
        <w:t>5.13 profiles</w:t>
      </w:r>
      <w:r w:rsidR="002C0C2C">
        <w:t xml:space="preserve"> people</w:t>
      </w:r>
      <w:r w:rsidR="002C0C2C" w:rsidRPr="004A7B04">
        <w:t xml:space="preserve"> </w:t>
      </w:r>
      <w:r w:rsidR="00E64325">
        <w:t xml:space="preserve">no longer in </w:t>
      </w:r>
      <w:r w:rsidR="002C0C2C">
        <w:t>the</w:t>
      </w:r>
      <w:r w:rsidR="002C0C2C" w:rsidRPr="004A7B04">
        <w:t xml:space="preserve"> </w:t>
      </w:r>
      <w:r>
        <w:t>workforce</w:t>
      </w:r>
      <w:r w:rsidR="00FD16FE">
        <w:t xml:space="preserve"> </w:t>
      </w:r>
      <w:r w:rsidR="009561FB">
        <w:t>but</w:t>
      </w:r>
      <w:r w:rsidR="009561FB" w:rsidRPr="004A7B04">
        <w:t xml:space="preserve"> </w:t>
      </w:r>
      <w:r w:rsidR="00C5381B">
        <w:t xml:space="preserve">who </w:t>
      </w:r>
      <w:r w:rsidR="001E1EF5">
        <w:t>were</w:t>
      </w:r>
      <w:r w:rsidR="002C0C2C" w:rsidRPr="004A7B04">
        <w:t xml:space="preserve"> </w:t>
      </w:r>
      <w:r w:rsidR="001E1EF5">
        <w:t>looking</w:t>
      </w:r>
      <w:r w:rsidR="002C0C2C" w:rsidRPr="004A7B04">
        <w:t xml:space="preserve"> </w:t>
      </w:r>
      <w:r w:rsidR="001E1EF5">
        <w:t>for work in 2010</w:t>
      </w:r>
      <w:r w:rsidR="00FD16FE">
        <w:noBreakHyphen/>
      </w:r>
      <w:r w:rsidR="001E1EF5">
        <w:t>11,</w:t>
      </w:r>
      <w:r w:rsidR="002C0C2C" w:rsidRPr="004A7B04">
        <w:t xml:space="preserve"> </w:t>
      </w:r>
      <w:r w:rsidR="001E1EF5">
        <w:t>according to their</w:t>
      </w:r>
      <w:r w:rsidR="004A7B04" w:rsidRPr="004A7B04">
        <w:t xml:space="preserve"> previous sector and occupation of</w:t>
      </w:r>
      <w:r w:rsidR="001E1EF5">
        <w:t xml:space="preserve"> employment</w:t>
      </w:r>
      <w:r w:rsidR="002A25B2">
        <w:t>.</w:t>
      </w:r>
      <w:r w:rsidR="00DE7441">
        <w:t xml:space="preserve"> </w:t>
      </w:r>
      <w:r w:rsidR="004A7B04" w:rsidRPr="004A7B04">
        <w:t xml:space="preserve">In terms of </w:t>
      </w:r>
      <w:r w:rsidR="00DE7441">
        <w:t>sector</w:t>
      </w:r>
      <w:r w:rsidR="004A7B04" w:rsidRPr="004A7B04">
        <w:t xml:space="preserve">, </w:t>
      </w:r>
      <w:r w:rsidR="001E1EF5">
        <w:t>most</w:t>
      </w:r>
      <w:r w:rsidR="004A7B04" w:rsidRPr="004A7B04">
        <w:t xml:space="preserve"> were last employed in </w:t>
      </w:r>
      <w:r w:rsidR="001E1EF5">
        <w:t xml:space="preserve">either </w:t>
      </w:r>
      <w:r w:rsidR="000F55A9">
        <w:t>distribution services (mainly R</w:t>
      </w:r>
      <w:r w:rsidR="004A7B04" w:rsidRPr="004A7B04">
        <w:t>etail trade) or social services (</w:t>
      </w:r>
      <w:r w:rsidR="000F55A9">
        <w:t>mainly H</w:t>
      </w:r>
      <w:r w:rsidR="004A7B04" w:rsidRPr="004A7B04">
        <w:t>ealth care and social assistance). In terms of occupation, the majority w</w:t>
      </w:r>
      <w:r w:rsidR="00177C99">
        <w:t>ere last employed as C</w:t>
      </w:r>
      <w:r w:rsidR="004A7B04" w:rsidRPr="004A7B04">
        <w:t>ommunity and personal service</w:t>
      </w:r>
      <w:r w:rsidR="00177C99">
        <w:t xml:space="preserve"> workers</w:t>
      </w:r>
      <w:r w:rsidR="004A7B04" w:rsidRPr="004A7B04">
        <w:t xml:space="preserve">, </w:t>
      </w:r>
      <w:r w:rsidR="00DE7441">
        <w:t>followed by Machinery operators, drivers or labourers</w:t>
      </w:r>
      <w:r w:rsidR="00034559">
        <w:t>.</w:t>
      </w:r>
    </w:p>
    <w:p w:rsidR="004A7B04" w:rsidRPr="004A7B04" w:rsidRDefault="004A7B04" w:rsidP="002A25B2">
      <w:pPr>
        <w:pStyle w:val="FigureTitle"/>
        <w:rPr>
          <w:position w:val="6"/>
          <w:sz w:val="18"/>
        </w:rPr>
      </w:pPr>
      <w:r w:rsidRPr="002A25B2">
        <w:rPr>
          <w:b w:val="0"/>
        </w:rPr>
        <w:lastRenderedPageBreak/>
        <w:t xml:space="preserve">Figure </w:t>
      </w:r>
      <w:bookmarkStart w:id="47" w:name="OLE_LINK9"/>
      <w:r w:rsidR="003753D7">
        <w:rPr>
          <w:b w:val="0"/>
        </w:rPr>
        <w:t>5.</w:t>
      </w:r>
      <w:r w:rsidR="00FB66BF">
        <w:rPr>
          <w:b w:val="0"/>
          <w:noProof/>
        </w:rPr>
        <w:t>13</w:t>
      </w:r>
      <w:bookmarkEnd w:id="47"/>
      <w:r w:rsidRPr="004A7B04">
        <w:tab/>
        <w:t xml:space="preserve">Persons wanting paid work, by previous sector </w:t>
      </w:r>
      <w:r w:rsidR="005F71A7">
        <w:t>or</w:t>
      </w:r>
      <w:r w:rsidRPr="004A7B04">
        <w:t xml:space="preserve"> occupation</w:t>
      </w:r>
      <w:r w:rsidR="00647F78">
        <w:t>,</w:t>
      </w:r>
      <w:r w:rsidRPr="004A7B04">
        <w:t xml:space="preserve"> 2010</w:t>
      </w:r>
      <w:r w:rsidR="00FD16FE">
        <w:noBreakHyphen/>
      </w:r>
      <w:r w:rsidRPr="004A7B04">
        <w:t>11</w:t>
      </w:r>
      <w:r w:rsidRPr="004A7B04">
        <w:rPr>
          <w:position w:val="6"/>
          <w:sz w:val="18"/>
        </w:rPr>
        <w:t>a</w:t>
      </w:r>
      <w:r w:rsidR="00302323">
        <w:rPr>
          <w:position w:val="6"/>
          <w:sz w:val="18"/>
        </w:rPr>
        <w:t>, b</w:t>
      </w:r>
    </w:p>
    <w:p w:rsidR="004A7B04" w:rsidRPr="004A7B04" w:rsidRDefault="004A7B04" w:rsidP="002A25B2">
      <w:pPr>
        <w:pStyle w:val="Subtitle"/>
      </w:pPr>
      <w:r w:rsidRPr="004A7B04">
        <w:t xml:space="preserve">Per cent of </w:t>
      </w:r>
      <w:r w:rsidR="000F55A9">
        <w:t>all jobseekers</w:t>
      </w:r>
      <w:r w:rsidR="00012E16">
        <w:t>, as a share of all jobseekers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A03993">
        <w:tc>
          <w:tcPr>
            <w:tcW w:w="8777" w:type="dxa"/>
          </w:tcPr>
          <w:p w:rsidR="004A7B04" w:rsidRPr="004A7B04" w:rsidRDefault="004A7B04" w:rsidP="002A25B2">
            <w:pPr>
              <w:keepNext/>
              <w:spacing w:before="120" w:after="120" w:line="240" w:lineRule="atLeast"/>
              <w:jc w:val="center"/>
              <w:rPr>
                <w:szCs w:val="20"/>
              </w:rPr>
            </w:pPr>
            <w:r w:rsidRPr="004A7B04">
              <w:rPr>
                <w:noProof/>
                <w:szCs w:val="20"/>
              </w:rPr>
              <w:drawing>
                <wp:inline distT="0" distB="0" distL="0" distR="0" wp14:anchorId="03CA8F59" wp14:editId="0CEA04FA">
                  <wp:extent cx="5435600" cy="1981200"/>
                  <wp:effectExtent l="0" t="0" r="0" b="0"/>
                  <wp:docPr id="340" name="Chart 340" descr="The top graph of this figure shows the share of workers who wanted paid work in 2010-11, disaggregated by the sector that they were previously employed in. The shares across all sectors sum to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A7B04" w:rsidRPr="004A7B04" w:rsidRDefault="004A7B04" w:rsidP="002A25B2">
            <w:pPr>
              <w:keepNext/>
              <w:tabs>
                <w:tab w:val="left" w:pos="5461"/>
              </w:tabs>
              <w:spacing w:before="120" w:after="120" w:line="240" w:lineRule="atLeast"/>
              <w:jc w:val="center"/>
              <w:rPr>
                <w:szCs w:val="20"/>
              </w:rPr>
            </w:pPr>
            <w:r w:rsidRPr="004A7B04">
              <w:rPr>
                <w:noProof/>
                <w:szCs w:val="20"/>
              </w:rPr>
              <w:drawing>
                <wp:inline distT="0" distB="0" distL="0" distR="0" wp14:anchorId="08CDB4C7" wp14:editId="569CF47B">
                  <wp:extent cx="5418666" cy="2108200"/>
                  <wp:effectExtent l="0" t="0" r="0" b="6350"/>
                  <wp:docPr id="341" name="Chart 341" descr="The lower graph of this figure shows the share of workers who wanted paid work  in 2010-11, disaggregated according to the occupation that they were previously employed in. All the occupation categories sum to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4A7B04" w:rsidRPr="004A7B04" w:rsidRDefault="004A7B04" w:rsidP="002A25B2">
      <w:pPr>
        <w:pStyle w:val="Note"/>
      </w:pPr>
      <w:r w:rsidRPr="002A25B2">
        <w:rPr>
          <w:rStyle w:val="NoteLabel"/>
        </w:rPr>
        <w:t>a</w:t>
      </w:r>
      <w:r w:rsidRPr="004A7B04">
        <w:rPr>
          <w:rFonts w:cs="Arial"/>
        </w:rPr>
        <w:t> </w:t>
      </w:r>
      <w:r w:rsidRPr="004A7B04">
        <w:t>Data collected during 2010</w:t>
      </w:r>
      <w:r w:rsidR="00FD16FE">
        <w:noBreakHyphen/>
      </w:r>
      <w:r w:rsidRPr="004A7B04">
        <w:t>11 financial year. Includes unemployed persons who were actively looking for work (classified as ‘unemployed’) and persons who wanted paid work even though they were not actively looking (classified as ‘not in the labour force’).</w:t>
      </w:r>
      <w:r w:rsidR="00EF34A4">
        <w:t xml:space="preserve"> Share across all sectors, and across all occupations, sum to 100.</w:t>
      </w:r>
      <w:r w:rsidR="00302323">
        <w:t xml:space="preserve">  </w:t>
      </w:r>
      <w:r w:rsidR="00302323">
        <w:rPr>
          <w:rStyle w:val="NoteLabel"/>
        </w:rPr>
        <w:t>b</w:t>
      </w:r>
      <w:r w:rsidR="00302323" w:rsidRPr="004A7B04">
        <w:t xml:space="preserve"> </w:t>
      </w:r>
      <w:r w:rsidR="00302323">
        <w:t>Sectors are defined in appendix A.</w:t>
      </w:r>
    </w:p>
    <w:p w:rsidR="004A7B04" w:rsidRPr="004A7B04" w:rsidRDefault="004A7B04" w:rsidP="002A25B2">
      <w:pPr>
        <w:pStyle w:val="Source"/>
      </w:pPr>
      <w:r w:rsidRPr="002A25B2">
        <w:rPr>
          <w:i/>
        </w:rPr>
        <w:t>Source</w:t>
      </w:r>
      <w:r w:rsidRPr="004A7B04">
        <w:t>: ABS (</w:t>
      </w:r>
      <w:r w:rsidRPr="002A25B2">
        <w:rPr>
          <w:i/>
        </w:rPr>
        <w:t>Barriers and Incentives to Labour Force Participation, Australia</w:t>
      </w:r>
      <w:r w:rsidRPr="004A7B04">
        <w:t>, Cat. no. 6239.0).</w:t>
      </w:r>
    </w:p>
    <w:p w:rsidR="004A7B04" w:rsidRDefault="001E1EF5" w:rsidP="002A25B2">
      <w:pPr>
        <w:pStyle w:val="BodyText"/>
      </w:pPr>
      <w:r>
        <w:t xml:space="preserve">The </w:t>
      </w:r>
      <w:r w:rsidR="00916E17">
        <w:t>shares in figure</w:t>
      </w:r>
      <w:r w:rsidR="00AC71FA">
        <w:t> </w:t>
      </w:r>
      <w:r w:rsidR="00916E17">
        <w:t>5.13</w:t>
      </w:r>
      <w:r>
        <w:t xml:space="preserve"> partly reflect the relative size of each sector and occupational category within the total workforce. </w:t>
      </w:r>
      <w:r w:rsidR="004A7B04" w:rsidRPr="004A7B04">
        <w:t xml:space="preserve">When scaled according to each </w:t>
      </w:r>
      <w:r w:rsidR="009A5063">
        <w:t>sector’s</w:t>
      </w:r>
      <w:r w:rsidR="004A7B04" w:rsidRPr="004A7B04">
        <w:t xml:space="preserve"> or occupation’s respective share </w:t>
      </w:r>
      <w:r w:rsidR="00916E17">
        <w:t>of total employment (figure</w:t>
      </w:r>
      <w:r w:rsidR="00AC71FA">
        <w:t> </w:t>
      </w:r>
      <w:r w:rsidR="00916E17">
        <w:t>5.14</w:t>
      </w:r>
      <w:r w:rsidR="004A7B04" w:rsidRPr="004A7B04">
        <w:t xml:space="preserve">), </w:t>
      </w:r>
      <w:r>
        <w:t>those</w:t>
      </w:r>
      <w:r w:rsidR="004A7B04" w:rsidRPr="004A7B04">
        <w:t xml:space="preserve"> who were </w:t>
      </w:r>
      <w:r w:rsidR="009A5063">
        <w:t>previously</w:t>
      </w:r>
      <w:r w:rsidR="004A7B04" w:rsidRPr="004A7B04">
        <w:t xml:space="preserve"> employed in manufacturing</w:t>
      </w:r>
      <w:r w:rsidR="009A5063">
        <w:t>, distribution</w:t>
      </w:r>
      <w:r w:rsidR="004A7B04" w:rsidRPr="004A7B04">
        <w:t xml:space="preserve"> </w:t>
      </w:r>
      <w:r w:rsidR="009A5063">
        <w:t xml:space="preserve">services </w:t>
      </w:r>
      <w:r w:rsidR="004A7B04" w:rsidRPr="004A7B04">
        <w:t>or pe</w:t>
      </w:r>
      <w:r w:rsidR="009B21E8">
        <w:t>rsonal servic</w:t>
      </w:r>
      <w:r w:rsidR="00AD6252">
        <w:t>es (</w:t>
      </w:r>
      <w:r w:rsidR="009A5063">
        <w:t xml:space="preserve">in particular, </w:t>
      </w:r>
      <w:r w:rsidR="009B21E8">
        <w:t>Accommodation and food services</w:t>
      </w:r>
      <w:r w:rsidR="009A5063">
        <w:t xml:space="preserve"> and Retail trade</w:t>
      </w:r>
      <w:r w:rsidR="009B21E8">
        <w:t>)</w:t>
      </w:r>
      <w:r w:rsidR="004A7B04" w:rsidRPr="004A7B04">
        <w:t xml:space="preserve"> or </w:t>
      </w:r>
      <w:r w:rsidR="009A5063">
        <w:t>in</w:t>
      </w:r>
      <w:r w:rsidR="009B21E8">
        <w:t xml:space="preserve"> lower</w:t>
      </w:r>
      <w:r w:rsidR="009B21E8">
        <w:noBreakHyphen/>
      </w:r>
      <w:r w:rsidR="004A7B04" w:rsidRPr="004A7B04">
        <w:t>skilled occupations</w:t>
      </w:r>
      <w:r w:rsidR="009A5063">
        <w:t xml:space="preserve"> (particularly Sales workers and Labourers)</w:t>
      </w:r>
      <w:r w:rsidR="004A7B04" w:rsidRPr="004A7B04">
        <w:t xml:space="preserve"> were over</w:t>
      </w:r>
      <w:r w:rsidR="004A7B04" w:rsidRPr="004A7B04">
        <w:noBreakHyphen/>
        <w:t>represented in</w:t>
      </w:r>
      <w:r w:rsidR="009A5063">
        <w:t xml:space="preserve"> the total pool of jobseekers. </w:t>
      </w:r>
      <w:r>
        <w:t xml:space="preserve">This </w:t>
      </w:r>
      <w:r w:rsidR="004A7B04" w:rsidRPr="004A7B04">
        <w:t xml:space="preserve">reflects some of the </w:t>
      </w:r>
      <w:r w:rsidR="00D27C43">
        <w:t>ongoing</w:t>
      </w:r>
      <w:r w:rsidR="004A7B04" w:rsidRPr="004A7B04">
        <w:t xml:space="preserve"> shifts </w:t>
      </w:r>
      <w:r w:rsidR="009A5063">
        <w:t>associated with</w:t>
      </w:r>
      <w:r w:rsidR="004A7B04" w:rsidRPr="004A7B04">
        <w:t xml:space="preserve"> structural change — </w:t>
      </w:r>
      <w:r w:rsidR="009561FB">
        <w:t>including</w:t>
      </w:r>
      <w:r w:rsidR="009561FB" w:rsidRPr="004A7B04">
        <w:t xml:space="preserve"> </w:t>
      </w:r>
      <w:r w:rsidR="004A7B04" w:rsidRPr="004A7B04">
        <w:t xml:space="preserve">the </w:t>
      </w:r>
      <w:r w:rsidR="009B21E8">
        <w:t xml:space="preserve">sectoral </w:t>
      </w:r>
      <w:r w:rsidR="004A7B04" w:rsidRPr="004A7B04">
        <w:t xml:space="preserve">decline of manufacturing and the </w:t>
      </w:r>
      <w:r w:rsidR="009B21E8">
        <w:t>rising</w:t>
      </w:r>
      <w:r w:rsidR="004A7B04" w:rsidRPr="004A7B04">
        <w:t xml:space="preserve"> skills requirements of </w:t>
      </w:r>
      <w:r w:rsidR="009B21E8">
        <w:t xml:space="preserve">most </w:t>
      </w:r>
      <w:r w:rsidR="004A7B04" w:rsidRPr="004A7B04">
        <w:t>jobs.</w:t>
      </w:r>
      <w:r w:rsidR="009A5063">
        <w:t xml:space="preserve"> </w:t>
      </w:r>
      <w:r w:rsidR="00D27C43">
        <w:t xml:space="preserve">The scaled </w:t>
      </w:r>
      <w:r w:rsidR="00A91AC1">
        <w:t>jobseeker</w:t>
      </w:r>
      <w:r w:rsidR="00D27C43">
        <w:t xml:space="preserve"> figures also reflect</w:t>
      </w:r>
      <w:r w:rsidR="009A5063">
        <w:t xml:space="preserve"> the high degree of </w:t>
      </w:r>
      <w:r w:rsidR="00474E5E">
        <w:t>staff turnover</w:t>
      </w:r>
      <w:r w:rsidR="009A5063">
        <w:t xml:space="preserve"> </w:t>
      </w:r>
      <w:r w:rsidR="00A05EC9">
        <w:t>that is a feature</w:t>
      </w:r>
      <w:r w:rsidR="009A5063">
        <w:t xml:space="preserve"> </w:t>
      </w:r>
      <w:r w:rsidR="00D27C43">
        <w:t>of some industries such as personal services</w:t>
      </w:r>
      <w:r w:rsidR="009A5063">
        <w:t>.</w:t>
      </w:r>
    </w:p>
    <w:p w:rsidR="004A7B04" w:rsidRPr="004A7B04" w:rsidRDefault="004A7B04" w:rsidP="002A25B2">
      <w:pPr>
        <w:pStyle w:val="FigureTitle"/>
        <w:rPr>
          <w:position w:val="6"/>
          <w:sz w:val="18"/>
        </w:rPr>
      </w:pPr>
      <w:r w:rsidRPr="002A25B2">
        <w:rPr>
          <w:b w:val="0"/>
        </w:rPr>
        <w:lastRenderedPageBreak/>
        <w:t xml:space="preserve">Figure </w:t>
      </w:r>
      <w:bookmarkStart w:id="48" w:name="OLE_LINK10"/>
      <w:r w:rsidR="003753D7">
        <w:rPr>
          <w:b w:val="0"/>
        </w:rPr>
        <w:t>5.</w:t>
      </w:r>
      <w:r w:rsidR="00FB66BF">
        <w:rPr>
          <w:b w:val="0"/>
          <w:noProof/>
        </w:rPr>
        <w:t>14</w:t>
      </w:r>
      <w:bookmarkEnd w:id="48"/>
      <w:r w:rsidRPr="004A7B04">
        <w:tab/>
        <w:t xml:space="preserve">Persons wanting paid work, by previous sector </w:t>
      </w:r>
      <w:r w:rsidR="005F71A7">
        <w:t>or</w:t>
      </w:r>
      <w:r w:rsidR="0029019A">
        <w:t xml:space="preserve"> occupation, </w:t>
      </w:r>
      <w:r w:rsidR="00012E16">
        <w:t>relative to</w:t>
      </w:r>
      <w:r w:rsidR="0029019A">
        <w:t xml:space="preserve"> sector or </w:t>
      </w:r>
      <w:r w:rsidRPr="004A7B04">
        <w:t>occupation size, 2010</w:t>
      </w:r>
      <w:r w:rsidR="00FD16FE">
        <w:noBreakHyphen/>
      </w:r>
      <w:r w:rsidRPr="004A7B04">
        <w:t>11</w:t>
      </w:r>
      <w:r w:rsidRPr="004A7B04">
        <w:rPr>
          <w:position w:val="6"/>
          <w:sz w:val="18"/>
        </w:rPr>
        <w:t>a</w:t>
      </w:r>
      <w:r w:rsidR="00012E16">
        <w:rPr>
          <w:position w:val="6"/>
          <w:sz w:val="18"/>
        </w:rPr>
        <w:t>, b</w:t>
      </w:r>
      <w:r w:rsidR="00302323">
        <w:rPr>
          <w:position w:val="6"/>
          <w:sz w:val="18"/>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A7B04" w:rsidRPr="004A7B04" w:rsidTr="00A03993">
        <w:tc>
          <w:tcPr>
            <w:tcW w:w="8777" w:type="dxa"/>
          </w:tcPr>
          <w:p w:rsidR="004A7B04" w:rsidRPr="004A7B04" w:rsidRDefault="004A7B04" w:rsidP="002A25B2">
            <w:pPr>
              <w:keepNext/>
              <w:spacing w:before="120" w:after="120" w:line="240" w:lineRule="atLeast"/>
              <w:jc w:val="center"/>
              <w:rPr>
                <w:szCs w:val="20"/>
              </w:rPr>
            </w:pPr>
            <w:r w:rsidRPr="004A7B04">
              <w:rPr>
                <w:noProof/>
                <w:szCs w:val="20"/>
              </w:rPr>
              <w:drawing>
                <wp:inline distT="0" distB="0" distL="0" distR="0" wp14:anchorId="5E5C09BE" wp14:editId="0BEEAFEB">
                  <wp:extent cx="5452533" cy="2150533"/>
                  <wp:effectExtent l="0" t="0" r="0" b="2540"/>
                  <wp:docPr id="342" name="Chart 342" descr="The top graph of this figure shows the share of workers who wanted paid work in 2010-11, disaggregated by the sector that they were previously employed in, and scaled according to each sector's relative size."/>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4A7B04" w:rsidRPr="004A7B04" w:rsidRDefault="004A7B04" w:rsidP="002A25B2">
            <w:pPr>
              <w:keepNext/>
              <w:spacing w:before="120" w:after="120" w:line="240" w:lineRule="atLeast"/>
              <w:jc w:val="center"/>
              <w:rPr>
                <w:szCs w:val="20"/>
              </w:rPr>
            </w:pPr>
            <w:r w:rsidRPr="004A7B04">
              <w:rPr>
                <w:noProof/>
                <w:szCs w:val="20"/>
              </w:rPr>
              <w:drawing>
                <wp:inline distT="0" distB="0" distL="0" distR="0" wp14:anchorId="5EDF8171" wp14:editId="3F75B94C">
                  <wp:extent cx="5452534" cy="2438400"/>
                  <wp:effectExtent l="0" t="0" r="0" b="0"/>
                  <wp:docPr id="343" name="Chart 343" descr="The lower graph of this figure shows the share of workers who wanted paid work in 2010-11, disaggregated by the occupation that they were previously employed in, and scaled according to each occupational category's relative size."/>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012E16" w:rsidRPr="004A7B04" w:rsidRDefault="00012E16" w:rsidP="00012E16">
      <w:pPr>
        <w:pStyle w:val="Note"/>
      </w:pPr>
      <w:r w:rsidRPr="002A25B2">
        <w:rPr>
          <w:rStyle w:val="NoteLabel"/>
        </w:rPr>
        <w:t>a</w:t>
      </w:r>
      <w:r w:rsidRPr="004A7B04">
        <w:rPr>
          <w:rFonts w:cs="Arial"/>
        </w:rPr>
        <w:t> </w:t>
      </w:r>
      <w:r w:rsidRPr="004A7B04">
        <w:t xml:space="preserve">Data collected during </w:t>
      </w:r>
      <w:r>
        <w:t xml:space="preserve">the </w:t>
      </w:r>
      <w:r w:rsidRPr="004A7B04">
        <w:t>2010</w:t>
      </w:r>
      <w:r>
        <w:noBreakHyphen/>
      </w:r>
      <w:r w:rsidRPr="004A7B04">
        <w:t>11 financial year. Includes unemployed persons who were actively looking for work (classified as ‘unemployed’) and persons who wanted paid work even though they were not actively looking (classified as ‘not in the labour force’).</w:t>
      </w:r>
      <w:r w:rsidR="00E71205" w:rsidRPr="001A6F31">
        <w:t xml:space="preserve">  </w:t>
      </w:r>
      <w:r>
        <w:rPr>
          <w:rStyle w:val="NoteLabel"/>
        </w:rPr>
        <w:t>b</w:t>
      </w:r>
      <w:r w:rsidRPr="004A7B04">
        <w:rPr>
          <w:rFonts w:cs="Arial"/>
        </w:rPr>
        <w:t> </w:t>
      </w:r>
      <w:r>
        <w:t>‘Relative</w:t>
      </w:r>
      <w:r w:rsidRPr="004A7B04">
        <w:t xml:space="preserve"> proportions</w:t>
      </w:r>
      <w:r>
        <w:t>’</w:t>
      </w:r>
      <w:r w:rsidRPr="004A7B04">
        <w:t xml:space="preserve"> represent the number of persons who were ‘unemployed’ or ‘not in the labour force’, acc</w:t>
      </w:r>
      <w:r>
        <w:t xml:space="preserve">ording to their previous sector or </w:t>
      </w:r>
      <w:r w:rsidRPr="004A7B04">
        <w:t>occupa</w:t>
      </w:r>
      <w:r>
        <w:t xml:space="preserve">tion, relative to each sector’s or </w:t>
      </w:r>
      <w:r w:rsidRPr="004A7B04">
        <w:t>occupation’s share of total employment (for August 2010). A ratio greater t</w:t>
      </w:r>
      <w:r>
        <w:t xml:space="preserve">han 1 indicates that the sector or </w:t>
      </w:r>
      <w:r w:rsidRPr="004A7B04">
        <w:t>occupation is over</w:t>
      </w:r>
      <w:r>
        <w:noBreakHyphen/>
      </w:r>
      <w:r w:rsidRPr="004A7B04">
        <w:t>represented among persons who recently left employment and wanted paid work, relative to its workforce size (and vice versa for a ratio less than 1).</w:t>
      </w:r>
      <w:r w:rsidR="00302323">
        <w:t xml:space="preserve">  </w:t>
      </w:r>
      <w:r w:rsidR="00302323">
        <w:rPr>
          <w:rStyle w:val="NoteLabel"/>
        </w:rPr>
        <w:t>c</w:t>
      </w:r>
      <w:r w:rsidR="00302323" w:rsidRPr="004A7B04">
        <w:t xml:space="preserve"> </w:t>
      </w:r>
      <w:r w:rsidR="00302323">
        <w:t>Sectors are defined in appendix A.</w:t>
      </w:r>
    </w:p>
    <w:p w:rsidR="004A7B04" w:rsidRDefault="004A7B04" w:rsidP="002A25B2">
      <w:pPr>
        <w:pStyle w:val="Source"/>
      </w:pPr>
      <w:r w:rsidRPr="002A25B2">
        <w:rPr>
          <w:i/>
        </w:rPr>
        <w:t>Source</w:t>
      </w:r>
      <w:r w:rsidRPr="004A7B04">
        <w:t>: ABS (</w:t>
      </w:r>
      <w:r w:rsidRPr="002A25B2">
        <w:rPr>
          <w:i/>
        </w:rPr>
        <w:t>Barriers and Incentives to Labour Force Participation, Australia</w:t>
      </w:r>
      <w:r w:rsidRPr="004A7B04">
        <w:t>, Cat. no. 6239.0).</w:t>
      </w:r>
    </w:p>
    <w:p w:rsidR="00034559" w:rsidRPr="00034559" w:rsidRDefault="00034559" w:rsidP="00034559">
      <w:pPr>
        <w:pStyle w:val="BodyText"/>
      </w:pPr>
      <w:r>
        <w:t>On the other hand, those previously employed in the mining, utilities and construction sectors, or as Managers, Technicians or Trades workers, were under</w:t>
      </w:r>
      <w:r>
        <w:noBreakHyphen/>
        <w:t xml:space="preserve">represented in the total pool of jobseekers. This is, in part, evidence of the </w:t>
      </w:r>
      <w:r w:rsidR="003304ED">
        <w:t xml:space="preserve">strong </w:t>
      </w:r>
      <w:r>
        <w:t xml:space="preserve">demand for </w:t>
      </w:r>
      <w:r w:rsidR="001C25D2">
        <w:t xml:space="preserve">some categories of </w:t>
      </w:r>
      <w:r>
        <w:t xml:space="preserve">worker due to the </w:t>
      </w:r>
      <w:r w:rsidR="001C25D2">
        <w:t xml:space="preserve">resources </w:t>
      </w:r>
      <w:r>
        <w:t>boom.</w:t>
      </w:r>
    </w:p>
    <w:p w:rsidR="004A7B04" w:rsidRPr="004A7B04" w:rsidRDefault="004A7B04" w:rsidP="002A25B2">
      <w:pPr>
        <w:pStyle w:val="Heading3"/>
      </w:pPr>
      <w:r w:rsidRPr="004A7B04">
        <w:lastRenderedPageBreak/>
        <w:t xml:space="preserve">Wage </w:t>
      </w:r>
      <w:r w:rsidR="00DF7A4B">
        <w:t>differentials</w:t>
      </w:r>
    </w:p>
    <w:p w:rsidR="00E4472D" w:rsidRDefault="00657AFC" w:rsidP="00D651DF">
      <w:pPr>
        <w:pStyle w:val="BodyText"/>
      </w:pPr>
      <w:r>
        <w:t>As</w:t>
      </w:r>
      <w:r w:rsidR="004A7B04" w:rsidRPr="004A7B04">
        <w:t xml:space="preserve"> </w:t>
      </w:r>
      <w:r w:rsidR="001069C1">
        <w:t>discussed in a preceding section, industry (or region</w:t>
      </w:r>
      <w:r w:rsidR="003304ED">
        <w:t>al</w:t>
      </w:r>
      <w:r w:rsidR="001069C1">
        <w:t>)</w:t>
      </w:r>
      <w:r w:rsidR="009561FB" w:rsidRPr="009561FB">
        <w:t xml:space="preserve"> </w:t>
      </w:r>
      <w:r w:rsidR="009561FB">
        <w:t>wage</w:t>
      </w:r>
      <w:r w:rsidR="001069C1">
        <w:t xml:space="preserve"> differentials </w:t>
      </w:r>
      <w:r w:rsidR="008E4C00">
        <w:t xml:space="preserve">— underpinned by </w:t>
      </w:r>
      <w:r w:rsidR="003304ED">
        <w:t xml:space="preserve">decentralised </w:t>
      </w:r>
      <w:r w:rsidR="008E4C00">
        <w:t xml:space="preserve">wage-setting systems — </w:t>
      </w:r>
      <w:r w:rsidR="001069C1">
        <w:t>play an important role in structural adjustment.</w:t>
      </w:r>
      <w:r w:rsidR="0029019A">
        <w:t xml:space="preserve"> </w:t>
      </w:r>
      <w:r w:rsidR="00872CC4">
        <w:t>Along with job vacancies and redundancies, t</w:t>
      </w:r>
      <w:r w:rsidR="001069C1">
        <w:t>hese</w:t>
      </w:r>
      <w:r>
        <w:t xml:space="preserve"> differentials</w:t>
      </w:r>
      <w:r w:rsidR="004A7B04" w:rsidRPr="004A7B04">
        <w:t xml:space="preserve"> signal to workers where they are valued </w:t>
      </w:r>
      <w:r w:rsidR="00A42742">
        <w:t>relatively more (or less)</w:t>
      </w:r>
      <w:r w:rsidR="00502788">
        <w:t xml:space="preserve"> highly</w:t>
      </w:r>
      <w:r w:rsidR="00A42742">
        <w:t xml:space="preserve"> in the labour market.</w:t>
      </w:r>
      <w:r w:rsidR="001268EB">
        <w:t xml:space="preserve"> </w:t>
      </w:r>
      <w:r w:rsidR="00872CC4">
        <w:t xml:space="preserve">Higher relative wages </w:t>
      </w:r>
      <w:r w:rsidR="00661A78">
        <w:t xml:space="preserve">provide </w:t>
      </w:r>
      <w:r w:rsidR="00872CC4">
        <w:t>workers</w:t>
      </w:r>
      <w:r w:rsidR="001069C1">
        <w:t xml:space="preserve"> with </w:t>
      </w:r>
      <w:r w:rsidR="00661A78">
        <w:t xml:space="preserve">an </w:t>
      </w:r>
      <w:r w:rsidR="004A7B04" w:rsidRPr="004A7B04">
        <w:t xml:space="preserve">incentive to </w:t>
      </w:r>
      <w:r w:rsidR="00872CC4">
        <w:t xml:space="preserve">change </w:t>
      </w:r>
      <w:r w:rsidR="001069C1">
        <w:t>jobs and/or locations,</w:t>
      </w:r>
      <w:r w:rsidR="00661A78">
        <w:t xml:space="preserve"> </w:t>
      </w:r>
      <w:r w:rsidR="001268EB">
        <w:t xml:space="preserve">as long as </w:t>
      </w:r>
      <w:r w:rsidR="008E4C00">
        <w:t xml:space="preserve">their </w:t>
      </w:r>
      <w:r w:rsidR="006934F7">
        <w:t xml:space="preserve">consumption </w:t>
      </w:r>
      <w:r w:rsidR="00661A78">
        <w:t xml:space="preserve">costs, such as housing, </w:t>
      </w:r>
      <w:r w:rsidR="004940F7">
        <w:t>would</w:t>
      </w:r>
      <w:r w:rsidR="008E4C00">
        <w:t xml:space="preserve"> not rise more than proportionately with wages</w:t>
      </w:r>
      <w:r w:rsidR="00075966">
        <w:t xml:space="preserve">, following </w:t>
      </w:r>
      <w:r w:rsidR="00757873">
        <w:t>a</w:t>
      </w:r>
      <w:r w:rsidR="00075966">
        <w:t xml:space="preserve"> move</w:t>
      </w:r>
      <w:r w:rsidR="004A7B04" w:rsidRPr="004A7B04">
        <w:t xml:space="preserve"> (Kent, Smith and</w:t>
      </w:r>
      <w:r w:rsidR="00916E17">
        <w:t xml:space="preserve"> Holloway 2005)</w:t>
      </w:r>
      <w:r w:rsidR="004A7B04" w:rsidRPr="004A7B04">
        <w:t>.</w:t>
      </w:r>
      <w:r w:rsidR="00661A78">
        <w:rPr>
          <w:rStyle w:val="FootnoteReference"/>
        </w:rPr>
        <w:footnoteReference w:id="20"/>
      </w:r>
      <w:r w:rsidR="00496BBD">
        <w:t xml:space="preserve"> The incentive effect of higher wages i</w:t>
      </w:r>
      <w:r w:rsidR="00661A78">
        <w:t>s</w:t>
      </w:r>
      <w:r w:rsidR="00496BBD">
        <w:t xml:space="preserve"> evident in f</w:t>
      </w:r>
      <w:r w:rsidR="00363F23">
        <w:t>indings that workers</w:t>
      </w:r>
      <w:r w:rsidR="00E4472D">
        <w:t>:</w:t>
      </w:r>
      <w:r w:rsidR="00363F23">
        <w:t xml:space="preserve"> </w:t>
      </w:r>
    </w:p>
    <w:p w:rsidR="00E4472D" w:rsidRDefault="00363F23" w:rsidP="002E02EC">
      <w:pPr>
        <w:pStyle w:val="ListBullet"/>
      </w:pPr>
      <w:r>
        <w:t>who change</w:t>
      </w:r>
      <w:r w:rsidR="00496BBD">
        <w:t xml:space="preserve"> </w:t>
      </w:r>
      <w:r>
        <w:t xml:space="preserve">their </w:t>
      </w:r>
      <w:r w:rsidR="00496BBD">
        <w:t>job experience a higher gain in wage</w:t>
      </w:r>
      <w:r w:rsidR="00D651DF">
        <w:t xml:space="preserve">s than those who stay in the same job (Wilkins and Warren 2012; </w:t>
      </w:r>
      <w:r w:rsidR="00D651DF" w:rsidRPr="004A7B04">
        <w:t>Wilkins</w:t>
      </w:r>
      <w:r w:rsidR="00A5662C">
        <w:t> et al. </w:t>
      </w:r>
      <w:r w:rsidR="00D651DF">
        <w:t xml:space="preserve">2011) </w:t>
      </w:r>
    </w:p>
    <w:p w:rsidR="004A7B04" w:rsidRPr="004A7B04" w:rsidRDefault="00363F23" w:rsidP="002E02EC">
      <w:pPr>
        <w:pStyle w:val="ListBullet"/>
      </w:pPr>
      <w:r>
        <w:t>are</w:t>
      </w:r>
      <w:r w:rsidR="00D651DF">
        <w:t xml:space="preserve"> more likely to switch industries if they </w:t>
      </w:r>
      <w:r>
        <w:t>are</w:t>
      </w:r>
      <w:r w:rsidR="00D651DF">
        <w:t xml:space="preserve"> from a lower</w:t>
      </w:r>
      <w:r w:rsidR="00FD16FE">
        <w:noBreakHyphen/>
      </w:r>
      <w:r w:rsidR="00D651DF">
        <w:t>income household</w:t>
      </w:r>
      <w:r w:rsidR="00D651DF" w:rsidRPr="00D651DF">
        <w:t xml:space="preserve"> </w:t>
      </w:r>
      <w:r w:rsidR="00D651DF">
        <w:t>(</w:t>
      </w:r>
      <w:r w:rsidR="00D651DF" w:rsidRPr="004A7B04">
        <w:t>Berger</w:t>
      </w:r>
      <w:r w:rsidR="00FD16FE">
        <w:noBreakHyphen/>
      </w:r>
      <w:r w:rsidR="00D651DF" w:rsidRPr="004A7B04">
        <w:t>Tho</w:t>
      </w:r>
      <w:r w:rsidR="00D651DF">
        <w:t>mson and Roberts 2012).</w:t>
      </w:r>
    </w:p>
    <w:p w:rsidR="00FF4EC5" w:rsidRDefault="00885184" w:rsidP="00D9644E">
      <w:pPr>
        <w:pStyle w:val="BodyText"/>
      </w:pPr>
      <w:r>
        <w:t xml:space="preserve">The </w:t>
      </w:r>
      <w:r w:rsidR="00363F23">
        <w:t xml:space="preserve">difference in </w:t>
      </w:r>
      <w:r w:rsidR="001268EB">
        <w:t xml:space="preserve">nominal </w:t>
      </w:r>
      <w:r w:rsidR="00363F23">
        <w:t>wage levels between different sectors of the Australian labour market over recent decad</w:t>
      </w:r>
      <w:r w:rsidR="00916E17">
        <w:t>es is illustrated in figure</w:t>
      </w:r>
      <w:r w:rsidR="00AC71FA">
        <w:t> </w:t>
      </w:r>
      <w:r w:rsidR="00916E17">
        <w:t>5.15</w:t>
      </w:r>
      <w:r w:rsidR="00363F23">
        <w:t>.</w:t>
      </w:r>
      <w:bookmarkStart w:id="49" w:name="_Toc330368707"/>
      <w:bookmarkStart w:id="50" w:name="_Toc331405022"/>
      <w:bookmarkStart w:id="51" w:name="_Toc331491066"/>
      <w:bookmarkEnd w:id="30"/>
      <w:bookmarkEnd w:id="31"/>
      <w:bookmarkEnd w:id="32"/>
      <w:bookmarkEnd w:id="41"/>
      <w:bookmarkEnd w:id="42"/>
      <w:bookmarkEnd w:id="43"/>
      <w:r w:rsidR="00363F23">
        <w:t xml:space="preserve"> </w:t>
      </w:r>
      <w:r w:rsidR="000A00FE">
        <w:t>The mining sector stands</w:t>
      </w:r>
      <w:r w:rsidR="00363F23">
        <w:t xml:space="preserve"> out</w:t>
      </w:r>
      <w:r w:rsidR="000A00FE">
        <w:t>, not only</w:t>
      </w:r>
      <w:r w:rsidR="00363F23">
        <w:t xml:space="preserve"> </w:t>
      </w:r>
      <w:r w:rsidR="001268EB">
        <w:t xml:space="preserve">as </w:t>
      </w:r>
      <w:r w:rsidR="00363F23">
        <w:t>being</w:t>
      </w:r>
      <w:r w:rsidR="002D413A">
        <w:t xml:space="preserve"> consistently</w:t>
      </w:r>
      <w:r w:rsidR="00363F23">
        <w:t xml:space="preserve"> the highest</w:t>
      </w:r>
      <w:r w:rsidR="00FD16FE">
        <w:noBreakHyphen/>
      </w:r>
      <w:r w:rsidR="00363F23">
        <w:t>paid sector</w:t>
      </w:r>
      <w:r w:rsidR="000A00FE" w:rsidRPr="000A00FE">
        <w:t xml:space="preserve"> </w:t>
      </w:r>
      <w:r w:rsidR="000A00FE">
        <w:t>(</w:t>
      </w:r>
      <w:r w:rsidR="000A00FE" w:rsidRPr="004A7B04">
        <w:t>reflective</w:t>
      </w:r>
      <w:r w:rsidR="00986384">
        <w:t xml:space="preserve"> in part</w:t>
      </w:r>
      <w:r w:rsidR="000A00FE" w:rsidRPr="004A7B04">
        <w:t xml:space="preserve"> of the wage premium associated with the hazardous and remote nature of </w:t>
      </w:r>
      <w:r w:rsidR="009561FB">
        <w:t xml:space="preserve">much </w:t>
      </w:r>
      <w:r w:rsidR="000A00FE" w:rsidRPr="004A7B04">
        <w:t>mining work</w:t>
      </w:r>
      <w:r w:rsidR="000A00FE">
        <w:t xml:space="preserve">), but also </w:t>
      </w:r>
      <w:r w:rsidR="001268EB">
        <w:t xml:space="preserve">as </w:t>
      </w:r>
      <w:r w:rsidR="000A00FE">
        <w:t>having the fastest</w:t>
      </w:r>
      <w:r w:rsidR="00FD16FE">
        <w:noBreakHyphen/>
      </w:r>
      <w:r w:rsidR="000A00FE">
        <w:t>growing</w:t>
      </w:r>
      <w:r w:rsidR="00363F23">
        <w:t xml:space="preserve"> </w:t>
      </w:r>
      <w:r w:rsidR="000A00FE">
        <w:t xml:space="preserve">wage level </w:t>
      </w:r>
      <w:r w:rsidR="000A00FE" w:rsidRPr="004A7B04">
        <w:t xml:space="preserve">of </w:t>
      </w:r>
      <w:r w:rsidR="000A00FE">
        <w:t>all</w:t>
      </w:r>
      <w:r w:rsidR="000A00FE" w:rsidRPr="004A7B04">
        <w:t xml:space="preserve"> sectors</w:t>
      </w:r>
      <w:r w:rsidR="002D413A">
        <w:t xml:space="preserve"> over the last decade</w:t>
      </w:r>
      <w:r w:rsidR="000A00FE" w:rsidRPr="004A7B04">
        <w:t xml:space="preserve">. </w:t>
      </w:r>
      <w:r w:rsidR="00FF4EC5">
        <w:t xml:space="preserve">This </w:t>
      </w:r>
      <w:r w:rsidR="002D413A">
        <w:t xml:space="preserve">recent </w:t>
      </w:r>
      <w:r w:rsidR="00FF4EC5">
        <w:t>wage</w:t>
      </w:r>
      <w:r w:rsidR="00FF4EC5" w:rsidRPr="004A7B04">
        <w:t xml:space="preserve"> </w:t>
      </w:r>
      <w:r w:rsidR="00FF4EC5">
        <w:t>growth coincides</w:t>
      </w:r>
      <w:r w:rsidR="00FF4EC5" w:rsidRPr="004A7B04">
        <w:t xml:space="preserve"> with the rapid expansion of the mining </w:t>
      </w:r>
      <w:r w:rsidR="00FF4EC5">
        <w:t>sector</w:t>
      </w:r>
      <w:r w:rsidR="001268EB">
        <w:t>’</w:t>
      </w:r>
      <w:r w:rsidR="00FF4EC5">
        <w:t>s share of employment</w:t>
      </w:r>
      <w:r w:rsidR="00FF4EC5" w:rsidRPr="004A7B04">
        <w:t>.</w:t>
      </w:r>
      <w:r w:rsidR="00C145F3">
        <w:t xml:space="preserve"> </w:t>
      </w:r>
      <w:r w:rsidR="00FF4EC5" w:rsidRPr="004A7B04">
        <w:t>By contrast, during the same period, wage</w:t>
      </w:r>
      <w:r w:rsidR="00FF4EC5">
        <w:t xml:space="preserve"> levels</w:t>
      </w:r>
      <w:r w:rsidR="00FF4EC5" w:rsidRPr="004A7B04">
        <w:t xml:space="preserve"> in manu</w:t>
      </w:r>
      <w:r w:rsidR="00C145F3">
        <w:t>facturing, personal services</w:t>
      </w:r>
      <w:r w:rsidR="00FF4EC5" w:rsidRPr="004A7B04">
        <w:t xml:space="preserve"> and distribution services were generally the lowest of all the sectors</w:t>
      </w:r>
      <w:r w:rsidR="00C145F3">
        <w:t>,</w:t>
      </w:r>
      <w:r w:rsidR="00FF4EC5" w:rsidRPr="004A7B04">
        <w:t xml:space="preserve"> and also </w:t>
      </w:r>
      <w:r w:rsidR="00FF4EC5">
        <w:t xml:space="preserve">grew at the slowest pace. </w:t>
      </w:r>
      <w:r w:rsidR="002D413A">
        <w:t>With the exception of distribution services</w:t>
      </w:r>
      <w:r w:rsidR="00FF4EC5" w:rsidRPr="004A7B04">
        <w:t xml:space="preserve">, these </w:t>
      </w:r>
      <w:r w:rsidR="002D413A">
        <w:t xml:space="preserve">sectors </w:t>
      </w:r>
      <w:r w:rsidR="00C145F3">
        <w:t>were</w:t>
      </w:r>
      <w:r w:rsidR="002D413A">
        <w:t xml:space="preserve"> also among those</w:t>
      </w:r>
      <w:r w:rsidR="00FF4EC5" w:rsidRPr="004A7B04">
        <w:t xml:space="preserve"> </w:t>
      </w:r>
      <w:r w:rsidR="00C145F3">
        <w:t>with the weakest</w:t>
      </w:r>
      <w:r w:rsidR="00FF4EC5" w:rsidRPr="004A7B04">
        <w:t xml:space="preserve"> growth </w:t>
      </w:r>
      <w:r w:rsidR="00972771">
        <w:t>in their</w:t>
      </w:r>
      <w:r w:rsidR="00972771" w:rsidRPr="004A7B04">
        <w:t xml:space="preserve"> </w:t>
      </w:r>
      <w:r w:rsidR="00FF4EC5" w:rsidRPr="004A7B04">
        <w:t xml:space="preserve">employment </w:t>
      </w:r>
      <w:r w:rsidR="00972771">
        <w:t xml:space="preserve">shares </w:t>
      </w:r>
      <w:r w:rsidR="00FF4EC5" w:rsidRPr="004A7B04">
        <w:t xml:space="preserve">in </w:t>
      </w:r>
      <w:r w:rsidR="00FF4EC5">
        <w:t>recent years</w:t>
      </w:r>
      <w:r w:rsidR="00034559">
        <w:t xml:space="preserve"> (</w:t>
      </w:r>
      <w:r w:rsidR="00972771">
        <w:t>table 4.1</w:t>
      </w:r>
      <w:r w:rsidR="00034559">
        <w:t xml:space="preserve"> in chapter</w:t>
      </w:r>
      <w:r w:rsidR="00AC71FA">
        <w:t> </w:t>
      </w:r>
      <w:r w:rsidR="00034559">
        <w:t>4)</w:t>
      </w:r>
      <w:r w:rsidR="00FF4EC5">
        <w:t>.</w:t>
      </w:r>
    </w:p>
    <w:p w:rsidR="004A7B04" w:rsidRPr="004A7B04" w:rsidRDefault="004A7B04" w:rsidP="00D9644E">
      <w:pPr>
        <w:pStyle w:val="FigureTitle"/>
      </w:pPr>
      <w:r w:rsidRPr="00D9644E">
        <w:rPr>
          <w:b w:val="0"/>
        </w:rPr>
        <w:lastRenderedPageBreak/>
        <w:t xml:space="preserve">Figure </w:t>
      </w:r>
      <w:bookmarkStart w:id="52" w:name="OLE_LINK26"/>
      <w:r w:rsidR="003753D7">
        <w:rPr>
          <w:b w:val="0"/>
        </w:rPr>
        <w:t>5.</w:t>
      </w:r>
      <w:r w:rsidR="00FB66BF">
        <w:rPr>
          <w:b w:val="0"/>
          <w:noProof/>
        </w:rPr>
        <w:t>15</w:t>
      </w:r>
      <w:bookmarkEnd w:id="52"/>
      <w:r w:rsidRPr="004A7B04">
        <w:tab/>
        <w:t>Nominal hourly wage, by sector, 1995</w:t>
      </w:r>
      <w:r w:rsidR="00F34E8E">
        <w:t xml:space="preserve"> to </w:t>
      </w:r>
      <w:r w:rsidRPr="004A7B04">
        <w:t>2012</w:t>
      </w:r>
      <w:r w:rsidRPr="00D9644E">
        <w:rPr>
          <w:rStyle w:val="NoteLabel"/>
          <w:b/>
        </w:rPr>
        <w:t>a</w:t>
      </w:r>
      <w:r w:rsidR="001C25D2">
        <w:rPr>
          <w:rStyle w:val="NoteLabel"/>
          <w:b/>
        </w:rPr>
        <w:t>, b</w:t>
      </w:r>
      <w:r w:rsidR="00302323">
        <w:rPr>
          <w:rStyle w:val="NoteLabel"/>
          <w:b/>
        </w:rPr>
        <w:t>,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A7B04" w:rsidRPr="004A7B04" w:rsidTr="00A03993">
        <w:tc>
          <w:tcPr>
            <w:tcW w:w="8777" w:type="dxa"/>
          </w:tcPr>
          <w:p w:rsidR="004A7B04" w:rsidRPr="004A7B04" w:rsidRDefault="004A7B04" w:rsidP="00D9644E">
            <w:pPr>
              <w:keepNext/>
              <w:spacing w:before="120" w:after="120" w:line="240" w:lineRule="atLeast"/>
              <w:jc w:val="center"/>
              <w:rPr>
                <w:szCs w:val="20"/>
              </w:rPr>
            </w:pPr>
            <w:r w:rsidRPr="004A7B04">
              <w:rPr>
                <w:noProof/>
                <w:szCs w:val="20"/>
              </w:rPr>
              <w:drawing>
                <wp:inline distT="0" distB="0" distL="0" distR="0" wp14:anchorId="22526C02" wp14:editId="4F064292">
                  <wp:extent cx="5402580" cy="3573780"/>
                  <wp:effectExtent l="0" t="0" r="7620" b="7620"/>
                  <wp:docPr id="345" name="Chart 345" descr="This figure plots the nominal hourly wage for each sector, for each year from 1995 to 2012. The data series at the top is the mining sector. The data series at the bottom is the personal services sector. Over time, the gap between the highest and lowest paid sectors, and the overall dispersion of average wages by sector, have become more spread out."/>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1C25D2" w:rsidRPr="004A7B04" w:rsidRDefault="001C25D2" w:rsidP="001C25D2">
      <w:pPr>
        <w:pStyle w:val="Note"/>
      </w:pPr>
      <w:r w:rsidRPr="00D9644E">
        <w:rPr>
          <w:rStyle w:val="NoteLabel"/>
        </w:rPr>
        <w:t>a</w:t>
      </w:r>
      <w:r w:rsidRPr="004A7B04">
        <w:t xml:space="preserve"> Nominal hourly wages are based on the ordinary time earnings of full</w:t>
      </w:r>
      <w:r>
        <w:noBreakHyphen/>
      </w:r>
      <w:r w:rsidRPr="004A7B04">
        <w:t>time workers, who are assumed to work a 38</w:t>
      </w:r>
      <w:r w:rsidRPr="004A7B04">
        <w:noBreakHyphen/>
        <w:t>hour week. Wage data exclu</w:t>
      </w:r>
      <w:r>
        <w:t xml:space="preserve">de overtime and bonuses. </w:t>
      </w:r>
      <w:r w:rsidR="00E71205">
        <w:t xml:space="preserve"> </w:t>
      </w:r>
      <w:r>
        <w:rPr>
          <w:rStyle w:val="NoteLabel"/>
        </w:rPr>
        <w:t>b</w:t>
      </w:r>
      <w:r w:rsidRPr="004A7B04">
        <w:t xml:space="preserve"> </w:t>
      </w:r>
      <w:r>
        <w:t xml:space="preserve">Data are not </w:t>
      </w:r>
      <w:r w:rsidRPr="004A7B04">
        <w:t>available for Agriculture</w:t>
      </w:r>
      <w:r w:rsidR="00E71205" w:rsidRPr="004A7B04">
        <w:t>.</w:t>
      </w:r>
      <w:r w:rsidR="00E71205">
        <w:br/>
      </w:r>
      <w:r>
        <w:rPr>
          <w:rStyle w:val="NoteLabel"/>
        </w:rPr>
        <w:t>c</w:t>
      </w:r>
      <w:r w:rsidRPr="004A7B04">
        <w:t xml:space="preserve"> To compute the average wage for each sector, the average wage of each industry within the sector is weighted by the industry’s respective </w:t>
      </w:r>
      <w:r>
        <w:t xml:space="preserve">employment </w:t>
      </w:r>
      <w:r w:rsidRPr="004A7B04">
        <w:t>share of the sector.</w:t>
      </w:r>
      <w:r w:rsidR="00302323">
        <w:t xml:space="preserve">  </w:t>
      </w:r>
      <w:r w:rsidR="00302323">
        <w:rPr>
          <w:rStyle w:val="NoteLabel"/>
        </w:rPr>
        <w:t>d</w:t>
      </w:r>
      <w:r w:rsidR="00302323" w:rsidRPr="004A7B04">
        <w:t xml:space="preserve"> </w:t>
      </w:r>
      <w:r w:rsidR="00302323">
        <w:t>Sectors are defined in appendix A.</w:t>
      </w:r>
    </w:p>
    <w:p w:rsidR="00751B69" w:rsidRDefault="004A7B04" w:rsidP="00751B69">
      <w:pPr>
        <w:pStyle w:val="Source"/>
        <w:rPr>
          <w:i/>
        </w:rPr>
      </w:pPr>
      <w:r w:rsidRPr="004A7B04">
        <w:rPr>
          <w:i/>
        </w:rPr>
        <w:t>Source</w:t>
      </w:r>
      <w:r w:rsidR="00AC71FA">
        <w:rPr>
          <w:i/>
        </w:rPr>
        <w:t>s</w:t>
      </w:r>
      <w:r w:rsidRPr="004A7B04">
        <w:t>: ABS (</w:t>
      </w:r>
      <w:r w:rsidRPr="004A7B04">
        <w:rPr>
          <w:i/>
        </w:rPr>
        <w:t>Average Weekly</w:t>
      </w:r>
      <w:r w:rsidR="00E0122A">
        <w:rPr>
          <w:i/>
        </w:rPr>
        <w:t xml:space="preserve"> </w:t>
      </w:r>
      <w:r w:rsidR="00E0122A" w:rsidRPr="004A7B04">
        <w:rPr>
          <w:i/>
        </w:rPr>
        <w:t>Earnings</w:t>
      </w:r>
      <w:r w:rsidR="00E0122A" w:rsidRPr="004A7B04">
        <w:t xml:space="preserve">, Cat. no. 6302.0; </w:t>
      </w:r>
      <w:r w:rsidR="00E0122A" w:rsidRPr="004A7B04">
        <w:rPr>
          <w:i/>
        </w:rPr>
        <w:t>Labour Force</w:t>
      </w:r>
      <w:r w:rsidR="00E0122A">
        <w:t>, Cat</w:t>
      </w:r>
      <w:r w:rsidR="00A5492F">
        <w:t>.</w:t>
      </w:r>
      <w:r w:rsidR="00E0122A">
        <w:t xml:space="preserve"> no. 6202.0).</w:t>
      </w:r>
      <w:r w:rsidRPr="004A7B04">
        <w:rPr>
          <w:i/>
        </w:rPr>
        <w:t xml:space="preserve"> </w:t>
      </w:r>
      <w:bookmarkEnd w:id="33"/>
      <w:bookmarkEnd w:id="34"/>
      <w:bookmarkEnd w:id="35"/>
      <w:bookmarkEnd w:id="49"/>
      <w:bookmarkEnd w:id="50"/>
      <w:bookmarkEnd w:id="51"/>
    </w:p>
    <w:p w:rsidR="001A7F79" w:rsidRDefault="001A7F79" w:rsidP="001A7F79">
      <w:pPr>
        <w:pStyle w:val="BodyText"/>
      </w:pPr>
      <w:r>
        <w:t xml:space="preserve">The </w:t>
      </w:r>
      <w:r w:rsidRPr="004A7B04">
        <w:t xml:space="preserve">dispersion </w:t>
      </w:r>
      <w:r>
        <w:t>in sectoral wage levels has widened over time, even when the acceleration of wages in the mining sector from 2005 onwards is discounted</w:t>
      </w:r>
      <w:r w:rsidRPr="004A7B04">
        <w:t xml:space="preserve">. </w:t>
      </w:r>
      <w:r>
        <w:t>In part, this growing dispersion is likely to reflect the widening gap in the growth rates of employment and output between the sectors, aided by the labour market’s overall shift towards more decentralised wage</w:t>
      </w:r>
      <w:r>
        <w:noBreakHyphen/>
        <w:t>setting instruments (as discussed earlier in section 5.2). Differences in the use of wage</w:t>
      </w:r>
      <w:r>
        <w:noBreakHyphen/>
        <w:t>setting instruments across sectors could also play a role (figure 5.8).</w:t>
      </w:r>
      <w:r>
        <w:rPr>
          <w:rStyle w:val="FootnoteReference"/>
        </w:rPr>
        <w:footnoteReference w:id="21"/>
      </w:r>
    </w:p>
    <w:p w:rsidR="001A7F79" w:rsidRPr="001A7F79" w:rsidRDefault="001A7F79" w:rsidP="001A7F79">
      <w:pPr>
        <w:pStyle w:val="BodyText"/>
      </w:pPr>
    </w:p>
    <w:sectPr w:rsidR="001A7F79" w:rsidRPr="001A7F79" w:rsidSect="00FA3FEE">
      <w:headerReference w:type="even" r:id="rId32"/>
      <w:headerReference w:type="default" r:id="rId33"/>
      <w:footerReference w:type="even" r:id="rId34"/>
      <w:footerReference w:type="default" r:id="rId35"/>
      <w:headerReference w:type="first" r:id="rId36"/>
      <w:footerReference w:type="first" r:id="rId37"/>
      <w:footnotePr>
        <w:numStart w:val="28"/>
      </w:footnotePr>
      <w:pgSz w:w="11907" w:h="16840" w:code="9"/>
      <w:pgMar w:top="1985" w:right="1304" w:bottom="1418" w:left="1814" w:header="1701" w:footer="567" w:gutter="0"/>
      <w:pgNumType w:start="8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A81" w:rsidRDefault="00E25A81">
      <w:r>
        <w:separator/>
      </w:r>
    </w:p>
  </w:endnote>
  <w:endnote w:type="continuationSeparator" w:id="0">
    <w:p w:rsidR="00E25A81" w:rsidRDefault="00E25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25A81">
      <w:trPr>
        <w:trHeight w:hRule="exact" w:val="740"/>
      </w:trPr>
      <w:tc>
        <w:tcPr>
          <w:tcW w:w="510" w:type="dxa"/>
          <w:tcBorders>
            <w:top w:val="single" w:sz="6" w:space="0" w:color="auto"/>
          </w:tcBorders>
        </w:tcPr>
        <w:p w:rsidR="00E25A81" w:rsidRDefault="00E25A8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545F5">
            <w:rPr>
              <w:rStyle w:val="PageNumber"/>
              <w:noProof/>
            </w:rPr>
            <w:t>90</w:t>
          </w:r>
          <w:r>
            <w:rPr>
              <w:rStyle w:val="PageNumber"/>
            </w:rPr>
            <w:fldChar w:fldCharType="end"/>
          </w:r>
        </w:p>
      </w:tc>
      <w:tc>
        <w:tcPr>
          <w:tcW w:w="1644" w:type="dxa"/>
          <w:tcBorders>
            <w:top w:val="single" w:sz="6" w:space="0" w:color="auto"/>
          </w:tcBorders>
        </w:tcPr>
        <w:p w:rsidR="00E25A81" w:rsidRDefault="00432464" w:rsidP="0019293B">
          <w:pPr>
            <w:pStyle w:val="Footer"/>
          </w:pPr>
          <w:r>
            <w:fldChar w:fldCharType="begin"/>
          </w:r>
          <w:r>
            <w:instrText xml:space="preserve"> SUBJECT  \* MERGEFORMAT </w:instrText>
          </w:r>
          <w:r>
            <w:fldChar w:fldCharType="separate"/>
          </w:r>
          <w:r w:rsidR="00BB6DB7">
            <w:t>looking back on structural change</w:t>
          </w:r>
          <w:r>
            <w:fldChar w:fldCharType="end"/>
          </w:r>
        </w:p>
      </w:tc>
      <w:tc>
        <w:tcPr>
          <w:tcW w:w="6634" w:type="dxa"/>
        </w:tcPr>
        <w:p w:rsidR="00E25A81" w:rsidRDefault="00E25A81" w:rsidP="0019293B">
          <w:pPr>
            <w:pStyle w:val="Footer"/>
          </w:pPr>
        </w:p>
      </w:tc>
    </w:tr>
  </w:tbl>
  <w:p w:rsidR="00E25A81" w:rsidRDefault="00E25A8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25A81">
      <w:trPr>
        <w:trHeight w:hRule="exact" w:val="740"/>
      </w:trPr>
      <w:tc>
        <w:tcPr>
          <w:tcW w:w="6634" w:type="dxa"/>
        </w:tcPr>
        <w:p w:rsidR="00E25A81" w:rsidRDefault="00E25A81">
          <w:pPr>
            <w:pStyle w:val="Footer"/>
            <w:ind w:right="360" w:firstLine="360"/>
          </w:pPr>
        </w:p>
      </w:tc>
      <w:tc>
        <w:tcPr>
          <w:tcW w:w="1644" w:type="dxa"/>
          <w:tcBorders>
            <w:top w:val="single" w:sz="6" w:space="0" w:color="auto"/>
          </w:tcBorders>
        </w:tcPr>
        <w:p w:rsidR="00E25A81" w:rsidRDefault="00432464">
          <w:pPr>
            <w:pStyle w:val="Footer"/>
          </w:pPr>
          <w:r>
            <w:fldChar w:fldCharType="begin"/>
          </w:r>
          <w:r>
            <w:instrText xml:space="preserve"> TITLE  \* MERGEFORMAT </w:instrText>
          </w:r>
          <w:r>
            <w:fldChar w:fldCharType="separate"/>
          </w:r>
          <w:r w:rsidR="00BB6DB7">
            <w:t>Trends in labour adjustment</w:t>
          </w:r>
          <w:r>
            <w:fldChar w:fldCharType="end"/>
          </w:r>
        </w:p>
      </w:tc>
      <w:tc>
        <w:tcPr>
          <w:tcW w:w="510" w:type="dxa"/>
          <w:tcBorders>
            <w:top w:val="single" w:sz="6" w:space="0" w:color="auto"/>
          </w:tcBorders>
        </w:tcPr>
        <w:p w:rsidR="00E25A81" w:rsidRDefault="00E25A81">
          <w:pPr>
            <w:pStyle w:val="Footer"/>
            <w:jc w:val="right"/>
          </w:pPr>
          <w:r>
            <w:rPr>
              <w:rStyle w:val="PageNumber"/>
            </w:rPr>
            <w:fldChar w:fldCharType="begin"/>
          </w:r>
          <w:r>
            <w:rPr>
              <w:rStyle w:val="PageNumber"/>
            </w:rPr>
            <w:instrText xml:space="preserve">PAGE  </w:instrText>
          </w:r>
          <w:r>
            <w:rPr>
              <w:rStyle w:val="PageNumber"/>
            </w:rPr>
            <w:fldChar w:fldCharType="separate"/>
          </w:r>
          <w:r w:rsidR="004545F5">
            <w:rPr>
              <w:rStyle w:val="PageNumber"/>
              <w:noProof/>
            </w:rPr>
            <w:t>89</w:t>
          </w:r>
          <w:r>
            <w:rPr>
              <w:rStyle w:val="PageNumber"/>
            </w:rPr>
            <w:fldChar w:fldCharType="end"/>
          </w:r>
        </w:p>
      </w:tc>
    </w:tr>
  </w:tbl>
  <w:p w:rsidR="00E25A81" w:rsidRDefault="00E25A8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92" w:rsidRDefault="00E16B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A81" w:rsidRDefault="00E25A81">
      <w:r>
        <w:separator/>
      </w:r>
    </w:p>
  </w:footnote>
  <w:footnote w:type="continuationSeparator" w:id="0">
    <w:p w:rsidR="00E25A81" w:rsidRDefault="00E25A81">
      <w:r>
        <w:continuationSeparator/>
      </w:r>
    </w:p>
  </w:footnote>
  <w:footnote w:id="1">
    <w:p w:rsidR="00E25A81" w:rsidRDefault="00E25A81" w:rsidP="00166651">
      <w:pPr>
        <w:pStyle w:val="FootnoteText"/>
      </w:pPr>
      <w:r>
        <w:rPr>
          <w:rStyle w:val="FootnoteReference"/>
        </w:rPr>
        <w:footnoteRef/>
      </w:r>
      <w:r>
        <w:t xml:space="preserve"> </w:t>
      </w:r>
      <w:r>
        <w:tab/>
        <w:t>See appendix C for more information about the HILDA Survey dataset used in this chapter’s analysis.</w:t>
      </w:r>
    </w:p>
  </w:footnote>
  <w:footnote w:id="2">
    <w:p w:rsidR="00E25A81" w:rsidRDefault="00E25A81" w:rsidP="00C53028">
      <w:pPr>
        <w:pStyle w:val="FootnoteText"/>
      </w:pPr>
      <w:r>
        <w:rPr>
          <w:rStyle w:val="FootnoteReference"/>
        </w:rPr>
        <w:footnoteRef/>
      </w:r>
      <w:r>
        <w:t xml:space="preserve"> </w:t>
      </w:r>
      <w:r>
        <w:tab/>
      </w:r>
      <w:r w:rsidRPr="0028400B">
        <w:t xml:space="preserve">In this chapter, industries have been classified into eight sectors, as explained in appendix </w:t>
      </w:r>
      <w:r>
        <w:t>A</w:t>
      </w:r>
      <w:r w:rsidRPr="0028400B">
        <w:t>.</w:t>
      </w:r>
    </w:p>
  </w:footnote>
  <w:footnote w:id="3">
    <w:p w:rsidR="00E25A81" w:rsidRDefault="00E25A81">
      <w:pPr>
        <w:pStyle w:val="FootnoteText"/>
      </w:pPr>
      <w:r>
        <w:rPr>
          <w:rStyle w:val="FootnoteReference"/>
        </w:rPr>
        <w:footnoteRef/>
      </w:r>
      <w:r>
        <w:t xml:space="preserve"> </w:t>
      </w:r>
      <w:r>
        <w:tab/>
        <w:t>This refers to the shrinking workforce shares of the agriculture and manufacturing sectors, and expanding workforce shares of segments of the services sector (especially the Professional, scientific and technical services and Health care and social assistance industries) over recent decades (figure 4.7 in chapter 4).</w:t>
      </w:r>
    </w:p>
  </w:footnote>
  <w:footnote w:id="4">
    <w:p w:rsidR="00E25A81" w:rsidRDefault="00E25A81" w:rsidP="003A5A1B">
      <w:pPr>
        <w:pStyle w:val="FootnoteText"/>
      </w:pPr>
      <w:r>
        <w:rPr>
          <w:rStyle w:val="FootnoteReference"/>
        </w:rPr>
        <w:footnoteRef/>
      </w:r>
      <w:r>
        <w:t xml:space="preserve"> </w:t>
      </w:r>
      <w:r>
        <w:tab/>
        <w:t>The 2010 ABS survey data on labour mobility refer to individuals’ employment at February 2009 and February 2010.</w:t>
      </w:r>
    </w:p>
  </w:footnote>
  <w:footnote w:id="5">
    <w:p w:rsidR="00E25A81" w:rsidRDefault="00E25A81" w:rsidP="00D32A3B">
      <w:pPr>
        <w:pStyle w:val="FootnoteText"/>
      </w:pPr>
      <w:r>
        <w:rPr>
          <w:rStyle w:val="FootnoteReference"/>
        </w:rPr>
        <w:footnoteRef/>
      </w:r>
      <w:r>
        <w:t xml:space="preserve"> </w:t>
      </w:r>
      <w:r>
        <w:tab/>
        <w:t xml:space="preserve">This net loss only explains part of the decrease in the agricultural share of employment. Other contributing factors were the movement of workers between sectors and the net loss or gain experienced by other sectors beside agriculture. (Mobility between sectors is discussed below.) </w:t>
      </w:r>
    </w:p>
  </w:footnote>
  <w:footnote w:id="6">
    <w:p w:rsidR="001F0840" w:rsidRDefault="001F0840" w:rsidP="001F0840">
      <w:pPr>
        <w:pStyle w:val="FootnoteText"/>
      </w:pPr>
      <w:r>
        <w:rPr>
          <w:rStyle w:val="FootnoteReference"/>
        </w:rPr>
        <w:footnoteRef/>
      </w:r>
      <w:r>
        <w:t xml:space="preserve"> </w:t>
      </w:r>
      <w:r>
        <w:tab/>
        <w:t>This is illustrated by the large values in the top panel of figure 5.2 (movements into employment) exceeding the similarly large values in the lower panel (movements out of employment) for most of the year groupings pertaining to that sector.</w:t>
      </w:r>
    </w:p>
  </w:footnote>
  <w:footnote w:id="7">
    <w:p w:rsidR="00E25A81" w:rsidRDefault="00E25A81">
      <w:pPr>
        <w:pStyle w:val="FootnoteText"/>
      </w:pPr>
      <w:r>
        <w:rPr>
          <w:rStyle w:val="FootnoteReference"/>
        </w:rPr>
        <w:footnoteRef/>
      </w:r>
      <w:r>
        <w:t xml:space="preserve"> </w:t>
      </w:r>
      <w:r>
        <w:tab/>
        <w:t>The terms ‘natural resources sector’, ‘resources sector’, ‘mining sector’ and ‘Mining industry’ are used interchangeably in this supplement. Appendix A provides a definition of the natural resources sector.</w:t>
      </w:r>
    </w:p>
  </w:footnote>
  <w:footnote w:id="8">
    <w:p w:rsidR="00E25A81" w:rsidRDefault="00E25A81">
      <w:pPr>
        <w:pStyle w:val="FootnoteText"/>
      </w:pPr>
      <w:r>
        <w:rPr>
          <w:rStyle w:val="FootnoteReference"/>
        </w:rPr>
        <w:footnoteRef/>
      </w:r>
      <w:r>
        <w:t xml:space="preserve"> </w:t>
      </w:r>
      <w:r>
        <w:tab/>
        <w:t>D’Arcy et al. (2012) calculate that, from 2001 to 2010, the total cumulative number of new entrants into employment in mining exceeded that of workers joining the sector from other industries. However, their estimates of new entrants include newly-arrived skilled migrants, by construction. The datasets used to track the movements of workers — such as HILDA — generally cannot capture the employment activity of newly</w:t>
      </w:r>
      <w:r>
        <w:noBreakHyphen/>
        <w:t>arrived or newly-departed migrants.</w:t>
      </w:r>
    </w:p>
  </w:footnote>
  <w:footnote w:id="9">
    <w:p w:rsidR="00E25A81" w:rsidRDefault="00E25A81">
      <w:pPr>
        <w:pStyle w:val="FootnoteText"/>
      </w:pPr>
      <w:r>
        <w:rPr>
          <w:rStyle w:val="FootnoteReference"/>
        </w:rPr>
        <w:footnoteRef/>
      </w:r>
      <w:r>
        <w:t xml:space="preserve"> </w:t>
      </w:r>
      <w:r>
        <w:tab/>
      </w:r>
      <w:r w:rsidRPr="00F92A4E">
        <w:t>T</w:t>
      </w:r>
      <w:r>
        <w:t>his finding is consistent with</w:t>
      </w:r>
      <w:r w:rsidRPr="00F92A4E">
        <w:t xml:space="preserve"> similar analysis conducted by the RBA using HILDA data from 2001 to 2007 (Berger-</w:t>
      </w:r>
      <w:r>
        <w:t>Thomson</w:t>
      </w:r>
      <w:r w:rsidRPr="00F92A4E">
        <w:t xml:space="preserve"> and </w:t>
      </w:r>
      <w:r>
        <w:t>Roberts</w:t>
      </w:r>
      <w:r w:rsidRPr="00F92A4E">
        <w:t xml:space="preserve"> 2012)</w:t>
      </w:r>
      <w:r>
        <w:t>.</w:t>
      </w:r>
    </w:p>
  </w:footnote>
  <w:footnote w:id="10">
    <w:p w:rsidR="00E25A81" w:rsidRDefault="00E25A81" w:rsidP="001819AF">
      <w:pPr>
        <w:pStyle w:val="FootnoteText"/>
      </w:pPr>
      <w:r>
        <w:rPr>
          <w:rStyle w:val="FootnoteReference"/>
        </w:rPr>
        <w:footnoteRef/>
      </w:r>
      <w:r>
        <w:t xml:space="preserve"> </w:t>
      </w:r>
      <w:r>
        <w:tab/>
        <w:t xml:space="preserve">These estimates </w:t>
      </w:r>
      <w:r w:rsidRPr="00764444">
        <w:t xml:space="preserve">include workers who changed sector even </w:t>
      </w:r>
      <w:r>
        <w:t>though</w:t>
      </w:r>
      <w:r w:rsidRPr="00764444">
        <w:t xml:space="preserve"> they did not change employer</w:t>
      </w:r>
      <w:r>
        <w:t>. This form of mobility can occur for a number of reasons: workers employed through labour hire or temporary employment agencies retain their employment agency but are appointed to work in a different industry; workers engaged as independent contractors change industries but do not report changes of employer because they are considered to be working for themselves; or workers are employed by firms that have been reclassified to another industry. The latter event can occur when firms: restructure; are taken over or merge; move some of their activities offshore</w:t>
      </w:r>
      <w:r w:rsidR="00EE5E57">
        <w:t>; or perform an activity that gets reclassified by the ABS</w:t>
      </w:r>
      <w:r>
        <w:t>. Estimates of the prevalence of firm inter-industry movements are presented in appendix C. Another study of labour mobility (D’Arcy et al. 2012) assumed that a worker’s change of sector or industry</w:t>
      </w:r>
      <w:r w:rsidRPr="003D278A">
        <w:t xml:space="preserve"> must </w:t>
      </w:r>
      <w:r>
        <w:t xml:space="preserve">also </w:t>
      </w:r>
      <w:r w:rsidRPr="003D278A">
        <w:t>entail a change of employer or job</w:t>
      </w:r>
      <w:r>
        <w:t>, resulting in an average</w:t>
      </w:r>
      <w:r w:rsidRPr="003D278A">
        <w:t xml:space="preserve"> </w:t>
      </w:r>
      <w:r>
        <w:t xml:space="preserve">inter-industry rate of labour </w:t>
      </w:r>
      <w:r w:rsidRPr="003D278A">
        <w:t>mobility</w:t>
      </w:r>
      <w:r>
        <w:t xml:space="preserve"> of 8 per cent during the 2000s (lower than that implied by figure 5.3, therefore)</w:t>
      </w:r>
      <w:r w:rsidRPr="003D278A">
        <w:t>.</w:t>
      </w:r>
    </w:p>
  </w:footnote>
  <w:footnote w:id="11">
    <w:p w:rsidR="00E25A81" w:rsidRDefault="00E25A81">
      <w:pPr>
        <w:pStyle w:val="FootnoteText"/>
      </w:pPr>
      <w:r>
        <w:rPr>
          <w:rStyle w:val="FootnoteReference"/>
        </w:rPr>
        <w:footnoteRef/>
      </w:r>
      <w:r>
        <w:t xml:space="preserve"> </w:t>
      </w:r>
      <w:r>
        <w:tab/>
      </w:r>
      <w:r w:rsidRPr="007C44AD">
        <w:t xml:space="preserve">These estimates </w:t>
      </w:r>
      <w:r>
        <w:t>include</w:t>
      </w:r>
      <w:r w:rsidRPr="007C44AD">
        <w:t xml:space="preserve"> workers who changed their job multiple times within a year, </w:t>
      </w:r>
      <w:r>
        <w:t>as well as</w:t>
      </w:r>
      <w:r w:rsidRPr="007C44AD">
        <w:t xml:space="preserve"> those who </w:t>
      </w:r>
      <w:r>
        <w:t>held</w:t>
      </w:r>
      <w:r w:rsidRPr="007C44AD">
        <w:t xml:space="preserve"> </w:t>
      </w:r>
      <w:r>
        <w:t>multiple jobs at the same time.</w:t>
      </w:r>
    </w:p>
  </w:footnote>
  <w:footnote w:id="12">
    <w:p w:rsidR="00E25A81" w:rsidRDefault="00E25A81" w:rsidP="00254C39">
      <w:pPr>
        <w:pStyle w:val="FootnoteText"/>
      </w:pPr>
      <w:r>
        <w:rPr>
          <w:rStyle w:val="FootnoteReference"/>
        </w:rPr>
        <w:footnoteRef/>
      </w:r>
      <w:r>
        <w:t xml:space="preserve"> </w:t>
      </w:r>
      <w:r>
        <w:tab/>
        <w:t>Estimates for later years of the survey, however, could be partly affected by attrition bias in the sample (appendix C).</w:t>
      </w:r>
    </w:p>
  </w:footnote>
  <w:footnote w:id="13">
    <w:p w:rsidR="00E25A81" w:rsidRDefault="00E25A81" w:rsidP="004A7B04">
      <w:pPr>
        <w:pStyle w:val="FootnoteText"/>
      </w:pPr>
      <w:r>
        <w:rPr>
          <w:rStyle w:val="FootnoteReference"/>
        </w:rPr>
        <w:footnoteRef/>
      </w:r>
      <w:r>
        <w:t xml:space="preserve"> </w:t>
      </w:r>
      <w:r>
        <w:tab/>
      </w:r>
      <w:r w:rsidRPr="008A742C">
        <w:t xml:space="preserve">Underemployed workers refer to workers who are employed but seeking, and able to work, more hours. </w:t>
      </w:r>
      <w:r>
        <w:t xml:space="preserve">This group mainly </w:t>
      </w:r>
      <w:r w:rsidRPr="008A742C">
        <w:t xml:space="preserve">includes part-time workers who would prefer to work more hours, plus </w:t>
      </w:r>
      <w:r>
        <w:t xml:space="preserve">some </w:t>
      </w:r>
      <w:r w:rsidRPr="008A742C">
        <w:t>full-time workers who did not work full-time hours in the reference week of the survey due to economic reasons (including because they were made redundant or because there was insufficient work available for them).</w:t>
      </w:r>
    </w:p>
  </w:footnote>
  <w:footnote w:id="14">
    <w:p w:rsidR="00E25A81" w:rsidRDefault="00E25A81">
      <w:pPr>
        <w:pStyle w:val="FootnoteText"/>
      </w:pPr>
      <w:r>
        <w:rPr>
          <w:rStyle w:val="FootnoteReference"/>
        </w:rPr>
        <w:footnoteRef/>
      </w:r>
      <w:r>
        <w:t xml:space="preserve"> </w:t>
      </w:r>
      <w:r>
        <w:tab/>
        <w:t>The ABS defines a suitable job as ‘any job for which the person is qualified (if applicable), is capable of performing and which provides adequate job conditions (including pay, hours, travel to work, etc.)’; and which is ‘a job that would be accepted by the person irrespective of whether a move was required’ (ABS </w:t>
      </w:r>
      <w:proofErr w:type="spellStart"/>
      <w:r>
        <w:t>2012j</w:t>
      </w:r>
      <w:proofErr w:type="spellEnd"/>
      <w:r>
        <w:t>, p. 44).</w:t>
      </w:r>
    </w:p>
  </w:footnote>
  <w:footnote w:id="15">
    <w:p w:rsidR="001F0840" w:rsidRDefault="001F0840" w:rsidP="001F0840">
      <w:pPr>
        <w:pStyle w:val="FootnoteText"/>
      </w:pPr>
      <w:r>
        <w:rPr>
          <w:rStyle w:val="FootnoteReference"/>
        </w:rPr>
        <w:footnoteRef/>
      </w:r>
      <w:r>
        <w:t xml:space="preserve"> For example, manufacturing workers changing jobs are less likely to have to relocate, compared to mining workers. As an indication of the high geographic concentration of manufacturing activity in Australia, in 2011, around 20 per cent of all manufacturing workers were based in Melbourne or Geelong, and a further 17 per cent were based in Sydney (ABS </w:t>
      </w:r>
      <w:proofErr w:type="spellStart"/>
      <w:r>
        <w:t>2011b</w:t>
      </w:r>
      <w:proofErr w:type="spellEnd"/>
      <w:r>
        <w:t>).</w:t>
      </w:r>
    </w:p>
  </w:footnote>
  <w:footnote w:id="16">
    <w:p w:rsidR="00E25A81" w:rsidRDefault="00E25A81" w:rsidP="00715BE2">
      <w:pPr>
        <w:pStyle w:val="FootnoteText"/>
      </w:pPr>
      <w:r>
        <w:rPr>
          <w:rStyle w:val="FootnoteReference"/>
        </w:rPr>
        <w:footnoteRef/>
      </w:r>
      <w:r>
        <w:t xml:space="preserve"> </w:t>
      </w:r>
      <w:r>
        <w:tab/>
        <w:t>The total number of workers in each sector who moved location for work purposes in any given year (averaged for all years between 2001 and 2010) is measured on the figure’s right</w:t>
      </w:r>
      <w:r>
        <w:noBreakHyphen/>
        <w:t>hand side axis and is denoted by the thin black line.</w:t>
      </w:r>
    </w:p>
  </w:footnote>
  <w:footnote w:id="17">
    <w:p w:rsidR="00E25A81" w:rsidRDefault="00E25A81" w:rsidP="004A7B04">
      <w:pPr>
        <w:pStyle w:val="FootnoteText"/>
      </w:pPr>
      <w:r>
        <w:rPr>
          <w:rStyle w:val="FootnoteReference"/>
        </w:rPr>
        <w:footnoteRef/>
      </w:r>
      <w:r>
        <w:t xml:space="preserve"> </w:t>
      </w:r>
      <w:r>
        <w:tab/>
      </w:r>
      <w:r w:rsidRPr="0091706E">
        <w:t xml:space="preserve">The </w:t>
      </w:r>
      <w:r>
        <w:t>Job Vacancies Survey</w:t>
      </w:r>
      <w:r w:rsidRPr="0091706E">
        <w:t xml:space="preserve"> </w:t>
      </w:r>
      <w:r>
        <w:t>provides</w:t>
      </w:r>
      <w:r w:rsidRPr="0091706E">
        <w:t xml:space="preserve"> a quarterly estimate of the number of job vacancies in the labour market, based on a survey of a sample of</w:t>
      </w:r>
      <w:r>
        <w:t xml:space="preserve"> approximately 5000 employers. The survey defines a vacancy as </w:t>
      </w:r>
      <w:r w:rsidRPr="0091706E">
        <w:t xml:space="preserve">a job which is available for immediate filling during the reference period and for which the employer has taken recruitment </w:t>
      </w:r>
      <w:r>
        <w:t>action. Data on job vacancies are</w:t>
      </w:r>
      <w:r w:rsidRPr="0091706E">
        <w:t xml:space="preserve"> collected on a single day within </w:t>
      </w:r>
      <w:r>
        <w:t>the quarterly reference period.</w:t>
      </w:r>
    </w:p>
  </w:footnote>
  <w:footnote w:id="18">
    <w:p w:rsidR="001F0840" w:rsidRDefault="001F0840" w:rsidP="001F0840">
      <w:pPr>
        <w:pStyle w:val="FootnoteText"/>
      </w:pPr>
      <w:r>
        <w:rPr>
          <w:rStyle w:val="FootnoteReference"/>
        </w:rPr>
        <w:footnoteRef/>
      </w:r>
      <w:r>
        <w:t xml:space="preserve"> </w:t>
      </w:r>
      <w:r>
        <w:tab/>
        <w:t xml:space="preserve">DEEWR’s Internet Vacancy Index is a monthly count of online vacancies newly lodged on the following online search engines: SEEK, My Career, </w:t>
      </w:r>
      <w:proofErr w:type="spellStart"/>
      <w:r>
        <w:t>CareerOne</w:t>
      </w:r>
      <w:proofErr w:type="spellEnd"/>
      <w:r>
        <w:t xml:space="preserve"> and Australian </w:t>
      </w:r>
      <w:proofErr w:type="spellStart"/>
      <w:r>
        <w:t>JobSearch</w:t>
      </w:r>
      <w:proofErr w:type="spellEnd"/>
      <w:r>
        <w:t>. The regions are DEEWR’s own classification (DEEWR 2012d).</w:t>
      </w:r>
    </w:p>
  </w:footnote>
  <w:footnote w:id="19">
    <w:p w:rsidR="00E25A81" w:rsidRDefault="00E25A81" w:rsidP="004F0E0C">
      <w:pPr>
        <w:pStyle w:val="FootnoteText"/>
      </w:pPr>
      <w:r>
        <w:rPr>
          <w:rStyle w:val="FootnoteReference"/>
        </w:rPr>
        <w:footnoteRef/>
      </w:r>
      <w:r>
        <w:t xml:space="preserve"> The estimates include workers who were fired from their job, which is more likely to be due to workers’ unsuitability for the job rather than structural change. However, it is assumed that firing rates are similar between the sectors and over time. This means that relative differences between the sectors, and trends over time, are not distorted by the inclusion of fired workers in the statistics presented.</w:t>
      </w:r>
    </w:p>
  </w:footnote>
  <w:footnote w:id="20">
    <w:p w:rsidR="00E25A81" w:rsidRPr="00BA61FF" w:rsidRDefault="00E25A81" w:rsidP="00661A78">
      <w:pPr>
        <w:pStyle w:val="FootnoteText"/>
      </w:pPr>
      <w:r>
        <w:rPr>
          <w:rStyle w:val="FootnoteReference"/>
        </w:rPr>
        <w:footnoteRef/>
      </w:r>
      <w:r>
        <w:t xml:space="preserve"> </w:t>
      </w:r>
      <w:r>
        <w:tab/>
        <w:t xml:space="preserve">More precisely, it is a difference in the </w:t>
      </w:r>
      <w:r>
        <w:rPr>
          <w:i/>
        </w:rPr>
        <w:t xml:space="preserve">consumption wage — </w:t>
      </w:r>
      <w:r>
        <w:t xml:space="preserve">the wage rate expressed in terms of the consumption goods and services that the wages are used to purchase — available to a worker that would be expected to influence a decision to relocate. Conversely, differences in the </w:t>
      </w:r>
      <w:r w:rsidRPr="00E07A1D">
        <w:rPr>
          <w:i/>
        </w:rPr>
        <w:t>product wage</w:t>
      </w:r>
      <w:r>
        <w:t xml:space="preserve"> — the wage rate expressed in terms of the price of outputs — indicate a difference in the value of an employee to an employer, and will, therefore, influence hiring decisions. </w:t>
      </w:r>
    </w:p>
  </w:footnote>
  <w:footnote w:id="21">
    <w:p w:rsidR="001A7F79" w:rsidRDefault="001A7F79" w:rsidP="001A7F79">
      <w:pPr>
        <w:pStyle w:val="FootnoteText"/>
      </w:pPr>
      <w:r>
        <w:rPr>
          <w:rStyle w:val="FootnoteReference"/>
        </w:rPr>
        <w:footnoteRef/>
      </w:r>
      <w:r>
        <w:t xml:space="preserve"> Across all industries, average earnings are consistently higher for employees on collective agreements or individual arrangements, compared to those whose wages are set by awards only (ABS </w:t>
      </w:r>
      <w:proofErr w:type="spellStart"/>
      <w:r>
        <w:t>2010a</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25A81">
      <w:tc>
        <w:tcPr>
          <w:tcW w:w="2155" w:type="dxa"/>
          <w:tcBorders>
            <w:top w:val="single" w:sz="24" w:space="0" w:color="auto"/>
          </w:tcBorders>
        </w:tcPr>
        <w:p w:rsidR="00E25A81" w:rsidRDefault="00E25A81" w:rsidP="0019293B">
          <w:pPr>
            <w:pStyle w:val="HeaderEven"/>
          </w:pPr>
        </w:p>
      </w:tc>
      <w:tc>
        <w:tcPr>
          <w:tcW w:w="6634" w:type="dxa"/>
          <w:tcBorders>
            <w:top w:val="single" w:sz="6" w:space="0" w:color="auto"/>
          </w:tcBorders>
        </w:tcPr>
        <w:p w:rsidR="00E25A81" w:rsidRDefault="00E25A81" w:rsidP="0019293B">
          <w:pPr>
            <w:pStyle w:val="HeaderEven"/>
          </w:pPr>
        </w:p>
      </w:tc>
    </w:tr>
  </w:tbl>
  <w:p w:rsidR="00E25A81" w:rsidRDefault="00E25A8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25A81">
      <w:tc>
        <w:tcPr>
          <w:tcW w:w="6634" w:type="dxa"/>
          <w:tcBorders>
            <w:top w:val="single" w:sz="6" w:space="0" w:color="auto"/>
          </w:tcBorders>
        </w:tcPr>
        <w:p w:rsidR="00E25A81" w:rsidRDefault="00E25A81" w:rsidP="00E669E2">
          <w:pPr>
            <w:pStyle w:val="HeaderOdd"/>
          </w:pPr>
        </w:p>
      </w:tc>
      <w:tc>
        <w:tcPr>
          <w:tcW w:w="2155" w:type="dxa"/>
          <w:tcBorders>
            <w:top w:val="single" w:sz="24" w:space="0" w:color="auto"/>
          </w:tcBorders>
        </w:tcPr>
        <w:p w:rsidR="00E25A81" w:rsidRDefault="00E25A81" w:rsidP="00E669E2">
          <w:pPr>
            <w:pStyle w:val="HeaderOdd"/>
          </w:pPr>
        </w:p>
      </w:tc>
    </w:tr>
  </w:tbl>
  <w:p w:rsidR="00E25A81" w:rsidRDefault="00E25A81"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92" w:rsidRDefault="00E16B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182273"/>
  </w:hdrShapeDefaults>
  <w:footnotePr>
    <w:numStart w:val="28"/>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rends in labour adjustment"/>
    <w:docVar w:name="ShortReportTitle" w:val="looking back on structural change"/>
  </w:docVars>
  <w:rsids>
    <w:rsidRoot w:val="004A7B04"/>
    <w:rsid w:val="00000954"/>
    <w:rsid w:val="000016BE"/>
    <w:rsid w:val="00004F18"/>
    <w:rsid w:val="000054A6"/>
    <w:rsid w:val="000077C3"/>
    <w:rsid w:val="0001148C"/>
    <w:rsid w:val="00011BDB"/>
    <w:rsid w:val="00012DAF"/>
    <w:rsid w:val="00012E16"/>
    <w:rsid w:val="000162FD"/>
    <w:rsid w:val="00020BEB"/>
    <w:rsid w:val="000227D5"/>
    <w:rsid w:val="00023FA5"/>
    <w:rsid w:val="000245AA"/>
    <w:rsid w:val="00024660"/>
    <w:rsid w:val="00024A87"/>
    <w:rsid w:val="000253B3"/>
    <w:rsid w:val="00025B84"/>
    <w:rsid w:val="00032966"/>
    <w:rsid w:val="000338E8"/>
    <w:rsid w:val="00034559"/>
    <w:rsid w:val="00034B41"/>
    <w:rsid w:val="00036647"/>
    <w:rsid w:val="0003664B"/>
    <w:rsid w:val="00040FBE"/>
    <w:rsid w:val="0004111F"/>
    <w:rsid w:val="00041C67"/>
    <w:rsid w:val="00042FCD"/>
    <w:rsid w:val="0005160E"/>
    <w:rsid w:val="00051FB7"/>
    <w:rsid w:val="00054915"/>
    <w:rsid w:val="0005625B"/>
    <w:rsid w:val="000565B3"/>
    <w:rsid w:val="0005693C"/>
    <w:rsid w:val="00056BF3"/>
    <w:rsid w:val="000601DC"/>
    <w:rsid w:val="00062C4C"/>
    <w:rsid w:val="000665A0"/>
    <w:rsid w:val="0007150B"/>
    <w:rsid w:val="00072400"/>
    <w:rsid w:val="0007346B"/>
    <w:rsid w:val="0007392C"/>
    <w:rsid w:val="0007552D"/>
    <w:rsid w:val="00075966"/>
    <w:rsid w:val="00080589"/>
    <w:rsid w:val="00080981"/>
    <w:rsid w:val="00081FB2"/>
    <w:rsid w:val="00082AE6"/>
    <w:rsid w:val="00082EC7"/>
    <w:rsid w:val="0008535F"/>
    <w:rsid w:val="00085BA0"/>
    <w:rsid w:val="00090437"/>
    <w:rsid w:val="00090D2D"/>
    <w:rsid w:val="000938F5"/>
    <w:rsid w:val="00094EBE"/>
    <w:rsid w:val="00096E55"/>
    <w:rsid w:val="000A001B"/>
    <w:rsid w:val="000A004C"/>
    <w:rsid w:val="000A00FE"/>
    <w:rsid w:val="000A0229"/>
    <w:rsid w:val="000A1561"/>
    <w:rsid w:val="000A3159"/>
    <w:rsid w:val="000A485E"/>
    <w:rsid w:val="000A58E4"/>
    <w:rsid w:val="000A6B4C"/>
    <w:rsid w:val="000A78A5"/>
    <w:rsid w:val="000B26F9"/>
    <w:rsid w:val="000B4940"/>
    <w:rsid w:val="000B601B"/>
    <w:rsid w:val="000B6207"/>
    <w:rsid w:val="000B72E4"/>
    <w:rsid w:val="000C207E"/>
    <w:rsid w:val="000C222D"/>
    <w:rsid w:val="000C2FA7"/>
    <w:rsid w:val="000C3583"/>
    <w:rsid w:val="000C5AA3"/>
    <w:rsid w:val="000D17D7"/>
    <w:rsid w:val="000D1FC3"/>
    <w:rsid w:val="000D68BC"/>
    <w:rsid w:val="000D7851"/>
    <w:rsid w:val="000E30E8"/>
    <w:rsid w:val="000E378B"/>
    <w:rsid w:val="000E399D"/>
    <w:rsid w:val="000E454C"/>
    <w:rsid w:val="000E67DA"/>
    <w:rsid w:val="000F0035"/>
    <w:rsid w:val="000F2444"/>
    <w:rsid w:val="000F420B"/>
    <w:rsid w:val="000F55A9"/>
    <w:rsid w:val="000F5CB4"/>
    <w:rsid w:val="000F74D2"/>
    <w:rsid w:val="00100138"/>
    <w:rsid w:val="00100AC5"/>
    <w:rsid w:val="001024E0"/>
    <w:rsid w:val="00102627"/>
    <w:rsid w:val="001034B6"/>
    <w:rsid w:val="00105A94"/>
    <w:rsid w:val="001069C1"/>
    <w:rsid w:val="00110116"/>
    <w:rsid w:val="0011079E"/>
    <w:rsid w:val="00111026"/>
    <w:rsid w:val="00112557"/>
    <w:rsid w:val="001132CA"/>
    <w:rsid w:val="00120072"/>
    <w:rsid w:val="00121A0B"/>
    <w:rsid w:val="001235B5"/>
    <w:rsid w:val="001268EB"/>
    <w:rsid w:val="00126EB8"/>
    <w:rsid w:val="001274D4"/>
    <w:rsid w:val="001325DA"/>
    <w:rsid w:val="00132C0B"/>
    <w:rsid w:val="0013459B"/>
    <w:rsid w:val="00134D97"/>
    <w:rsid w:val="001363AA"/>
    <w:rsid w:val="0013728F"/>
    <w:rsid w:val="001432F1"/>
    <w:rsid w:val="00143884"/>
    <w:rsid w:val="00144ED9"/>
    <w:rsid w:val="00147FEC"/>
    <w:rsid w:val="00152464"/>
    <w:rsid w:val="001537BE"/>
    <w:rsid w:val="001604F5"/>
    <w:rsid w:val="001613F5"/>
    <w:rsid w:val="001626BE"/>
    <w:rsid w:val="001632CA"/>
    <w:rsid w:val="00164CAF"/>
    <w:rsid w:val="001653CE"/>
    <w:rsid w:val="00166347"/>
    <w:rsid w:val="00166651"/>
    <w:rsid w:val="0017294B"/>
    <w:rsid w:val="00174CD6"/>
    <w:rsid w:val="00177C99"/>
    <w:rsid w:val="00180A63"/>
    <w:rsid w:val="001819AF"/>
    <w:rsid w:val="00183E82"/>
    <w:rsid w:val="001846AB"/>
    <w:rsid w:val="0018778A"/>
    <w:rsid w:val="001878BB"/>
    <w:rsid w:val="00187F38"/>
    <w:rsid w:val="00191AE0"/>
    <w:rsid w:val="0019293B"/>
    <w:rsid w:val="001A0E30"/>
    <w:rsid w:val="001A20FC"/>
    <w:rsid w:val="001A3869"/>
    <w:rsid w:val="001A57E7"/>
    <w:rsid w:val="001A6F31"/>
    <w:rsid w:val="001A791F"/>
    <w:rsid w:val="001A7F79"/>
    <w:rsid w:val="001B012F"/>
    <w:rsid w:val="001B10B8"/>
    <w:rsid w:val="001B3AB4"/>
    <w:rsid w:val="001B5ED1"/>
    <w:rsid w:val="001C0308"/>
    <w:rsid w:val="001C0865"/>
    <w:rsid w:val="001C25D2"/>
    <w:rsid w:val="001C3ABA"/>
    <w:rsid w:val="001C4D42"/>
    <w:rsid w:val="001C51E5"/>
    <w:rsid w:val="001C60AF"/>
    <w:rsid w:val="001C74EB"/>
    <w:rsid w:val="001C7616"/>
    <w:rsid w:val="001D19A4"/>
    <w:rsid w:val="001D1FF1"/>
    <w:rsid w:val="001D2712"/>
    <w:rsid w:val="001E0090"/>
    <w:rsid w:val="001E108F"/>
    <w:rsid w:val="001E1485"/>
    <w:rsid w:val="001E16B7"/>
    <w:rsid w:val="001E19B4"/>
    <w:rsid w:val="001E1EF5"/>
    <w:rsid w:val="001E2FF0"/>
    <w:rsid w:val="001E448E"/>
    <w:rsid w:val="001E7014"/>
    <w:rsid w:val="001E7BE8"/>
    <w:rsid w:val="001F0248"/>
    <w:rsid w:val="001F02A0"/>
    <w:rsid w:val="001F0840"/>
    <w:rsid w:val="001F2D6C"/>
    <w:rsid w:val="001F32D3"/>
    <w:rsid w:val="001F3EB3"/>
    <w:rsid w:val="001F4F86"/>
    <w:rsid w:val="001F5E7D"/>
    <w:rsid w:val="0020243A"/>
    <w:rsid w:val="00202C2C"/>
    <w:rsid w:val="002047B6"/>
    <w:rsid w:val="0020494E"/>
    <w:rsid w:val="00207710"/>
    <w:rsid w:val="00207925"/>
    <w:rsid w:val="00210145"/>
    <w:rsid w:val="00210297"/>
    <w:rsid w:val="0021067A"/>
    <w:rsid w:val="00210F8A"/>
    <w:rsid w:val="002110AA"/>
    <w:rsid w:val="0021191B"/>
    <w:rsid w:val="00211DD6"/>
    <w:rsid w:val="00212237"/>
    <w:rsid w:val="002135AB"/>
    <w:rsid w:val="002144BE"/>
    <w:rsid w:val="00220F3A"/>
    <w:rsid w:val="0022493F"/>
    <w:rsid w:val="00225001"/>
    <w:rsid w:val="002264DE"/>
    <w:rsid w:val="002277B2"/>
    <w:rsid w:val="00227AFB"/>
    <w:rsid w:val="00232296"/>
    <w:rsid w:val="00232E25"/>
    <w:rsid w:val="0023410F"/>
    <w:rsid w:val="00241884"/>
    <w:rsid w:val="00241E61"/>
    <w:rsid w:val="0024208A"/>
    <w:rsid w:val="00242279"/>
    <w:rsid w:val="002448B5"/>
    <w:rsid w:val="00245C82"/>
    <w:rsid w:val="00247E98"/>
    <w:rsid w:val="00252396"/>
    <w:rsid w:val="00253034"/>
    <w:rsid w:val="0025408E"/>
    <w:rsid w:val="0025479A"/>
    <w:rsid w:val="00254C39"/>
    <w:rsid w:val="00263BCB"/>
    <w:rsid w:val="00264094"/>
    <w:rsid w:val="00264428"/>
    <w:rsid w:val="0026567F"/>
    <w:rsid w:val="00272F45"/>
    <w:rsid w:val="00273820"/>
    <w:rsid w:val="00274F48"/>
    <w:rsid w:val="002763C3"/>
    <w:rsid w:val="002825A7"/>
    <w:rsid w:val="00282844"/>
    <w:rsid w:val="00283180"/>
    <w:rsid w:val="0028400B"/>
    <w:rsid w:val="002859BA"/>
    <w:rsid w:val="00285D2D"/>
    <w:rsid w:val="002862BD"/>
    <w:rsid w:val="00286790"/>
    <w:rsid w:val="00286DBD"/>
    <w:rsid w:val="00286F86"/>
    <w:rsid w:val="0029019A"/>
    <w:rsid w:val="00291706"/>
    <w:rsid w:val="00291B40"/>
    <w:rsid w:val="00293FA9"/>
    <w:rsid w:val="002965AF"/>
    <w:rsid w:val="002A01F8"/>
    <w:rsid w:val="002A25B2"/>
    <w:rsid w:val="002B0CCE"/>
    <w:rsid w:val="002B1CDC"/>
    <w:rsid w:val="002B2A82"/>
    <w:rsid w:val="002B4008"/>
    <w:rsid w:val="002B5E8A"/>
    <w:rsid w:val="002B61A7"/>
    <w:rsid w:val="002B7C9C"/>
    <w:rsid w:val="002C0C2C"/>
    <w:rsid w:val="002C2CFD"/>
    <w:rsid w:val="002D04C8"/>
    <w:rsid w:val="002D0E8E"/>
    <w:rsid w:val="002D413A"/>
    <w:rsid w:val="002D4155"/>
    <w:rsid w:val="002D7413"/>
    <w:rsid w:val="002E02EC"/>
    <w:rsid w:val="002E0C20"/>
    <w:rsid w:val="002E632D"/>
    <w:rsid w:val="002E7151"/>
    <w:rsid w:val="002E770B"/>
    <w:rsid w:val="002E7868"/>
    <w:rsid w:val="002F26CD"/>
    <w:rsid w:val="002F2B9F"/>
    <w:rsid w:val="002F360F"/>
    <w:rsid w:val="002F41A9"/>
    <w:rsid w:val="002F687C"/>
    <w:rsid w:val="00301189"/>
    <w:rsid w:val="00302323"/>
    <w:rsid w:val="00305CFE"/>
    <w:rsid w:val="00310F5A"/>
    <w:rsid w:val="00311310"/>
    <w:rsid w:val="00311F5A"/>
    <w:rsid w:val="00312895"/>
    <w:rsid w:val="003173D4"/>
    <w:rsid w:val="00323E09"/>
    <w:rsid w:val="00327167"/>
    <w:rsid w:val="003304ED"/>
    <w:rsid w:val="003306F5"/>
    <w:rsid w:val="00332792"/>
    <w:rsid w:val="0033378A"/>
    <w:rsid w:val="00333932"/>
    <w:rsid w:val="00350D93"/>
    <w:rsid w:val="00351053"/>
    <w:rsid w:val="003518AA"/>
    <w:rsid w:val="00352165"/>
    <w:rsid w:val="00352800"/>
    <w:rsid w:val="00353182"/>
    <w:rsid w:val="0035450F"/>
    <w:rsid w:val="003565D9"/>
    <w:rsid w:val="00356C8F"/>
    <w:rsid w:val="0035794D"/>
    <w:rsid w:val="003602E1"/>
    <w:rsid w:val="00361215"/>
    <w:rsid w:val="00361CF1"/>
    <w:rsid w:val="0036236B"/>
    <w:rsid w:val="00363392"/>
    <w:rsid w:val="00363F23"/>
    <w:rsid w:val="00363F68"/>
    <w:rsid w:val="003642EB"/>
    <w:rsid w:val="0036515B"/>
    <w:rsid w:val="00366EDC"/>
    <w:rsid w:val="0036724C"/>
    <w:rsid w:val="0037026F"/>
    <w:rsid w:val="00370C14"/>
    <w:rsid w:val="00371240"/>
    <w:rsid w:val="00372AAA"/>
    <w:rsid w:val="003741FB"/>
    <w:rsid w:val="00374731"/>
    <w:rsid w:val="00374E6F"/>
    <w:rsid w:val="003753D7"/>
    <w:rsid w:val="00375F2B"/>
    <w:rsid w:val="00376E59"/>
    <w:rsid w:val="0037781C"/>
    <w:rsid w:val="00380432"/>
    <w:rsid w:val="003808A3"/>
    <w:rsid w:val="003810D9"/>
    <w:rsid w:val="003814CE"/>
    <w:rsid w:val="00381E33"/>
    <w:rsid w:val="003827EB"/>
    <w:rsid w:val="003845FD"/>
    <w:rsid w:val="00384E40"/>
    <w:rsid w:val="0038561A"/>
    <w:rsid w:val="00385D98"/>
    <w:rsid w:val="00385E71"/>
    <w:rsid w:val="003919F9"/>
    <w:rsid w:val="003947EB"/>
    <w:rsid w:val="0039501B"/>
    <w:rsid w:val="003A0C8C"/>
    <w:rsid w:val="003A22AD"/>
    <w:rsid w:val="003A3922"/>
    <w:rsid w:val="003A5A1B"/>
    <w:rsid w:val="003A6B4F"/>
    <w:rsid w:val="003B088B"/>
    <w:rsid w:val="003B10E6"/>
    <w:rsid w:val="003B2385"/>
    <w:rsid w:val="003B2C4A"/>
    <w:rsid w:val="003B33DC"/>
    <w:rsid w:val="003B41E1"/>
    <w:rsid w:val="003C24D0"/>
    <w:rsid w:val="003C2829"/>
    <w:rsid w:val="003C38B5"/>
    <w:rsid w:val="003C5D99"/>
    <w:rsid w:val="003D07DB"/>
    <w:rsid w:val="003D177D"/>
    <w:rsid w:val="003D7E04"/>
    <w:rsid w:val="003E2F59"/>
    <w:rsid w:val="003E4FFD"/>
    <w:rsid w:val="003F0789"/>
    <w:rsid w:val="003F0B2B"/>
    <w:rsid w:val="003F2E30"/>
    <w:rsid w:val="003F377A"/>
    <w:rsid w:val="003F5B0E"/>
    <w:rsid w:val="003F65E9"/>
    <w:rsid w:val="00401882"/>
    <w:rsid w:val="00401ACA"/>
    <w:rsid w:val="00402478"/>
    <w:rsid w:val="00403401"/>
    <w:rsid w:val="0040342E"/>
    <w:rsid w:val="004038BA"/>
    <w:rsid w:val="004052A5"/>
    <w:rsid w:val="004058F5"/>
    <w:rsid w:val="004100C8"/>
    <w:rsid w:val="00410237"/>
    <w:rsid w:val="004103EC"/>
    <w:rsid w:val="00410F9C"/>
    <w:rsid w:val="00411064"/>
    <w:rsid w:val="00411DBD"/>
    <w:rsid w:val="0041280E"/>
    <w:rsid w:val="00412ACE"/>
    <w:rsid w:val="00412FAE"/>
    <w:rsid w:val="00413698"/>
    <w:rsid w:val="004141C2"/>
    <w:rsid w:val="00415FBE"/>
    <w:rsid w:val="004168CC"/>
    <w:rsid w:val="00422992"/>
    <w:rsid w:val="00424E4E"/>
    <w:rsid w:val="00426800"/>
    <w:rsid w:val="0042783B"/>
    <w:rsid w:val="0043000D"/>
    <w:rsid w:val="00430204"/>
    <w:rsid w:val="0043096B"/>
    <w:rsid w:val="00431249"/>
    <w:rsid w:val="00434C19"/>
    <w:rsid w:val="0043566E"/>
    <w:rsid w:val="00443C1B"/>
    <w:rsid w:val="0044710F"/>
    <w:rsid w:val="004501B8"/>
    <w:rsid w:val="00450810"/>
    <w:rsid w:val="004526D3"/>
    <w:rsid w:val="004545F5"/>
    <w:rsid w:val="00457EF6"/>
    <w:rsid w:val="00462211"/>
    <w:rsid w:val="00463465"/>
    <w:rsid w:val="00463FB1"/>
    <w:rsid w:val="00472F36"/>
    <w:rsid w:val="00473EEE"/>
    <w:rsid w:val="00474E5E"/>
    <w:rsid w:val="004758AF"/>
    <w:rsid w:val="0047701F"/>
    <w:rsid w:val="00477144"/>
    <w:rsid w:val="0048039F"/>
    <w:rsid w:val="00481EC6"/>
    <w:rsid w:val="0048566A"/>
    <w:rsid w:val="004868BB"/>
    <w:rsid w:val="00487D9F"/>
    <w:rsid w:val="00491380"/>
    <w:rsid w:val="0049267D"/>
    <w:rsid w:val="00493045"/>
    <w:rsid w:val="004940F7"/>
    <w:rsid w:val="0049459F"/>
    <w:rsid w:val="00496BBD"/>
    <w:rsid w:val="004A0541"/>
    <w:rsid w:val="004A1037"/>
    <w:rsid w:val="004A2908"/>
    <w:rsid w:val="004A33F0"/>
    <w:rsid w:val="004A38DD"/>
    <w:rsid w:val="004A396C"/>
    <w:rsid w:val="004A465D"/>
    <w:rsid w:val="004A6023"/>
    <w:rsid w:val="004A6212"/>
    <w:rsid w:val="004A6D5C"/>
    <w:rsid w:val="004A7B04"/>
    <w:rsid w:val="004B25CC"/>
    <w:rsid w:val="004B2BF4"/>
    <w:rsid w:val="004B43AE"/>
    <w:rsid w:val="004B4C73"/>
    <w:rsid w:val="004B5E47"/>
    <w:rsid w:val="004B7435"/>
    <w:rsid w:val="004B7657"/>
    <w:rsid w:val="004C30ED"/>
    <w:rsid w:val="004D5675"/>
    <w:rsid w:val="004D6E8B"/>
    <w:rsid w:val="004E1038"/>
    <w:rsid w:val="004E3B27"/>
    <w:rsid w:val="004E3C55"/>
    <w:rsid w:val="004E471F"/>
    <w:rsid w:val="004E6AE2"/>
    <w:rsid w:val="004E7BF3"/>
    <w:rsid w:val="004F00FF"/>
    <w:rsid w:val="004F0E0C"/>
    <w:rsid w:val="004F184E"/>
    <w:rsid w:val="004F1A7B"/>
    <w:rsid w:val="004F1B66"/>
    <w:rsid w:val="004F32E0"/>
    <w:rsid w:val="00500FAA"/>
    <w:rsid w:val="00502788"/>
    <w:rsid w:val="00506ACA"/>
    <w:rsid w:val="00507A46"/>
    <w:rsid w:val="00512FEC"/>
    <w:rsid w:val="00513985"/>
    <w:rsid w:val="005143CB"/>
    <w:rsid w:val="00515DFB"/>
    <w:rsid w:val="00517EF8"/>
    <w:rsid w:val="00520399"/>
    <w:rsid w:val="0052082E"/>
    <w:rsid w:val="00522732"/>
    <w:rsid w:val="005229A9"/>
    <w:rsid w:val="00523639"/>
    <w:rsid w:val="00524936"/>
    <w:rsid w:val="00525774"/>
    <w:rsid w:val="00531FE5"/>
    <w:rsid w:val="00532713"/>
    <w:rsid w:val="00532AD1"/>
    <w:rsid w:val="005335DB"/>
    <w:rsid w:val="005374E1"/>
    <w:rsid w:val="005402FA"/>
    <w:rsid w:val="00541725"/>
    <w:rsid w:val="005423C3"/>
    <w:rsid w:val="00554B9C"/>
    <w:rsid w:val="00556C6D"/>
    <w:rsid w:val="00561C73"/>
    <w:rsid w:val="00564965"/>
    <w:rsid w:val="00566A4A"/>
    <w:rsid w:val="00571E3D"/>
    <w:rsid w:val="005724EA"/>
    <w:rsid w:val="00574E06"/>
    <w:rsid w:val="005755BE"/>
    <w:rsid w:val="00577E33"/>
    <w:rsid w:val="00583C39"/>
    <w:rsid w:val="005841CE"/>
    <w:rsid w:val="00585799"/>
    <w:rsid w:val="00587F28"/>
    <w:rsid w:val="005909CF"/>
    <w:rsid w:val="00591E71"/>
    <w:rsid w:val="0059347E"/>
    <w:rsid w:val="005955EB"/>
    <w:rsid w:val="00595748"/>
    <w:rsid w:val="00595F57"/>
    <w:rsid w:val="005A0D41"/>
    <w:rsid w:val="005A7037"/>
    <w:rsid w:val="005A7FB5"/>
    <w:rsid w:val="005B2A03"/>
    <w:rsid w:val="005B4166"/>
    <w:rsid w:val="005B710E"/>
    <w:rsid w:val="005C3648"/>
    <w:rsid w:val="005C4BB1"/>
    <w:rsid w:val="005C762D"/>
    <w:rsid w:val="005C7D21"/>
    <w:rsid w:val="005D2EDF"/>
    <w:rsid w:val="005D568F"/>
    <w:rsid w:val="005D6051"/>
    <w:rsid w:val="005E1091"/>
    <w:rsid w:val="005E2068"/>
    <w:rsid w:val="005E3758"/>
    <w:rsid w:val="005E68F1"/>
    <w:rsid w:val="005F3BED"/>
    <w:rsid w:val="005F51A1"/>
    <w:rsid w:val="005F5672"/>
    <w:rsid w:val="005F71A7"/>
    <w:rsid w:val="00602FA9"/>
    <w:rsid w:val="00603361"/>
    <w:rsid w:val="006036A7"/>
    <w:rsid w:val="00606F6A"/>
    <w:rsid w:val="00607BF1"/>
    <w:rsid w:val="00610713"/>
    <w:rsid w:val="006134E9"/>
    <w:rsid w:val="00620D3C"/>
    <w:rsid w:val="00624FC4"/>
    <w:rsid w:val="00625AB4"/>
    <w:rsid w:val="00627523"/>
    <w:rsid w:val="00630D4D"/>
    <w:rsid w:val="00632A74"/>
    <w:rsid w:val="00633EA6"/>
    <w:rsid w:val="0063586D"/>
    <w:rsid w:val="006371A7"/>
    <w:rsid w:val="00646D96"/>
    <w:rsid w:val="00646F9B"/>
    <w:rsid w:val="00647EC3"/>
    <w:rsid w:val="00647F78"/>
    <w:rsid w:val="00650222"/>
    <w:rsid w:val="00650634"/>
    <w:rsid w:val="0065095B"/>
    <w:rsid w:val="006549F4"/>
    <w:rsid w:val="00654DE6"/>
    <w:rsid w:val="006566EB"/>
    <w:rsid w:val="00656988"/>
    <w:rsid w:val="00657035"/>
    <w:rsid w:val="00657AFC"/>
    <w:rsid w:val="00661A78"/>
    <w:rsid w:val="0066257B"/>
    <w:rsid w:val="0066525E"/>
    <w:rsid w:val="0066589F"/>
    <w:rsid w:val="00666339"/>
    <w:rsid w:val="006734BD"/>
    <w:rsid w:val="006743E7"/>
    <w:rsid w:val="00676506"/>
    <w:rsid w:val="00680EBA"/>
    <w:rsid w:val="0068271B"/>
    <w:rsid w:val="006838E1"/>
    <w:rsid w:val="00683C19"/>
    <w:rsid w:val="00684C71"/>
    <w:rsid w:val="00684D07"/>
    <w:rsid w:val="00691804"/>
    <w:rsid w:val="00691D8C"/>
    <w:rsid w:val="0069310D"/>
    <w:rsid w:val="006934F7"/>
    <w:rsid w:val="006952EB"/>
    <w:rsid w:val="006A4655"/>
    <w:rsid w:val="006A48C5"/>
    <w:rsid w:val="006A5229"/>
    <w:rsid w:val="006A7008"/>
    <w:rsid w:val="006A77F4"/>
    <w:rsid w:val="006B1F0A"/>
    <w:rsid w:val="006B2B26"/>
    <w:rsid w:val="006B2B3C"/>
    <w:rsid w:val="006B41A5"/>
    <w:rsid w:val="006B6D19"/>
    <w:rsid w:val="006B7164"/>
    <w:rsid w:val="006C14B3"/>
    <w:rsid w:val="006C1D81"/>
    <w:rsid w:val="006C29F4"/>
    <w:rsid w:val="006C32A9"/>
    <w:rsid w:val="006C7038"/>
    <w:rsid w:val="006D057A"/>
    <w:rsid w:val="006D075F"/>
    <w:rsid w:val="006D3A24"/>
    <w:rsid w:val="006D53DA"/>
    <w:rsid w:val="006D7814"/>
    <w:rsid w:val="006E08F6"/>
    <w:rsid w:val="006E1B9C"/>
    <w:rsid w:val="006E4A51"/>
    <w:rsid w:val="006E73EF"/>
    <w:rsid w:val="006F34AC"/>
    <w:rsid w:val="006F6099"/>
    <w:rsid w:val="006F656F"/>
    <w:rsid w:val="006F6EBE"/>
    <w:rsid w:val="00700BDD"/>
    <w:rsid w:val="007027FA"/>
    <w:rsid w:val="007068AB"/>
    <w:rsid w:val="007077A9"/>
    <w:rsid w:val="00710FAB"/>
    <w:rsid w:val="00712104"/>
    <w:rsid w:val="00714968"/>
    <w:rsid w:val="00714D4D"/>
    <w:rsid w:val="00715BE2"/>
    <w:rsid w:val="007208AB"/>
    <w:rsid w:val="00720AFA"/>
    <w:rsid w:val="00721FC8"/>
    <w:rsid w:val="00722B37"/>
    <w:rsid w:val="00726C89"/>
    <w:rsid w:val="007316AF"/>
    <w:rsid w:val="00734B71"/>
    <w:rsid w:val="0073594D"/>
    <w:rsid w:val="0073698A"/>
    <w:rsid w:val="00741134"/>
    <w:rsid w:val="00741A2C"/>
    <w:rsid w:val="007428E5"/>
    <w:rsid w:val="00743ECC"/>
    <w:rsid w:val="00744927"/>
    <w:rsid w:val="007454CF"/>
    <w:rsid w:val="007465CA"/>
    <w:rsid w:val="00747571"/>
    <w:rsid w:val="00750BA2"/>
    <w:rsid w:val="00751B69"/>
    <w:rsid w:val="007538BA"/>
    <w:rsid w:val="00757873"/>
    <w:rsid w:val="007579DB"/>
    <w:rsid w:val="007604BB"/>
    <w:rsid w:val="00760D65"/>
    <w:rsid w:val="00761D10"/>
    <w:rsid w:val="00761E02"/>
    <w:rsid w:val="00762B68"/>
    <w:rsid w:val="00762C0F"/>
    <w:rsid w:val="00763274"/>
    <w:rsid w:val="007637F1"/>
    <w:rsid w:val="00764444"/>
    <w:rsid w:val="00764F2B"/>
    <w:rsid w:val="00765ECB"/>
    <w:rsid w:val="007715D6"/>
    <w:rsid w:val="0077185C"/>
    <w:rsid w:val="007719D5"/>
    <w:rsid w:val="00772949"/>
    <w:rsid w:val="00772E3D"/>
    <w:rsid w:val="007747CA"/>
    <w:rsid w:val="007769C0"/>
    <w:rsid w:val="00776F72"/>
    <w:rsid w:val="00782642"/>
    <w:rsid w:val="00783D2C"/>
    <w:rsid w:val="0078474A"/>
    <w:rsid w:val="00785232"/>
    <w:rsid w:val="0078724F"/>
    <w:rsid w:val="00791A48"/>
    <w:rsid w:val="007926FD"/>
    <w:rsid w:val="00794449"/>
    <w:rsid w:val="007968B7"/>
    <w:rsid w:val="00796C18"/>
    <w:rsid w:val="00796F6E"/>
    <w:rsid w:val="007A074F"/>
    <w:rsid w:val="007A21EB"/>
    <w:rsid w:val="007A301F"/>
    <w:rsid w:val="007A32FD"/>
    <w:rsid w:val="007A44E4"/>
    <w:rsid w:val="007A564D"/>
    <w:rsid w:val="007A5CC6"/>
    <w:rsid w:val="007A75EF"/>
    <w:rsid w:val="007B01E3"/>
    <w:rsid w:val="007B0A95"/>
    <w:rsid w:val="007B1A93"/>
    <w:rsid w:val="007B1E98"/>
    <w:rsid w:val="007B3564"/>
    <w:rsid w:val="007B443C"/>
    <w:rsid w:val="007B691D"/>
    <w:rsid w:val="007C00EA"/>
    <w:rsid w:val="007C12FE"/>
    <w:rsid w:val="007C36C9"/>
    <w:rsid w:val="007C3A70"/>
    <w:rsid w:val="007C4991"/>
    <w:rsid w:val="007C7BB9"/>
    <w:rsid w:val="007D27BB"/>
    <w:rsid w:val="007D5720"/>
    <w:rsid w:val="007D6401"/>
    <w:rsid w:val="007E01E4"/>
    <w:rsid w:val="007E0DCD"/>
    <w:rsid w:val="007E12C3"/>
    <w:rsid w:val="007E2C66"/>
    <w:rsid w:val="007E40F5"/>
    <w:rsid w:val="007E42F9"/>
    <w:rsid w:val="007E463D"/>
    <w:rsid w:val="007F1B48"/>
    <w:rsid w:val="007F1EC7"/>
    <w:rsid w:val="007F3040"/>
    <w:rsid w:val="007F3FDB"/>
    <w:rsid w:val="007F60BD"/>
    <w:rsid w:val="007F7107"/>
    <w:rsid w:val="007F7BA6"/>
    <w:rsid w:val="00800D4C"/>
    <w:rsid w:val="008010D7"/>
    <w:rsid w:val="008102F1"/>
    <w:rsid w:val="0081030F"/>
    <w:rsid w:val="00810330"/>
    <w:rsid w:val="008138EF"/>
    <w:rsid w:val="0081430F"/>
    <w:rsid w:val="00817C79"/>
    <w:rsid w:val="0082087D"/>
    <w:rsid w:val="00825487"/>
    <w:rsid w:val="00825621"/>
    <w:rsid w:val="00825F7A"/>
    <w:rsid w:val="00826A5C"/>
    <w:rsid w:val="00827E2E"/>
    <w:rsid w:val="008314DE"/>
    <w:rsid w:val="00832164"/>
    <w:rsid w:val="00832841"/>
    <w:rsid w:val="00832E22"/>
    <w:rsid w:val="00835771"/>
    <w:rsid w:val="00836DFD"/>
    <w:rsid w:val="00837CD1"/>
    <w:rsid w:val="0084039D"/>
    <w:rsid w:val="00842933"/>
    <w:rsid w:val="00846912"/>
    <w:rsid w:val="00850669"/>
    <w:rsid w:val="00852FFC"/>
    <w:rsid w:val="00854DD0"/>
    <w:rsid w:val="0086082C"/>
    <w:rsid w:val="00863E49"/>
    <w:rsid w:val="00864ADC"/>
    <w:rsid w:val="00865052"/>
    <w:rsid w:val="00865FDA"/>
    <w:rsid w:val="00867ABD"/>
    <w:rsid w:val="0087082D"/>
    <w:rsid w:val="00872AAB"/>
    <w:rsid w:val="00872CC4"/>
    <w:rsid w:val="00874A22"/>
    <w:rsid w:val="0087536B"/>
    <w:rsid w:val="00876719"/>
    <w:rsid w:val="00876E0B"/>
    <w:rsid w:val="00880153"/>
    <w:rsid w:val="00880F97"/>
    <w:rsid w:val="0088133A"/>
    <w:rsid w:val="0088386D"/>
    <w:rsid w:val="00885184"/>
    <w:rsid w:val="00885BC3"/>
    <w:rsid w:val="008924B2"/>
    <w:rsid w:val="0089285E"/>
    <w:rsid w:val="00893055"/>
    <w:rsid w:val="00893FE9"/>
    <w:rsid w:val="0089436C"/>
    <w:rsid w:val="0089491D"/>
    <w:rsid w:val="00894AB5"/>
    <w:rsid w:val="00894AC5"/>
    <w:rsid w:val="0089527C"/>
    <w:rsid w:val="008971F4"/>
    <w:rsid w:val="008A08D6"/>
    <w:rsid w:val="008A26DD"/>
    <w:rsid w:val="008A2FEF"/>
    <w:rsid w:val="008A4184"/>
    <w:rsid w:val="008A6E3B"/>
    <w:rsid w:val="008A7A6C"/>
    <w:rsid w:val="008B18FC"/>
    <w:rsid w:val="008B1C32"/>
    <w:rsid w:val="008B1E92"/>
    <w:rsid w:val="008C1F54"/>
    <w:rsid w:val="008C57B6"/>
    <w:rsid w:val="008C7C68"/>
    <w:rsid w:val="008D3013"/>
    <w:rsid w:val="008D3417"/>
    <w:rsid w:val="008D365C"/>
    <w:rsid w:val="008D5D34"/>
    <w:rsid w:val="008D7EA1"/>
    <w:rsid w:val="008E07C2"/>
    <w:rsid w:val="008E36B1"/>
    <w:rsid w:val="008E38E7"/>
    <w:rsid w:val="008E4895"/>
    <w:rsid w:val="008E4C00"/>
    <w:rsid w:val="008E5C6C"/>
    <w:rsid w:val="008E631F"/>
    <w:rsid w:val="008F2C49"/>
    <w:rsid w:val="008F5A63"/>
    <w:rsid w:val="008F6D8E"/>
    <w:rsid w:val="009030BF"/>
    <w:rsid w:val="00903B27"/>
    <w:rsid w:val="00904B1C"/>
    <w:rsid w:val="009063C7"/>
    <w:rsid w:val="00906765"/>
    <w:rsid w:val="009071FE"/>
    <w:rsid w:val="0091032F"/>
    <w:rsid w:val="009142BE"/>
    <w:rsid w:val="00914368"/>
    <w:rsid w:val="009143DF"/>
    <w:rsid w:val="0091442D"/>
    <w:rsid w:val="00916027"/>
    <w:rsid w:val="00916E17"/>
    <w:rsid w:val="009238FA"/>
    <w:rsid w:val="00926B31"/>
    <w:rsid w:val="00927818"/>
    <w:rsid w:val="0092792B"/>
    <w:rsid w:val="0093084A"/>
    <w:rsid w:val="00931076"/>
    <w:rsid w:val="009345D9"/>
    <w:rsid w:val="00934B15"/>
    <w:rsid w:val="00935F0D"/>
    <w:rsid w:val="009404F2"/>
    <w:rsid w:val="00940C87"/>
    <w:rsid w:val="00942B62"/>
    <w:rsid w:val="009447AB"/>
    <w:rsid w:val="00945951"/>
    <w:rsid w:val="00945C98"/>
    <w:rsid w:val="00945D0F"/>
    <w:rsid w:val="009514FB"/>
    <w:rsid w:val="0095304F"/>
    <w:rsid w:val="0095323B"/>
    <w:rsid w:val="0095348E"/>
    <w:rsid w:val="00953E84"/>
    <w:rsid w:val="009561FB"/>
    <w:rsid w:val="00956A0C"/>
    <w:rsid w:val="00956BD9"/>
    <w:rsid w:val="009572A0"/>
    <w:rsid w:val="0096016D"/>
    <w:rsid w:val="00960778"/>
    <w:rsid w:val="009609F5"/>
    <w:rsid w:val="00962489"/>
    <w:rsid w:val="009656CE"/>
    <w:rsid w:val="009658CD"/>
    <w:rsid w:val="00965D69"/>
    <w:rsid w:val="009671E0"/>
    <w:rsid w:val="00971226"/>
    <w:rsid w:val="0097248A"/>
    <w:rsid w:val="00972771"/>
    <w:rsid w:val="00974835"/>
    <w:rsid w:val="00976AF6"/>
    <w:rsid w:val="00980F68"/>
    <w:rsid w:val="00981E8A"/>
    <w:rsid w:val="0098246B"/>
    <w:rsid w:val="00983713"/>
    <w:rsid w:val="00985F94"/>
    <w:rsid w:val="00986384"/>
    <w:rsid w:val="00986416"/>
    <w:rsid w:val="00986E94"/>
    <w:rsid w:val="0098734F"/>
    <w:rsid w:val="00990C2C"/>
    <w:rsid w:val="009920E3"/>
    <w:rsid w:val="00993491"/>
    <w:rsid w:val="00993CD6"/>
    <w:rsid w:val="00996B2B"/>
    <w:rsid w:val="009A066A"/>
    <w:rsid w:val="009A0FD7"/>
    <w:rsid w:val="009A1AD2"/>
    <w:rsid w:val="009A3294"/>
    <w:rsid w:val="009A5063"/>
    <w:rsid w:val="009B0403"/>
    <w:rsid w:val="009B04E0"/>
    <w:rsid w:val="009B055B"/>
    <w:rsid w:val="009B12D5"/>
    <w:rsid w:val="009B1829"/>
    <w:rsid w:val="009B21E8"/>
    <w:rsid w:val="009B2541"/>
    <w:rsid w:val="009B3AC0"/>
    <w:rsid w:val="009B408D"/>
    <w:rsid w:val="009B5F80"/>
    <w:rsid w:val="009B7B73"/>
    <w:rsid w:val="009B7F67"/>
    <w:rsid w:val="009C0421"/>
    <w:rsid w:val="009C2850"/>
    <w:rsid w:val="009D09DC"/>
    <w:rsid w:val="009D1C75"/>
    <w:rsid w:val="009D3A6C"/>
    <w:rsid w:val="009D779D"/>
    <w:rsid w:val="009E1487"/>
    <w:rsid w:val="009E1844"/>
    <w:rsid w:val="009E1874"/>
    <w:rsid w:val="009E25AE"/>
    <w:rsid w:val="009E31F0"/>
    <w:rsid w:val="009E3870"/>
    <w:rsid w:val="009E60DE"/>
    <w:rsid w:val="009E62E7"/>
    <w:rsid w:val="009E7683"/>
    <w:rsid w:val="009E7E11"/>
    <w:rsid w:val="009F0D1B"/>
    <w:rsid w:val="009F0E32"/>
    <w:rsid w:val="009F4456"/>
    <w:rsid w:val="009F46AE"/>
    <w:rsid w:val="009F49DA"/>
    <w:rsid w:val="009F62E8"/>
    <w:rsid w:val="009F696D"/>
    <w:rsid w:val="009F6BC6"/>
    <w:rsid w:val="00A03993"/>
    <w:rsid w:val="00A05EC9"/>
    <w:rsid w:val="00A07EEF"/>
    <w:rsid w:val="00A07F41"/>
    <w:rsid w:val="00A07F45"/>
    <w:rsid w:val="00A10127"/>
    <w:rsid w:val="00A13C8D"/>
    <w:rsid w:val="00A15668"/>
    <w:rsid w:val="00A160FD"/>
    <w:rsid w:val="00A16346"/>
    <w:rsid w:val="00A16CA2"/>
    <w:rsid w:val="00A17328"/>
    <w:rsid w:val="00A17EA3"/>
    <w:rsid w:val="00A20389"/>
    <w:rsid w:val="00A20948"/>
    <w:rsid w:val="00A22853"/>
    <w:rsid w:val="00A23A20"/>
    <w:rsid w:val="00A23F32"/>
    <w:rsid w:val="00A25283"/>
    <w:rsid w:val="00A25B7C"/>
    <w:rsid w:val="00A268B9"/>
    <w:rsid w:val="00A2703A"/>
    <w:rsid w:val="00A27677"/>
    <w:rsid w:val="00A32AFA"/>
    <w:rsid w:val="00A33C2E"/>
    <w:rsid w:val="00A33DFF"/>
    <w:rsid w:val="00A35115"/>
    <w:rsid w:val="00A36D9A"/>
    <w:rsid w:val="00A41F40"/>
    <w:rsid w:val="00A42742"/>
    <w:rsid w:val="00A43D1A"/>
    <w:rsid w:val="00A45DF2"/>
    <w:rsid w:val="00A47867"/>
    <w:rsid w:val="00A50007"/>
    <w:rsid w:val="00A52942"/>
    <w:rsid w:val="00A53282"/>
    <w:rsid w:val="00A53FDF"/>
    <w:rsid w:val="00A54565"/>
    <w:rsid w:val="00A5492F"/>
    <w:rsid w:val="00A55273"/>
    <w:rsid w:val="00A554AB"/>
    <w:rsid w:val="00A5662C"/>
    <w:rsid w:val="00A57062"/>
    <w:rsid w:val="00A57755"/>
    <w:rsid w:val="00A60815"/>
    <w:rsid w:val="00A62259"/>
    <w:rsid w:val="00A63E97"/>
    <w:rsid w:val="00A63F7C"/>
    <w:rsid w:val="00A63FE1"/>
    <w:rsid w:val="00A7495F"/>
    <w:rsid w:val="00A7609A"/>
    <w:rsid w:val="00A77696"/>
    <w:rsid w:val="00A81A67"/>
    <w:rsid w:val="00A84AB1"/>
    <w:rsid w:val="00A869BC"/>
    <w:rsid w:val="00A87970"/>
    <w:rsid w:val="00A90A29"/>
    <w:rsid w:val="00A90C92"/>
    <w:rsid w:val="00A90E2E"/>
    <w:rsid w:val="00A91AC1"/>
    <w:rsid w:val="00A91D32"/>
    <w:rsid w:val="00A92B53"/>
    <w:rsid w:val="00A93D3B"/>
    <w:rsid w:val="00A94FA6"/>
    <w:rsid w:val="00A9507C"/>
    <w:rsid w:val="00A96909"/>
    <w:rsid w:val="00AA082C"/>
    <w:rsid w:val="00AA1E7E"/>
    <w:rsid w:val="00AA23F3"/>
    <w:rsid w:val="00AA3EDE"/>
    <w:rsid w:val="00AA49A0"/>
    <w:rsid w:val="00AA6134"/>
    <w:rsid w:val="00AA6710"/>
    <w:rsid w:val="00AA7923"/>
    <w:rsid w:val="00AB0681"/>
    <w:rsid w:val="00AB0706"/>
    <w:rsid w:val="00AB239D"/>
    <w:rsid w:val="00AB2481"/>
    <w:rsid w:val="00AB36AF"/>
    <w:rsid w:val="00AB699F"/>
    <w:rsid w:val="00AB76E3"/>
    <w:rsid w:val="00AC4766"/>
    <w:rsid w:val="00AC5BBA"/>
    <w:rsid w:val="00AC6441"/>
    <w:rsid w:val="00AC71FA"/>
    <w:rsid w:val="00AD11C8"/>
    <w:rsid w:val="00AD4E1A"/>
    <w:rsid w:val="00AD520B"/>
    <w:rsid w:val="00AD6252"/>
    <w:rsid w:val="00AE3849"/>
    <w:rsid w:val="00AE44D9"/>
    <w:rsid w:val="00AE6FFF"/>
    <w:rsid w:val="00AF123F"/>
    <w:rsid w:val="00AF157F"/>
    <w:rsid w:val="00AF49ED"/>
    <w:rsid w:val="00AF69B4"/>
    <w:rsid w:val="00AF6E36"/>
    <w:rsid w:val="00B017B0"/>
    <w:rsid w:val="00B02265"/>
    <w:rsid w:val="00B02BC6"/>
    <w:rsid w:val="00B14026"/>
    <w:rsid w:val="00B15B28"/>
    <w:rsid w:val="00B15BC2"/>
    <w:rsid w:val="00B164CD"/>
    <w:rsid w:val="00B17D1C"/>
    <w:rsid w:val="00B20568"/>
    <w:rsid w:val="00B227FA"/>
    <w:rsid w:val="00B26602"/>
    <w:rsid w:val="00B26BA9"/>
    <w:rsid w:val="00B27DB2"/>
    <w:rsid w:val="00B32583"/>
    <w:rsid w:val="00B34873"/>
    <w:rsid w:val="00B408A8"/>
    <w:rsid w:val="00B4131C"/>
    <w:rsid w:val="00B425C3"/>
    <w:rsid w:val="00B42D82"/>
    <w:rsid w:val="00B440AD"/>
    <w:rsid w:val="00B4682F"/>
    <w:rsid w:val="00B46937"/>
    <w:rsid w:val="00B479BB"/>
    <w:rsid w:val="00B50129"/>
    <w:rsid w:val="00B53DF0"/>
    <w:rsid w:val="00B53E7E"/>
    <w:rsid w:val="00B56CDE"/>
    <w:rsid w:val="00B56E66"/>
    <w:rsid w:val="00B57058"/>
    <w:rsid w:val="00B577AB"/>
    <w:rsid w:val="00B614D7"/>
    <w:rsid w:val="00B61914"/>
    <w:rsid w:val="00B6342E"/>
    <w:rsid w:val="00B701D9"/>
    <w:rsid w:val="00B70C0D"/>
    <w:rsid w:val="00B7113F"/>
    <w:rsid w:val="00B72410"/>
    <w:rsid w:val="00B75127"/>
    <w:rsid w:val="00B7512C"/>
    <w:rsid w:val="00B77C59"/>
    <w:rsid w:val="00B81646"/>
    <w:rsid w:val="00B84FB1"/>
    <w:rsid w:val="00B917E7"/>
    <w:rsid w:val="00B928AB"/>
    <w:rsid w:val="00BA2B36"/>
    <w:rsid w:val="00BA4840"/>
    <w:rsid w:val="00BA5856"/>
    <w:rsid w:val="00BA61FF"/>
    <w:rsid w:val="00BA73B6"/>
    <w:rsid w:val="00BA7E27"/>
    <w:rsid w:val="00BB15A9"/>
    <w:rsid w:val="00BB2603"/>
    <w:rsid w:val="00BB36BD"/>
    <w:rsid w:val="00BB4FCD"/>
    <w:rsid w:val="00BB5BE6"/>
    <w:rsid w:val="00BB6C7A"/>
    <w:rsid w:val="00BB6DB7"/>
    <w:rsid w:val="00BB72DE"/>
    <w:rsid w:val="00BB7C55"/>
    <w:rsid w:val="00BC04E9"/>
    <w:rsid w:val="00BC091E"/>
    <w:rsid w:val="00BC22F8"/>
    <w:rsid w:val="00BC304E"/>
    <w:rsid w:val="00BC6A35"/>
    <w:rsid w:val="00BD13EA"/>
    <w:rsid w:val="00BD3FDE"/>
    <w:rsid w:val="00BD79E9"/>
    <w:rsid w:val="00BE08D9"/>
    <w:rsid w:val="00BE3808"/>
    <w:rsid w:val="00BE3E26"/>
    <w:rsid w:val="00BE41BC"/>
    <w:rsid w:val="00BE4AD9"/>
    <w:rsid w:val="00BE60C6"/>
    <w:rsid w:val="00BE618C"/>
    <w:rsid w:val="00BE6E25"/>
    <w:rsid w:val="00BE76E1"/>
    <w:rsid w:val="00BF13DA"/>
    <w:rsid w:val="00BF35DA"/>
    <w:rsid w:val="00BF3D6B"/>
    <w:rsid w:val="00BF45EA"/>
    <w:rsid w:val="00C015E1"/>
    <w:rsid w:val="00C026B6"/>
    <w:rsid w:val="00C062E9"/>
    <w:rsid w:val="00C06A7B"/>
    <w:rsid w:val="00C0763E"/>
    <w:rsid w:val="00C07B64"/>
    <w:rsid w:val="00C10AF9"/>
    <w:rsid w:val="00C11CBC"/>
    <w:rsid w:val="00C13721"/>
    <w:rsid w:val="00C145F3"/>
    <w:rsid w:val="00C1461D"/>
    <w:rsid w:val="00C14FE4"/>
    <w:rsid w:val="00C167C1"/>
    <w:rsid w:val="00C16885"/>
    <w:rsid w:val="00C177C7"/>
    <w:rsid w:val="00C17FB3"/>
    <w:rsid w:val="00C23B91"/>
    <w:rsid w:val="00C26D5F"/>
    <w:rsid w:val="00C30060"/>
    <w:rsid w:val="00C3066D"/>
    <w:rsid w:val="00C324A9"/>
    <w:rsid w:val="00C328CC"/>
    <w:rsid w:val="00C32965"/>
    <w:rsid w:val="00C32AA6"/>
    <w:rsid w:val="00C34A0C"/>
    <w:rsid w:val="00C359A0"/>
    <w:rsid w:val="00C35ECD"/>
    <w:rsid w:val="00C4009E"/>
    <w:rsid w:val="00C4169D"/>
    <w:rsid w:val="00C41A38"/>
    <w:rsid w:val="00C41E14"/>
    <w:rsid w:val="00C42DDA"/>
    <w:rsid w:val="00C50C5B"/>
    <w:rsid w:val="00C52416"/>
    <w:rsid w:val="00C53028"/>
    <w:rsid w:val="00C53134"/>
    <w:rsid w:val="00C5381B"/>
    <w:rsid w:val="00C543F4"/>
    <w:rsid w:val="00C54FF1"/>
    <w:rsid w:val="00C6291C"/>
    <w:rsid w:val="00C633CB"/>
    <w:rsid w:val="00C71CC9"/>
    <w:rsid w:val="00C736B7"/>
    <w:rsid w:val="00C73D29"/>
    <w:rsid w:val="00C770A5"/>
    <w:rsid w:val="00C77224"/>
    <w:rsid w:val="00C7730A"/>
    <w:rsid w:val="00C81D4A"/>
    <w:rsid w:val="00C837D7"/>
    <w:rsid w:val="00C83FC6"/>
    <w:rsid w:val="00C845F3"/>
    <w:rsid w:val="00C858C4"/>
    <w:rsid w:val="00C8762C"/>
    <w:rsid w:val="00C90DE2"/>
    <w:rsid w:val="00C9208E"/>
    <w:rsid w:val="00C94D06"/>
    <w:rsid w:val="00C959FF"/>
    <w:rsid w:val="00C97123"/>
    <w:rsid w:val="00CA00F9"/>
    <w:rsid w:val="00CA2961"/>
    <w:rsid w:val="00CA345A"/>
    <w:rsid w:val="00CA539C"/>
    <w:rsid w:val="00CA62CF"/>
    <w:rsid w:val="00CB384D"/>
    <w:rsid w:val="00CB47C2"/>
    <w:rsid w:val="00CB50D7"/>
    <w:rsid w:val="00CB7177"/>
    <w:rsid w:val="00CB7444"/>
    <w:rsid w:val="00CC0359"/>
    <w:rsid w:val="00CC0637"/>
    <w:rsid w:val="00CC1998"/>
    <w:rsid w:val="00CC42B3"/>
    <w:rsid w:val="00CC4946"/>
    <w:rsid w:val="00CC67E2"/>
    <w:rsid w:val="00CC776B"/>
    <w:rsid w:val="00CD08D5"/>
    <w:rsid w:val="00CD16CB"/>
    <w:rsid w:val="00CD1DC0"/>
    <w:rsid w:val="00CD2E20"/>
    <w:rsid w:val="00CE1132"/>
    <w:rsid w:val="00CE2244"/>
    <w:rsid w:val="00CE337E"/>
    <w:rsid w:val="00CE50D7"/>
    <w:rsid w:val="00CE6ABC"/>
    <w:rsid w:val="00CE6F95"/>
    <w:rsid w:val="00CF03CB"/>
    <w:rsid w:val="00CF687A"/>
    <w:rsid w:val="00CF6C73"/>
    <w:rsid w:val="00D015B2"/>
    <w:rsid w:val="00D01C72"/>
    <w:rsid w:val="00D02251"/>
    <w:rsid w:val="00D05681"/>
    <w:rsid w:val="00D06234"/>
    <w:rsid w:val="00D074F3"/>
    <w:rsid w:val="00D108FB"/>
    <w:rsid w:val="00D12C87"/>
    <w:rsid w:val="00D177A4"/>
    <w:rsid w:val="00D179E4"/>
    <w:rsid w:val="00D17F8B"/>
    <w:rsid w:val="00D2003C"/>
    <w:rsid w:val="00D2259A"/>
    <w:rsid w:val="00D24561"/>
    <w:rsid w:val="00D25BE6"/>
    <w:rsid w:val="00D270A4"/>
    <w:rsid w:val="00D27453"/>
    <w:rsid w:val="00D27C43"/>
    <w:rsid w:val="00D30131"/>
    <w:rsid w:val="00D30540"/>
    <w:rsid w:val="00D31894"/>
    <w:rsid w:val="00D31FE9"/>
    <w:rsid w:val="00D32261"/>
    <w:rsid w:val="00D3257D"/>
    <w:rsid w:val="00D32899"/>
    <w:rsid w:val="00D32A3B"/>
    <w:rsid w:val="00D33C01"/>
    <w:rsid w:val="00D34E1B"/>
    <w:rsid w:val="00D358F0"/>
    <w:rsid w:val="00D35E11"/>
    <w:rsid w:val="00D376BA"/>
    <w:rsid w:val="00D4153C"/>
    <w:rsid w:val="00D45634"/>
    <w:rsid w:val="00D45D20"/>
    <w:rsid w:val="00D505B0"/>
    <w:rsid w:val="00D53ED1"/>
    <w:rsid w:val="00D5568A"/>
    <w:rsid w:val="00D56EAA"/>
    <w:rsid w:val="00D56F6A"/>
    <w:rsid w:val="00D57509"/>
    <w:rsid w:val="00D576D5"/>
    <w:rsid w:val="00D63D73"/>
    <w:rsid w:val="00D64452"/>
    <w:rsid w:val="00D6449A"/>
    <w:rsid w:val="00D646CA"/>
    <w:rsid w:val="00D651DF"/>
    <w:rsid w:val="00D65271"/>
    <w:rsid w:val="00D653EF"/>
    <w:rsid w:val="00D66E1E"/>
    <w:rsid w:val="00D66F7E"/>
    <w:rsid w:val="00D67032"/>
    <w:rsid w:val="00D67D16"/>
    <w:rsid w:val="00D72166"/>
    <w:rsid w:val="00D7283D"/>
    <w:rsid w:val="00D74650"/>
    <w:rsid w:val="00D75722"/>
    <w:rsid w:val="00D75DC9"/>
    <w:rsid w:val="00D80CF5"/>
    <w:rsid w:val="00D81BF7"/>
    <w:rsid w:val="00D83948"/>
    <w:rsid w:val="00D846F7"/>
    <w:rsid w:val="00D8515E"/>
    <w:rsid w:val="00D86AD2"/>
    <w:rsid w:val="00D91647"/>
    <w:rsid w:val="00D922C3"/>
    <w:rsid w:val="00D928B3"/>
    <w:rsid w:val="00D93BA2"/>
    <w:rsid w:val="00D953B5"/>
    <w:rsid w:val="00D9644E"/>
    <w:rsid w:val="00D96E95"/>
    <w:rsid w:val="00D9761F"/>
    <w:rsid w:val="00D97918"/>
    <w:rsid w:val="00D97E2C"/>
    <w:rsid w:val="00DA1B8F"/>
    <w:rsid w:val="00DA247C"/>
    <w:rsid w:val="00DA3A1F"/>
    <w:rsid w:val="00DA5BBA"/>
    <w:rsid w:val="00DA6197"/>
    <w:rsid w:val="00DB26D2"/>
    <w:rsid w:val="00DB5F4B"/>
    <w:rsid w:val="00DB67C9"/>
    <w:rsid w:val="00DC0C95"/>
    <w:rsid w:val="00DC28C2"/>
    <w:rsid w:val="00DC3883"/>
    <w:rsid w:val="00DC4678"/>
    <w:rsid w:val="00DC4787"/>
    <w:rsid w:val="00DC75D6"/>
    <w:rsid w:val="00DD1D3E"/>
    <w:rsid w:val="00DD2C7B"/>
    <w:rsid w:val="00DD38A5"/>
    <w:rsid w:val="00DD41A2"/>
    <w:rsid w:val="00DD5B8D"/>
    <w:rsid w:val="00DD6580"/>
    <w:rsid w:val="00DD7E69"/>
    <w:rsid w:val="00DE2CC2"/>
    <w:rsid w:val="00DE5261"/>
    <w:rsid w:val="00DE5549"/>
    <w:rsid w:val="00DE7441"/>
    <w:rsid w:val="00DF16B6"/>
    <w:rsid w:val="00DF23A8"/>
    <w:rsid w:val="00DF3B10"/>
    <w:rsid w:val="00DF3C8C"/>
    <w:rsid w:val="00DF47F5"/>
    <w:rsid w:val="00DF5258"/>
    <w:rsid w:val="00DF7803"/>
    <w:rsid w:val="00DF7A4B"/>
    <w:rsid w:val="00E0122A"/>
    <w:rsid w:val="00E025F9"/>
    <w:rsid w:val="00E03028"/>
    <w:rsid w:val="00E03618"/>
    <w:rsid w:val="00E10A98"/>
    <w:rsid w:val="00E11C8E"/>
    <w:rsid w:val="00E16B92"/>
    <w:rsid w:val="00E17C72"/>
    <w:rsid w:val="00E21EFA"/>
    <w:rsid w:val="00E21FC6"/>
    <w:rsid w:val="00E2433D"/>
    <w:rsid w:val="00E25A81"/>
    <w:rsid w:val="00E27064"/>
    <w:rsid w:val="00E272BE"/>
    <w:rsid w:val="00E273CC"/>
    <w:rsid w:val="00E306A8"/>
    <w:rsid w:val="00E307C2"/>
    <w:rsid w:val="00E308F5"/>
    <w:rsid w:val="00E31EC5"/>
    <w:rsid w:val="00E375E1"/>
    <w:rsid w:val="00E41E28"/>
    <w:rsid w:val="00E431A9"/>
    <w:rsid w:val="00E4472D"/>
    <w:rsid w:val="00E45056"/>
    <w:rsid w:val="00E4671B"/>
    <w:rsid w:val="00E47361"/>
    <w:rsid w:val="00E52257"/>
    <w:rsid w:val="00E52CF7"/>
    <w:rsid w:val="00E543F7"/>
    <w:rsid w:val="00E54CE3"/>
    <w:rsid w:val="00E56FBA"/>
    <w:rsid w:val="00E64325"/>
    <w:rsid w:val="00E64B40"/>
    <w:rsid w:val="00E660EF"/>
    <w:rsid w:val="00E669E2"/>
    <w:rsid w:val="00E70D1C"/>
    <w:rsid w:val="00E71205"/>
    <w:rsid w:val="00E71360"/>
    <w:rsid w:val="00E7323A"/>
    <w:rsid w:val="00E76135"/>
    <w:rsid w:val="00E82F4F"/>
    <w:rsid w:val="00E83FC0"/>
    <w:rsid w:val="00E84F78"/>
    <w:rsid w:val="00E905A4"/>
    <w:rsid w:val="00E92224"/>
    <w:rsid w:val="00E93BA7"/>
    <w:rsid w:val="00E95B9F"/>
    <w:rsid w:val="00EA1E72"/>
    <w:rsid w:val="00EA211D"/>
    <w:rsid w:val="00EB1730"/>
    <w:rsid w:val="00EB29C6"/>
    <w:rsid w:val="00EC1343"/>
    <w:rsid w:val="00EC2844"/>
    <w:rsid w:val="00EC4153"/>
    <w:rsid w:val="00EC4B78"/>
    <w:rsid w:val="00EC5500"/>
    <w:rsid w:val="00EC5A5C"/>
    <w:rsid w:val="00EC735F"/>
    <w:rsid w:val="00ED18F8"/>
    <w:rsid w:val="00ED52D6"/>
    <w:rsid w:val="00ED7585"/>
    <w:rsid w:val="00EE20EB"/>
    <w:rsid w:val="00EE4525"/>
    <w:rsid w:val="00EE5E57"/>
    <w:rsid w:val="00EE6076"/>
    <w:rsid w:val="00EE617B"/>
    <w:rsid w:val="00EE6923"/>
    <w:rsid w:val="00EE7CCA"/>
    <w:rsid w:val="00EF27A8"/>
    <w:rsid w:val="00EF34A4"/>
    <w:rsid w:val="00EF3627"/>
    <w:rsid w:val="00EF4E4B"/>
    <w:rsid w:val="00EF5A92"/>
    <w:rsid w:val="00EF5F78"/>
    <w:rsid w:val="00EF64FE"/>
    <w:rsid w:val="00EF696C"/>
    <w:rsid w:val="00EF6C6C"/>
    <w:rsid w:val="00F02CD5"/>
    <w:rsid w:val="00F04248"/>
    <w:rsid w:val="00F056FC"/>
    <w:rsid w:val="00F05DAA"/>
    <w:rsid w:val="00F10476"/>
    <w:rsid w:val="00F135D8"/>
    <w:rsid w:val="00F14E59"/>
    <w:rsid w:val="00F1520F"/>
    <w:rsid w:val="00F2052E"/>
    <w:rsid w:val="00F22271"/>
    <w:rsid w:val="00F2289D"/>
    <w:rsid w:val="00F23544"/>
    <w:rsid w:val="00F23F00"/>
    <w:rsid w:val="00F2445E"/>
    <w:rsid w:val="00F31299"/>
    <w:rsid w:val="00F34E8E"/>
    <w:rsid w:val="00F3534A"/>
    <w:rsid w:val="00F374D7"/>
    <w:rsid w:val="00F37D33"/>
    <w:rsid w:val="00F404FA"/>
    <w:rsid w:val="00F40E6F"/>
    <w:rsid w:val="00F41C2F"/>
    <w:rsid w:val="00F42297"/>
    <w:rsid w:val="00F42B94"/>
    <w:rsid w:val="00F42CAF"/>
    <w:rsid w:val="00F43EF1"/>
    <w:rsid w:val="00F44A7D"/>
    <w:rsid w:val="00F455B8"/>
    <w:rsid w:val="00F51609"/>
    <w:rsid w:val="00F51DDE"/>
    <w:rsid w:val="00F52C92"/>
    <w:rsid w:val="00F531B1"/>
    <w:rsid w:val="00F54A86"/>
    <w:rsid w:val="00F551EE"/>
    <w:rsid w:val="00F60428"/>
    <w:rsid w:val="00F60CE3"/>
    <w:rsid w:val="00F63D81"/>
    <w:rsid w:val="00F65A3D"/>
    <w:rsid w:val="00F67FF0"/>
    <w:rsid w:val="00F714A8"/>
    <w:rsid w:val="00F722E5"/>
    <w:rsid w:val="00F73847"/>
    <w:rsid w:val="00F73FC2"/>
    <w:rsid w:val="00F740B4"/>
    <w:rsid w:val="00F77ACA"/>
    <w:rsid w:val="00F81006"/>
    <w:rsid w:val="00F81169"/>
    <w:rsid w:val="00F8199C"/>
    <w:rsid w:val="00F844FA"/>
    <w:rsid w:val="00F85325"/>
    <w:rsid w:val="00F86892"/>
    <w:rsid w:val="00F92A4E"/>
    <w:rsid w:val="00F95684"/>
    <w:rsid w:val="00FA0330"/>
    <w:rsid w:val="00FA3FEE"/>
    <w:rsid w:val="00FA58AF"/>
    <w:rsid w:val="00FA634F"/>
    <w:rsid w:val="00FA6496"/>
    <w:rsid w:val="00FB0594"/>
    <w:rsid w:val="00FB0AA0"/>
    <w:rsid w:val="00FB2BA1"/>
    <w:rsid w:val="00FB3192"/>
    <w:rsid w:val="00FB34BB"/>
    <w:rsid w:val="00FB5429"/>
    <w:rsid w:val="00FB66BF"/>
    <w:rsid w:val="00FC0101"/>
    <w:rsid w:val="00FC01E0"/>
    <w:rsid w:val="00FC3D6E"/>
    <w:rsid w:val="00FC5621"/>
    <w:rsid w:val="00FC75EE"/>
    <w:rsid w:val="00FD0AB6"/>
    <w:rsid w:val="00FD16FE"/>
    <w:rsid w:val="00FD1DB6"/>
    <w:rsid w:val="00FD22B1"/>
    <w:rsid w:val="00FD4350"/>
    <w:rsid w:val="00FE2D3D"/>
    <w:rsid w:val="00FE4886"/>
    <w:rsid w:val="00FE4FA5"/>
    <w:rsid w:val="00FE5397"/>
    <w:rsid w:val="00FE6975"/>
    <w:rsid w:val="00FF1168"/>
    <w:rsid w:val="00FF4357"/>
    <w:rsid w:val="00FF4A32"/>
    <w:rsid w:val="00FF4EC5"/>
    <w:rsid w:val="00FF7B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uiPriority="99" w:qFormat="1"/>
    <w:lsdException w:name="heading 3" w:uiPriority="99" w:qFormat="1"/>
    <w:lsdException w:name="heading 4" w:uiPriority="99" w:qFormat="1"/>
    <w:lsdException w:name="heading 5" w:qFormat="1"/>
    <w:lsdException w:name="footnote text" w:uiPriority="99"/>
    <w:lsdException w:name="footnote reference" w:uiPriority="99"/>
    <w:lsdException w:name="List Bullet" w:uiPriority="99"/>
    <w:lsdException w:name="List Bullet 2"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35ECD"/>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uiPriority w:val="99"/>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uiPriority w:val="99"/>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4A7B04"/>
    <w:rPr>
      <w:sz w:val="52"/>
    </w:rPr>
  </w:style>
  <w:style w:type="character" w:customStyle="1" w:styleId="Heading2Char">
    <w:name w:val="Heading 2 Char"/>
    <w:basedOn w:val="DefaultParagraphFont"/>
    <w:link w:val="Heading2"/>
    <w:uiPriority w:val="99"/>
    <w:rsid w:val="004A7B04"/>
    <w:rPr>
      <w:rFonts w:ascii="Arial" w:hAnsi="Arial"/>
      <w:b/>
      <w:sz w:val="32"/>
    </w:rPr>
  </w:style>
  <w:style w:type="character" w:customStyle="1" w:styleId="Heading3Char">
    <w:name w:val="Heading 3 Char"/>
    <w:basedOn w:val="DefaultParagraphFont"/>
    <w:link w:val="Heading3"/>
    <w:uiPriority w:val="99"/>
    <w:rsid w:val="004A7B04"/>
    <w:rPr>
      <w:rFonts w:ascii="Arial" w:hAnsi="Arial"/>
      <w:b/>
      <w:sz w:val="26"/>
    </w:rPr>
  </w:style>
  <w:style w:type="character" w:customStyle="1" w:styleId="Heading4Char">
    <w:name w:val="Heading 4 Char"/>
    <w:basedOn w:val="DefaultParagraphFont"/>
    <w:link w:val="Heading4"/>
    <w:uiPriority w:val="99"/>
    <w:rsid w:val="004A7B04"/>
    <w:rPr>
      <w:rFonts w:ascii="Arial" w:hAnsi="Arial"/>
      <w:i/>
      <w:sz w:val="24"/>
    </w:rPr>
  </w:style>
  <w:style w:type="character" w:customStyle="1" w:styleId="Heading5Char">
    <w:name w:val="Heading 5 Char"/>
    <w:basedOn w:val="DefaultParagraphFont"/>
    <w:link w:val="Heading5"/>
    <w:rsid w:val="004A7B04"/>
    <w:rPr>
      <w:i/>
      <w:sz w:val="26"/>
    </w:rPr>
  </w:style>
  <w:style w:type="character" w:customStyle="1" w:styleId="Heading6Char">
    <w:name w:val="Heading 6 Char"/>
    <w:basedOn w:val="DefaultParagraphFont"/>
    <w:link w:val="Heading6"/>
    <w:rsid w:val="004A7B04"/>
    <w:rPr>
      <w:i/>
      <w:sz w:val="22"/>
    </w:rPr>
  </w:style>
  <w:style w:type="character" w:customStyle="1" w:styleId="Heading7Char">
    <w:name w:val="Heading 7 Char"/>
    <w:basedOn w:val="DefaultParagraphFont"/>
    <w:link w:val="Heading7"/>
    <w:rsid w:val="004A7B04"/>
    <w:rPr>
      <w:rFonts w:ascii="Arial" w:hAnsi="Arial"/>
    </w:rPr>
  </w:style>
  <w:style w:type="character" w:customStyle="1" w:styleId="Heading8Char">
    <w:name w:val="Heading 8 Char"/>
    <w:basedOn w:val="DefaultParagraphFont"/>
    <w:link w:val="Heading8"/>
    <w:rsid w:val="004A7B04"/>
    <w:rPr>
      <w:rFonts w:ascii="Arial" w:hAnsi="Arial"/>
      <w:i/>
    </w:rPr>
  </w:style>
  <w:style w:type="character" w:customStyle="1" w:styleId="Heading9Char">
    <w:name w:val="Heading 9 Char"/>
    <w:basedOn w:val="DefaultParagraphFont"/>
    <w:link w:val="Heading9"/>
    <w:rsid w:val="004A7B04"/>
    <w:rPr>
      <w:rFonts w:ascii="Arial" w:hAnsi="Arial"/>
      <w:b/>
      <w:i/>
      <w:sz w:val="18"/>
    </w:rPr>
  </w:style>
  <w:style w:type="character" w:customStyle="1" w:styleId="BodyTextChar">
    <w:name w:val="Body Text Char"/>
    <w:basedOn w:val="DefaultParagraphFont"/>
    <w:link w:val="BodyText"/>
    <w:rsid w:val="004A7B04"/>
    <w:rPr>
      <w:sz w:val="26"/>
    </w:rPr>
  </w:style>
  <w:style w:type="character" w:customStyle="1" w:styleId="FooterChar">
    <w:name w:val="Footer Char"/>
    <w:basedOn w:val="DefaultParagraphFont"/>
    <w:link w:val="Footer"/>
    <w:rsid w:val="004A7B04"/>
    <w:rPr>
      <w:caps/>
      <w:spacing w:val="-4"/>
      <w:sz w:val="16"/>
    </w:rPr>
  </w:style>
  <w:style w:type="character" w:customStyle="1" w:styleId="HeaderChar">
    <w:name w:val="Header Char"/>
    <w:basedOn w:val="DefaultParagraphFont"/>
    <w:link w:val="Header"/>
    <w:rsid w:val="004A7B04"/>
    <w:rPr>
      <w:rFonts w:ascii="Arial" w:hAnsi="Arial"/>
      <w:caps/>
      <w:sz w:val="26"/>
    </w:rPr>
  </w:style>
  <w:style w:type="character" w:customStyle="1" w:styleId="CommentTextChar">
    <w:name w:val="Comment Text Char"/>
    <w:basedOn w:val="DefaultParagraphFont"/>
    <w:semiHidden/>
    <w:rsid w:val="004A7B04"/>
    <w:rPr>
      <w:szCs w:val="24"/>
    </w:rPr>
  </w:style>
  <w:style w:type="character" w:customStyle="1" w:styleId="FootnoteTextChar">
    <w:name w:val="Footnote Text Char"/>
    <w:basedOn w:val="DefaultParagraphFont"/>
    <w:link w:val="FootnoteText"/>
    <w:uiPriority w:val="99"/>
    <w:rsid w:val="004A7B04"/>
    <w:rPr>
      <w:sz w:val="22"/>
    </w:rPr>
  </w:style>
  <w:style w:type="character" w:customStyle="1" w:styleId="QuoteChar">
    <w:name w:val="Quote Char"/>
    <w:basedOn w:val="DefaultParagraphFont"/>
    <w:link w:val="Quote"/>
    <w:uiPriority w:val="99"/>
    <w:rsid w:val="004A7B04"/>
    <w:rPr>
      <w:sz w:val="24"/>
    </w:rPr>
  </w:style>
  <w:style w:type="paragraph" w:styleId="NormalWeb">
    <w:name w:val="Normal (Web)"/>
    <w:basedOn w:val="Normal"/>
    <w:uiPriority w:val="99"/>
    <w:unhideWhenUsed/>
    <w:rsid w:val="004A7B04"/>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4A7B04"/>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4A7B04"/>
    <w:rPr>
      <w:szCs w:val="24"/>
    </w:rPr>
  </w:style>
  <w:style w:type="character" w:customStyle="1" w:styleId="CommentSubjectChar">
    <w:name w:val="Comment Subject Char"/>
    <w:basedOn w:val="CommentTextChar1"/>
    <w:link w:val="CommentSubject"/>
    <w:rsid w:val="004A7B04"/>
    <w:rPr>
      <w:b/>
      <w:bCs/>
      <w:szCs w:val="24"/>
    </w:rPr>
  </w:style>
  <w:style w:type="paragraph" w:styleId="Revision">
    <w:name w:val="Revision"/>
    <w:hidden/>
    <w:uiPriority w:val="99"/>
    <w:semiHidden/>
    <w:rsid w:val="004A7B04"/>
    <w:rPr>
      <w:sz w:val="26"/>
      <w:szCs w:val="24"/>
    </w:rPr>
  </w:style>
  <w:style w:type="table" w:styleId="TableGrid">
    <w:name w:val="Table Grid"/>
    <w:basedOn w:val="TableNormal"/>
    <w:rsid w:val="00650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uiPriority="99" w:qFormat="1"/>
    <w:lsdException w:name="heading 3" w:uiPriority="99" w:qFormat="1"/>
    <w:lsdException w:name="heading 4" w:uiPriority="99" w:qFormat="1"/>
    <w:lsdException w:name="heading 5" w:qFormat="1"/>
    <w:lsdException w:name="footnote text" w:uiPriority="99"/>
    <w:lsdException w:name="footnote reference" w:uiPriority="99"/>
    <w:lsdException w:name="List Bullet" w:uiPriority="99"/>
    <w:lsdException w:name="List Bullet 2"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35ECD"/>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uiPriority w:val="99"/>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uiPriority w:val="99"/>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4A7B04"/>
    <w:rPr>
      <w:sz w:val="52"/>
    </w:rPr>
  </w:style>
  <w:style w:type="character" w:customStyle="1" w:styleId="Heading2Char">
    <w:name w:val="Heading 2 Char"/>
    <w:basedOn w:val="DefaultParagraphFont"/>
    <w:link w:val="Heading2"/>
    <w:uiPriority w:val="99"/>
    <w:rsid w:val="004A7B04"/>
    <w:rPr>
      <w:rFonts w:ascii="Arial" w:hAnsi="Arial"/>
      <w:b/>
      <w:sz w:val="32"/>
    </w:rPr>
  </w:style>
  <w:style w:type="character" w:customStyle="1" w:styleId="Heading3Char">
    <w:name w:val="Heading 3 Char"/>
    <w:basedOn w:val="DefaultParagraphFont"/>
    <w:link w:val="Heading3"/>
    <w:uiPriority w:val="99"/>
    <w:rsid w:val="004A7B04"/>
    <w:rPr>
      <w:rFonts w:ascii="Arial" w:hAnsi="Arial"/>
      <w:b/>
      <w:sz w:val="26"/>
    </w:rPr>
  </w:style>
  <w:style w:type="character" w:customStyle="1" w:styleId="Heading4Char">
    <w:name w:val="Heading 4 Char"/>
    <w:basedOn w:val="DefaultParagraphFont"/>
    <w:link w:val="Heading4"/>
    <w:uiPriority w:val="99"/>
    <w:rsid w:val="004A7B04"/>
    <w:rPr>
      <w:rFonts w:ascii="Arial" w:hAnsi="Arial"/>
      <w:i/>
      <w:sz w:val="24"/>
    </w:rPr>
  </w:style>
  <w:style w:type="character" w:customStyle="1" w:styleId="Heading5Char">
    <w:name w:val="Heading 5 Char"/>
    <w:basedOn w:val="DefaultParagraphFont"/>
    <w:link w:val="Heading5"/>
    <w:rsid w:val="004A7B04"/>
    <w:rPr>
      <w:i/>
      <w:sz w:val="26"/>
    </w:rPr>
  </w:style>
  <w:style w:type="character" w:customStyle="1" w:styleId="Heading6Char">
    <w:name w:val="Heading 6 Char"/>
    <w:basedOn w:val="DefaultParagraphFont"/>
    <w:link w:val="Heading6"/>
    <w:rsid w:val="004A7B04"/>
    <w:rPr>
      <w:i/>
      <w:sz w:val="22"/>
    </w:rPr>
  </w:style>
  <w:style w:type="character" w:customStyle="1" w:styleId="Heading7Char">
    <w:name w:val="Heading 7 Char"/>
    <w:basedOn w:val="DefaultParagraphFont"/>
    <w:link w:val="Heading7"/>
    <w:rsid w:val="004A7B04"/>
    <w:rPr>
      <w:rFonts w:ascii="Arial" w:hAnsi="Arial"/>
    </w:rPr>
  </w:style>
  <w:style w:type="character" w:customStyle="1" w:styleId="Heading8Char">
    <w:name w:val="Heading 8 Char"/>
    <w:basedOn w:val="DefaultParagraphFont"/>
    <w:link w:val="Heading8"/>
    <w:rsid w:val="004A7B04"/>
    <w:rPr>
      <w:rFonts w:ascii="Arial" w:hAnsi="Arial"/>
      <w:i/>
    </w:rPr>
  </w:style>
  <w:style w:type="character" w:customStyle="1" w:styleId="Heading9Char">
    <w:name w:val="Heading 9 Char"/>
    <w:basedOn w:val="DefaultParagraphFont"/>
    <w:link w:val="Heading9"/>
    <w:rsid w:val="004A7B04"/>
    <w:rPr>
      <w:rFonts w:ascii="Arial" w:hAnsi="Arial"/>
      <w:b/>
      <w:i/>
      <w:sz w:val="18"/>
    </w:rPr>
  </w:style>
  <w:style w:type="character" w:customStyle="1" w:styleId="BodyTextChar">
    <w:name w:val="Body Text Char"/>
    <w:basedOn w:val="DefaultParagraphFont"/>
    <w:link w:val="BodyText"/>
    <w:rsid w:val="004A7B04"/>
    <w:rPr>
      <w:sz w:val="26"/>
    </w:rPr>
  </w:style>
  <w:style w:type="character" w:customStyle="1" w:styleId="FooterChar">
    <w:name w:val="Footer Char"/>
    <w:basedOn w:val="DefaultParagraphFont"/>
    <w:link w:val="Footer"/>
    <w:rsid w:val="004A7B04"/>
    <w:rPr>
      <w:caps/>
      <w:spacing w:val="-4"/>
      <w:sz w:val="16"/>
    </w:rPr>
  </w:style>
  <w:style w:type="character" w:customStyle="1" w:styleId="HeaderChar">
    <w:name w:val="Header Char"/>
    <w:basedOn w:val="DefaultParagraphFont"/>
    <w:link w:val="Header"/>
    <w:rsid w:val="004A7B04"/>
    <w:rPr>
      <w:rFonts w:ascii="Arial" w:hAnsi="Arial"/>
      <w:caps/>
      <w:sz w:val="26"/>
    </w:rPr>
  </w:style>
  <w:style w:type="character" w:customStyle="1" w:styleId="CommentTextChar">
    <w:name w:val="Comment Text Char"/>
    <w:basedOn w:val="DefaultParagraphFont"/>
    <w:semiHidden/>
    <w:rsid w:val="004A7B04"/>
    <w:rPr>
      <w:szCs w:val="24"/>
    </w:rPr>
  </w:style>
  <w:style w:type="character" w:customStyle="1" w:styleId="FootnoteTextChar">
    <w:name w:val="Footnote Text Char"/>
    <w:basedOn w:val="DefaultParagraphFont"/>
    <w:link w:val="FootnoteText"/>
    <w:uiPriority w:val="99"/>
    <w:rsid w:val="004A7B04"/>
    <w:rPr>
      <w:sz w:val="22"/>
    </w:rPr>
  </w:style>
  <w:style w:type="character" w:customStyle="1" w:styleId="QuoteChar">
    <w:name w:val="Quote Char"/>
    <w:basedOn w:val="DefaultParagraphFont"/>
    <w:link w:val="Quote"/>
    <w:uiPriority w:val="99"/>
    <w:rsid w:val="004A7B04"/>
    <w:rPr>
      <w:sz w:val="24"/>
    </w:rPr>
  </w:style>
  <w:style w:type="paragraph" w:styleId="NormalWeb">
    <w:name w:val="Normal (Web)"/>
    <w:basedOn w:val="Normal"/>
    <w:uiPriority w:val="99"/>
    <w:unhideWhenUsed/>
    <w:rsid w:val="004A7B04"/>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4A7B04"/>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4A7B04"/>
    <w:rPr>
      <w:szCs w:val="24"/>
    </w:rPr>
  </w:style>
  <w:style w:type="character" w:customStyle="1" w:styleId="CommentSubjectChar">
    <w:name w:val="Comment Subject Char"/>
    <w:basedOn w:val="CommentTextChar1"/>
    <w:link w:val="CommentSubject"/>
    <w:rsid w:val="004A7B04"/>
    <w:rPr>
      <w:b/>
      <w:bCs/>
      <w:szCs w:val="24"/>
    </w:rPr>
  </w:style>
  <w:style w:type="paragraph" w:styleId="Revision">
    <w:name w:val="Revision"/>
    <w:hidden/>
    <w:uiPriority w:val="99"/>
    <w:semiHidden/>
    <w:rsid w:val="004A7B04"/>
    <w:rPr>
      <w:sz w:val="26"/>
      <w:szCs w:val="24"/>
    </w:rPr>
  </w:style>
  <w:style w:type="table" w:styleId="TableGrid">
    <w:name w:val="Table Grid"/>
    <w:basedOn w:val="TableNormal"/>
    <w:rsid w:val="00650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chart" Target="charts/chart11.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header" Target="header3.xml"/><Relationship Id="rId10" Type="http://schemas.openxmlformats.org/officeDocument/2006/relationships/chart" Target="charts/chart2.xml"/><Relationship Id="rId19" Type="http://schemas.openxmlformats.org/officeDocument/2006/relationships/chart" Target="charts/chart10.xml"/><Relationship Id="rId31" Type="http://schemas.openxmlformats.org/officeDocument/2006/relationships/chart" Target="charts/chart2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1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1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3.xml"/></Relationships>
</file>

<file path=word/charts/_rels/chart1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4.xml"/></Relationships>
</file>

<file path=word/charts/_rels/chart1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6.xml"/></Relationships>
</file>

<file path=word/charts/_rels/chart2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7.xml"/></Relationships>
</file>

<file path=word/charts/_rels/chart2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latin typeface="Arial" pitchFamily="34" charset="0"/>
                <a:cs typeface="Arial" pitchFamily="34" charset="0"/>
              </a:defRPr>
            </a:pPr>
            <a:r>
              <a:rPr lang="en-AU" sz="900">
                <a:latin typeface="Arial" pitchFamily="34" charset="0"/>
                <a:cs typeface="Arial" pitchFamily="34" charset="0"/>
              </a:rPr>
              <a:t>Movement</a:t>
            </a:r>
            <a:r>
              <a:rPr lang="en-AU" sz="900" baseline="0">
                <a:latin typeface="Arial" pitchFamily="34" charset="0"/>
                <a:cs typeface="Arial" pitchFamily="34" charset="0"/>
              </a:rPr>
              <a:t> into employment</a:t>
            </a:r>
            <a:endParaRPr lang="en-AU" sz="900">
              <a:latin typeface="Arial" pitchFamily="34" charset="0"/>
              <a:cs typeface="Arial" pitchFamily="34" charset="0"/>
            </a:endParaRPr>
          </a:p>
        </c:rich>
      </c:tx>
      <c:layout>
        <c:manualLayout>
          <c:xMode val="edge"/>
          <c:yMode val="edge"/>
          <c:x val="0.38401925991645408"/>
          <c:y val="0.15590346661212803"/>
        </c:manualLayout>
      </c:layout>
      <c:overlay val="1"/>
    </c:title>
    <c:autoTitleDeleted val="0"/>
    <c:plotArea>
      <c:layout>
        <c:manualLayout>
          <c:layoutTarget val="inner"/>
          <c:xMode val="edge"/>
          <c:yMode val="edge"/>
          <c:x val="9.2311441590532978E-2"/>
          <c:y val="0.14369717072767479"/>
          <c:w val="0.89630855493338779"/>
          <c:h val="0.67016797386201854"/>
        </c:manualLayout>
      </c:layout>
      <c:barChart>
        <c:barDir val="col"/>
        <c:grouping val="clustered"/>
        <c:varyColors val="0"/>
        <c:ser>
          <c:idx val="0"/>
          <c:order val="0"/>
          <c:tx>
            <c:strRef>
              <c:f>Sheet1!$B$3</c:f>
              <c:strCache>
                <c:ptCount val="1"/>
                <c:pt idx="0">
                  <c:v>Average 2001–2002 to 2003–2004</c:v>
                </c:pt>
              </c:strCache>
            </c:strRef>
          </c:tx>
          <c:spPr>
            <a:solidFill>
              <a:srgbClr val="344893"/>
            </a:solidFill>
            <a:ln>
              <a:solidFill>
                <a:srgbClr val="344893"/>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Sheet1!$B$4:$B$10</c:f>
              <c:numCache>
                <c:formatCode>0.00</c:formatCode>
                <c:ptCount val="7"/>
                <c:pt idx="0">
                  <c:v>4.0546366666666698</c:v>
                </c:pt>
                <c:pt idx="1">
                  <c:v>10.663953333333334</c:v>
                </c:pt>
                <c:pt idx="2">
                  <c:v>6.523016666666666</c:v>
                </c:pt>
                <c:pt idx="3">
                  <c:v>23.256993333333337</c:v>
                </c:pt>
                <c:pt idx="4">
                  <c:v>15.228333333333333</c:v>
                </c:pt>
                <c:pt idx="5">
                  <c:v>19.093583333333331</c:v>
                </c:pt>
                <c:pt idx="6">
                  <c:v>20.568816666666667</c:v>
                </c:pt>
              </c:numCache>
            </c:numRef>
          </c:val>
        </c:ser>
        <c:ser>
          <c:idx val="1"/>
          <c:order val="1"/>
          <c:tx>
            <c:strRef>
              <c:f>Sheet1!$C$3</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Sheet1!$C$4:$C$10</c:f>
              <c:numCache>
                <c:formatCode>0.00</c:formatCode>
                <c:ptCount val="7"/>
                <c:pt idx="0">
                  <c:v>3.7495399999999997</c:v>
                </c:pt>
                <c:pt idx="1">
                  <c:v>9.5748899999999981</c:v>
                </c:pt>
                <c:pt idx="2">
                  <c:v>6.3595266666666674</c:v>
                </c:pt>
                <c:pt idx="3">
                  <c:v>24.391126666666665</c:v>
                </c:pt>
                <c:pt idx="4">
                  <c:v>14.702263333333335</c:v>
                </c:pt>
                <c:pt idx="5">
                  <c:v>23.29677666666667</c:v>
                </c:pt>
                <c:pt idx="6">
                  <c:v>17.504000000000001</c:v>
                </c:pt>
              </c:numCache>
            </c:numRef>
          </c:val>
        </c:ser>
        <c:ser>
          <c:idx val="2"/>
          <c:order val="2"/>
          <c:tx>
            <c:strRef>
              <c:f>Sheet1!$D$3</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Sheet1!$D$4:$D$10</c:f>
              <c:numCache>
                <c:formatCode>0.00</c:formatCode>
                <c:ptCount val="7"/>
                <c:pt idx="0">
                  <c:v>2.7188066666666661</c:v>
                </c:pt>
                <c:pt idx="1">
                  <c:v>7.0156633333333334</c:v>
                </c:pt>
                <c:pt idx="2">
                  <c:v>7.48421</c:v>
                </c:pt>
                <c:pt idx="3">
                  <c:v>23.893976666666664</c:v>
                </c:pt>
                <c:pt idx="4">
                  <c:v>15.98624</c:v>
                </c:pt>
                <c:pt idx="5">
                  <c:v>23.329893333333334</c:v>
                </c:pt>
                <c:pt idx="6">
                  <c:v>19.037383333333334</c:v>
                </c:pt>
              </c:numCache>
            </c:numRef>
          </c:val>
        </c:ser>
        <c:dLbls>
          <c:showLegendKey val="0"/>
          <c:showVal val="0"/>
          <c:showCatName val="0"/>
          <c:showSerName val="0"/>
          <c:showPercent val="0"/>
          <c:showBubbleSize val="0"/>
        </c:dLbls>
        <c:gapWidth val="150"/>
        <c:axId val="187128832"/>
        <c:axId val="172086016"/>
      </c:barChart>
      <c:catAx>
        <c:axId val="187128832"/>
        <c:scaling>
          <c:orientation val="minMax"/>
        </c:scaling>
        <c:delete val="0"/>
        <c:axPos val="b"/>
        <c:majorTickMark val="out"/>
        <c:minorTickMark val="none"/>
        <c:tickLblPos val="nextTo"/>
        <c:spPr>
          <a:ln>
            <a:solidFill>
              <a:schemeClr val="tx1"/>
            </a:solidFill>
          </a:ln>
        </c:spPr>
        <c:txPr>
          <a:bodyPr/>
          <a:lstStyle/>
          <a:p>
            <a:pPr>
              <a:defRPr sz="900">
                <a:latin typeface="Arial" pitchFamily="34" charset="0"/>
                <a:cs typeface="Arial" pitchFamily="34" charset="0"/>
              </a:defRPr>
            </a:pPr>
            <a:endParaRPr lang="en-US"/>
          </a:p>
        </c:txPr>
        <c:crossAx val="172086016"/>
        <c:crosses val="autoZero"/>
        <c:auto val="1"/>
        <c:lblAlgn val="ctr"/>
        <c:lblOffset val="100"/>
        <c:noMultiLvlLbl val="0"/>
      </c:catAx>
      <c:valAx>
        <c:axId val="172086016"/>
        <c:scaling>
          <c:orientation val="minMax"/>
        </c:scaling>
        <c:delete val="0"/>
        <c:axPos val="l"/>
        <c:majorGridlines>
          <c:spPr>
            <a:ln>
              <a:solidFill>
                <a:sysClr val="window" lastClr="FFFFFF">
                  <a:lumMod val="50000"/>
                </a:sysClr>
              </a:solidFill>
              <a:prstDash val="solid"/>
            </a:ln>
          </c:spPr>
        </c:majorGridlines>
        <c:title>
          <c:tx>
            <c:rich>
              <a:bodyPr rot="-5400000" vert="horz"/>
              <a:lstStyle/>
              <a:p>
                <a:pPr>
                  <a:defRPr sz="900" b="1">
                    <a:latin typeface="Arial" pitchFamily="34" charset="0"/>
                    <a:cs typeface="Arial" pitchFamily="34" charset="0"/>
                  </a:defRPr>
                </a:pPr>
                <a:r>
                  <a:rPr lang="en-US" sz="900" b="1">
                    <a:latin typeface="Arial" pitchFamily="34" charset="0"/>
                    <a:cs typeface="Arial" pitchFamily="34" charset="0"/>
                  </a:rPr>
                  <a:t>Per cent </a:t>
                </a:r>
              </a:p>
            </c:rich>
          </c:tx>
          <c:layout>
            <c:manualLayout>
              <c:xMode val="edge"/>
              <c:yMode val="edge"/>
              <c:x val="7.9788396552607707E-3"/>
              <c:y val="0.30654411817307564"/>
            </c:manualLayout>
          </c:layout>
          <c:overlay val="0"/>
        </c:title>
        <c:numFmt formatCode="0" sourceLinked="0"/>
        <c:majorTickMark val="out"/>
        <c:minorTickMark val="none"/>
        <c:tickLblPos val="nextTo"/>
        <c:spPr>
          <a:ln>
            <a:solidFill>
              <a:schemeClr val="tx1"/>
            </a:solidFill>
          </a:ln>
        </c:spPr>
        <c:txPr>
          <a:bodyPr/>
          <a:lstStyle/>
          <a:p>
            <a:pPr>
              <a:defRPr sz="900"/>
            </a:pPr>
            <a:endParaRPr lang="en-US"/>
          </a:p>
        </c:txPr>
        <c:crossAx val="187128832"/>
        <c:crosses val="autoZero"/>
        <c:crossBetween val="between"/>
      </c:valAx>
      <c:spPr>
        <a:ln>
          <a:solidFill>
            <a:schemeClr val="tx1"/>
          </a:solidFill>
        </a:ln>
      </c:spPr>
    </c:plotArea>
    <c:legend>
      <c:legendPos val="t"/>
      <c:layout>
        <c:manualLayout>
          <c:xMode val="edge"/>
          <c:yMode val="edge"/>
          <c:x val="0"/>
          <c:y val="0"/>
          <c:w val="1"/>
          <c:h val="0.11298179263025193"/>
        </c:manualLayout>
      </c:layout>
      <c:overlay val="0"/>
      <c:txPr>
        <a:bodyPr/>
        <a:lstStyle/>
        <a:p>
          <a:pPr>
            <a:defRPr sz="850"/>
          </a:pPr>
          <a:endParaRPr lang="en-US"/>
        </a:p>
      </c:txPr>
    </c:legend>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Arial" pitchFamily="34" charset="0"/>
                <a:cs typeface="Arial" pitchFamily="34" charset="0"/>
              </a:defRPr>
            </a:pPr>
            <a:r>
              <a:rPr lang="en-AU" sz="900">
                <a:latin typeface="Arial" pitchFamily="34" charset="0"/>
                <a:cs typeface="Arial" pitchFamily="34" charset="0"/>
              </a:rPr>
              <a:t>Flexible start &amp; finishing work times</a:t>
            </a:r>
            <a:r>
              <a:rPr lang="en-AU" sz="1100" b="1" i="0" u="none" strike="noStrike" baseline="30000">
                <a:effectLst/>
                <a:latin typeface="Arial" pitchFamily="34" charset="0"/>
                <a:cs typeface="Arial" pitchFamily="34" charset="0"/>
              </a:rPr>
              <a:t>d</a:t>
            </a:r>
            <a:endParaRPr lang="en-AU" sz="1100" baseline="30000">
              <a:latin typeface="Arial" pitchFamily="34" charset="0"/>
              <a:cs typeface="Arial" pitchFamily="34" charset="0"/>
            </a:endParaRPr>
          </a:p>
        </c:rich>
      </c:tx>
      <c:layout>
        <c:manualLayout>
          <c:xMode val="edge"/>
          <c:yMode val="edge"/>
          <c:x val="0.29106153397491979"/>
          <c:y val="6.2013839179193508E-2"/>
        </c:manualLayout>
      </c:layout>
      <c:overlay val="1"/>
    </c:title>
    <c:autoTitleDeleted val="0"/>
    <c:plotArea>
      <c:layout>
        <c:manualLayout>
          <c:layoutTarget val="inner"/>
          <c:xMode val="edge"/>
          <c:yMode val="edge"/>
          <c:x val="0.10180185185185185"/>
          <c:y val="4.535714285714286E-2"/>
          <c:w val="0.89114259259259254"/>
          <c:h val="0.72963707729468597"/>
        </c:manualLayout>
      </c:layout>
      <c:barChart>
        <c:barDir val="col"/>
        <c:grouping val="clustered"/>
        <c:varyColors val="0"/>
        <c:ser>
          <c:idx val="0"/>
          <c:order val="0"/>
          <c:tx>
            <c:strRef>
              <c:f>Sheet1!$B$34</c:f>
              <c:strCache>
                <c:ptCount val="1"/>
                <c:pt idx="0">
                  <c:v>Average 2001 to 2004</c:v>
                </c:pt>
              </c:strCache>
            </c:strRef>
          </c:tx>
          <c:spPr>
            <a:solidFill>
              <a:srgbClr val="344893"/>
            </a:solidFill>
            <a:ln>
              <a:solidFill>
                <a:srgbClr val="344893"/>
              </a:solidFill>
            </a:ln>
          </c:spPr>
          <c:invertIfNegative val="0"/>
          <c:cat>
            <c:strRef>
              <c:f>Sheet1!$A$35:$A$42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Sheet1!$B$35:$B$42</c:f>
              <c:numCache>
                <c:formatCode>0.00</c:formatCode>
                <c:ptCount val="8"/>
                <c:pt idx="0">
                  <c:v>73.66556639896946</c:v>
                </c:pt>
                <c:pt idx="1">
                  <c:v>41.019631835134952</c:v>
                </c:pt>
                <c:pt idx="2">
                  <c:v>50.94720886626942</c:v>
                </c:pt>
                <c:pt idx="3">
                  <c:v>61.207375689726142</c:v>
                </c:pt>
                <c:pt idx="4">
                  <c:v>54.07674181347415</c:v>
                </c:pt>
                <c:pt idx="5">
                  <c:v>72.062847724641486</c:v>
                </c:pt>
                <c:pt idx="6">
                  <c:v>48.709731483104918</c:v>
                </c:pt>
                <c:pt idx="7">
                  <c:v>56.838524644461394</c:v>
                </c:pt>
              </c:numCache>
            </c:numRef>
          </c:val>
        </c:ser>
        <c:ser>
          <c:idx val="1"/>
          <c:order val="1"/>
          <c:tx>
            <c:strRef>
              <c:f>Sheet1!$C$34</c:f>
              <c:strCache>
                <c:ptCount val="1"/>
                <c:pt idx="0">
                  <c:v>Average 2005 to 2007</c:v>
                </c:pt>
              </c:strCache>
            </c:strRef>
          </c:tx>
          <c:spPr>
            <a:pattFill prst="pct60">
              <a:fgClr>
                <a:srgbClr val="B4C98B"/>
              </a:fgClr>
              <a:bgClr>
                <a:sysClr val="window" lastClr="FFFFFF"/>
              </a:bgClr>
            </a:pattFill>
            <a:ln>
              <a:solidFill>
                <a:srgbClr val="B4C98B"/>
              </a:solidFill>
            </a:ln>
          </c:spPr>
          <c:invertIfNegative val="0"/>
          <c:cat>
            <c:strRef>
              <c:f>Sheet1!$A$35:$A$42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Sheet1!$C$35:$C$42</c:f>
              <c:numCache>
                <c:formatCode>0.00</c:formatCode>
                <c:ptCount val="8"/>
                <c:pt idx="0">
                  <c:v>69.467287964207983</c:v>
                </c:pt>
                <c:pt idx="1">
                  <c:v>41.588506785564256</c:v>
                </c:pt>
                <c:pt idx="2">
                  <c:v>54.295701226794051</c:v>
                </c:pt>
                <c:pt idx="3">
                  <c:v>60.905953747847747</c:v>
                </c:pt>
                <c:pt idx="4">
                  <c:v>55.169679574946024</c:v>
                </c:pt>
                <c:pt idx="5">
                  <c:v>74.0957630789257</c:v>
                </c:pt>
                <c:pt idx="6">
                  <c:v>48.812880162027604</c:v>
                </c:pt>
                <c:pt idx="7">
                  <c:v>56.963389908756888</c:v>
                </c:pt>
              </c:numCache>
            </c:numRef>
          </c:val>
        </c:ser>
        <c:ser>
          <c:idx val="2"/>
          <c:order val="2"/>
          <c:tx>
            <c:strRef>
              <c:f>Sheet1!$D$34</c:f>
              <c:strCache>
                <c:ptCount val="1"/>
                <c:pt idx="0">
                  <c:v>Average 2008 to 2010</c:v>
                </c:pt>
              </c:strCache>
            </c:strRef>
          </c:tx>
          <c:spPr>
            <a:pattFill prst="zigZag">
              <a:fgClr>
                <a:srgbClr val="7B905A"/>
              </a:fgClr>
              <a:bgClr>
                <a:sysClr val="window" lastClr="FFFFFF"/>
              </a:bgClr>
            </a:pattFill>
            <a:ln>
              <a:solidFill>
                <a:srgbClr val="7B905A"/>
              </a:solidFill>
            </a:ln>
          </c:spPr>
          <c:invertIfNegative val="0"/>
          <c:cat>
            <c:strRef>
              <c:f>Sheet1!$A$35:$A$42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Sheet1!$D$35:$D$42</c:f>
              <c:numCache>
                <c:formatCode>0.00</c:formatCode>
                <c:ptCount val="8"/>
                <c:pt idx="0">
                  <c:v>70.826699106193573</c:v>
                </c:pt>
                <c:pt idx="1">
                  <c:v>39.243082334812563</c:v>
                </c:pt>
                <c:pt idx="2">
                  <c:v>52.379781635227921</c:v>
                </c:pt>
                <c:pt idx="3">
                  <c:v>59.521373203683545</c:v>
                </c:pt>
                <c:pt idx="4">
                  <c:v>57.202722342554416</c:v>
                </c:pt>
                <c:pt idx="5">
                  <c:v>77.474377515501885</c:v>
                </c:pt>
                <c:pt idx="6">
                  <c:v>50.824098820231711</c:v>
                </c:pt>
                <c:pt idx="7">
                  <c:v>58.29359757026387</c:v>
                </c:pt>
              </c:numCache>
            </c:numRef>
          </c:val>
        </c:ser>
        <c:dLbls>
          <c:showLegendKey val="0"/>
          <c:showVal val="0"/>
          <c:showCatName val="0"/>
          <c:showSerName val="0"/>
          <c:showPercent val="0"/>
          <c:showBubbleSize val="0"/>
        </c:dLbls>
        <c:gapWidth val="100"/>
        <c:axId val="35980032"/>
        <c:axId val="35981568"/>
      </c:barChart>
      <c:catAx>
        <c:axId val="35980032"/>
        <c:scaling>
          <c:orientation val="minMax"/>
        </c:scaling>
        <c:delete val="0"/>
        <c:axPos val="b"/>
        <c:majorTickMark val="out"/>
        <c:minorTickMark val="none"/>
        <c:tickLblPos val="nextTo"/>
        <c:spPr>
          <a:ln>
            <a:solidFill>
              <a:sysClr val="windowText" lastClr="000000">
                <a:lumMod val="85000"/>
                <a:lumOff val="15000"/>
              </a:sysClr>
            </a:solidFill>
          </a:ln>
        </c:spPr>
        <c:txPr>
          <a:bodyPr/>
          <a:lstStyle/>
          <a:p>
            <a:pPr>
              <a:defRPr sz="800">
                <a:latin typeface="Arial" pitchFamily="34" charset="0"/>
                <a:cs typeface="Arial" pitchFamily="34" charset="0"/>
              </a:defRPr>
            </a:pPr>
            <a:endParaRPr lang="en-US"/>
          </a:p>
        </c:txPr>
        <c:crossAx val="35981568"/>
        <c:crosses val="autoZero"/>
        <c:auto val="1"/>
        <c:lblAlgn val="ctr"/>
        <c:lblOffset val="100"/>
        <c:noMultiLvlLbl val="0"/>
      </c:catAx>
      <c:valAx>
        <c:axId val="35981568"/>
        <c:scaling>
          <c:orientation val="minMax"/>
          <c:max val="80"/>
        </c:scaling>
        <c:delete val="0"/>
        <c:axPos val="l"/>
        <c:majorGridlines>
          <c:spPr>
            <a:ln>
              <a:solidFill>
                <a:sysClr val="window" lastClr="FFFFFF">
                  <a:lumMod val="50000"/>
                </a:sysClr>
              </a:solidFill>
              <a:prstDash val="solid"/>
            </a:ln>
          </c:spPr>
        </c:majorGridlines>
        <c:title>
          <c:tx>
            <c:rich>
              <a:bodyPr rot="-5400000" vert="horz"/>
              <a:lstStyle/>
              <a:p>
                <a:pPr>
                  <a:defRPr sz="900">
                    <a:latin typeface="Arial" pitchFamily="34" charset="0"/>
                    <a:cs typeface="Arial" pitchFamily="34" charset="0"/>
                  </a:defRPr>
                </a:pPr>
                <a:r>
                  <a:rPr lang="en-US" sz="900" b="1">
                    <a:latin typeface="Arial" pitchFamily="34" charset="0"/>
                    <a:cs typeface="Arial" pitchFamily="34" charset="0"/>
                  </a:rPr>
                  <a:t>Per cent</a:t>
                </a:r>
                <a:endParaRPr lang="en-US" sz="900" b="0">
                  <a:latin typeface="Arial" pitchFamily="34" charset="0"/>
                  <a:cs typeface="Arial" pitchFamily="34" charset="0"/>
                </a:endParaRPr>
              </a:p>
            </c:rich>
          </c:tx>
          <c:layout>
            <c:manualLayout>
              <c:xMode val="edge"/>
              <c:yMode val="edge"/>
              <c:x val="6.4178145658332578E-3"/>
              <c:y val="0.14867016622922136"/>
            </c:manualLayout>
          </c:layout>
          <c:overlay val="0"/>
        </c:title>
        <c:numFmt formatCode="0" sourceLinked="0"/>
        <c:majorTickMark val="out"/>
        <c:minorTickMark val="none"/>
        <c:tickLblPos val="nextTo"/>
        <c:spPr>
          <a:ln>
            <a:solidFill>
              <a:schemeClr val="tx1">
                <a:lumMod val="75000"/>
                <a:lumOff val="25000"/>
              </a:schemeClr>
            </a:solidFill>
          </a:ln>
        </c:spPr>
        <c:txPr>
          <a:bodyPr/>
          <a:lstStyle/>
          <a:p>
            <a:pPr>
              <a:defRPr sz="900">
                <a:latin typeface="Arial" pitchFamily="34" charset="0"/>
                <a:cs typeface="Arial" pitchFamily="34" charset="0"/>
              </a:defRPr>
            </a:pPr>
            <a:endParaRPr lang="en-US"/>
          </a:p>
        </c:txPr>
        <c:crossAx val="35980032"/>
        <c:crosses val="autoZero"/>
        <c:crossBetween val="between"/>
        <c:majorUnit val="20"/>
      </c:valAx>
      <c:spPr>
        <a:ln>
          <a:solidFill>
            <a:sysClr val="windowText" lastClr="000000">
              <a:lumMod val="85000"/>
              <a:lumOff val="15000"/>
            </a:sysClr>
          </a:solidFill>
        </a:ln>
      </c:spPr>
    </c:plotArea>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a:latin typeface="Arial" pitchFamily="34" charset="0"/>
                <a:cs typeface="Arial" pitchFamily="34" charset="0"/>
              </a:defRPr>
            </a:pPr>
            <a:r>
              <a:rPr lang="en-AU" sz="900">
                <a:latin typeface="Arial" pitchFamily="34" charset="0"/>
                <a:cs typeface="Arial" pitchFamily="34" charset="0"/>
              </a:rPr>
              <a:t>Home-based employment</a:t>
            </a:r>
            <a:endParaRPr lang="en-AU" sz="1100" baseline="30000">
              <a:latin typeface="Arial" pitchFamily="34" charset="0"/>
              <a:cs typeface="Arial" pitchFamily="34" charset="0"/>
            </a:endParaRPr>
          </a:p>
        </c:rich>
      </c:tx>
      <c:layout>
        <c:manualLayout>
          <c:xMode val="edge"/>
          <c:yMode val="edge"/>
          <c:x val="0.38009282501600056"/>
          <c:y val="6.9942491265024997E-2"/>
        </c:manualLayout>
      </c:layout>
      <c:overlay val="1"/>
    </c:title>
    <c:autoTitleDeleted val="0"/>
    <c:plotArea>
      <c:layout>
        <c:manualLayout>
          <c:layoutTarget val="inner"/>
          <c:xMode val="edge"/>
          <c:yMode val="edge"/>
          <c:x val="9.2477837123506421E-2"/>
          <c:y val="4.535714285714286E-2"/>
          <c:w val="0.89114987636940912"/>
          <c:h val="0.66498031496062993"/>
        </c:manualLayout>
      </c:layout>
      <c:barChart>
        <c:barDir val="col"/>
        <c:grouping val="clustered"/>
        <c:varyColors val="0"/>
        <c:ser>
          <c:idx val="0"/>
          <c:order val="0"/>
          <c:spPr>
            <a:solidFill>
              <a:srgbClr val="344893"/>
            </a:solidFill>
            <a:ln>
              <a:solidFill>
                <a:srgbClr val="344893"/>
              </a:solidFill>
            </a:ln>
          </c:spPr>
          <c:invertIfNegative val="0"/>
          <c:cat>
            <c:strRef>
              <c:f>Sheet1!$A$48:$A$55</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Sheet1!$B$48:$B$55</c:f>
              <c:numCache>
                <c:formatCode>General</c:formatCode>
                <c:ptCount val="8"/>
                <c:pt idx="0">
                  <c:v>35.592406551645055</c:v>
                </c:pt>
                <c:pt idx="1">
                  <c:v>17.01351176180923</c:v>
                </c:pt>
                <c:pt idx="2">
                  <c:v>16.720476481959093</c:v>
                </c:pt>
                <c:pt idx="3">
                  <c:v>23.304969301900968</c:v>
                </c:pt>
                <c:pt idx="4">
                  <c:v>16.652941884994714</c:v>
                </c:pt>
                <c:pt idx="5">
                  <c:v>43.884828494497299</c:v>
                </c:pt>
                <c:pt idx="6">
                  <c:v>20.116276406683163</c:v>
                </c:pt>
                <c:pt idx="7">
                  <c:v>15.131744360047717</c:v>
                </c:pt>
              </c:numCache>
            </c:numRef>
          </c:val>
        </c:ser>
        <c:ser>
          <c:idx val="1"/>
          <c:order val="1"/>
          <c:spPr>
            <a:pattFill prst="pct60">
              <a:fgClr>
                <a:srgbClr val="7B905A"/>
              </a:fgClr>
              <a:bgClr>
                <a:sysClr val="window" lastClr="FFFFFF"/>
              </a:bgClr>
            </a:pattFill>
            <a:ln>
              <a:solidFill>
                <a:srgbClr val="7B905A"/>
              </a:solidFill>
            </a:ln>
          </c:spPr>
          <c:invertIfNegative val="0"/>
          <c:cat>
            <c:strRef>
              <c:f>Sheet1!$A$48:$A$55</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Sheet1!$C$48:$C$55</c:f>
              <c:numCache>
                <c:formatCode>General</c:formatCode>
                <c:ptCount val="8"/>
                <c:pt idx="0">
                  <c:v>35.108402731519121</c:v>
                </c:pt>
                <c:pt idx="1">
                  <c:v>17.045579721157463</c:v>
                </c:pt>
                <c:pt idx="2">
                  <c:v>20.486806154366818</c:v>
                </c:pt>
                <c:pt idx="3">
                  <c:v>21.117988395322254</c:v>
                </c:pt>
                <c:pt idx="4">
                  <c:v>18.007842610865051</c:v>
                </c:pt>
                <c:pt idx="5">
                  <c:v>48.390022709557734</c:v>
                </c:pt>
                <c:pt idx="6">
                  <c:v>21.546322477378549</c:v>
                </c:pt>
                <c:pt idx="7">
                  <c:v>16.505089003444414</c:v>
                </c:pt>
              </c:numCache>
            </c:numRef>
          </c:val>
        </c:ser>
        <c:ser>
          <c:idx val="2"/>
          <c:order val="2"/>
          <c:spPr>
            <a:pattFill prst="zigZag">
              <a:fgClr>
                <a:srgbClr val="7B905A"/>
              </a:fgClr>
              <a:bgClr>
                <a:sysClr val="window" lastClr="FFFFFF"/>
              </a:bgClr>
            </a:pattFill>
            <a:ln>
              <a:solidFill>
                <a:srgbClr val="7B905A"/>
              </a:solidFill>
            </a:ln>
          </c:spPr>
          <c:invertIfNegative val="0"/>
          <c:cat>
            <c:strRef>
              <c:f>Sheet1!$A$48:$A$55</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Sheet1!$D$48:$D$55</c:f>
              <c:numCache>
                <c:formatCode>General</c:formatCode>
                <c:ptCount val="8"/>
                <c:pt idx="0">
                  <c:v>35.594235721548692</c:v>
                </c:pt>
                <c:pt idx="1">
                  <c:v>19.122680895929662</c:v>
                </c:pt>
                <c:pt idx="2">
                  <c:v>19.678472378995078</c:v>
                </c:pt>
                <c:pt idx="3">
                  <c:v>23.371930911746627</c:v>
                </c:pt>
                <c:pt idx="4">
                  <c:v>19.362704877223919</c:v>
                </c:pt>
                <c:pt idx="5">
                  <c:v>54.483587316907567</c:v>
                </c:pt>
                <c:pt idx="6">
                  <c:v>23.651244323520789</c:v>
                </c:pt>
                <c:pt idx="7">
                  <c:v>14.959664611725985</c:v>
                </c:pt>
              </c:numCache>
            </c:numRef>
          </c:val>
        </c:ser>
        <c:dLbls>
          <c:showLegendKey val="0"/>
          <c:showVal val="0"/>
          <c:showCatName val="0"/>
          <c:showSerName val="0"/>
          <c:showPercent val="0"/>
          <c:showBubbleSize val="0"/>
        </c:dLbls>
        <c:gapWidth val="100"/>
        <c:axId val="36036992"/>
        <c:axId val="36038528"/>
      </c:barChart>
      <c:catAx>
        <c:axId val="36036992"/>
        <c:scaling>
          <c:orientation val="minMax"/>
        </c:scaling>
        <c:delete val="0"/>
        <c:axPos val="b"/>
        <c:majorTickMark val="out"/>
        <c:minorTickMark val="none"/>
        <c:tickLblPos val="nextTo"/>
        <c:spPr>
          <a:ln>
            <a:solidFill>
              <a:schemeClr val="tx1">
                <a:lumMod val="85000"/>
                <a:lumOff val="15000"/>
              </a:schemeClr>
            </a:solidFill>
          </a:ln>
        </c:spPr>
        <c:txPr>
          <a:bodyPr/>
          <a:lstStyle/>
          <a:p>
            <a:pPr>
              <a:defRPr sz="800">
                <a:latin typeface="Arial" pitchFamily="34" charset="0"/>
                <a:cs typeface="Arial" pitchFamily="34" charset="0"/>
              </a:defRPr>
            </a:pPr>
            <a:endParaRPr lang="en-US"/>
          </a:p>
        </c:txPr>
        <c:crossAx val="36038528"/>
        <c:crosses val="autoZero"/>
        <c:auto val="1"/>
        <c:lblAlgn val="ctr"/>
        <c:lblOffset val="100"/>
        <c:noMultiLvlLbl val="0"/>
      </c:catAx>
      <c:valAx>
        <c:axId val="36038528"/>
        <c:scaling>
          <c:orientation val="minMax"/>
          <c:max val="80"/>
        </c:scaling>
        <c:delete val="0"/>
        <c:axPos val="l"/>
        <c:majorGridlines>
          <c:spPr>
            <a:ln>
              <a:solidFill>
                <a:sysClr val="window" lastClr="FFFFFF">
                  <a:lumMod val="50000"/>
                </a:sysClr>
              </a:solidFill>
              <a:prstDash val="solid"/>
            </a:ln>
          </c:spPr>
        </c:majorGridlines>
        <c:title>
          <c:tx>
            <c:rich>
              <a:bodyPr rot="-5400000" vert="horz"/>
              <a:lstStyle/>
              <a:p>
                <a:pPr>
                  <a:defRPr sz="900">
                    <a:latin typeface="Arial" pitchFamily="34" charset="0"/>
                    <a:cs typeface="Arial" pitchFamily="34" charset="0"/>
                  </a:defRPr>
                </a:pPr>
                <a:r>
                  <a:rPr lang="en-US" sz="900" b="1">
                    <a:latin typeface="Arial" pitchFamily="34" charset="0"/>
                    <a:cs typeface="Arial" pitchFamily="34" charset="0"/>
                  </a:rPr>
                  <a:t>Per cent</a:t>
                </a:r>
                <a:endParaRPr lang="en-US" sz="900" b="0">
                  <a:latin typeface="Arial" pitchFamily="34" charset="0"/>
                  <a:cs typeface="Arial" pitchFamily="34" charset="0"/>
                </a:endParaRPr>
              </a:p>
            </c:rich>
          </c:tx>
          <c:layout>
            <c:manualLayout>
              <c:xMode val="edge"/>
              <c:yMode val="edge"/>
              <c:x val="1.730448029660628E-3"/>
              <c:y val="0.16489543106474747"/>
            </c:manualLayout>
          </c:layout>
          <c:overlay val="0"/>
        </c:title>
        <c:numFmt formatCode="0" sourceLinked="0"/>
        <c:majorTickMark val="out"/>
        <c:minorTickMark val="none"/>
        <c:tickLblPos val="nextTo"/>
        <c:spPr>
          <a:ln>
            <a:solidFill>
              <a:schemeClr val="tx1">
                <a:lumMod val="75000"/>
                <a:lumOff val="25000"/>
              </a:schemeClr>
            </a:solidFill>
          </a:ln>
        </c:spPr>
        <c:txPr>
          <a:bodyPr/>
          <a:lstStyle/>
          <a:p>
            <a:pPr>
              <a:defRPr sz="900">
                <a:latin typeface="Arial" pitchFamily="34" charset="0"/>
                <a:cs typeface="Arial" pitchFamily="34" charset="0"/>
              </a:defRPr>
            </a:pPr>
            <a:endParaRPr lang="en-US"/>
          </a:p>
        </c:txPr>
        <c:crossAx val="36036992"/>
        <c:crosses val="autoZero"/>
        <c:crossBetween val="between"/>
        <c:majorUnit val="20"/>
      </c:valAx>
      <c:spPr>
        <a:ln>
          <a:solidFill>
            <a:schemeClr val="tx1"/>
          </a:solidFill>
        </a:ln>
      </c:spPr>
    </c:plotArea>
    <c:plotVisOnly val="1"/>
    <c:dispBlanksAs val="gap"/>
    <c:showDLblsOverMax val="0"/>
  </c:chart>
  <c:spPr>
    <a:ln>
      <a:noFill/>
    </a:ln>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a:latin typeface="Arial" pitchFamily="34" charset="0"/>
                <a:cs typeface="Arial" pitchFamily="34" charset="0"/>
              </a:defRPr>
            </a:pPr>
            <a:r>
              <a:rPr lang="en-AU" sz="900">
                <a:latin typeface="Arial" pitchFamily="34" charset="0"/>
                <a:cs typeface="Arial" pitchFamily="34" charset="0"/>
              </a:rPr>
              <a:t>Labour hire</a:t>
            </a:r>
            <a:r>
              <a:rPr lang="en-AU" sz="900" baseline="0">
                <a:latin typeface="Arial" pitchFamily="34" charset="0"/>
                <a:cs typeface="Arial" pitchFamily="34" charset="0"/>
              </a:rPr>
              <a:t> employment</a:t>
            </a:r>
            <a:r>
              <a:rPr lang="en-AU" sz="1100" b="1" i="0" u="none" strike="noStrike" baseline="30000">
                <a:effectLst/>
                <a:latin typeface="Arial" pitchFamily="34" charset="0"/>
                <a:cs typeface="Arial" pitchFamily="34" charset="0"/>
              </a:rPr>
              <a:t>e, f</a:t>
            </a:r>
            <a:endParaRPr lang="en-AU" sz="1100" baseline="30000">
              <a:latin typeface="Arial" pitchFamily="34" charset="0"/>
              <a:cs typeface="Arial" pitchFamily="34" charset="0"/>
            </a:endParaRPr>
          </a:p>
        </c:rich>
      </c:tx>
      <c:layout>
        <c:manualLayout>
          <c:xMode val="edge"/>
          <c:yMode val="edge"/>
          <c:x val="0.37616196412948388"/>
          <c:y val="5.2348830599996655E-2"/>
        </c:manualLayout>
      </c:layout>
      <c:overlay val="1"/>
    </c:title>
    <c:autoTitleDeleted val="0"/>
    <c:plotArea>
      <c:layout>
        <c:manualLayout>
          <c:layoutTarget val="inner"/>
          <c:xMode val="edge"/>
          <c:yMode val="edge"/>
          <c:x val="9.0064692617648129E-2"/>
          <c:y val="4.535714285714286E-2"/>
          <c:w val="0.89583749214446784"/>
          <c:h val="0.68179457869978877"/>
        </c:manualLayout>
      </c:layout>
      <c:barChart>
        <c:barDir val="col"/>
        <c:grouping val="clustered"/>
        <c:varyColors val="0"/>
        <c:ser>
          <c:idx val="0"/>
          <c:order val="0"/>
          <c:spPr>
            <a:solidFill>
              <a:srgbClr val="344893"/>
            </a:solidFill>
            <a:ln>
              <a:solidFill>
                <a:srgbClr val="344893"/>
              </a:solidFill>
            </a:ln>
          </c:spPr>
          <c:invertIfNegative val="0"/>
          <c:cat>
            <c:strRef>
              <c:f>Sheet1!$A$61:$A$66</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Sheet1!$B$61:$B$66</c:f>
              <c:numCache>
                <c:formatCode>General</c:formatCode>
                <c:ptCount val="6"/>
                <c:pt idx="0">
                  <c:v>7.682366900433653</c:v>
                </c:pt>
                <c:pt idx="1">
                  <c:v>4.576459314333122</c:v>
                </c:pt>
                <c:pt idx="2">
                  <c:v>3.1692734129776796</c:v>
                </c:pt>
                <c:pt idx="3">
                  <c:v>4.9251914203089013</c:v>
                </c:pt>
                <c:pt idx="4">
                  <c:v>2.3390186218398843</c:v>
                </c:pt>
                <c:pt idx="5">
                  <c:v>1.7952160118800062</c:v>
                </c:pt>
              </c:numCache>
            </c:numRef>
          </c:val>
        </c:ser>
        <c:ser>
          <c:idx val="1"/>
          <c:order val="1"/>
          <c:spPr>
            <a:pattFill prst="pct60">
              <a:fgClr>
                <a:srgbClr val="B4C98B"/>
              </a:fgClr>
              <a:bgClr>
                <a:sysClr val="window" lastClr="FFFFFF"/>
              </a:bgClr>
            </a:pattFill>
            <a:ln>
              <a:solidFill>
                <a:srgbClr val="B4C98B"/>
              </a:solidFill>
            </a:ln>
          </c:spPr>
          <c:invertIfNegative val="0"/>
          <c:cat>
            <c:strRef>
              <c:f>Sheet1!$A$61:$A$66</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Sheet1!$C$61:$C$66</c:f>
              <c:numCache>
                <c:formatCode>General</c:formatCode>
                <c:ptCount val="6"/>
                <c:pt idx="0">
                  <c:v>4.3648444754436442</c:v>
                </c:pt>
                <c:pt idx="1">
                  <c:v>4.7187049597739374</c:v>
                </c:pt>
                <c:pt idx="2">
                  <c:v>2.4999464611503934</c:v>
                </c:pt>
                <c:pt idx="3">
                  <c:v>4.8108082966534589</c:v>
                </c:pt>
                <c:pt idx="4">
                  <c:v>1.7583740649885875</c:v>
                </c:pt>
                <c:pt idx="5">
                  <c:v>1.7054654526863005</c:v>
                </c:pt>
              </c:numCache>
            </c:numRef>
          </c:val>
        </c:ser>
        <c:ser>
          <c:idx val="2"/>
          <c:order val="2"/>
          <c:spPr>
            <a:pattFill prst="zigZag">
              <a:fgClr>
                <a:srgbClr val="7B905A"/>
              </a:fgClr>
              <a:bgClr>
                <a:sysClr val="window" lastClr="FFFFFF"/>
              </a:bgClr>
            </a:pattFill>
            <a:ln>
              <a:solidFill>
                <a:srgbClr val="7B905A"/>
              </a:solidFill>
            </a:ln>
          </c:spPr>
          <c:invertIfNegative val="0"/>
          <c:cat>
            <c:strRef>
              <c:f>Sheet1!$A$61:$A$66</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Sheet1!$D$61:$D$66</c:f>
              <c:numCache>
                <c:formatCode>General</c:formatCode>
                <c:ptCount val="6"/>
                <c:pt idx="0">
                  <c:v>2.8472544476985426</c:v>
                </c:pt>
                <c:pt idx="1">
                  <c:v>3.2359537374461489</c:v>
                </c:pt>
                <c:pt idx="2">
                  <c:v>1.9251481348274531</c:v>
                </c:pt>
                <c:pt idx="3">
                  <c:v>4.1102620493194868</c:v>
                </c:pt>
                <c:pt idx="4">
                  <c:v>1.5409055951543842</c:v>
                </c:pt>
                <c:pt idx="5">
                  <c:v>1.6138895097713271</c:v>
                </c:pt>
              </c:numCache>
            </c:numRef>
          </c:val>
        </c:ser>
        <c:dLbls>
          <c:showLegendKey val="0"/>
          <c:showVal val="0"/>
          <c:showCatName val="0"/>
          <c:showSerName val="0"/>
          <c:showPercent val="0"/>
          <c:showBubbleSize val="0"/>
        </c:dLbls>
        <c:gapWidth val="100"/>
        <c:axId val="36085760"/>
        <c:axId val="36087296"/>
      </c:barChart>
      <c:catAx>
        <c:axId val="36085760"/>
        <c:scaling>
          <c:orientation val="minMax"/>
        </c:scaling>
        <c:delete val="0"/>
        <c:axPos val="b"/>
        <c:majorTickMark val="out"/>
        <c:minorTickMark val="none"/>
        <c:tickLblPos val="nextTo"/>
        <c:spPr>
          <a:ln>
            <a:solidFill>
              <a:schemeClr val="tx1">
                <a:lumMod val="85000"/>
                <a:lumOff val="15000"/>
              </a:schemeClr>
            </a:solidFill>
          </a:ln>
        </c:spPr>
        <c:txPr>
          <a:bodyPr/>
          <a:lstStyle/>
          <a:p>
            <a:pPr>
              <a:defRPr sz="800">
                <a:latin typeface="Arial" pitchFamily="34" charset="0"/>
                <a:cs typeface="Arial" pitchFamily="34" charset="0"/>
              </a:defRPr>
            </a:pPr>
            <a:endParaRPr lang="en-US"/>
          </a:p>
        </c:txPr>
        <c:crossAx val="36087296"/>
        <c:crosses val="autoZero"/>
        <c:auto val="1"/>
        <c:lblAlgn val="ctr"/>
        <c:lblOffset val="100"/>
        <c:noMultiLvlLbl val="0"/>
      </c:catAx>
      <c:valAx>
        <c:axId val="36087296"/>
        <c:scaling>
          <c:orientation val="minMax"/>
          <c:max val="20"/>
        </c:scaling>
        <c:delete val="0"/>
        <c:axPos val="l"/>
        <c:majorGridlines>
          <c:spPr>
            <a:ln>
              <a:solidFill>
                <a:sysClr val="window" lastClr="FFFFFF">
                  <a:lumMod val="50000"/>
                </a:sysClr>
              </a:solidFill>
              <a:prstDash val="solid"/>
            </a:ln>
          </c:spPr>
        </c:majorGridlines>
        <c:title>
          <c:tx>
            <c:rich>
              <a:bodyPr rot="-5400000" vert="horz"/>
              <a:lstStyle/>
              <a:p>
                <a:pPr>
                  <a:defRPr sz="900">
                    <a:latin typeface="Arial" pitchFamily="34" charset="0"/>
                    <a:cs typeface="Arial" pitchFamily="34" charset="0"/>
                  </a:defRPr>
                </a:pPr>
                <a:r>
                  <a:rPr lang="en-US" sz="900" b="1">
                    <a:latin typeface="Arial" pitchFamily="34" charset="0"/>
                    <a:cs typeface="Arial" pitchFamily="34" charset="0"/>
                  </a:rPr>
                  <a:t>Per cent</a:t>
                </a:r>
                <a:endParaRPr lang="en-US" sz="900" b="0">
                  <a:latin typeface="Arial" pitchFamily="34" charset="0"/>
                  <a:cs typeface="Arial" pitchFamily="34" charset="0"/>
                </a:endParaRPr>
              </a:p>
            </c:rich>
          </c:tx>
          <c:layout>
            <c:manualLayout>
              <c:xMode val="edge"/>
              <c:yMode val="edge"/>
              <c:x val="1.7303906723198062E-3"/>
              <c:y val="0.13099167626203298"/>
            </c:manualLayout>
          </c:layout>
          <c:overlay val="0"/>
        </c:title>
        <c:numFmt formatCode="0" sourceLinked="0"/>
        <c:majorTickMark val="out"/>
        <c:minorTickMark val="none"/>
        <c:tickLblPos val="nextTo"/>
        <c:spPr>
          <a:ln>
            <a:solidFill>
              <a:schemeClr val="tx1">
                <a:lumMod val="75000"/>
                <a:lumOff val="25000"/>
              </a:schemeClr>
            </a:solidFill>
          </a:ln>
        </c:spPr>
        <c:txPr>
          <a:bodyPr/>
          <a:lstStyle/>
          <a:p>
            <a:pPr>
              <a:defRPr sz="900">
                <a:latin typeface="Arial" pitchFamily="34" charset="0"/>
                <a:cs typeface="Arial" pitchFamily="34" charset="0"/>
              </a:defRPr>
            </a:pPr>
            <a:endParaRPr lang="en-US"/>
          </a:p>
        </c:txPr>
        <c:crossAx val="36085760"/>
        <c:crosses val="autoZero"/>
        <c:crossBetween val="between"/>
        <c:majorUnit val="5"/>
      </c:valAx>
      <c:spPr>
        <a:ln>
          <a:solidFill>
            <a:schemeClr val="tx1"/>
          </a:solidFill>
        </a:ln>
      </c:spPr>
    </c:plotArea>
    <c:plotVisOnly val="1"/>
    <c:dispBlanksAs val="gap"/>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365604908309736E-2"/>
          <c:y val="0.18379442358160419"/>
          <c:w val="0.88047440529521015"/>
          <c:h val="0.60765303456254383"/>
        </c:manualLayout>
      </c:layout>
      <c:barChart>
        <c:barDir val="col"/>
        <c:grouping val="stacked"/>
        <c:varyColors val="0"/>
        <c:ser>
          <c:idx val="0"/>
          <c:order val="0"/>
          <c:tx>
            <c:strRef>
              <c:f>Sheet5!$C$1</c:f>
              <c:strCache>
                <c:ptCount val="1"/>
                <c:pt idx="0">
                  <c:v>Awards only</c:v>
                </c:pt>
              </c:strCache>
            </c:strRef>
          </c:tx>
          <c:spPr>
            <a:pattFill prst="pct60">
              <a:fgClr>
                <a:srgbClr val="B4C98B"/>
              </a:fgClr>
              <a:bgClr>
                <a:sysClr val="window" lastClr="FFFFFF"/>
              </a:bgClr>
            </a:pattFill>
            <a:ln>
              <a:solidFill>
                <a:srgbClr val="B4C98B"/>
              </a:solidFill>
            </a:ln>
          </c:spPr>
          <c:invertIfNegative val="0"/>
          <c:cat>
            <c:strRef>
              <c:f>Sheet5!$B$2:$B$49</c:f>
              <c:strCache>
                <c:ptCount val="45"/>
                <c:pt idx="2">
                  <c:v>Mining</c:v>
                </c:pt>
                <c:pt idx="9">
                  <c:v>Manufac-
turing</c:v>
                </c:pt>
                <c:pt idx="16">
                  <c:v>Utilities/ 
Construc-
tion</c:v>
                </c:pt>
                <c:pt idx="23">
                  <c:v>Distribution 
  services</c:v>
                </c:pt>
                <c:pt idx="30">
                  <c:v>  Business 
    services</c:v>
                </c:pt>
                <c:pt idx="37">
                  <c:v>   Social  
  services</c:v>
                </c:pt>
                <c:pt idx="44">
                  <c:v>Personal 
  services</c:v>
                </c:pt>
              </c:strCache>
            </c:strRef>
          </c:cat>
          <c:val>
            <c:numRef>
              <c:f>Sheet5!$C$2:$C$49</c:f>
              <c:numCache>
                <c:formatCode>0.0</c:formatCode>
                <c:ptCount val="48"/>
                <c:pt idx="0">
                  <c:v>5.9059059059059056</c:v>
                </c:pt>
                <c:pt idx="1">
                  <c:v>5.9000000000000012</c:v>
                </c:pt>
                <c:pt idx="2">
                  <c:v>1.9</c:v>
                </c:pt>
                <c:pt idx="3">
                  <c:v>2.4000000000000004</c:v>
                </c:pt>
                <c:pt idx="4">
                  <c:v>1.2000000000000002</c:v>
                </c:pt>
                <c:pt idx="5">
                  <c:v>1.911764705882353</c:v>
                </c:pt>
                <c:pt idx="7">
                  <c:v>11.4</c:v>
                </c:pt>
                <c:pt idx="8">
                  <c:v>12.5</c:v>
                </c:pt>
                <c:pt idx="9">
                  <c:v>16.555555555555557</c:v>
                </c:pt>
                <c:pt idx="10">
                  <c:v>10.6</c:v>
                </c:pt>
                <c:pt idx="11">
                  <c:v>12.200000000000001</c:v>
                </c:pt>
                <c:pt idx="12">
                  <c:v>15.073621162964812</c:v>
                </c:pt>
                <c:pt idx="14">
                  <c:v>13.560519349881501</c:v>
                </c:pt>
                <c:pt idx="15">
                  <c:v>15.449958528207638</c:v>
                </c:pt>
                <c:pt idx="16">
                  <c:v>13.791985332787583</c:v>
                </c:pt>
                <c:pt idx="17">
                  <c:v>10.766519037333648</c:v>
                </c:pt>
                <c:pt idx="18">
                  <c:v>8.6986260391948829</c:v>
                </c:pt>
                <c:pt idx="19">
                  <c:v>9.8978513561113068</c:v>
                </c:pt>
                <c:pt idx="21">
                  <c:v>23.396943665029223</c:v>
                </c:pt>
                <c:pt idx="22">
                  <c:v>23.088612025825313</c:v>
                </c:pt>
                <c:pt idx="23">
                  <c:v>21.730067089235082</c:v>
                </c:pt>
                <c:pt idx="24">
                  <c:v>27.215035546645321</c:v>
                </c:pt>
                <c:pt idx="25">
                  <c:v>23.85733643972522</c:v>
                </c:pt>
                <c:pt idx="26">
                  <c:v>16.126190607278531</c:v>
                </c:pt>
                <c:pt idx="28">
                  <c:v>17.081091416206888</c:v>
                </c:pt>
                <c:pt idx="29">
                  <c:v>14.948170512210734</c:v>
                </c:pt>
                <c:pt idx="30">
                  <c:v>16.163361340122272</c:v>
                </c:pt>
                <c:pt idx="31">
                  <c:v>18.952625608320602</c:v>
                </c:pt>
                <c:pt idx="32">
                  <c:v>12.045043106869041</c:v>
                </c:pt>
                <c:pt idx="33">
                  <c:v>14.911002723760056</c:v>
                </c:pt>
                <c:pt idx="35">
                  <c:v>24.269147121615994</c:v>
                </c:pt>
                <c:pt idx="36">
                  <c:v>16.98133262991097</c:v>
                </c:pt>
                <c:pt idx="37">
                  <c:v>14.133312225114469</c:v>
                </c:pt>
                <c:pt idx="38">
                  <c:v>14.896076357867239</c:v>
                </c:pt>
                <c:pt idx="39">
                  <c:v>10.929769680552059</c:v>
                </c:pt>
                <c:pt idx="40">
                  <c:v>9.557556023750239</c:v>
                </c:pt>
                <c:pt idx="42">
                  <c:v>46.211822318063042</c:v>
                </c:pt>
                <c:pt idx="43">
                  <c:v>41.617191851702678</c:v>
                </c:pt>
                <c:pt idx="44">
                  <c:v>42.349600139856022</c:v>
                </c:pt>
                <c:pt idx="45">
                  <c:v>40.25599659612093</c:v>
                </c:pt>
                <c:pt idx="46">
                  <c:v>36.993410118817671</c:v>
                </c:pt>
                <c:pt idx="47">
                  <c:v>37.095885378398243</c:v>
                </c:pt>
              </c:numCache>
            </c:numRef>
          </c:val>
        </c:ser>
        <c:ser>
          <c:idx val="1"/>
          <c:order val="1"/>
          <c:tx>
            <c:strRef>
              <c:f>Sheet5!$D$1</c:f>
              <c:strCache>
                <c:ptCount val="1"/>
                <c:pt idx="0">
                  <c:v>Collective agreements</c:v>
                </c:pt>
              </c:strCache>
            </c:strRef>
          </c:tx>
          <c:spPr>
            <a:solidFill>
              <a:srgbClr val="344893"/>
            </a:solidFill>
            <a:ln>
              <a:solidFill>
                <a:srgbClr val="344893"/>
              </a:solidFill>
            </a:ln>
          </c:spPr>
          <c:invertIfNegative val="0"/>
          <c:cat>
            <c:strRef>
              <c:f>Sheet5!$B$2:$B$49</c:f>
              <c:strCache>
                <c:ptCount val="45"/>
                <c:pt idx="2">
                  <c:v>Mining</c:v>
                </c:pt>
                <c:pt idx="9">
                  <c:v>Manufac-
turing</c:v>
                </c:pt>
                <c:pt idx="16">
                  <c:v>Utilities/ 
Construc-
tion</c:v>
                </c:pt>
                <c:pt idx="23">
                  <c:v>Distribution 
  services</c:v>
                </c:pt>
                <c:pt idx="30">
                  <c:v>  Business 
    services</c:v>
                </c:pt>
                <c:pt idx="37">
                  <c:v>   Social  
  services</c:v>
                </c:pt>
                <c:pt idx="44">
                  <c:v>Personal 
  services</c:v>
                </c:pt>
              </c:strCache>
            </c:strRef>
          </c:cat>
          <c:val>
            <c:numRef>
              <c:f>Sheet5!$D$2:$D$49</c:f>
              <c:numCache>
                <c:formatCode>0.0</c:formatCode>
                <c:ptCount val="48"/>
                <c:pt idx="0">
                  <c:v>39.73973973973974</c:v>
                </c:pt>
                <c:pt idx="1">
                  <c:v>40.5</c:v>
                </c:pt>
                <c:pt idx="2">
                  <c:v>38.799999999999997</c:v>
                </c:pt>
                <c:pt idx="3">
                  <c:v>29.800000000000004</c:v>
                </c:pt>
                <c:pt idx="4">
                  <c:v>30.9</c:v>
                </c:pt>
                <c:pt idx="5">
                  <c:v>41.838235294117645</c:v>
                </c:pt>
                <c:pt idx="7">
                  <c:v>37</c:v>
                </c:pt>
                <c:pt idx="8">
                  <c:v>37.5</c:v>
                </c:pt>
                <c:pt idx="9">
                  <c:v>28.666666666666668</c:v>
                </c:pt>
                <c:pt idx="10">
                  <c:v>37.700000000000003</c:v>
                </c:pt>
                <c:pt idx="11">
                  <c:v>29.9</c:v>
                </c:pt>
                <c:pt idx="12">
                  <c:v>27.227352133765908</c:v>
                </c:pt>
                <c:pt idx="14">
                  <c:v>29.377987519209185</c:v>
                </c:pt>
                <c:pt idx="15">
                  <c:v>28.763582358265953</c:v>
                </c:pt>
                <c:pt idx="16">
                  <c:v>29.841923709086583</c:v>
                </c:pt>
                <c:pt idx="17">
                  <c:v>34.000754106592979</c:v>
                </c:pt>
                <c:pt idx="18">
                  <c:v>30.159279344097893</c:v>
                </c:pt>
                <c:pt idx="19">
                  <c:v>33.215921098978512</c:v>
                </c:pt>
                <c:pt idx="21">
                  <c:v>32.507947752666325</c:v>
                </c:pt>
                <c:pt idx="22">
                  <c:v>32.483086510242373</c:v>
                </c:pt>
                <c:pt idx="23">
                  <c:v>35.255626899984115</c:v>
                </c:pt>
                <c:pt idx="24">
                  <c:v>25.072662129542461</c:v>
                </c:pt>
                <c:pt idx="25">
                  <c:v>27.376327779222802</c:v>
                </c:pt>
                <c:pt idx="26">
                  <c:v>38.088421516269342</c:v>
                </c:pt>
                <c:pt idx="28">
                  <c:v>20.414346351385863</c:v>
                </c:pt>
                <c:pt idx="29">
                  <c:v>20.893946785506863</c:v>
                </c:pt>
                <c:pt idx="30">
                  <c:v>19.989614117777744</c:v>
                </c:pt>
                <c:pt idx="31">
                  <c:v>21.859328509089039</c:v>
                </c:pt>
                <c:pt idx="32">
                  <c:v>17.573312903228004</c:v>
                </c:pt>
                <c:pt idx="33">
                  <c:v>24.995249255716733</c:v>
                </c:pt>
                <c:pt idx="35">
                  <c:v>62.816724995424565</c:v>
                </c:pt>
                <c:pt idx="36">
                  <c:v>69.764118019708604</c:v>
                </c:pt>
                <c:pt idx="37">
                  <c:v>73.092215109167981</c:v>
                </c:pt>
                <c:pt idx="38">
                  <c:v>74.017075452093621</c:v>
                </c:pt>
                <c:pt idx="39">
                  <c:v>75.907153469728229</c:v>
                </c:pt>
                <c:pt idx="40">
                  <c:v>78.253208197663298</c:v>
                </c:pt>
                <c:pt idx="42">
                  <c:v>22.393763560749395</c:v>
                </c:pt>
                <c:pt idx="43">
                  <c:v>22.137658854275557</c:v>
                </c:pt>
                <c:pt idx="44">
                  <c:v>26.619665629703697</c:v>
                </c:pt>
                <c:pt idx="45">
                  <c:v>26.180024751470665</c:v>
                </c:pt>
                <c:pt idx="46">
                  <c:v>17.831339320061605</c:v>
                </c:pt>
                <c:pt idx="47">
                  <c:v>27.470609845701695</c:v>
                </c:pt>
              </c:numCache>
            </c:numRef>
          </c:val>
        </c:ser>
        <c:ser>
          <c:idx val="2"/>
          <c:order val="2"/>
          <c:tx>
            <c:strRef>
              <c:f>Sheet5!$E$1</c:f>
              <c:strCache>
                <c:ptCount val="1"/>
                <c:pt idx="0">
                  <c:v>Individual arrangements</c:v>
                </c:pt>
              </c:strCache>
            </c:strRef>
          </c:tx>
          <c:spPr>
            <a:pattFill prst="zigZag">
              <a:fgClr>
                <a:srgbClr val="7B905A"/>
              </a:fgClr>
              <a:bgClr>
                <a:sysClr val="window" lastClr="FFFFFF"/>
              </a:bgClr>
            </a:pattFill>
            <a:ln>
              <a:solidFill>
                <a:srgbClr val="7B905A"/>
              </a:solidFill>
            </a:ln>
          </c:spPr>
          <c:invertIfNegative val="0"/>
          <c:cat>
            <c:strRef>
              <c:f>Sheet5!$B$2:$B$49</c:f>
              <c:strCache>
                <c:ptCount val="45"/>
                <c:pt idx="2">
                  <c:v>Mining</c:v>
                </c:pt>
                <c:pt idx="9">
                  <c:v>Manufac-
turing</c:v>
                </c:pt>
                <c:pt idx="16">
                  <c:v>Utilities/ 
Construc-
tion</c:v>
                </c:pt>
                <c:pt idx="23">
                  <c:v>Distribution 
  services</c:v>
                </c:pt>
                <c:pt idx="30">
                  <c:v>  Business 
    services</c:v>
                </c:pt>
                <c:pt idx="37">
                  <c:v>   Social  
  services</c:v>
                </c:pt>
                <c:pt idx="44">
                  <c:v>Personal 
  services</c:v>
                </c:pt>
              </c:strCache>
            </c:strRef>
          </c:cat>
          <c:val>
            <c:numRef>
              <c:f>Sheet5!$E$2:$E$49</c:f>
              <c:numCache>
                <c:formatCode>0.0</c:formatCode>
                <c:ptCount val="48"/>
                <c:pt idx="0">
                  <c:v>54.354354354354342</c:v>
                </c:pt>
                <c:pt idx="1">
                  <c:v>53.6</c:v>
                </c:pt>
                <c:pt idx="2">
                  <c:v>59.3</c:v>
                </c:pt>
                <c:pt idx="3">
                  <c:v>67.800000000000011</c:v>
                </c:pt>
                <c:pt idx="4">
                  <c:v>67.900000000000006</c:v>
                </c:pt>
                <c:pt idx="5">
                  <c:v>56.25</c:v>
                </c:pt>
                <c:pt idx="7">
                  <c:v>51.6</c:v>
                </c:pt>
                <c:pt idx="8">
                  <c:v>50</c:v>
                </c:pt>
                <c:pt idx="9">
                  <c:v>54.777777777777771</c:v>
                </c:pt>
                <c:pt idx="10">
                  <c:v>51.7</c:v>
                </c:pt>
                <c:pt idx="11">
                  <c:v>57.9</c:v>
                </c:pt>
                <c:pt idx="12">
                  <c:v>57.699026703269276</c:v>
                </c:pt>
                <c:pt idx="14">
                  <c:v>57.061493130909312</c:v>
                </c:pt>
                <c:pt idx="15">
                  <c:v>55.786459113526412</c:v>
                </c:pt>
                <c:pt idx="16">
                  <c:v>56.366090958125845</c:v>
                </c:pt>
                <c:pt idx="17">
                  <c:v>55.232726856073356</c:v>
                </c:pt>
                <c:pt idx="18">
                  <c:v>61.142094616707212</c:v>
                </c:pt>
                <c:pt idx="19">
                  <c:v>56.886227544910184</c:v>
                </c:pt>
                <c:pt idx="21">
                  <c:v>44.095108582304462</c:v>
                </c:pt>
                <c:pt idx="22">
                  <c:v>44.428301463932307</c:v>
                </c:pt>
                <c:pt idx="23">
                  <c:v>43.014306010780807</c:v>
                </c:pt>
                <c:pt idx="24">
                  <c:v>47.712302323812203</c:v>
                </c:pt>
                <c:pt idx="25">
                  <c:v>48.766335781051971</c:v>
                </c:pt>
                <c:pt idx="26">
                  <c:v>45.785387876452134</c:v>
                </c:pt>
                <c:pt idx="28">
                  <c:v>62.504562232407245</c:v>
                </c:pt>
                <c:pt idx="29">
                  <c:v>64.157882702282407</c:v>
                </c:pt>
                <c:pt idx="30">
                  <c:v>63.847024542099973</c:v>
                </c:pt>
                <c:pt idx="31">
                  <c:v>59.188045882590359</c:v>
                </c:pt>
                <c:pt idx="32">
                  <c:v>70.381643989902969</c:v>
                </c:pt>
                <c:pt idx="33">
                  <c:v>60.093748020523229</c:v>
                </c:pt>
                <c:pt idx="35">
                  <c:v>12.914127882959454</c:v>
                </c:pt>
                <c:pt idx="36">
                  <c:v>13.254549350380421</c:v>
                </c:pt>
                <c:pt idx="37">
                  <c:v>12.774472665717553</c:v>
                </c:pt>
                <c:pt idx="38">
                  <c:v>11.086848190039145</c:v>
                </c:pt>
                <c:pt idx="39">
                  <c:v>13.163076849719699</c:v>
                </c:pt>
                <c:pt idx="40">
                  <c:v>12.189235778586477</c:v>
                </c:pt>
                <c:pt idx="42">
                  <c:v>31.39441412118757</c:v>
                </c:pt>
                <c:pt idx="43">
                  <c:v>36.245149294021758</c:v>
                </c:pt>
                <c:pt idx="44">
                  <c:v>31.030734230440288</c:v>
                </c:pt>
                <c:pt idx="45">
                  <c:v>33.563978652408409</c:v>
                </c:pt>
                <c:pt idx="46">
                  <c:v>45.175250561120741</c:v>
                </c:pt>
                <c:pt idx="47">
                  <c:v>35.433504775900069</c:v>
                </c:pt>
              </c:numCache>
            </c:numRef>
          </c:val>
        </c:ser>
        <c:dLbls>
          <c:showLegendKey val="0"/>
          <c:showVal val="0"/>
          <c:showCatName val="0"/>
          <c:showSerName val="0"/>
          <c:showPercent val="0"/>
          <c:showBubbleSize val="0"/>
        </c:dLbls>
        <c:gapWidth val="25"/>
        <c:overlap val="100"/>
        <c:axId val="36457856"/>
        <c:axId val="36467840"/>
      </c:barChart>
      <c:catAx>
        <c:axId val="36457856"/>
        <c:scaling>
          <c:orientation val="minMax"/>
        </c:scaling>
        <c:delete val="0"/>
        <c:axPos val="b"/>
        <c:majorTickMark val="out"/>
        <c:minorTickMark val="none"/>
        <c:tickLblPos val="nextTo"/>
        <c:spPr>
          <a:ln>
            <a:solidFill>
              <a:schemeClr val="tx1"/>
            </a:solidFill>
          </a:ln>
        </c:spPr>
        <c:txPr>
          <a:bodyPr/>
          <a:lstStyle/>
          <a:p>
            <a:pPr>
              <a:defRPr sz="800"/>
            </a:pPr>
            <a:endParaRPr lang="en-US"/>
          </a:p>
        </c:txPr>
        <c:crossAx val="36467840"/>
        <c:crosses val="autoZero"/>
        <c:auto val="1"/>
        <c:lblAlgn val="ctr"/>
        <c:lblOffset val="100"/>
        <c:tickMarkSkip val="1"/>
        <c:noMultiLvlLbl val="0"/>
      </c:catAx>
      <c:valAx>
        <c:axId val="36467840"/>
        <c:scaling>
          <c:orientation val="minMax"/>
          <c:max val="100"/>
        </c:scaling>
        <c:delete val="0"/>
        <c:axPos val="l"/>
        <c:majorGridlines>
          <c:spPr>
            <a:ln>
              <a:solidFill>
                <a:sysClr val="window" lastClr="FFFFFF">
                  <a:lumMod val="50000"/>
                </a:sysClr>
              </a:solidFill>
            </a:ln>
          </c:spPr>
        </c:majorGridlines>
        <c:title>
          <c:tx>
            <c:rich>
              <a:bodyPr rot="-5400000" vert="horz"/>
              <a:lstStyle/>
              <a:p>
                <a:pPr>
                  <a:defRPr/>
                </a:pPr>
                <a:r>
                  <a:rPr lang="en-US"/>
                  <a:t>Per cent</a:t>
                </a:r>
              </a:p>
            </c:rich>
          </c:tx>
          <c:layout>
            <c:manualLayout>
              <c:xMode val="edge"/>
              <c:yMode val="edge"/>
              <c:x val="7.379313187945752E-4"/>
              <c:y val="0.32886402556399286"/>
            </c:manualLayout>
          </c:layout>
          <c:overlay val="0"/>
        </c:title>
        <c:numFmt formatCode="0" sourceLinked="0"/>
        <c:majorTickMark val="out"/>
        <c:minorTickMark val="none"/>
        <c:tickLblPos val="nextTo"/>
        <c:txPr>
          <a:bodyPr/>
          <a:lstStyle/>
          <a:p>
            <a:pPr>
              <a:defRPr sz="900"/>
            </a:pPr>
            <a:endParaRPr lang="en-US"/>
          </a:p>
        </c:txPr>
        <c:crossAx val="36457856"/>
        <c:crosses val="autoZero"/>
        <c:crossBetween val="between"/>
        <c:majorUnit val="20"/>
      </c:valAx>
    </c:plotArea>
    <c:legend>
      <c:legendPos val="t"/>
      <c:layout>
        <c:manualLayout>
          <c:xMode val="edge"/>
          <c:yMode val="edge"/>
          <c:x val="5.4321923898856907E-2"/>
          <c:y val="3.2379924446842956E-2"/>
          <c:w val="0.94309630030596281"/>
          <c:h val="8.6103646245571736E-2"/>
        </c:manualLayout>
      </c:layout>
      <c:overlay val="0"/>
      <c:txPr>
        <a:bodyPr/>
        <a:lstStyle/>
        <a:p>
          <a:pPr>
            <a:defRPr sz="900"/>
          </a:pPr>
          <a:endParaRPr lang="en-US"/>
        </a:p>
      </c:txPr>
    </c:legend>
    <c:plotVisOnly val="1"/>
    <c:dispBlanksAs val="gap"/>
    <c:showDLblsOverMax val="0"/>
  </c:chart>
  <c:spPr>
    <a:ln>
      <a:noFill/>
    </a:ln>
  </c:sp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02802012542553"/>
          <c:y val="0.12489716364921345"/>
          <c:w val="0.88081834562780448"/>
          <c:h val="0.6881175318425039"/>
        </c:manualLayout>
      </c:layout>
      <c:barChart>
        <c:barDir val="col"/>
        <c:grouping val="clustered"/>
        <c:varyColors val="0"/>
        <c:ser>
          <c:idx val="0"/>
          <c:order val="0"/>
          <c:tx>
            <c:strRef>
              <c:f>Sheet1!$B$4</c:f>
              <c:strCache>
                <c:ptCount val="1"/>
                <c:pt idx="0">
                  <c:v>Average 2000–2002</c:v>
                </c:pt>
              </c:strCache>
            </c:strRef>
          </c:tx>
          <c:spPr>
            <a:solidFill>
              <a:srgbClr val="344893"/>
            </a:solidFill>
            <a:ln>
              <a:solidFill>
                <a:srgbClr val="344893"/>
              </a:solidFill>
            </a:ln>
          </c:spPr>
          <c:invertIfNegative val="0"/>
          <c:cat>
            <c:strRef>
              <c:f>Sheet1!$A$5:$A$11</c:f>
              <c:strCache>
                <c:ptCount val="7"/>
                <c:pt idx="0">
                  <c:v>Mining</c:v>
                </c:pt>
                <c:pt idx="1">
                  <c:v>Manufac-
turing</c:v>
                </c:pt>
                <c:pt idx="2">
                  <c:v>Utilities/
Construction</c:v>
                </c:pt>
                <c:pt idx="3">
                  <c:v>Distribution
services</c:v>
                </c:pt>
                <c:pt idx="4">
                  <c:v>Business
services</c:v>
                </c:pt>
                <c:pt idx="5">
                  <c:v>Social
services</c:v>
                </c:pt>
                <c:pt idx="6">
                  <c:v>Personal
services</c:v>
                </c:pt>
              </c:strCache>
            </c:strRef>
          </c:cat>
          <c:val>
            <c:numRef>
              <c:f>Sheet1!$B$5:$B$11</c:f>
              <c:numCache>
                <c:formatCode>0.00</c:formatCode>
                <c:ptCount val="7"/>
                <c:pt idx="0">
                  <c:v>0.98333333333333339</c:v>
                </c:pt>
                <c:pt idx="1">
                  <c:v>11.425000000000001</c:v>
                </c:pt>
                <c:pt idx="2">
                  <c:v>6.3166666666666673</c:v>
                </c:pt>
                <c:pt idx="3">
                  <c:v>24.308333333333334</c:v>
                </c:pt>
                <c:pt idx="4">
                  <c:v>21.783333333333331</c:v>
                </c:pt>
                <c:pt idx="5">
                  <c:v>22.508333333333333</c:v>
                </c:pt>
                <c:pt idx="6">
                  <c:v>14.541666666666666</c:v>
                </c:pt>
              </c:numCache>
            </c:numRef>
          </c:val>
        </c:ser>
        <c:ser>
          <c:idx val="1"/>
          <c:order val="1"/>
          <c:tx>
            <c:strRef>
              <c:f>Sheet1!$C$4</c:f>
              <c:strCache>
                <c:ptCount val="1"/>
                <c:pt idx="0">
                  <c:v>Average 2003–2005</c:v>
                </c:pt>
              </c:strCache>
            </c:strRef>
          </c:tx>
          <c:spPr>
            <a:pattFill prst="pct60">
              <a:fgClr>
                <a:srgbClr val="B4C98B"/>
              </a:fgClr>
              <a:bgClr>
                <a:sysClr val="window" lastClr="FFFFFF"/>
              </a:bgClr>
            </a:pattFill>
            <a:ln>
              <a:solidFill>
                <a:srgbClr val="B4C98B"/>
              </a:solidFill>
            </a:ln>
          </c:spPr>
          <c:invertIfNegative val="0"/>
          <c:cat>
            <c:strRef>
              <c:f>Sheet1!$A$5:$A$11</c:f>
              <c:strCache>
                <c:ptCount val="7"/>
                <c:pt idx="0">
                  <c:v>Mining</c:v>
                </c:pt>
                <c:pt idx="1">
                  <c:v>Manufac-
turing</c:v>
                </c:pt>
                <c:pt idx="2">
                  <c:v>Utilities/
Construction</c:v>
                </c:pt>
                <c:pt idx="3">
                  <c:v>Distribution
services</c:v>
                </c:pt>
                <c:pt idx="4">
                  <c:v>Business
services</c:v>
                </c:pt>
                <c:pt idx="5">
                  <c:v>Social
services</c:v>
                </c:pt>
                <c:pt idx="6">
                  <c:v>Personal
services</c:v>
                </c:pt>
              </c:strCache>
            </c:strRef>
          </c:cat>
          <c:val>
            <c:numRef>
              <c:f>Sheet1!$C$5:$C$11</c:f>
              <c:numCache>
                <c:formatCode>0.00</c:formatCode>
                <c:ptCount val="7"/>
                <c:pt idx="0">
                  <c:v>2.1666666666666665</c:v>
                </c:pt>
                <c:pt idx="1">
                  <c:v>13.191666666666666</c:v>
                </c:pt>
                <c:pt idx="2">
                  <c:v>8.0916666666666668</c:v>
                </c:pt>
                <c:pt idx="3">
                  <c:v>30.558333333333334</c:v>
                </c:pt>
                <c:pt idx="4">
                  <c:v>32.524999999999999</c:v>
                </c:pt>
                <c:pt idx="5">
                  <c:v>22.216666666666669</c:v>
                </c:pt>
                <c:pt idx="6">
                  <c:v>14.5</c:v>
                </c:pt>
              </c:numCache>
            </c:numRef>
          </c:val>
        </c:ser>
        <c:ser>
          <c:idx val="2"/>
          <c:order val="2"/>
          <c:tx>
            <c:strRef>
              <c:f>Sheet1!$D$4</c:f>
              <c:strCache>
                <c:ptCount val="1"/>
                <c:pt idx="0">
                  <c:v>Average 2006–2008</c:v>
                </c:pt>
              </c:strCache>
            </c:strRef>
          </c:tx>
          <c:spPr>
            <a:pattFill prst="zigZag">
              <a:fgClr>
                <a:srgbClr val="7B905A"/>
              </a:fgClr>
              <a:bgClr>
                <a:sysClr val="window" lastClr="FFFFFF"/>
              </a:bgClr>
            </a:pattFill>
            <a:ln>
              <a:solidFill>
                <a:srgbClr val="7B905A"/>
              </a:solidFill>
            </a:ln>
          </c:spPr>
          <c:invertIfNegative val="0"/>
          <c:cat>
            <c:strRef>
              <c:f>Sheet1!$A$5:$A$11</c:f>
              <c:strCache>
                <c:ptCount val="7"/>
                <c:pt idx="0">
                  <c:v>Mining</c:v>
                </c:pt>
                <c:pt idx="1">
                  <c:v>Manufac-
turing</c:v>
                </c:pt>
                <c:pt idx="2">
                  <c:v>Utilities/
Construction</c:v>
                </c:pt>
                <c:pt idx="3">
                  <c:v>Distribution
services</c:v>
                </c:pt>
                <c:pt idx="4">
                  <c:v>Business
services</c:v>
                </c:pt>
                <c:pt idx="5">
                  <c:v>Social
services</c:v>
                </c:pt>
                <c:pt idx="6">
                  <c:v>Personal
services</c:v>
                </c:pt>
              </c:strCache>
            </c:strRef>
          </c:cat>
          <c:val>
            <c:numRef>
              <c:f>Sheet1!$D$5:$D$11</c:f>
              <c:numCache>
                <c:formatCode>0.00</c:formatCode>
                <c:ptCount val="7"/>
                <c:pt idx="0">
                  <c:v>4.7333333333333334</c:v>
                </c:pt>
                <c:pt idx="1">
                  <c:v>16.033333333333335</c:v>
                </c:pt>
                <c:pt idx="2">
                  <c:v>9.2083333333333339</c:v>
                </c:pt>
                <c:pt idx="3">
                  <c:v>42.783333333333339</c:v>
                </c:pt>
                <c:pt idx="4">
                  <c:v>49.975000000000001</c:v>
                </c:pt>
                <c:pt idx="5">
                  <c:v>27.508333333333333</c:v>
                </c:pt>
                <c:pt idx="6">
                  <c:v>18.616666666666667</c:v>
                </c:pt>
              </c:numCache>
            </c:numRef>
          </c:val>
        </c:ser>
        <c:ser>
          <c:idx val="3"/>
          <c:order val="3"/>
          <c:tx>
            <c:strRef>
              <c:f>Sheet1!$E$4</c:f>
              <c:strCache>
                <c:ptCount val="1"/>
                <c:pt idx="0">
                  <c:v>Average 2009–2012</c:v>
                </c:pt>
              </c:strCache>
            </c:strRef>
          </c:tx>
          <c:spPr>
            <a:pattFill prst="ltDnDiag">
              <a:fgClr>
                <a:srgbClr val="39580D"/>
              </a:fgClr>
              <a:bgClr>
                <a:sysClr val="window" lastClr="FFFFFF"/>
              </a:bgClr>
            </a:pattFill>
            <a:ln>
              <a:solidFill>
                <a:srgbClr val="39580D"/>
              </a:solidFill>
            </a:ln>
          </c:spPr>
          <c:invertIfNegative val="0"/>
          <c:cat>
            <c:strRef>
              <c:f>Sheet1!$A$5:$A$11</c:f>
              <c:strCache>
                <c:ptCount val="7"/>
                <c:pt idx="0">
                  <c:v>Mining</c:v>
                </c:pt>
                <c:pt idx="1">
                  <c:v>Manufac-
turing</c:v>
                </c:pt>
                <c:pt idx="2">
                  <c:v>Utilities/
Construction</c:v>
                </c:pt>
                <c:pt idx="3">
                  <c:v>Distribution
services</c:v>
                </c:pt>
                <c:pt idx="4">
                  <c:v>Business
services</c:v>
                </c:pt>
                <c:pt idx="5">
                  <c:v>Social
services</c:v>
                </c:pt>
                <c:pt idx="6">
                  <c:v>Personal
services</c:v>
                </c:pt>
              </c:strCache>
            </c:strRef>
          </c:cat>
          <c:val>
            <c:numRef>
              <c:f>Sheet1!$E$5:$E$11</c:f>
              <c:numCache>
                <c:formatCode>0.00</c:formatCode>
                <c:ptCount val="7"/>
                <c:pt idx="0">
                  <c:v>7.2625000000000002</c:v>
                </c:pt>
                <c:pt idx="1">
                  <c:v>11.206250000000001</c:v>
                </c:pt>
                <c:pt idx="2">
                  <c:v>16.28125</c:v>
                </c:pt>
                <c:pt idx="3">
                  <c:v>34.700000000000003</c:v>
                </c:pt>
                <c:pt idx="4">
                  <c:v>53.34375</c:v>
                </c:pt>
                <c:pt idx="5">
                  <c:v>26.881250000000001</c:v>
                </c:pt>
                <c:pt idx="6">
                  <c:v>22.331250000000001</c:v>
                </c:pt>
              </c:numCache>
            </c:numRef>
          </c:val>
        </c:ser>
        <c:dLbls>
          <c:showLegendKey val="0"/>
          <c:showVal val="0"/>
          <c:showCatName val="0"/>
          <c:showSerName val="0"/>
          <c:showPercent val="0"/>
          <c:showBubbleSize val="0"/>
        </c:dLbls>
        <c:gapWidth val="150"/>
        <c:axId val="172105728"/>
        <c:axId val="172107264"/>
      </c:barChart>
      <c:catAx>
        <c:axId val="172105728"/>
        <c:scaling>
          <c:orientation val="minMax"/>
        </c:scaling>
        <c:delete val="0"/>
        <c:axPos val="b"/>
        <c:majorTickMark val="out"/>
        <c:minorTickMark val="none"/>
        <c:tickLblPos val="nextTo"/>
        <c:spPr>
          <a:ln>
            <a:solidFill>
              <a:sysClr val="windowText" lastClr="000000">
                <a:lumMod val="85000"/>
                <a:lumOff val="15000"/>
              </a:sysClr>
            </a:solidFill>
          </a:ln>
        </c:spPr>
        <c:txPr>
          <a:bodyPr rot="0"/>
          <a:lstStyle/>
          <a:p>
            <a:pPr>
              <a:defRPr sz="900"/>
            </a:pPr>
            <a:endParaRPr lang="en-US"/>
          </a:p>
        </c:txPr>
        <c:crossAx val="172107264"/>
        <c:crosses val="autoZero"/>
        <c:auto val="1"/>
        <c:lblAlgn val="ctr"/>
        <c:lblOffset val="100"/>
        <c:noMultiLvlLbl val="0"/>
      </c:catAx>
      <c:valAx>
        <c:axId val="172107264"/>
        <c:scaling>
          <c:orientation val="minMax"/>
        </c:scaling>
        <c:delete val="0"/>
        <c:axPos val="l"/>
        <c:majorGridlines>
          <c:spPr>
            <a:ln>
              <a:solidFill>
                <a:sysClr val="window" lastClr="FFFFFF">
                  <a:lumMod val="50000"/>
                </a:sysClr>
              </a:solidFill>
              <a:prstDash val="solid"/>
            </a:ln>
          </c:spPr>
        </c:majorGridlines>
        <c:title>
          <c:tx>
            <c:rich>
              <a:bodyPr rot="-5400000" vert="horz"/>
              <a:lstStyle/>
              <a:p>
                <a:pPr>
                  <a:defRPr sz="900"/>
                </a:pPr>
                <a:r>
                  <a:rPr lang="en-AU" sz="900"/>
                  <a:t>Job vacancies ('000s)</a:t>
                </a:r>
              </a:p>
            </c:rich>
          </c:tx>
          <c:layout>
            <c:manualLayout>
              <c:xMode val="edge"/>
              <c:yMode val="edge"/>
              <c:x val="9.1345976119182304E-4"/>
              <c:y val="0.20342053666133877"/>
            </c:manualLayout>
          </c:layout>
          <c:overlay val="0"/>
        </c:title>
        <c:numFmt formatCode="#,##0" sourceLinked="0"/>
        <c:majorTickMark val="out"/>
        <c:minorTickMark val="none"/>
        <c:tickLblPos val="nextTo"/>
        <c:spPr>
          <a:ln>
            <a:solidFill>
              <a:sysClr val="windowText" lastClr="000000">
                <a:lumMod val="85000"/>
                <a:lumOff val="15000"/>
              </a:sysClr>
            </a:solidFill>
          </a:ln>
        </c:spPr>
        <c:txPr>
          <a:bodyPr/>
          <a:lstStyle/>
          <a:p>
            <a:pPr>
              <a:defRPr sz="1000"/>
            </a:pPr>
            <a:endParaRPr lang="en-US"/>
          </a:p>
        </c:txPr>
        <c:crossAx val="172105728"/>
        <c:crosses val="autoZero"/>
        <c:crossBetween val="between"/>
      </c:valAx>
      <c:spPr>
        <a:ln>
          <a:solidFill>
            <a:sysClr val="windowText" lastClr="000000"/>
          </a:solidFill>
        </a:ln>
      </c:spPr>
    </c:plotArea>
    <c:legend>
      <c:legendPos val="b"/>
      <c:layout>
        <c:manualLayout>
          <c:xMode val="edge"/>
          <c:yMode val="edge"/>
          <c:x val="3.7964278161199717E-2"/>
          <c:y val="2.6208710450994046E-3"/>
          <c:w val="0.95878046381968751"/>
          <c:h val="9.0150628924014931E-2"/>
        </c:manualLayout>
      </c:layout>
      <c:overlay val="0"/>
      <c:spPr>
        <a:ln>
          <a:noFill/>
        </a:ln>
      </c:spPr>
      <c:txPr>
        <a:bodyPr/>
        <a:lstStyle/>
        <a:p>
          <a:pPr>
            <a:defRPr sz="90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25907407407407"/>
          <c:y val="0.15797074351077872"/>
          <c:w val="0.87174185185185182"/>
          <c:h val="0.7268880267041079"/>
        </c:manualLayout>
      </c:layout>
      <c:barChart>
        <c:barDir val="col"/>
        <c:grouping val="clustered"/>
        <c:varyColors val="0"/>
        <c:ser>
          <c:idx val="0"/>
          <c:order val="0"/>
          <c:tx>
            <c:strRef>
              <c:f>Sheet1!$A$4</c:f>
              <c:strCache>
                <c:ptCount val="1"/>
                <c:pt idx="0">
                  <c:v>Average 2000–2002</c:v>
                </c:pt>
              </c:strCache>
            </c:strRef>
          </c:tx>
          <c:spPr>
            <a:solidFill>
              <a:srgbClr val="344893"/>
            </a:solidFill>
            <a:ln>
              <a:solidFill>
                <a:srgbClr val="344893"/>
              </a:solidFill>
            </a:ln>
          </c:spPr>
          <c:invertIfNegative val="0"/>
          <c:cat>
            <c:strRef>
              <c:f>Sheet1!$B$3:$I$3</c:f>
              <c:strCache>
                <c:ptCount val="8"/>
                <c:pt idx="0">
                  <c:v>NSW</c:v>
                </c:pt>
                <c:pt idx="1">
                  <c:v>Vic</c:v>
                </c:pt>
                <c:pt idx="2">
                  <c:v>Qld</c:v>
                </c:pt>
                <c:pt idx="3">
                  <c:v>SA</c:v>
                </c:pt>
                <c:pt idx="4">
                  <c:v>WA</c:v>
                </c:pt>
                <c:pt idx="5">
                  <c:v>Tas</c:v>
                </c:pt>
                <c:pt idx="6">
                  <c:v>NT</c:v>
                </c:pt>
                <c:pt idx="7">
                  <c:v>ACT</c:v>
                </c:pt>
              </c:strCache>
            </c:strRef>
          </c:cat>
          <c:val>
            <c:numRef>
              <c:f>Sheet1!$B$4:$I$4</c:f>
              <c:numCache>
                <c:formatCode>0.00</c:formatCode>
                <c:ptCount val="8"/>
                <c:pt idx="0">
                  <c:v>36.133333333333333</c:v>
                </c:pt>
                <c:pt idx="1">
                  <c:v>27.875</c:v>
                </c:pt>
                <c:pt idx="2">
                  <c:v>15.991666666666667</c:v>
                </c:pt>
                <c:pt idx="3">
                  <c:v>6.2333333333333343</c:v>
                </c:pt>
                <c:pt idx="4">
                  <c:v>9.0833333333333321</c:v>
                </c:pt>
                <c:pt idx="5">
                  <c:v>2.0083333333333333</c:v>
                </c:pt>
                <c:pt idx="6">
                  <c:v>1.2750000000000001</c:v>
                </c:pt>
                <c:pt idx="7">
                  <c:v>3.2166666666666672</c:v>
                </c:pt>
              </c:numCache>
            </c:numRef>
          </c:val>
        </c:ser>
        <c:ser>
          <c:idx val="1"/>
          <c:order val="1"/>
          <c:tx>
            <c:strRef>
              <c:f>Sheet1!$A$5</c:f>
              <c:strCache>
                <c:ptCount val="1"/>
                <c:pt idx="0">
                  <c:v>Average 2003–2005</c:v>
                </c:pt>
              </c:strCache>
            </c:strRef>
          </c:tx>
          <c:spPr>
            <a:pattFill prst="pct60">
              <a:fgClr>
                <a:srgbClr val="B4C98B"/>
              </a:fgClr>
              <a:bgClr>
                <a:schemeClr val="bg1"/>
              </a:bgClr>
            </a:pattFill>
            <a:ln>
              <a:solidFill>
                <a:srgbClr val="B4C98B"/>
              </a:solidFill>
            </a:ln>
          </c:spPr>
          <c:invertIfNegative val="0"/>
          <c:cat>
            <c:strRef>
              <c:f>Sheet1!$B$3:$I$3</c:f>
              <c:strCache>
                <c:ptCount val="8"/>
                <c:pt idx="0">
                  <c:v>NSW</c:v>
                </c:pt>
                <c:pt idx="1">
                  <c:v>Vic</c:v>
                </c:pt>
                <c:pt idx="2">
                  <c:v>Qld</c:v>
                </c:pt>
                <c:pt idx="3">
                  <c:v>SA</c:v>
                </c:pt>
                <c:pt idx="4">
                  <c:v>WA</c:v>
                </c:pt>
                <c:pt idx="5">
                  <c:v>Tas</c:v>
                </c:pt>
                <c:pt idx="6">
                  <c:v>NT</c:v>
                </c:pt>
                <c:pt idx="7">
                  <c:v>ACT</c:v>
                </c:pt>
              </c:strCache>
            </c:strRef>
          </c:cat>
          <c:val>
            <c:numRef>
              <c:f>Sheet1!$B$5:$I$5</c:f>
              <c:numCache>
                <c:formatCode>0.00</c:formatCode>
                <c:ptCount val="8"/>
                <c:pt idx="0">
                  <c:v>40.866666666666667</c:v>
                </c:pt>
                <c:pt idx="1">
                  <c:v>30.099999999999998</c:v>
                </c:pt>
                <c:pt idx="2">
                  <c:v>26.266666666666666</c:v>
                </c:pt>
                <c:pt idx="3">
                  <c:v>6.916666666666667</c:v>
                </c:pt>
                <c:pt idx="4">
                  <c:v>12.075000000000001</c:v>
                </c:pt>
                <c:pt idx="5">
                  <c:v>1.9333333333333333</c:v>
                </c:pt>
                <c:pt idx="6">
                  <c:v>2.0083333333333333</c:v>
                </c:pt>
                <c:pt idx="7">
                  <c:v>3.0666666666666664</c:v>
                </c:pt>
              </c:numCache>
            </c:numRef>
          </c:val>
        </c:ser>
        <c:ser>
          <c:idx val="2"/>
          <c:order val="2"/>
          <c:tx>
            <c:strRef>
              <c:f>Sheet1!$A$6</c:f>
              <c:strCache>
                <c:ptCount val="1"/>
                <c:pt idx="0">
                  <c:v>Average 2006–2008</c:v>
                </c:pt>
              </c:strCache>
            </c:strRef>
          </c:tx>
          <c:spPr>
            <a:pattFill prst="zigZag">
              <a:fgClr>
                <a:srgbClr val="7B905A"/>
              </a:fgClr>
              <a:bgClr>
                <a:schemeClr val="bg1"/>
              </a:bgClr>
            </a:pattFill>
            <a:ln>
              <a:solidFill>
                <a:srgbClr val="7B905A"/>
              </a:solidFill>
            </a:ln>
          </c:spPr>
          <c:invertIfNegative val="0"/>
          <c:cat>
            <c:strRef>
              <c:f>Sheet1!$B$3:$I$3</c:f>
              <c:strCache>
                <c:ptCount val="8"/>
                <c:pt idx="0">
                  <c:v>NSW</c:v>
                </c:pt>
                <c:pt idx="1">
                  <c:v>Vic</c:v>
                </c:pt>
                <c:pt idx="2">
                  <c:v>Qld</c:v>
                </c:pt>
                <c:pt idx="3">
                  <c:v>SA</c:v>
                </c:pt>
                <c:pt idx="4">
                  <c:v>WA</c:v>
                </c:pt>
                <c:pt idx="5">
                  <c:v>Tas</c:v>
                </c:pt>
                <c:pt idx="6">
                  <c:v>NT</c:v>
                </c:pt>
                <c:pt idx="7">
                  <c:v>ACT</c:v>
                </c:pt>
              </c:strCache>
            </c:strRef>
          </c:cat>
          <c:val>
            <c:numRef>
              <c:f>Sheet1!$B$6:$I$6</c:f>
              <c:numCache>
                <c:formatCode>0.00</c:formatCode>
                <c:ptCount val="8"/>
                <c:pt idx="0">
                  <c:v>50.683333333333337</c:v>
                </c:pt>
                <c:pt idx="1">
                  <c:v>34.050000000000004</c:v>
                </c:pt>
                <c:pt idx="2">
                  <c:v>38.183333333333337</c:v>
                </c:pt>
                <c:pt idx="3">
                  <c:v>9.4916666666666654</c:v>
                </c:pt>
                <c:pt idx="4">
                  <c:v>25.933333333333337</c:v>
                </c:pt>
                <c:pt idx="5">
                  <c:v>2.4916666666666667</c:v>
                </c:pt>
                <c:pt idx="6">
                  <c:v>3.0333333333333337</c:v>
                </c:pt>
                <c:pt idx="7">
                  <c:v>5</c:v>
                </c:pt>
              </c:numCache>
            </c:numRef>
          </c:val>
        </c:ser>
        <c:ser>
          <c:idx val="3"/>
          <c:order val="3"/>
          <c:tx>
            <c:strRef>
              <c:f>Sheet1!$A$7</c:f>
              <c:strCache>
                <c:ptCount val="1"/>
                <c:pt idx="0">
                  <c:v>Average 2009–2012</c:v>
                </c:pt>
              </c:strCache>
            </c:strRef>
          </c:tx>
          <c:spPr>
            <a:pattFill prst="ltDnDiag">
              <a:fgClr>
                <a:srgbClr val="39580D"/>
              </a:fgClr>
              <a:bgClr>
                <a:schemeClr val="bg1"/>
              </a:bgClr>
            </a:pattFill>
            <a:ln>
              <a:solidFill>
                <a:srgbClr val="39580D"/>
              </a:solidFill>
            </a:ln>
          </c:spPr>
          <c:invertIfNegative val="0"/>
          <c:cat>
            <c:strRef>
              <c:f>Sheet1!$B$3:$I$3</c:f>
              <c:strCache>
                <c:ptCount val="8"/>
                <c:pt idx="0">
                  <c:v>NSW</c:v>
                </c:pt>
                <c:pt idx="1">
                  <c:v>Vic</c:v>
                </c:pt>
                <c:pt idx="2">
                  <c:v>Qld</c:v>
                </c:pt>
                <c:pt idx="3">
                  <c:v>SA</c:v>
                </c:pt>
                <c:pt idx="4">
                  <c:v>WA</c:v>
                </c:pt>
                <c:pt idx="5">
                  <c:v>Tas</c:v>
                </c:pt>
                <c:pt idx="6">
                  <c:v>NT</c:v>
                </c:pt>
                <c:pt idx="7">
                  <c:v>ACT</c:v>
                </c:pt>
              </c:strCache>
            </c:strRef>
          </c:cat>
          <c:val>
            <c:numRef>
              <c:f>Sheet1!$B$7:$I$7</c:f>
              <c:numCache>
                <c:formatCode>0.00</c:formatCode>
                <c:ptCount val="8"/>
                <c:pt idx="0">
                  <c:v>48.068750000000001</c:v>
                </c:pt>
                <c:pt idx="1">
                  <c:v>37.254166666666663</c:v>
                </c:pt>
                <c:pt idx="2">
                  <c:v>35</c:v>
                </c:pt>
                <c:pt idx="3">
                  <c:v>11.362500000000001</c:v>
                </c:pt>
                <c:pt idx="4">
                  <c:v>28.612499999999997</c:v>
                </c:pt>
                <c:pt idx="5">
                  <c:v>2.2374999999999998</c:v>
                </c:pt>
                <c:pt idx="6">
                  <c:v>3.3</c:v>
                </c:pt>
                <c:pt idx="7">
                  <c:v>5.6541666666666659</c:v>
                </c:pt>
              </c:numCache>
            </c:numRef>
          </c:val>
        </c:ser>
        <c:dLbls>
          <c:showLegendKey val="0"/>
          <c:showVal val="0"/>
          <c:showCatName val="0"/>
          <c:showSerName val="0"/>
          <c:showPercent val="0"/>
          <c:showBubbleSize val="0"/>
        </c:dLbls>
        <c:gapWidth val="150"/>
        <c:axId val="172146688"/>
        <c:axId val="172148224"/>
      </c:barChart>
      <c:catAx>
        <c:axId val="172146688"/>
        <c:scaling>
          <c:orientation val="minMax"/>
        </c:scaling>
        <c:delete val="0"/>
        <c:axPos val="b"/>
        <c:majorTickMark val="out"/>
        <c:minorTickMark val="none"/>
        <c:tickLblPos val="nextTo"/>
        <c:crossAx val="172148224"/>
        <c:crosses val="autoZero"/>
        <c:auto val="1"/>
        <c:lblAlgn val="ctr"/>
        <c:lblOffset val="100"/>
        <c:noMultiLvlLbl val="0"/>
      </c:catAx>
      <c:valAx>
        <c:axId val="172148224"/>
        <c:scaling>
          <c:orientation val="minMax"/>
        </c:scaling>
        <c:delete val="0"/>
        <c:axPos val="l"/>
        <c:majorGridlines>
          <c:spPr>
            <a:ln>
              <a:solidFill>
                <a:schemeClr val="bg1">
                  <a:lumMod val="50000"/>
                </a:schemeClr>
              </a:solidFill>
              <a:prstDash val="solid"/>
            </a:ln>
          </c:spPr>
        </c:majorGridlines>
        <c:title>
          <c:tx>
            <c:rich>
              <a:bodyPr rot="-5400000" vert="horz"/>
              <a:lstStyle/>
              <a:p>
                <a:pPr>
                  <a:defRPr/>
                </a:pPr>
                <a:r>
                  <a:rPr lang="en-US"/>
                  <a:t>Job vacancies ('000s)</a:t>
                </a:r>
              </a:p>
            </c:rich>
          </c:tx>
          <c:layout>
            <c:manualLayout>
              <c:xMode val="edge"/>
              <c:yMode val="edge"/>
              <c:x val="4.8077777777777771E-3"/>
              <c:y val="0.25152083333333336"/>
            </c:manualLayout>
          </c:layout>
          <c:overlay val="0"/>
        </c:title>
        <c:numFmt formatCode="#,##0" sourceLinked="0"/>
        <c:majorTickMark val="out"/>
        <c:minorTickMark val="none"/>
        <c:tickLblPos val="nextTo"/>
        <c:crossAx val="172146688"/>
        <c:crosses val="autoZero"/>
        <c:crossBetween val="between"/>
      </c:valAx>
      <c:spPr>
        <a:ln>
          <a:solidFill>
            <a:schemeClr val="tx1">
              <a:lumMod val="75000"/>
              <a:lumOff val="25000"/>
            </a:schemeClr>
          </a:solidFill>
        </a:ln>
      </c:spPr>
    </c:plotArea>
    <c:legend>
      <c:legendPos val="t"/>
      <c:layout>
        <c:manualLayout>
          <c:xMode val="edge"/>
          <c:yMode val="edge"/>
          <c:x val="0"/>
          <c:y val="2.6813047608993983E-2"/>
          <c:w val="1"/>
          <c:h val="8.9929241824314401E-2"/>
        </c:manualLayout>
      </c:layout>
      <c:overlay val="0"/>
      <c:spPr>
        <a:ln>
          <a:noFill/>
        </a:ln>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3280873294897079E-2"/>
          <c:y val="0.12916367829560668"/>
          <c:w val="0.88974838867788997"/>
          <c:h val="0.68713662955781196"/>
        </c:manualLayout>
      </c:layout>
      <c:barChart>
        <c:barDir val="col"/>
        <c:grouping val="clustered"/>
        <c:varyColors val="0"/>
        <c:ser>
          <c:idx val="0"/>
          <c:order val="0"/>
          <c:tx>
            <c:strRef>
              <c:f>Sheet1!$B$4</c:f>
              <c:strCache>
                <c:ptCount val="1"/>
                <c:pt idx="0">
                  <c:v>Average 2001–2002 to 2003–2004</c:v>
                </c:pt>
              </c:strCache>
            </c:strRef>
          </c:tx>
          <c:spPr>
            <a:solidFill>
              <a:srgbClr val="344893"/>
            </a:solidFill>
            <a:ln>
              <a:solidFill>
                <a:srgbClr val="344893"/>
              </a:solidFill>
            </a:ln>
          </c:spPr>
          <c:invertIfNegative val="0"/>
          <c:cat>
            <c:strRef>
              <c:f>Sheet1!$A$5:$A$10</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Sheet1!$B$5:$B$10</c:f>
              <c:numCache>
                <c:formatCode>General</c:formatCode>
                <c:ptCount val="6"/>
                <c:pt idx="0">
                  <c:v>5.2993588935403482</c:v>
                </c:pt>
                <c:pt idx="1">
                  <c:v>4.6697083579291885</c:v>
                </c:pt>
                <c:pt idx="2">
                  <c:v>4.6407438868949509</c:v>
                </c:pt>
                <c:pt idx="3">
                  <c:v>4.8739076246398341</c:v>
                </c:pt>
                <c:pt idx="4">
                  <c:v>1.6680843408007997</c:v>
                </c:pt>
                <c:pt idx="5">
                  <c:v>3.8377268994570741</c:v>
                </c:pt>
              </c:numCache>
            </c:numRef>
          </c:val>
        </c:ser>
        <c:ser>
          <c:idx val="1"/>
          <c:order val="1"/>
          <c:tx>
            <c:strRef>
              <c:f>Sheet1!$C$4</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Sheet1!$A$5:$A$10</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Sheet1!$C$5:$C$10</c:f>
              <c:numCache>
                <c:formatCode>General</c:formatCode>
                <c:ptCount val="6"/>
                <c:pt idx="0">
                  <c:v>4.1666818390882066</c:v>
                </c:pt>
                <c:pt idx="1">
                  <c:v>3.4290931623090253</c:v>
                </c:pt>
                <c:pt idx="2">
                  <c:v>3.8994133583973594</c:v>
                </c:pt>
                <c:pt idx="3">
                  <c:v>3.5897283041581609</c:v>
                </c:pt>
                <c:pt idx="4">
                  <c:v>1.3604205057711665</c:v>
                </c:pt>
                <c:pt idx="5">
                  <c:v>3.1149411717197579</c:v>
                </c:pt>
              </c:numCache>
            </c:numRef>
          </c:val>
        </c:ser>
        <c:ser>
          <c:idx val="2"/>
          <c:order val="2"/>
          <c:tx>
            <c:strRef>
              <c:f>Sheet1!$D$4</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Sheet1!$A$5:$A$10</c:f>
              <c:strCache>
                <c:ptCount val="6"/>
                <c:pt idx="0">
                  <c:v>Manufac-
turing</c:v>
                </c:pt>
                <c:pt idx="1">
                  <c:v>Utilities/
Construction</c:v>
                </c:pt>
                <c:pt idx="2">
                  <c:v>Distribution
services</c:v>
                </c:pt>
                <c:pt idx="3">
                  <c:v>Business
services</c:v>
                </c:pt>
                <c:pt idx="4">
                  <c:v>Social
services</c:v>
                </c:pt>
                <c:pt idx="5">
                  <c:v>Personal
services</c:v>
                </c:pt>
              </c:strCache>
            </c:strRef>
          </c:cat>
          <c:val>
            <c:numRef>
              <c:f>Sheet1!$D$5:$D$10</c:f>
              <c:numCache>
                <c:formatCode>General</c:formatCode>
                <c:ptCount val="6"/>
                <c:pt idx="0">
                  <c:v>8.4866474617508025</c:v>
                </c:pt>
                <c:pt idx="1">
                  <c:v>6.3597730731119029</c:v>
                </c:pt>
                <c:pt idx="2">
                  <c:v>3.5494776349569999</c:v>
                </c:pt>
                <c:pt idx="3">
                  <c:v>5.1154658427328465</c:v>
                </c:pt>
                <c:pt idx="4">
                  <c:v>1.7668159359709747</c:v>
                </c:pt>
                <c:pt idx="5">
                  <c:v>4.8967458311472969</c:v>
                </c:pt>
              </c:numCache>
            </c:numRef>
          </c:val>
        </c:ser>
        <c:dLbls>
          <c:showLegendKey val="0"/>
          <c:showVal val="0"/>
          <c:showCatName val="0"/>
          <c:showSerName val="0"/>
          <c:showPercent val="0"/>
          <c:showBubbleSize val="0"/>
        </c:dLbls>
        <c:gapWidth val="118"/>
        <c:axId val="36244480"/>
        <c:axId val="36291328"/>
      </c:barChart>
      <c:catAx>
        <c:axId val="36244480"/>
        <c:scaling>
          <c:orientation val="minMax"/>
        </c:scaling>
        <c:delete val="0"/>
        <c:axPos val="b"/>
        <c:majorTickMark val="out"/>
        <c:minorTickMark val="none"/>
        <c:tickLblPos val="nextTo"/>
        <c:spPr>
          <a:ln>
            <a:solidFill>
              <a:sysClr val="windowText" lastClr="000000"/>
            </a:solidFill>
          </a:ln>
        </c:spPr>
        <c:txPr>
          <a:bodyPr/>
          <a:lstStyle/>
          <a:p>
            <a:pPr>
              <a:defRPr sz="1000"/>
            </a:pPr>
            <a:endParaRPr lang="en-US"/>
          </a:p>
        </c:txPr>
        <c:crossAx val="36291328"/>
        <c:crosses val="autoZero"/>
        <c:auto val="1"/>
        <c:lblAlgn val="ctr"/>
        <c:lblOffset val="100"/>
        <c:noMultiLvlLbl val="0"/>
      </c:catAx>
      <c:valAx>
        <c:axId val="36291328"/>
        <c:scaling>
          <c:orientation val="minMax"/>
          <c:max val="10"/>
        </c:scaling>
        <c:delete val="0"/>
        <c:axPos val="l"/>
        <c:majorGridlines>
          <c:spPr>
            <a:ln>
              <a:solidFill>
                <a:sysClr val="window" lastClr="FFFFFF">
                  <a:lumMod val="50000"/>
                </a:sysClr>
              </a:solidFill>
              <a:prstDash val="solid"/>
            </a:ln>
          </c:spPr>
        </c:majorGridlines>
        <c:title>
          <c:tx>
            <c:rich>
              <a:bodyPr rot="-5400000" vert="horz"/>
              <a:lstStyle/>
              <a:p>
                <a:pPr>
                  <a:defRPr sz="1000"/>
                </a:pPr>
                <a:r>
                  <a:rPr lang="en-AU" sz="1000"/>
                  <a:t>Per cent</a:t>
                </a:r>
              </a:p>
            </c:rich>
          </c:tx>
          <c:layout>
            <c:manualLayout>
              <c:xMode val="edge"/>
              <c:yMode val="edge"/>
              <c:x val="1.4554562536223057E-2"/>
              <c:y val="0.35613708908148134"/>
            </c:manualLayout>
          </c:layout>
          <c:overlay val="0"/>
        </c:title>
        <c:numFmt formatCode="0" sourceLinked="0"/>
        <c:majorTickMark val="out"/>
        <c:minorTickMark val="none"/>
        <c:tickLblPos val="nextTo"/>
        <c:spPr>
          <a:ln>
            <a:solidFill>
              <a:sysClr val="windowText" lastClr="000000"/>
            </a:solidFill>
          </a:ln>
        </c:spPr>
        <c:txPr>
          <a:bodyPr/>
          <a:lstStyle/>
          <a:p>
            <a:pPr>
              <a:defRPr sz="1000"/>
            </a:pPr>
            <a:endParaRPr lang="en-US"/>
          </a:p>
        </c:txPr>
        <c:crossAx val="36244480"/>
        <c:crosses val="autoZero"/>
        <c:crossBetween val="between"/>
        <c:majorUnit val="2"/>
      </c:valAx>
      <c:spPr>
        <a:ln>
          <a:solidFill>
            <a:schemeClr val="tx1">
              <a:lumMod val="75000"/>
              <a:lumOff val="25000"/>
            </a:schemeClr>
          </a:solidFill>
        </a:ln>
      </c:spPr>
    </c:plotArea>
    <c:legend>
      <c:legendPos val="b"/>
      <c:layout>
        <c:manualLayout>
          <c:xMode val="edge"/>
          <c:yMode val="edge"/>
          <c:x val="0"/>
          <c:y val="2.7415628946574821E-3"/>
          <c:w val="0.98820098133906575"/>
          <c:h val="8.8827079576015225E-2"/>
        </c:manualLayout>
      </c:layout>
      <c:overlay val="0"/>
      <c:spPr>
        <a:ln>
          <a:noFill/>
        </a:ln>
      </c:spPr>
      <c:txPr>
        <a:bodyPr/>
        <a:lstStyle/>
        <a:p>
          <a:pPr>
            <a:defRPr sz="85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4557484781713982E-2"/>
          <c:y val="0.13907240730527165"/>
          <c:w val="0.86144625599767011"/>
          <c:h val="0.69834043538675317"/>
        </c:manualLayout>
      </c:layout>
      <c:barChart>
        <c:barDir val="col"/>
        <c:grouping val="clustered"/>
        <c:varyColors val="0"/>
        <c:ser>
          <c:idx val="0"/>
          <c:order val="0"/>
          <c:tx>
            <c:strRef>
              <c:f>'H:\Structural Adjustment\Work\Leonora\DATA\HILDA\LOG FILES - RESULTS\[TABS FIRED-REDUNDANT.xlsx]Sheet5'!$B$12</c:f>
              <c:strCache>
                <c:ptCount val="1"/>
                <c:pt idx="0">
                  <c:v>Average 2001-2002 to 2003-2004</c:v>
                </c:pt>
              </c:strCache>
            </c:strRef>
          </c:tx>
          <c:spPr>
            <a:solidFill>
              <a:srgbClr val="344893"/>
            </a:solidFill>
            <a:ln>
              <a:solidFill>
                <a:schemeClr val="tx1"/>
              </a:solidFill>
            </a:ln>
          </c:spPr>
          <c:invertIfNegative val="0"/>
          <c:cat>
            <c:strRef>
              <c:f>'H:\Structural Adjustment\Work\Leonora\DATA\HILDA\LOG FILES - RESULTS\[TABS FIRED-REDUNDANT.xlsx]Sheet5'!$A$13:$A$17</c:f>
              <c:strCache>
                <c:ptCount val="5"/>
                <c:pt idx="0">
                  <c:v>NSW</c:v>
                </c:pt>
                <c:pt idx="1">
                  <c:v>Vic</c:v>
                </c:pt>
                <c:pt idx="2">
                  <c:v>Qld</c:v>
                </c:pt>
                <c:pt idx="3">
                  <c:v>SA</c:v>
                </c:pt>
                <c:pt idx="4">
                  <c:v>WA</c:v>
                </c:pt>
              </c:strCache>
            </c:strRef>
          </c:cat>
          <c:val>
            <c:numRef>
              <c:f>'H:\Structural Adjustment\Work\Leonora\DATA\HILDA\LOG FILES - RESULTS\[TABS FIRED-REDUNDANT.xlsx]Sheet5'!$B$13:$B$17</c:f>
              <c:numCache>
                <c:formatCode>General</c:formatCode>
                <c:ptCount val="5"/>
                <c:pt idx="0">
                  <c:v>3.7750384416563398</c:v>
                </c:pt>
                <c:pt idx="1">
                  <c:v>4.2216524684033407</c:v>
                </c:pt>
                <c:pt idx="2">
                  <c:v>3.9424598189402786</c:v>
                </c:pt>
                <c:pt idx="3">
                  <c:v>3.4505072692306258</c:v>
                </c:pt>
                <c:pt idx="4">
                  <c:v>3.1451838819914744</c:v>
                </c:pt>
              </c:numCache>
            </c:numRef>
          </c:val>
        </c:ser>
        <c:ser>
          <c:idx val="1"/>
          <c:order val="1"/>
          <c:tx>
            <c:strRef>
              <c:f>'H:\Structural Adjustment\Work\Leonora\DATA\HILDA\LOG FILES - RESULTS\[TABS FIRED-REDUNDANT.xlsx]Sheet5'!$C$12</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'H:\Structural Adjustment\Work\Leonora\DATA\HILDA\LOG FILES - RESULTS\[TABS FIRED-REDUNDANT.xlsx]Sheet5'!$A$13:$A$17</c:f>
              <c:strCache>
                <c:ptCount val="5"/>
                <c:pt idx="0">
                  <c:v>NSW</c:v>
                </c:pt>
                <c:pt idx="1">
                  <c:v>Vic</c:v>
                </c:pt>
                <c:pt idx="2">
                  <c:v>Qld</c:v>
                </c:pt>
                <c:pt idx="3">
                  <c:v>SA</c:v>
                </c:pt>
                <c:pt idx="4">
                  <c:v>WA</c:v>
                </c:pt>
              </c:strCache>
            </c:strRef>
          </c:cat>
          <c:val>
            <c:numRef>
              <c:f>'H:\Structural Adjustment\Work\Leonora\DATA\HILDA\LOG FILES - RESULTS\[TABS FIRED-REDUNDANT.xlsx]Sheet5'!$C$13:$C$17</c:f>
              <c:numCache>
                <c:formatCode>General</c:formatCode>
                <c:ptCount val="5"/>
                <c:pt idx="0">
                  <c:v>3.2382141916177112</c:v>
                </c:pt>
                <c:pt idx="1">
                  <c:v>3.2415727930622018</c:v>
                </c:pt>
                <c:pt idx="2">
                  <c:v>3.4184108739173058</c:v>
                </c:pt>
                <c:pt idx="3">
                  <c:v>2.5165292902482461</c:v>
                </c:pt>
                <c:pt idx="4">
                  <c:v>1.7520435907239686</c:v>
                </c:pt>
              </c:numCache>
            </c:numRef>
          </c:val>
        </c:ser>
        <c:ser>
          <c:idx val="2"/>
          <c:order val="2"/>
          <c:tx>
            <c:strRef>
              <c:f>'H:\Structural Adjustment\Work\Leonora\DATA\HILDA\LOG FILES - RESULTS\[TABS FIRED-REDUNDANT.xlsx]Sheet5'!$D$12</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'H:\Structural Adjustment\Work\Leonora\DATA\HILDA\LOG FILES - RESULTS\[TABS FIRED-REDUNDANT.xlsx]Sheet5'!$A$13:$A$17</c:f>
              <c:strCache>
                <c:ptCount val="5"/>
                <c:pt idx="0">
                  <c:v>NSW</c:v>
                </c:pt>
                <c:pt idx="1">
                  <c:v>Vic</c:v>
                </c:pt>
                <c:pt idx="2">
                  <c:v>Qld</c:v>
                </c:pt>
                <c:pt idx="3">
                  <c:v>SA</c:v>
                </c:pt>
                <c:pt idx="4">
                  <c:v>WA</c:v>
                </c:pt>
              </c:strCache>
            </c:strRef>
          </c:cat>
          <c:val>
            <c:numRef>
              <c:f>'H:\Structural Adjustment\Work\Leonora\DATA\HILDA\LOG FILES - RESULTS\[TABS FIRED-REDUNDANT.xlsx]Sheet5'!$D$13:$D$17</c:f>
              <c:numCache>
                <c:formatCode>General</c:formatCode>
                <c:ptCount val="5"/>
                <c:pt idx="0">
                  <c:v>4.05494903237543</c:v>
                </c:pt>
                <c:pt idx="1">
                  <c:v>4.0312086498602246</c:v>
                </c:pt>
                <c:pt idx="2">
                  <c:v>4.752257675176554</c:v>
                </c:pt>
                <c:pt idx="3">
                  <c:v>2.7200212149052874</c:v>
                </c:pt>
                <c:pt idx="4">
                  <c:v>4.1782927634552705</c:v>
                </c:pt>
              </c:numCache>
            </c:numRef>
          </c:val>
        </c:ser>
        <c:dLbls>
          <c:showLegendKey val="0"/>
          <c:showVal val="0"/>
          <c:showCatName val="0"/>
          <c:showSerName val="0"/>
          <c:showPercent val="0"/>
          <c:showBubbleSize val="0"/>
        </c:dLbls>
        <c:gapWidth val="118"/>
        <c:axId val="36309248"/>
        <c:axId val="36315136"/>
      </c:barChart>
      <c:catAx>
        <c:axId val="36309248"/>
        <c:scaling>
          <c:orientation val="minMax"/>
        </c:scaling>
        <c:delete val="0"/>
        <c:axPos val="b"/>
        <c:majorTickMark val="out"/>
        <c:minorTickMark val="none"/>
        <c:tickLblPos val="nextTo"/>
        <c:spPr>
          <a:ln>
            <a:solidFill>
              <a:sysClr val="windowText" lastClr="000000"/>
            </a:solidFill>
          </a:ln>
        </c:spPr>
        <c:txPr>
          <a:bodyPr/>
          <a:lstStyle/>
          <a:p>
            <a:pPr>
              <a:defRPr sz="1000"/>
            </a:pPr>
            <a:endParaRPr lang="en-US"/>
          </a:p>
        </c:txPr>
        <c:crossAx val="36315136"/>
        <c:crosses val="autoZero"/>
        <c:auto val="1"/>
        <c:lblAlgn val="ctr"/>
        <c:lblOffset val="100"/>
        <c:noMultiLvlLbl val="0"/>
      </c:catAx>
      <c:valAx>
        <c:axId val="36315136"/>
        <c:scaling>
          <c:orientation val="minMax"/>
          <c:max val="10"/>
        </c:scaling>
        <c:delete val="0"/>
        <c:axPos val="l"/>
        <c:majorGridlines>
          <c:spPr>
            <a:ln>
              <a:solidFill>
                <a:sysClr val="window" lastClr="FFFFFF">
                  <a:lumMod val="50000"/>
                </a:sysClr>
              </a:solidFill>
              <a:prstDash val="solid"/>
            </a:ln>
          </c:spPr>
        </c:majorGridlines>
        <c:title>
          <c:tx>
            <c:rich>
              <a:bodyPr rot="-5400000" vert="horz"/>
              <a:lstStyle/>
              <a:p>
                <a:pPr>
                  <a:defRPr sz="1000"/>
                </a:pPr>
                <a:r>
                  <a:rPr lang="en-AU" sz="1000"/>
                  <a:t>Per cent</a:t>
                </a:r>
              </a:p>
            </c:rich>
          </c:tx>
          <c:layout>
            <c:manualLayout>
              <c:xMode val="edge"/>
              <c:yMode val="edge"/>
              <c:x val="9.8453324354020409E-3"/>
              <c:y val="0.37616829192923162"/>
            </c:manualLayout>
          </c:layout>
          <c:overlay val="0"/>
        </c:title>
        <c:numFmt formatCode="0" sourceLinked="0"/>
        <c:majorTickMark val="out"/>
        <c:minorTickMark val="none"/>
        <c:tickLblPos val="nextTo"/>
        <c:spPr>
          <a:ln>
            <a:solidFill>
              <a:sysClr val="windowText" lastClr="000000"/>
            </a:solidFill>
          </a:ln>
        </c:spPr>
        <c:txPr>
          <a:bodyPr/>
          <a:lstStyle/>
          <a:p>
            <a:pPr>
              <a:defRPr sz="1000"/>
            </a:pPr>
            <a:endParaRPr lang="en-US"/>
          </a:p>
        </c:txPr>
        <c:crossAx val="36309248"/>
        <c:crosses val="autoZero"/>
        <c:crossBetween val="between"/>
        <c:majorUnit val="2"/>
      </c:valAx>
      <c:spPr>
        <a:ln>
          <a:solidFill>
            <a:schemeClr val="tx1">
              <a:lumMod val="75000"/>
              <a:lumOff val="25000"/>
            </a:schemeClr>
          </a:solidFill>
        </a:ln>
      </c:spPr>
    </c:plotArea>
    <c:legend>
      <c:legendPos val="b"/>
      <c:layout>
        <c:manualLayout>
          <c:xMode val="edge"/>
          <c:yMode val="edge"/>
          <c:x val="0"/>
          <c:y val="3.663197092911821E-3"/>
          <c:w val="0.99846568117664536"/>
          <c:h val="9.1673892119973427E-2"/>
        </c:manualLayout>
      </c:layout>
      <c:overlay val="0"/>
      <c:spPr>
        <a:ln>
          <a:noFill/>
        </a:ln>
      </c:spPr>
      <c:txPr>
        <a:bodyPr/>
        <a:lstStyle/>
        <a:p>
          <a:pPr>
            <a:defRPr sz="85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AU" sz="900"/>
              <a:t>Previous sector</a:t>
            </a:r>
          </a:p>
        </c:rich>
      </c:tx>
      <c:layout>
        <c:manualLayout>
          <c:xMode val="edge"/>
          <c:yMode val="edge"/>
          <c:x val="0.42603045061162587"/>
          <c:y val="7.6629315566323436E-2"/>
        </c:manualLayout>
      </c:layout>
      <c:overlay val="1"/>
    </c:title>
    <c:autoTitleDeleted val="0"/>
    <c:plotArea>
      <c:layout>
        <c:manualLayout>
          <c:layoutTarget val="inner"/>
          <c:xMode val="edge"/>
          <c:yMode val="edge"/>
          <c:x val="9.1337558914350706E-2"/>
          <c:y val="6.7868463557439931E-2"/>
          <c:w val="0.89225666567275164"/>
          <c:h val="0.70644760751059965"/>
        </c:manualLayout>
      </c:layout>
      <c:barChart>
        <c:barDir val="col"/>
        <c:grouping val="clustered"/>
        <c:varyColors val="0"/>
        <c:ser>
          <c:idx val="0"/>
          <c:order val="0"/>
          <c:spPr>
            <a:solidFill>
              <a:srgbClr val="344893"/>
            </a:solidFill>
            <a:ln>
              <a:solidFill>
                <a:srgbClr val="344893"/>
              </a:solidFill>
            </a:ln>
          </c:spPr>
          <c:invertIfNegative val="0"/>
          <c:cat>
            <c:strRef>
              <c:f>Sheet1!$A$5:$A$12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Sheet1!$B$5:$B$12</c:f>
              <c:numCache>
                <c:formatCode>0.0</c:formatCode>
                <c:ptCount val="8"/>
                <c:pt idx="0">
                  <c:v>2</c:v>
                </c:pt>
                <c:pt idx="1">
                  <c:v>0.7</c:v>
                </c:pt>
                <c:pt idx="2">
                  <c:v>11</c:v>
                </c:pt>
                <c:pt idx="3">
                  <c:v>5</c:v>
                </c:pt>
                <c:pt idx="4">
                  <c:v>23.900000000000002</c:v>
                </c:pt>
                <c:pt idx="5">
                  <c:v>15.1</c:v>
                </c:pt>
                <c:pt idx="6">
                  <c:v>26.2</c:v>
                </c:pt>
                <c:pt idx="7">
                  <c:v>16.100000000000001</c:v>
                </c:pt>
              </c:numCache>
            </c:numRef>
          </c:val>
        </c:ser>
        <c:dLbls>
          <c:showLegendKey val="0"/>
          <c:showVal val="0"/>
          <c:showCatName val="0"/>
          <c:showSerName val="0"/>
          <c:showPercent val="0"/>
          <c:showBubbleSize val="0"/>
        </c:dLbls>
        <c:gapWidth val="80"/>
        <c:axId val="36352000"/>
        <c:axId val="36353536"/>
      </c:barChart>
      <c:catAx>
        <c:axId val="36352000"/>
        <c:scaling>
          <c:orientation val="minMax"/>
        </c:scaling>
        <c:delete val="0"/>
        <c:axPos val="b"/>
        <c:numFmt formatCode="General" sourceLinked="1"/>
        <c:majorTickMark val="out"/>
        <c:minorTickMark val="none"/>
        <c:tickLblPos val="nextTo"/>
        <c:spPr>
          <a:ln>
            <a:solidFill>
              <a:sysClr val="windowText" lastClr="000000"/>
            </a:solidFill>
          </a:ln>
        </c:spPr>
        <c:txPr>
          <a:bodyPr/>
          <a:lstStyle/>
          <a:p>
            <a:pPr>
              <a:defRPr sz="850"/>
            </a:pPr>
            <a:endParaRPr lang="en-US"/>
          </a:p>
        </c:txPr>
        <c:crossAx val="36353536"/>
        <c:crosses val="autoZero"/>
        <c:auto val="1"/>
        <c:lblAlgn val="ctr"/>
        <c:lblOffset val="100"/>
        <c:noMultiLvlLbl val="0"/>
      </c:catAx>
      <c:valAx>
        <c:axId val="36353536"/>
        <c:scaling>
          <c:orientation val="minMax"/>
        </c:scaling>
        <c:delete val="0"/>
        <c:axPos val="l"/>
        <c:majorGridlines>
          <c:spPr>
            <a:ln>
              <a:solidFill>
                <a:schemeClr val="tx1"/>
              </a:solidFill>
              <a:prstDash val="solid"/>
            </a:ln>
          </c:spPr>
        </c:majorGridlines>
        <c:title>
          <c:tx>
            <c:rich>
              <a:bodyPr rot="-5400000" vert="horz"/>
              <a:lstStyle/>
              <a:p>
                <a:pPr>
                  <a:defRPr sz="1000"/>
                </a:pPr>
                <a:r>
                  <a:rPr lang="en-US" sz="1000"/>
                  <a:t>Per cent</a:t>
                </a:r>
              </a:p>
            </c:rich>
          </c:tx>
          <c:layout>
            <c:manualLayout>
              <c:xMode val="edge"/>
              <c:yMode val="edge"/>
              <c:x val="9.7741776730834442E-4"/>
              <c:y val="0.26424899207186731"/>
            </c:manualLayout>
          </c:layout>
          <c:overlay val="0"/>
        </c:title>
        <c:numFmt formatCode="0" sourceLinked="0"/>
        <c:majorTickMark val="out"/>
        <c:minorTickMark val="none"/>
        <c:tickLblPos val="nextTo"/>
        <c:spPr>
          <a:ln>
            <a:solidFill>
              <a:sysClr val="windowText" lastClr="000000"/>
            </a:solidFill>
          </a:ln>
        </c:spPr>
        <c:txPr>
          <a:bodyPr/>
          <a:lstStyle/>
          <a:p>
            <a:pPr>
              <a:defRPr sz="1000"/>
            </a:pPr>
            <a:endParaRPr lang="en-US"/>
          </a:p>
        </c:txPr>
        <c:crossAx val="36352000"/>
        <c:crosses val="autoZero"/>
        <c:crossBetween val="between"/>
        <c:majorUnit val="5"/>
      </c:valAx>
      <c:spPr>
        <a:ln>
          <a:solidFill>
            <a:schemeClr val="tx1">
              <a:lumMod val="75000"/>
              <a:lumOff val="25000"/>
            </a:schemeClr>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AU" sz="900"/>
              <a:t>Previous occupation</a:t>
            </a:r>
          </a:p>
        </c:rich>
      </c:tx>
      <c:layout>
        <c:manualLayout>
          <c:xMode val="edge"/>
          <c:yMode val="edge"/>
          <c:x val="0.40993296296296294"/>
          <c:y val="4.8376041666666668E-2"/>
        </c:manualLayout>
      </c:layout>
      <c:overlay val="1"/>
    </c:title>
    <c:autoTitleDeleted val="0"/>
    <c:plotArea>
      <c:layout>
        <c:manualLayout>
          <c:layoutTarget val="inner"/>
          <c:xMode val="edge"/>
          <c:yMode val="edge"/>
          <c:x val="8.8741043445518683E-2"/>
          <c:y val="2.8031483621208979E-2"/>
          <c:w val="0.89706678379722637"/>
          <c:h val="0.60269281851816714"/>
        </c:manualLayout>
      </c:layout>
      <c:barChart>
        <c:barDir val="col"/>
        <c:grouping val="clustered"/>
        <c:varyColors val="0"/>
        <c:ser>
          <c:idx val="0"/>
          <c:order val="0"/>
          <c:spPr>
            <a:solidFill>
              <a:srgbClr val="344893"/>
            </a:solidFill>
            <a:ln>
              <a:solidFill>
                <a:srgbClr val="344893"/>
              </a:solidFill>
            </a:ln>
          </c:spPr>
          <c:invertIfNegative val="0"/>
          <c:cat>
            <c:strRef>
              <c:f>Sheet1!$A$17:$A$21</c:f>
              <c:strCache>
                <c:ptCount val="5"/>
                <c:pt idx="0">
                  <c:v>Managers</c:v>
                </c:pt>
                <c:pt idx="1">
                  <c:v>Professionals</c:v>
                </c:pt>
                <c:pt idx="2">
                  <c:v>Technicians &amp; 
Trades Workers</c:v>
                </c:pt>
                <c:pt idx="3">
                  <c:v>Community &amp; Personal Service/ Clerical &amp; Administrative/ 
Sales workers</c:v>
                </c:pt>
                <c:pt idx="4">
                  <c:v> Machinery
 Operators 
&amp; Drivers 
&amp; Labourers</c:v>
                </c:pt>
              </c:strCache>
            </c:strRef>
          </c:cat>
          <c:val>
            <c:numRef>
              <c:f>Sheet1!$B$17:$B$21</c:f>
              <c:numCache>
                <c:formatCode>0.0</c:formatCode>
                <c:ptCount val="5"/>
                <c:pt idx="0">
                  <c:v>7.8</c:v>
                </c:pt>
                <c:pt idx="1">
                  <c:v>18.600000000000001</c:v>
                </c:pt>
                <c:pt idx="2">
                  <c:v>9.6</c:v>
                </c:pt>
                <c:pt idx="3">
                  <c:v>41.6</c:v>
                </c:pt>
                <c:pt idx="4">
                  <c:v>22.3</c:v>
                </c:pt>
              </c:numCache>
            </c:numRef>
          </c:val>
        </c:ser>
        <c:dLbls>
          <c:showLegendKey val="0"/>
          <c:showVal val="0"/>
          <c:showCatName val="0"/>
          <c:showSerName val="0"/>
          <c:showPercent val="0"/>
          <c:showBubbleSize val="0"/>
        </c:dLbls>
        <c:gapWidth val="150"/>
        <c:axId val="36529280"/>
        <c:axId val="36530816"/>
      </c:barChart>
      <c:catAx>
        <c:axId val="36529280"/>
        <c:scaling>
          <c:orientation val="minMax"/>
        </c:scaling>
        <c:delete val="0"/>
        <c:axPos val="b"/>
        <c:numFmt formatCode="General" sourceLinked="1"/>
        <c:majorTickMark val="out"/>
        <c:minorTickMark val="none"/>
        <c:tickLblPos val="nextTo"/>
        <c:spPr>
          <a:ln>
            <a:solidFill>
              <a:sysClr val="windowText" lastClr="000000"/>
            </a:solidFill>
          </a:ln>
        </c:spPr>
        <c:txPr>
          <a:bodyPr/>
          <a:lstStyle/>
          <a:p>
            <a:pPr>
              <a:defRPr sz="850"/>
            </a:pPr>
            <a:endParaRPr lang="en-US"/>
          </a:p>
        </c:txPr>
        <c:crossAx val="36530816"/>
        <c:crosses val="autoZero"/>
        <c:auto val="1"/>
        <c:lblAlgn val="ctr"/>
        <c:lblOffset val="100"/>
        <c:noMultiLvlLbl val="0"/>
      </c:catAx>
      <c:valAx>
        <c:axId val="36530816"/>
        <c:scaling>
          <c:orientation val="minMax"/>
        </c:scaling>
        <c:delete val="0"/>
        <c:axPos val="l"/>
        <c:majorGridlines>
          <c:spPr>
            <a:ln>
              <a:solidFill>
                <a:schemeClr val="tx1"/>
              </a:solidFill>
              <a:prstDash val="solid"/>
            </a:ln>
          </c:spPr>
        </c:majorGridlines>
        <c:title>
          <c:tx>
            <c:rich>
              <a:bodyPr rot="-5400000" vert="horz"/>
              <a:lstStyle/>
              <a:p>
                <a:pPr>
                  <a:defRPr/>
                </a:pPr>
                <a:r>
                  <a:rPr lang="en-US"/>
                  <a:t>Per cent</a:t>
                </a:r>
              </a:p>
            </c:rich>
          </c:tx>
          <c:layout>
            <c:manualLayout>
              <c:xMode val="edge"/>
              <c:yMode val="edge"/>
              <c:x val="9.7746408421149297E-4"/>
              <c:y val="0.25076383818321196"/>
            </c:manualLayout>
          </c:layout>
          <c:overlay val="0"/>
        </c:title>
        <c:numFmt formatCode="0" sourceLinked="0"/>
        <c:majorTickMark val="out"/>
        <c:minorTickMark val="none"/>
        <c:tickLblPos val="nextTo"/>
        <c:spPr>
          <a:ln>
            <a:solidFill>
              <a:sysClr val="windowText" lastClr="000000"/>
            </a:solidFill>
          </a:ln>
        </c:spPr>
        <c:txPr>
          <a:bodyPr/>
          <a:lstStyle/>
          <a:p>
            <a:pPr>
              <a:defRPr sz="1000"/>
            </a:pPr>
            <a:endParaRPr lang="en-US"/>
          </a:p>
        </c:txPr>
        <c:crossAx val="36529280"/>
        <c:crosses val="autoZero"/>
        <c:crossBetween val="between"/>
        <c:majorUnit val="10"/>
      </c:valAx>
      <c:spPr>
        <a:ln>
          <a:solidFill>
            <a:schemeClr val="tx1">
              <a:lumMod val="75000"/>
              <a:lumOff val="25000"/>
            </a:schemeClr>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latin typeface="Arial" pitchFamily="34" charset="0"/>
                <a:cs typeface="Arial" pitchFamily="34" charset="0"/>
              </a:defRPr>
            </a:pPr>
            <a:r>
              <a:rPr lang="en-AU" sz="900">
                <a:latin typeface="Arial" pitchFamily="34" charset="0"/>
                <a:cs typeface="Arial" pitchFamily="34" charset="0"/>
              </a:rPr>
              <a:t>Movement</a:t>
            </a:r>
            <a:r>
              <a:rPr lang="en-AU" sz="900" baseline="0">
                <a:latin typeface="Arial" pitchFamily="34" charset="0"/>
                <a:cs typeface="Arial" pitchFamily="34" charset="0"/>
              </a:rPr>
              <a:t> out of employment</a:t>
            </a:r>
            <a:endParaRPr lang="en-AU" sz="900">
              <a:latin typeface="Arial" pitchFamily="34" charset="0"/>
              <a:cs typeface="Arial" pitchFamily="34" charset="0"/>
            </a:endParaRPr>
          </a:p>
        </c:rich>
      </c:tx>
      <c:layout>
        <c:manualLayout>
          <c:xMode val="edge"/>
          <c:yMode val="edge"/>
          <c:x val="0.38440461709461604"/>
          <c:y val="7.4697513720139039E-2"/>
        </c:manualLayout>
      </c:layout>
      <c:overlay val="1"/>
    </c:title>
    <c:autoTitleDeleted val="0"/>
    <c:plotArea>
      <c:layout>
        <c:manualLayout>
          <c:layoutTarget val="inner"/>
          <c:xMode val="edge"/>
          <c:yMode val="edge"/>
          <c:x val="8.2482717829285415E-2"/>
          <c:y val="6.100838714568272E-2"/>
          <c:w val="0.90561439503160701"/>
          <c:h val="0.72909071487150512"/>
        </c:manualLayout>
      </c:layout>
      <c:barChart>
        <c:barDir val="col"/>
        <c:grouping val="clustered"/>
        <c:varyColors val="0"/>
        <c:ser>
          <c:idx val="0"/>
          <c:order val="0"/>
          <c:tx>
            <c:strRef>
              <c:f>Sheet1!$B$3</c:f>
              <c:strCache>
                <c:ptCount val="1"/>
                <c:pt idx="0">
                  <c:v>Average 2001-2002 to 2003-2004</c:v>
                </c:pt>
              </c:strCache>
            </c:strRef>
          </c:tx>
          <c:spPr>
            <a:solidFill>
              <a:srgbClr val="344893"/>
            </a:solidFill>
            <a:ln>
              <a:solidFill>
                <a:srgbClr val="344893"/>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Sheet2!$B$4:$B$10</c:f>
              <c:numCache>
                <c:formatCode>0.00</c:formatCode>
                <c:ptCount val="7"/>
                <c:pt idx="0">
                  <c:v>5.7852433333333337</c:v>
                </c:pt>
                <c:pt idx="1">
                  <c:v>9.2734666666666659</c:v>
                </c:pt>
                <c:pt idx="2">
                  <c:v>5.8603433333333328</c:v>
                </c:pt>
                <c:pt idx="3">
                  <c:v>24.997473333333332</c:v>
                </c:pt>
                <c:pt idx="4">
                  <c:v>14.382796666666666</c:v>
                </c:pt>
                <c:pt idx="5">
                  <c:v>20.602716666666669</c:v>
                </c:pt>
                <c:pt idx="6">
                  <c:v>18.351046666666665</c:v>
                </c:pt>
              </c:numCache>
            </c:numRef>
          </c:val>
        </c:ser>
        <c:ser>
          <c:idx val="1"/>
          <c:order val="1"/>
          <c:tx>
            <c:strRef>
              <c:f>Sheet1!$C$3</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Sheet2!$C$4:$C$10</c:f>
              <c:numCache>
                <c:formatCode>0.00</c:formatCode>
                <c:ptCount val="7"/>
                <c:pt idx="0">
                  <c:v>4.5471166666666667</c:v>
                </c:pt>
                <c:pt idx="1">
                  <c:v>10.762086666666667</c:v>
                </c:pt>
                <c:pt idx="2">
                  <c:v>5.5007433333333324</c:v>
                </c:pt>
                <c:pt idx="3">
                  <c:v>24.60276</c:v>
                </c:pt>
                <c:pt idx="4">
                  <c:v>15.4049</c:v>
                </c:pt>
                <c:pt idx="5">
                  <c:v>22.021333333333335</c:v>
                </c:pt>
                <c:pt idx="6">
                  <c:v>16.968123333333335</c:v>
                </c:pt>
              </c:numCache>
            </c:numRef>
          </c:val>
        </c:ser>
        <c:ser>
          <c:idx val="2"/>
          <c:order val="2"/>
          <c:tx>
            <c:strRef>
              <c:f>Sheet1!$D$3</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Sheet1!$A$4:$A$10</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Sheet2!$D$4:$D$10</c:f>
              <c:numCache>
                <c:formatCode>0.00</c:formatCode>
                <c:ptCount val="7"/>
                <c:pt idx="0">
                  <c:v>3.0570133333333334</c:v>
                </c:pt>
                <c:pt idx="1">
                  <c:v>9.4432600000000004</c:v>
                </c:pt>
                <c:pt idx="2">
                  <c:v>7.5684566666666662</c:v>
                </c:pt>
                <c:pt idx="3">
                  <c:v>23.721306666666667</c:v>
                </c:pt>
                <c:pt idx="4">
                  <c:v>15.689259999999999</c:v>
                </c:pt>
                <c:pt idx="5">
                  <c:v>21.681319999999999</c:v>
                </c:pt>
                <c:pt idx="6">
                  <c:v>17.921363333333336</c:v>
                </c:pt>
              </c:numCache>
            </c:numRef>
          </c:val>
        </c:ser>
        <c:dLbls>
          <c:showLegendKey val="0"/>
          <c:showVal val="0"/>
          <c:showCatName val="0"/>
          <c:showSerName val="0"/>
          <c:showPercent val="0"/>
          <c:showBubbleSize val="0"/>
        </c:dLbls>
        <c:gapWidth val="150"/>
        <c:axId val="189041280"/>
        <c:axId val="189043072"/>
      </c:barChart>
      <c:catAx>
        <c:axId val="189041280"/>
        <c:scaling>
          <c:orientation val="minMax"/>
        </c:scaling>
        <c:delete val="0"/>
        <c:axPos val="b"/>
        <c:majorTickMark val="out"/>
        <c:minorTickMark val="none"/>
        <c:tickLblPos val="nextTo"/>
        <c:spPr>
          <a:ln>
            <a:solidFill>
              <a:schemeClr val="tx1"/>
            </a:solidFill>
          </a:ln>
        </c:spPr>
        <c:txPr>
          <a:bodyPr/>
          <a:lstStyle/>
          <a:p>
            <a:pPr>
              <a:defRPr sz="900">
                <a:latin typeface="Arial" pitchFamily="34" charset="0"/>
                <a:cs typeface="Arial" pitchFamily="34" charset="0"/>
              </a:defRPr>
            </a:pPr>
            <a:endParaRPr lang="en-US"/>
          </a:p>
        </c:txPr>
        <c:crossAx val="189043072"/>
        <c:crosses val="autoZero"/>
        <c:auto val="1"/>
        <c:lblAlgn val="ctr"/>
        <c:lblOffset val="100"/>
        <c:noMultiLvlLbl val="0"/>
      </c:catAx>
      <c:valAx>
        <c:axId val="189043072"/>
        <c:scaling>
          <c:orientation val="minMax"/>
        </c:scaling>
        <c:delete val="0"/>
        <c:axPos val="l"/>
        <c:majorGridlines>
          <c:spPr>
            <a:ln>
              <a:solidFill>
                <a:sysClr val="window" lastClr="FFFFFF">
                  <a:lumMod val="50000"/>
                </a:sysClr>
              </a:solidFill>
              <a:prstDash val="solid"/>
            </a:ln>
          </c:spPr>
        </c:majorGridlines>
        <c:title>
          <c:tx>
            <c:rich>
              <a:bodyPr rot="-5400000" vert="horz"/>
              <a:lstStyle/>
              <a:p>
                <a:pPr>
                  <a:defRPr sz="900" b="1">
                    <a:latin typeface="Arial" pitchFamily="34" charset="0"/>
                    <a:cs typeface="Arial" pitchFamily="34" charset="0"/>
                  </a:defRPr>
                </a:pPr>
                <a:r>
                  <a:rPr lang="en-US" sz="900" b="1">
                    <a:latin typeface="Arial" pitchFamily="34" charset="0"/>
                    <a:cs typeface="Arial" pitchFamily="34" charset="0"/>
                  </a:rPr>
                  <a:t>Per cent </a:t>
                </a:r>
              </a:p>
            </c:rich>
          </c:tx>
          <c:layout>
            <c:manualLayout>
              <c:xMode val="edge"/>
              <c:yMode val="edge"/>
              <c:x val="7.9984256731501988E-3"/>
              <c:y val="0.25238910750754057"/>
            </c:manualLayout>
          </c:layout>
          <c:overlay val="0"/>
        </c:title>
        <c:numFmt formatCode="0" sourceLinked="0"/>
        <c:majorTickMark val="out"/>
        <c:minorTickMark val="none"/>
        <c:tickLblPos val="nextTo"/>
        <c:spPr>
          <a:ln>
            <a:solidFill>
              <a:schemeClr val="tx1"/>
            </a:solidFill>
          </a:ln>
        </c:spPr>
        <c:txPr>
          <a:bodyPr/>
          <a:lstStyle/>
          <a:p>
            <a:pPr>
              <a:defRPr sz="900"/>
            </a:pPr>
            <a:endParaRPr lang="en-US"/>
          </a:p>
        </c:txPr>
        <c:crossAx val="189041280"/>
        <c:crosses val="autoZero"/>
        <c:crossBetween val="between"/>
      </c:valAx>
      <c:spPr>
        <a:ln>
          <a:solidFill>
            <a:schemeClr val="tx1"/>
          </a:solidFill>
        </a:ln>
      </c:spPr>
    </c:plotArea>
    <c:plotVisOnly val="1"/>
    <c:dispBlanksAs val="gap"/>
    <c:showDLblsOverMax val="0"/>
  </c:chart>
  <c:spPr>
    <a:ln>
      <a:noFill/>
    </a:ln>
  </c:sp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900"/>
              <a:t>Previous sector</a:t>
            </a:r>
          </a:p>
        </c:rich>
      </c:tx>
      <c:layout>
        <c:manualLayout>
          <c:xMode val="edge"/>
          <c:yMode val="edge"/>
          <c:x val="0.43217308116859227"/>
          <c:y val="4.39656260151252E-2"/>
        </c:manualLayout>
      </c:layout>
      <c:overlay val="1"/>
    </c:title>
    <c:autoTitleDeleted val="0"/>
    <c:plotArea>
      <c:layout>
        <c:manualLayout>
          <c:layoutTarget val="inner"/>
          <c:xMode val="edge"/>
          <c:yMode val="edge"/>
          <c:x val="8.4156525888809355E-2"/>
          <c:y val="2.8031483621208979E-2"/>
          <c:w val="0.89947102766000409"/>
          <c:h val="0.74216466362757283"/>
        </c:manualLayout>
      </c:layout>
      <c:barChart>
        <c:barDir val="col"/>
        <c:grouping val="clustered"/>
        <c:varyColors val="0"/>
        <c:ser>
          <c:idx val="0"/>
          <c:order val="0"/>
          <c:spPr>
            <a:solidFill>
              <a:srgbClr val="344893"/>
            </a:solidFill>
            <a:ln>
              <a:solidFill>
                <a:srgbClr val="4F81BD"/>
              </a:solidFill>
            </a:ln>
          </c:spPr>
          <c:invertIfNegative val="0"/>
          <c:cat>
            <c:strRef>
              <c:f>Sheet1!$A$31:$A$38</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Sheet1!$B$31:$B$38</c:f>
              <c:numCache>
                <c:formatCode>0.0</c:formatCode>
                <c:ptCount val="8"/>
                <c:pt idx="0">
                  <c:v>0.6</c:v>
                </c:pt>
                <c:pt idx="1">
                  <c:v>0.41</c:v>
                </c:pt>
                <c:pt idx="2">
                  <c:v>1.23</c:v>
                </c:pt>
                <c:pt idx="3">
                  <c:v>0.45499999999999996</c:v>
                </c:pt>
                <c:pt idx="4">
                  <c:v>1.0250000000000001</c:v>
                </c:pt>
                <c:pt idx="5">
                  <c:v>0.875</c:v>
                </c:pt>
                <c:pt idx="6">
                  <c:v>0.98666666666666669</c:v>
                </c:pt>
                <c:pt idx="7">
                  <c:v>1.2233333333333334</c:v>
                </c:pt>
              </c:numCache>
            </c:numRef>
          </c:val>
        </c:ser>
        <c:dLbls>
          <c:showLegendKey val="0"/>
          <c:showVal val="0"/>
          <c:showCatName val="0"/>
          <c:showSerName val="0"/>
          <c:showPercent val="0"/>
          <c:showBubbleSize val="0"/>
        </c:dLbls>
        <c:gapWidth val="80"/>
        <c:axId val="36547584"/>
        <c:axId val="36569856"/>
      </c:barChart>
      <c:catAx>
        <c:axId val="36547584"/>
        <c:scaling>
          <c:orientation val="minMax"/>
        </c:scaling>
        <c:delete val="0"/>
        <c:axPos val="b"/>
        <c:numFmt formatCode="General" sourceLinked="1"/>
        <c:majorTickMark val="out"/>
        <c:minorTickMark val="none"/>
        <c:tickLblPos val="low"/>
        <c:spPr>
          <a:ln>
            <a:solidFill>
              <a:sysClr val="windowText" lastClr="000000"/>
            </a:solidFill>
          </a:ln>
        </c:spPr>
        <c:txPr>
          <a:bodyPr/>
          <a:lstStyle/>
          <a:p>
            <a:pPr>
              <a:defRPr sz="850"/>
            </a:pPr>
            <a:endParaRPr lang="en-US"/>
          </a:p>
        </c:txPr>
        <c:crossAx val="36569856"/>
        <c:crossesAt val="1"/>
        <c:auto val="1"/>
        <c:lblAlgn val="ctr"/>
        <c:lblOffset val="0"/>
        <c:noMultiLvlLbl val="0"/>
      </c:catAx>
      <c:valAx>
        <c:axId val="36569856"/>
        <c:scaling>
          <c:orientation val="minMax"/>
          <c:max val="1.4"/>
          <c:min val="0.4"/>
        </c:scaling>
        <c:delete val="0"/>
        <c:axPos val="l"/>
        <c:majorGridlines>
          <c:spPr>
            <a:ln>
              <a:solidFill>
                <a:schemeClr val="tx1"/>
              </a:solidFill>
              <a:prstDash val="solid"/>
            </a:ln>
          </c:spPr>
        </c:majorGridlines>
        <c:title>
          <c:tx>
            <c:rich>
              <a:bodyPr rot="-5400000" vert="horz"/>
              <a:lstStyle/>
              <a:p>
                <a:pPr>
                  <a:defRPr/>
                </a:pPr>
                <a:r>
                  <a:rPr lang="en-US" sz="900"/>
                  <a:t>Relative proportion</a:t>
                </a:r>
              </a:p>
            </c:rich>
          </c:tx>
          <c:layout>
            <c:manualLayout>
              <c:xMode val="edge"/>
              <c:yMode val="edge"/>
              <c:x val="9.8287539232421134E-4"/>
              <c:y val="0.15728927326707112"/>
            </c:manualLayout>
          </c:layout>
          <c:overlay val="0"/>
        </c:title>
        <c:numFmt formatCode="0.0" sourceLinked="0"/>
        <c:majorTickMark val="out"/>
        <c:minorTickMark val="none"/>
        <c:tickLblPos val="nextTo"/>
        <c:spPr>
          <a:ln>
            <a:solidFill>
              <a:sysClr val="windowText" lastClr="000000"/>
            </a:solidFill>
          </a:ln>
        </c:spPr>
        <c:txPr>
          <a:bodyPr/>
          <a:lstStyle/>
          <a:p>
            <a:pPr>
              <a:defRPr sz="900"/>
            </a:pPr>
            <a:endParaRPr lang="en-US"/>
          </a:p>
        </c:txPr>
        <c:crossAx val="36547584"/>
        <c:crosses val="autoZero"/>
        <c:crossBetween val="between"/>
        <c:majorUnit val="0.2"/>
      </c:valAx>
      <c:spPr>
        <a:ln>
          <a:solidFill>
            <a:schemeClr val="tx1">
              <a:lumMod val="75000"/>
              <a:lumOff val="25000"/>
            </a:schemeClr>
          </a:solidFill>
        </a:ln>
      </c:spPr>
    </c:plotArea>
    <c:plotVisOnly val="1"/>
    <c:dispBlanksAs val="gap"/>
    <c:showDLblsOverMax val="0"/>
  </c:chart>
  <c:spPr>
    <a:ln>
      <a:noFill/>
    </a:ln>
  </c:spPr>
  <c:txPr>
    <a:bodyPr/>
    <a:lstStyle/>
    <a:p>
      <a:pPr>
        <a:defRPr sz="800">
          <a:latin typeface="Arial" pitchFamily="34" charset="0"/>
          <a:cs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AU" sz="900"/>
              <a:t>Previous occupation</a:t>
            </a:r>
          </a:p>
        </c:rich>
      </c:tx>
      <c:layout>
        <c:manualLayout>
          <c:xMode val="edge"/>
          <c:yMode val="edge"/>
          <c:x val="0.42048438771484742"/>
          <c:y val="3.4295669291338586E-2"/>
        </c:manualLayout>
      </c:layout>
      <c:overlay val="1"/>
    </c:title>
    <c:autoTitleDeleted val="0"/>
    <c:plotArea>
      <c:layout>
        <c:manualLayout>
          <c:layoutTarget val="inner"/>
          <c:xMode val="edge"/>
          <c:yMode val="edge"/>
          <c:x val="9.0359561698144367E-2"/>
          <c:y val="2.8031483621208979E-2"/>
          <c:w val="0.89506521328439814"/>
          <c:h val="0.68570743110236221"/>
        </c:manualLayout>
      </c:layout>
      <c:barChart>
        <c:barDir val="col"/>
        <c:grouping val="clustered"/>
        <c:varyColors val="0"/>
        <c:ser>
          <c:idx val="0"/>
          <c:order val="0"/>
          <c:spPr>
            <a:solidFill>
              <a:srgbClr val="344893"/>
            </a:solidFill>
            <a:ln>
              <a:solidFill>
                <a:srgbClr val="4F81BD"/>
              </a:solidFill>
            </a:ln>
          </c:spPr>
          <c:invertIfNegative val="0"/>
          <c:cat>
            <c:strRef>
              <c:f>Sheet1!$A$44:$A$48</c:f>
              <c:strCache>
                <c:ptCount val="5"/>
                <c:pt idx="0">
                  <c:v>Managers</c:v>
                </c:pt>
                <c:pt idx="1">
                  <c:v>Professionals</c:v>
                </c:pt>
                <c:pt idx="2">
                  <c:v>Technicians &amp; 
Trades Workers</c:v>
                </c:pt>
                <c:pt idx="3">
                  <c:v>Community &amp; Personal Service/ Clerical &amp; Administrative/ 
Sales workers</c:v>
                </c:pt>
                <c:pt idx="4">
                  <c:v> Machinery
 Operators 
&amp; Drivers 
&amp; Labourers</c:v>
                </c:pt>
              </c:strCache>
            </c:strRef>
          </c:cat>
          <c:val>
            <c:numRef>
              <c:f>Sheet1!$B$44:$B$48</c:f>
              <c:numCache>
                <c:formatCode>0.0</c:formatCode>
                <c:ptCount val="5"/>
                <c:pt idx="0">
                  <c:v>0.59</c:v>
                </c:pt>
                <c:pt idx="1">
                  <c:v>0.86</c:v>
                </c:pt>
                <c:pt idx="2">
                  <c:v>0.65</c:v>
                </c:pt>
                <c:pt idx="3">
                  <c:v>1.28</c:v>
                </c:pt>
                <c:pt idx="4">
                  <c:v>1.2750000000000001</c:v>
                </c:pt>
              </c:numCache>
            </c:numRef>
          </c:val>
        </c:ser>
        <c:dLbls>
          <c:showLegendKey val="0"/>
          <c:showVal val="0"/>
          <c:showCatName val="0"/>
          <c:showSerName val="0"/>
          <c:showPercent val="0"/>
          <c:showBubbleSize val="0"/>
        </c:dLbls>
        <c:gapWidth val="150"/>
        <c:axId val="36606720"/>
        <c:axId val="36608256"/>
      </c:barChart>
      <c:catAx>
        <c:axId val="36606720"/>
        <c:scaling>
          <c:orientation val="minMax"/>
        </c:scaling>
        <c:delete val="0"/>
        <c:axPos val="b"/>
        <c:numFmt formatCode="General" sourceLinked="1"/>
        <c:majorTickMark val="out"/>
        <c:minorTickMark val="none"/>
        <c:tickLblPos val="low"/>
        <c:spPr>
          <a:ln>
            <a:solidFill>
              <a:sysClr val="windowText" lastClr="000000"/>
            </a:solidFill>
          </a:ln>
        </c:spPr>
        <c:txPr>
          <a:bodyPr/>
          <a:lstStyle/>
          <a:p>
            <a:pPr>
              <a:defRPr sz="850"/>
            </a:pPr>
            <a:endParaRPr lang="en-US"/>
          </a:p>
        </c:txPr>
        <c:crossAx val="36608256"/>
        <c:crossesAt val="1"/>
        <c:auto val="1"/>
        <c:lblAlgn val="ctr"/>
        <c:lblOffset val="0"/>
        <c:noMultiLvlLbl val="0"/>
      </c:catAx>
      <c:valAx>
        <c:axId val="36608256"/>
        <c:scaling>
          <c:orientation val="minMax"/>
          <c:min val="0.4"/>
        </c:scaling>
        <c:delete val="0"/>
        <c:axPos val="l"/>
        <c:majorGridlines>
          <c:spPr>
            <a:ln>
              <a:solidFill>
                <a:schemeClr val="tx1"/>
              </a:solidFill>
              <a:prstDash val="solid"/>
            </a:ln>
          </c:spPr>
        </c:majorGridlines>
        <c:title>
          <c:tx>
            <c:rich>
              <a:bodyPr rot="-5400000" vert="horz"/>
              <a:lstStyle/>
              <a:p>
                <a:pPr>
                  <a:defRPr/>
                </a:pPr>
                <a:r>
                  <a:rPr lang="en-US" sz="900"/>
                  <a:t>Relative proportion</a:t>
                </a:r>
              </a:p>
            </c:rich>
          </c:tx>
          <c:layout>
            <c:manualLayout>
              <c:xMode val="edge"/>
              <c:yMode val="edge"/>
              <c:x val="9.7736908760530806E-4"/>
              <c:y val="0.16310866141732283"/>
            </c:manualLayout>
          </c:layout>
          <c:overlay val="0"/>
        </c:title>
        <c:numFmt formatCode="0.0" sourceLinked="0"/>
        <c:majorTickMark val="out"/>
        <c:minorTickMark val="none"/>
        <c:tickLblPos val="nextTo"/>
        <c:spPr>
          <a:ln>
            <a:solidFill>
              <a:sysClr val="windowText" lastClr="000000"/>
            </a:solidFill>
          </a:ln>
        </c:spPr>
        <c:txPr>
          <a:bodyPr/>
          <a:lstStyle/>
          <a:p>
            <a:pPr>
              <a:defRPr sz="900"/>
            </a:pPr>
            <a:endParaRPr lang="en-US"/>
          </a:p>
        </c:txPr>
        <c:crossAx val="36606720"/>
        <c:crosses val="autoZero"/>
        <c:crossBetween val="between"/>
        <c:majorUnit val="0.2"/>
      </c:valAx>
      <c:spPr>
        <a:ln>
          <a:solidFill>
            <a:schemeClr val="tx1">
              <a:lumMod val="75000"/>
              <a:lumOff val="25000"/>
            </a:schemeClr>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474779203583452"/>
          <c:y val="0.1557613474416327"/>
          <c:w val="0.84996125484314455"/>
          <c:h val="0.73836643061126794"/>
        </c:manualLayout>
      </c:layout>
      <c:scatterChart>
        <c:scatterStyle val="lineMarker"/>
        <c:varyColors val="0"/>
        <c:ser>
          <c:idx val="0"/>
          <c:order val="0"/>
          <c:tx>
            <c:strRef>
              <c:f>OT_avg_hourly_wages!$M$1</c:f>
              <c:strCache>
                <c:ptCount val="1"/>
                <c:pt idx="0">
                  <c:v>Mining</c:v>
                </c:pt>
              </c:strCache>
            </c:strRef>
          </c:tx>
          <c:spPr>
            <a:ln w="28575">
              <a:noFill/>
            </a:ln>
          </c:spPr>
          <c:marker>
            <c:symbol val="diamond"/>
            <c:size val="5"/>
            <c:spPr>
              <a:solidFill>
                <a:srgbClr val="604A7B"/>
              </a:solidFill>
              <a:ln>
                <a:solidFill>
                  <a:srgbClr val="604A7B"/>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OT_avg_hourly_wages!$M$2:$M$23</c:f>
              <c:numCache>
                <c:formatCode>0.00</c:formatCode>
                <c:ptCount val="22"/>
                <c:pt idx="0">
                  <c:v>25.813815789473686</c:v>
                </c:pt>
                <c:pt idx="1">
                  <c:v>27.411842105263155</c:v>
                </c:pt>
                <c:pt idx="2">
                  <c:v>28.636184210526309</c:v>
                </c:pt>
                <c:pt idx="3">
                  <c:v>30.231578947368416</c:v>
                </c:pt>
                <c:pt idx="4">
                  <c:v>30.568421052631567</c:v>
                </c:pt>
                <c:pt idx="5">
                  <c:v>32.896052631578939</c:v>
                </c:pt>
                <c:pt idx="6">
                  <c:v>33.295394736842098</c:v>
                </c:pt>
                <c:pt idx="7">
                  <c:v>34.534868421052636</c:v>
                </c:pt>
                <c:pt idx="8">
                  <c:v>35.995394736842115</c:v>
                </c:pt>
                <c:pt idx="9">
                  <c:v>36.675000000000004</c:v>
                </c:pt>
                <c:pt idx="10">
                  <c:v>37.89473684210526</c:v>
                </c:pt>
                <c:pt idx="11">
                  <c:v>40.517105263157895</c:v>
                </c:pt>
                <c:pt idx="12">
                  <c:v>43.028289473684211</c:v>
                </c:pt>
                <c:pt idx="13">
                  <c:v>46.673684210526318</c:v>
                </c:pt>
                <c:pt idx="14">
                  <c:v>49.943421052631578</c:v>
                </c:pt>
                <c:pt idx="15">
                  <c:v>53.586842105263159</c:v>
                </c:pt>
                <c:pt idx="16">
                  <c:v>56.363815789473684</c:v>
                </c:pt>
                <c:pt idx="17">
                  <c:v>59.732894736842113</c:v>
                </c:pt>
                <c:pt idx="18">
                  <c:v>0</c:v>
                </c:pt>
                <c:pt idx="19">
                  <c:v>0</c:v>
                </c:pt>
                <c:pt idx="20">
                  <c:v>0</c:v>
                </c:pt>
                <c:pt idx="21">
                  <c:v>0</c:v>
                </c:pt>
              </c:numCache>
            </c:numRef>
          </c:yVal>
          <c:smooth val="0"/>
        </c:ser>
        <c:ser>
          <c:idx val="1"/>
          <c:order val="1"/>
          <c:tx>
            <c:strRef>
              <c:f>OT_avg_hourly_wages!$N$1</c:f>
              <c:strCache>
                <c:ptCount val="1"/>
                <c:pt idx="0">
                  <c:v>Manufacturing</c:v>
                </c:pt>
              </c:strCache>
            </c:strRef>
          </c:tx>
          <c:spPr>
            <a:ln w="28575">
              <a:noFill/>
            </a:ln>
          </c:spPr>
          <c:marker>
            <c:symbol val="square"/>
            <c:size val="5"/>
            <c:spPr>
              <a:solidFill>
                <a:srgbClr val="344893"/>
              </a:solidFill>
              <a:ln>
                <a:no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OT_avg_hourly_wages!$N$2:$N$23</c:f>
              <c:numCache>
                <c:formatCode>0.00</c:formatCode>
                <c:ptCount val="22"/>
                <c:pt idx="0">
                  <c:v>16.027631578947371</c:v>
                </c:pt>
                <c:pt idx="1">
                  <c:v>16.423684210526318</c:v>
                </c:pt>
                <c:pt idx="2">
                  <c:v>17.035526315789475</c:v>
                </c:pt>
                <c:pt idx="3">
                  <c:v>17.944078947368421</c:v>
                </c:pt>
                <c:pt idx="4">
                  <c:v>18.608552631578945</c:v>
                </c:pt>
                <c:pt idx="5">
                  <c:v>19.059868421052631</c:v>
                </c:pt>
                <c:pt idx="6">
                  <c:v>19.786842105263155</c:v>
                </c:pt>
                <c:pt idx="7">
                  <c:v>21.476315789473681</c:v>
                </c:pt>
                <c:pt idx="8">
                  <c:v>23.034868421052629</c:v>
                </c:pt>
                <c:pt idx="9">
                  <c:v>23.869078947368418</c:v>
                </c:pt>
                <c:pt idx="10">
                  <c:v>24.733552631578942</c:v>
                </c:pt>
                <c:pt idx="11">
                  <c:v>25.882236842105261</c:v>
                </c:pt>
                <c:pt idx="12">
                  <c:v>26.96907894736842</c:v>
                </c:pt>
                <c:pt idx="13">
                  <c:v>28.455921052631574</c:v>
                </c:pt>
                <c:pt idx="14">
                  <c:v>29.359210526315785</c:v>
                </c:pt>
                <c:pt idx="15">
                  <c:v>29.858552631578942</c:v>
                </c:pt>
                <c:pt idx="16">
                  <c:v>30.924342105263158</c:v>
                </c:pt>
                <c:pt idx="17">
                  <c:v>30.964473684210525</c:v>
                </c:pt>
                <c:pt idx="18">
                  <c:v>0</c:v>
                </c:pt>
                <c:pt idx="19">
                  <c:v>0</c:v>
                </c:pt>
                <c:pt idx="20">
                  <c:v>0</c:v>
                </c:pt>
                <c:pt idx="21">
                  <c:v>0</c:v>
                </c:pt>
              </c:numCache>
            </c:numRef>
          </c:yVal>
          <c:smooth val="0"/>
        </c:ser>
        <c:ser>
          <c:idx val="2"/>
          <c:order val="2"/>
          <c:tx>
            <c:strRef>
              <c:f>OT_avg_hourly_wages!$O$1</c:f>
              <c:strCache>
                <c:ptCount val="1"/>
                <c:pt idx="0">
                  <c:v>Utilities</c:v>
                </c:pt>
              </c:strCache>
            </c:strRef>
          </c:tx>
          <c:spPr>
            <a:ln w="28575">
              <a:noFill/>
            </a:ln>
          </c:spPr>
          <c:marker>
            <c:symbol val="plus"/>
            <c:size val="7"/>
            <c:spPr>
              <a:noFill/>
              <a:ln w="22225">
                <a:solidFill>
                  <a:srgbClr val="C00000"/>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OT_avg_hourly_wages!$O$2:$O$23</c:f>
              <c:numCache>
                <c:formatCode>0.00</c:formatCode>
                <c:ptCount val="22"/>
                <c:pt idx="0">
                  <c:v>17.947368421052634</c:v>
                </c:pt>
                <c:pt idx="1">
                  <c:v>19.232894736842105</c:v>
                </c:pt>
                <c:pt idx="2">
                  <c:v>20.198026315789473</c:v>
                </c:pt>
                <c:pt idx="3">
                  <c:v>21.543421052631579</c:v>
                </c:pt>
                <c:pt idx="4">
                  <c:v>22.03092105263158</c:v>
                </c:pt>
                <c:pt idx="5">
                  <c:v>23.57236842105263</c:v>
                </c:pt>
                <c:pt idx="6">
                  <c:v>25.11447368421053</c:v>
                </c:pt>
                <c:pt idx="7">
                  <c:v>25.945394736842108</c:v>
                </c:pt>
                <c:pt idx="8">
                  <c:v>27.14605263157895</c:v>
                </c:pt>
                <c:pt idx="9">
                  <c:v>28.257236842105268</c:v>
                </c:pt>
                <c:pt idx="10">
                  <c:v>29.087500000000006</c:v>
                </c:pt>
                <c:pt idx="11">
                  <c:v>29.632236842105268</c:v>
                </c:pt>
                <c:pt idx="12">
                  <c:v>30.821052631578954</c:v>
                </c:pt>
                <c:pt idx="13">
                  <c:v>31.914473684210535</c:v>
                </c:pt>
                <c:pt idx="14">
                  <c:v>34.06578947368422</c:v>
                </c:pt>
                <c:pt idx="15">
                  <c:v>37.259868421052637</c:v>
                </c:pt>
                <c:pt idx="16">
                  <c:v>39.455921052631581</c:v>
                </c:pt>
                <c:pt idx="17">
                  <c:v>40.027631578947371</c:v>
                </c:pt>
                <c:pt idx="18">
                  <c:v>0</c:v>
                </c:pt>
                <c:pt idx="19">
                  <c:v>0</c:v>
                </c:pt>
                <c:pt idx="20">
                  <c:v>0</c:v>
                </c:pt>
                <c:pt idx="21">
                  <c:v>0</c:v>
                </c:pt>
              </c:numCache>
            </c:numRef>
          </c:yVal>
          <c:smooth val="0"/>
        </c:ser>
        <c:ser>
          <c:idx val="3"/>
          <c:order val="3"/>
          <c:tx>
            <c:strRef>
              <c:f>OT_avg_hourly_wages!$P$1</c:f>
              <c:strCache>
                <c:ptCount val="1"/>
                <c:pt idx="0">
                  <c:v>Construction</c:v>
                </c:pt>
              </c:strCache>
            </c:strRef>
          </c:tx>
          <c:spPr>
            <a:ln w="28575">
              <a:noFill/>
            </a:ln>
          </c:spPr>
          <c:marker>
            <c:symbol val="triangle"/>
            <c:size val="5"/>
            <c:spPr>
              <a:solidFill>
                <a:srgbClr val="39580D"/>
              </a:solidFill>
              <a:ln>
                <a:no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OT_avg_hourly_wages!$P$2:$P$23</c:f>
              <c:numCache>
                <c:formatCode>0.00</c:formatCode>
                <c:ptCount val="22"/>
                <c:pt idx="0">
                  <c:v>16.865131578947366</c:v>
                </c:pt>
                <c:pt idx="1">
                  <c:v>17.548684210526314</c:v>
                </c:pt>
                <c:pt idx="2">
                  <c:v>18.272368421052629</c:v>
                </c:pt>
                <c:pt idx="3">
                  <c:v>18.648026315789473</c:v>
                </c:pt>
                <c:pt idx="4">
                  <c:v>19.181578947368422</c:v>
                </c:pt>
                <c:pt idx="5">
                  <c:v>19.350657894736841</c:v>
                </c:pt>
                <c:pt idx="6">
                  <c:v>19.523684210526312</c:v>
                </c:pt>
                <c:pt idx="7">
                  <c:v>20.796052631578945</c:v>
                </c:pt>
                <c:pt idx="8">
                  <c:v>22.621710526315784</c:v>
                </c:pt>
                <c:pt idx="9">
                  <c:v>23.544078947368419</c:v>
                </c:pt>
                <c:pt idx="10">
                  <c:v>24.769078947368417</c:v>
                </c:pt>
                <c:pt idx="11">
                  <c:v>25.190131578947362</c:v>
                </c:pt>
                <c:pt idx="12">
                  <c:v>27.398684210526309</c:v>
                </c:pt>
                <c:pt idx="13">
                  <c:v>29.260526315789459</c:v>
                </c:pt>
                <c:pt idx="14">
                  <c:v>31.712499999999984</c:v>
                </c:pt>
                <c:pt idx="15">
                  <c:v>33.782894736842088</c:v>
                </c:pt>
                <c:pt idx="16">
                  <c:v>35.478947368421046</c:v>
                </c:pt>
                <c:pt idx="17">
                  <c:v>35.731578947368412</c:v>
                </c:pt>
                <c:pt idx="18">
                  <c:v>0</c:v>
                </c:pt>
                <c:pt idx="19">
                  <c:v>0</c:v>
                </c:pt>
                <c:pt idx="20">
                  <c:v>0</c:v>
                </c:pt>
                <c:pt idx="21">
                  <c:v>0</c:v>
                </c:pt>
              </c:numCache>
            </c:numRef>
          </c:yVal>
          <c:smooth val="0"/>
        </c:ser>
        <c:ser>
          <c:idx val="4"/>
          <c:order val="4"/>
          <c:tx>
            <c:strRef>
              <c:f>OT_avg_hourly_wages!$Q$1</c:f>
              <c:strCache>
                <c:ptCount val="1"/>
                <c:pt idx="0">
                  <c:v>Distribution services</c:v>
                </c:pt>
              </c:strCache>
            </c:strRef>
          </c:tx>
          <c:spPr>
            <a:ln>
              <a:noFill/>
            </a:ln>
          </c:spPr>
          <c:marker>
            <c:symbol val="star"/>
            <c:size val="7"/>
            <c:spPr>
              <a:ln w="15875">
                <a:solidFill>
                  <a:srgbClr val="7B905A"/>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OT_avg_hourly_wages!$Q$2:$Q$23</c:f>
              <c:numCache>
                <c:formatCode>0.00</c:formatCode>
                <c:ptCount val="22"/>
                <c:pt idx="0">
                  <c:v>16.037452890546454</c:v>
                </c:pt>
                <c:pt idx="1">
                  <c:v>16.720062385630008</c:v>
                </c:pt>
                <c:pt idx="2">
                  <c:v>17.40601618054751</c:v>
                </c:pt>
                <c:pt idx="3">
                  <c:v>17.910021249379923</c:v>
                </c:pt>
                <c:pt idx="4">
                  <c:v>18.3634352048837</c:v>
                </c:pt>
                <c:pt idx="5">
                  <c:v>19.461280741442526</c:v>
                </c:pt>
                <c:pt idx="6">
                  <c:v>20.099297409686308</c:v>
                </c:pt>
                <c:pt idx="7">
                  <c:v>20.881585941828316</c:v>
                </c:pt>
                <c:pt idx="8">
                  <c:v>21.914391735654078</c:v>
                </c:pt>
                <c:pt idx="9">
                  <c:v>22.913112974072938</c:v>
                </c:pt>
                <c:pt idx="10">
                  <c:v>24.129965974858436</c:v>
                </c:pt>
                <c:pt idx="11">
                  <c:v>25.002819355363044</c:v>
                </c:pt>
                <c:pt idx="12">
                  <c:v>26.026695585429508</c:v>
                </c:pt>
                <c:pt idx="13">
                  <c:v>27.096443063153686</c:v>
                </c:pt>
                <c:pt idx="14">
                  <c:v>28.288416502030117</c:v>
                </c:pt>
                <c:pt idx="15">
                  <c:v>29.891905072249198</c:v>
                </c:pt>
                <c:pt idx="16">
                  <c:v>31.293317765711535</c:v>
                </c:pt>
                <c:pt idx="17">
                  <c:v>32.686324299878095</c:v>
                </c:pt>
                <c:pt idx="18">
                  <c:v>0</c:v>
                </c:pt>
                <c:pt idx="19">
                  <c:v>0</c:v>
                </c:pt>
                <c:pt idx="20">
                  <c:v>0</c:v>
                </c:pt>
                <c:pt idx="21">
                  <c:v>0</c:v>
                </c:pt>
              </c:numCache>
            </c:numRef>
          </c:yVal>
          <c:smooth val="0"/>
        </c:ser>
        <c:ser>
          <c:idx val="5"/>
          <c:order val="5"/>
          <c:tx>
            <c:strRef>
              <c:f>OT_avg_hourly_wages!$R$1</c:f>
              <c:strCache>
                <c:ptCount val="1"/>
                <c:pt idx="0">
                  <c:v>Business services</c:v>
                </c:pt>
              </c:strCache>
            </c:strRef>
          </c:tx>
          <c:spPr>
            <a:ln w="28575">
              <a:noFill/>
            </a:ln>
          </c:spPr>
          <c:marker>
            <c:symbol val="circle"/>
            <c:size val="5"/>
            <c:spPr>
              <a:solidFill>
                <a:sysClr val="window" lastClr="FFFFFF"/>
              </a:solidFill>
              <a:ln w="12700">
                <a:solidFill>
                  <a:srgbClr val="604A7B"/>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OT_avg_hourly_wages!$R$2:$R$23</c:f>
              <c:numCache>
                <c:formatCode>0.00</c:formatCode>
                <c:ptCount val="22"/>
                <c:pt idx="0">
                  <c:v>18.420736591086225</c:v>
                </c:pt>
                <c:pt idx="1">
                  <c:v>19.750644447832297</c:v>
                </c:pt>
                <c:pt idx="2">
                  <c:v>20.137986417985054</c:v>
                </c:pt>
                <c:pt idx="3">
                  <c:v>21.289933750100367</c:v>
                </c:pt>
                <c:pt idx="4">
                  <c:v>21.422203761750822</c:v>
                </c:pt>
                <c:pt idx="5">
                  <c:v>22.704121502486515</c:v>
                </c:pt>
                <c:pt idx="6">
                  <c:v>24.538338960529103</c:v>
                </c:pt>
                <c:pt idx="7">
                  <c:v>25.932414575621141</c:v>
                </c:pt>
                <c:pt idx="8">
                  <c:v>26.817824526579624</c:v>
                </c:pt>
                <c:pt idx="9">
                  <c:v>27.496145397516671</c:v>
                </c:pt>
                <c:pt idx="10">
                  <c:v>29.284560320058453</c:v>
                </c:pt>
                <c:pt idx="11">
                  <c:v>30.548648866223882</c:v>
                </c:pt>
                <c:pt idx="12">
                  <c:v>32.031613164220182</c:v>
                </c:pt>
                <c:pt idx="13">
                  <c:v>34.074249596010866</c:v>
                </c:pt>
                <c:pt idx="14">
                  <c:v>35.649603186177679</c:v>
                </c:pt>
                <c:pt idx="15">
                  <c:v>37.663622255715907</c:v>
                </c:pt>
                <c:pt idx="16">
                  <c:v>38.298115586355287</c:v>
                </c:pt>
                <c:pt idx="17">
                  <c:v>39.581978376367076</c:v>
                </c:pt>
                <c:pt idx="18">
                  <c:v>0</c:v>
                </c:pt>
                <c:pt idx="19">
                  <c:v>0</c:v>
                </c:pt>
                <c:pt idx="20">
                  <c:v>0</c:v>
                </c:pt>
                <c:pt idx="21">
                  <c:v>0</c:v>
                </c:pt>
              </c:numCache>
            </c:numRef>
          </c:yVal>
          <c:smooth val="0"/>
        </c:ser>
        <c:ser>
          <c:idx val="6"/>
          <c:order val="6"/>
          <c:tx>
            <c:strRef>
              <c:f>OT_avg_hourly_wages!$S$1</c:f>
              <c:strCache>
                <c:ptCount val="1"/>
                <c:pt idx="0">
                  <c:v>Social services</c:v>
                </c:pt>
              </c:strCache>
            </c:strRef>
          </c:tx>
          <c:spPr>
            <a:ln w="28575">
              <a:noFill/>
            </a:ln>
          </c:spPr>
          <c:marker>
            <c:symbol val="circle"/>
            <c:size val="5"/>
            <c:spPr>
              <a:solidFill>
                <a:srgbClr val="604A7B"/>
              </a:solidFill>
              <a:ln>
                <a:solidFill>
                  <a:srgbClr val="604A7B"/>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OT_avg_hourly_wages!$S$2:$S$23</c:f>
              <c:numCache>
                <c:formatCode>0.00</c:formatCode>
                <c:ptCount val="22"/>
                <c:pt idx="0">
                  <c:v>17.94953927440552</c:v>
                </c:pt>
                <c:pt idx="1">
                  <c:v>18.633442208641391</c:v>
                </c:pt>
                <c:pt idx="2">
                  <c:v>19.516344421976591</c:v>
                </c:pt>
                <c:pt idx="3">
                  <c:v>20.276947496333936</c:v>
                </c:pt>
                <c:pt idx="4">
                  <c:v>21.244270336316596</c:v>
                </c:pt>
                <c:pt idx="5">
                  <c:v>21.984172978964015</c:v>
                </c:pt>
                <c:pt idx="6">
                  <c:v>23.038488326080543</c:v>
                </c:pt>
                <c:pt idx="7">
                  <c:v>23.874092234761154</c:v>
                </c:pt>
                <c:pt idx="8">
                  <c:v>25.069405436289284</c:v>
                </c:pt>
                <c:pt idx="9">
                  <c:v>26.167264356140628</c:v>
                </c:pt>
                <c:pt idx="10">
                  <c:v>27.258669847765411</c:v>
                </c:pt>
                <c:pt idx="11">
                  <c:v>27.979884687687473</c:v>
                </c:pt>
                <c:pt idx="12">
                  <c:v>29.181011625077662</c:v>
                </c:pt>
                <c:pt idx="13">
                  <c:v>30.233359448188086</c:v>
                </c:pt>
                <c:pt idx="14">
                  <c:v>32.108427451037812</c:v>
                </c:pt>
                <c:pt idx="15">
                  <c:v>33.718123783081083</c:v>
                </c:pt>
                <c:pt idx="16">
                  <c:v>35.079878631265373</c:v>
                </c:pt>
                <c:pt idx="17">
                  <c:v>35.652951896300664</c:v>
                </c:pt>
                <c:pt idx="18">
                  <c:v>0</c:v>
                </c:pt>
                <c:pt idx="19">
                  <c:v>0</c:v>
                </c:pt>
                <c:pt idx="20">
                  <c:v>0</c:v>
                </c:pt>
                <c:pt idx="21">
                  <c:v>0</c:v>
                </c:pt>
              </c:numCache>
            </c:numRef>
          </c:yVal>
          <c:smooth val="0"/>
        </c:ser>
        <c:ser>
          <c:idx val="7"/>
          <c:order val="7"/>
          <c:tx>
            <c:strRef>
              <c:f>OT_avg_hourly_wages!$T$1</c:f>
              <c:strCache>
                <c:ptCount val="1"/>
                <c:pt idx="0">
                  <c:v>Personal services</c:v>
                </c:pt>
              </c:strCache>
            </c:strRef>
          </c:tx>
          <c:spPr>
            <a:ln w="28575">
              <a:noFill/>
            </a:ln>
          </c:spPr>
          <c:marker>
            <c:symbol val="x"/>
            <c:size val="6"/>
            <c:spPr>
              <a:ln w="15875">
                <a:solidFill>
                  <a:srgbClr val="B4C98B"/>
                </a:solidFill>
              </a:ln>
            </c:spPr>
          </c:marker>
          <c:xVal>
            <c:numRef>
              <c:f>OT_avg_hourly_wages!$L$2:$L$23</c:f>
              <c:numCache>
                <c:formatCode>General</c:formatCode>
                <c:ptCount val="22"/>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pt idx="21">
                  <c:v>2016</c:v>
                </c:pt>
              </c:numCache>
            </c:numRef>
          </c:xVal>
          <c:yVal>
            <c:numRef>
              <c:f>OT_avg_hourly_wages!$T$2:$T$23</c:f>
              <c:numCache>
                <c:formatCode>0.00</c:formatCode>
                <c:ptCount val="22"/>
                <c:pt idx="0">
                  <c:v>14.465459924554381</c:v>
                </c:pt>
                <c:pt idx="1">
                  <c:v>14.770242220020709</c:v>
                </c:pt>
                <c:pt idx="2">
                  <c:v>15.179646034091416</c:v>
                </c:pt>
                <c:pt idx="3">
                  <c:v>15.736567144472797</c:v>
                </c:pt>
                <c:pt idx="4">
                  <c:v>16.13903684982218</c:v>
                </c:pt>
                <c:pt idx="5">
                  <c:v>16.98556053007249</c:v>
                </c:pt>
                <c:pt idx="6">
                  <c:v>17.943602177787234</c:v>
                </c:pt>
                <c:pt idx="7">
                  <c:v>18.858445727932953</c:v>
                </c:pt>
                <c:pt idx="8">
                  <c:v>19.512304575984412</c:v>
                </c:pt>
                <c:pt idx="9">
                  <c:v>19.93596761531316</c:v>
                </c:pt>
                <c:pt idx="10">
                  <c:v>21.048565170133664</c:v>
                </c:pt>
                <c:pt idx="11">
                  <c:v>21.747118017579314</c:v>
                </c:pt>
                <c:pt idx="12">
                  <c:v>22.945070857094674</c:v>
                </c:pt>
                <c:pt idx="13">
                  <c:v>23.707090052388931</c:v>
                </c:pt>
                <c:pt idx="14">
                  <c:v>25.127268422381725</c:v>
                </c:pt>
                <c:pt idx="15">
                  <c:v>25.849286147629044</c:v>
                </c:pt>
                <c:pt idx="16">
                  <c:v>26.802104585377506</c:v>
                </c:pt>
                <c:pt idx="17">
                  <c:v>27.301167410215413</c:v>
                </c:pt>
                <c:pt idx="18">
                  <c:v>0</c:v>
                </c:pt>
                <c:pt idx="19">
                  <c:v>0</c:v>
                </c:pt>
                <c:pt idx="20">
                  <c:v>0</c:v>
                </c:pt>
                <c:pt idx="21">
                  <c:v>0</c:v>
                </c:pt>
              </c:numCache>
            </c:numRef>
          </c:yVal>
          <c:smooth val="0"/>
        </c:ser>
        <c:dLbls>
          <c:showLegendKey val="0"/>
          <c:showVal val="0"/>
          <c:showCatName val="0"/>
          <c:showSerName val="0"/>
          <c:showPercent val="0"/>
          <c:showBubbleSize val="0"/>
        </c:dLbls>
        <c:axId val="172283776"/>
        <c:axId val="172290048"/>
      </c:scatterChart>
      <c:valAx>
        <c:axId val="172283776"/>
        <c:scaling>
          <c:orientation val="minMax"/>
          <c:max val="2012"/>
          <c:min val="1995"/>
        </c:scaling>
        <c:delete val="0"/>
        <c:axPos val="b"/>
        <c:numFmt formatCode="General" sourceLinked="0"/>
        <c:majorTickMark val="out"/>
        <c:minorTickMark val="none"/>
        <c:tickLblPos val="nextTo"/>
        <c:spPr>
          <a:ln>
            <a:solidFill>
              <a:sysClr val="windowText" lastClr="000000"/>
            </a:solidFill>
          </a:ln>
        </c:spPr>
        <c:txPr>
          <a:bodyPr/>
          <a:lstStyle/>
          <a:p>
            <a:pPr>
              <a:defRPr sz="900"/>
            </a:pPr>
            <a:endParaRPr lang="en-US"/>
          </a:p>
        </c:txPr>
        <c:crossAx val="172290048"/>
        <c:crosses val="autoZero"/>
        <c:crossBetween val="midCat"/>
        <c:majorUnit val="2"/>
      </c:valAx>
      <c:valAx>
        <c:axId val="172290048"/>
        <c:scaling>
          <c:orientation val="minMax"/>
          <c:max val="60"/>
          <c:min val="0"/>
        </c:scaling>
        <c:delete val="0"/>
        <c:axPos val="l"/>
        <c:majorGridlines>
          <c:spPr>
            <a:ln>
              <a:solidFill>
                <a:sysClr val="window" lastClr="FFFFFF">
                  <a:lumMod val="50000"/>
                </a:sysClr>
              </a:solidFill>
            </a:ln>
          </c:spPr>
        </c:majorGridlines>
        <c:title>
          <c:tx>
            <c:rich>
              <a:bodyPr rot="-5400000" vert="horz"/>
              <a:lstStyle/>
              <a:p>
                <a:pPr>
                  <a:defRPr/>
                </a:pPr>
                <a:r>
                  <a:rPr lang="en-AU"/>
                  <a:t>Hourly</a:t>
                </a:r>
                <a:r>
                  <a:rPr lang="en-AU" baseline="0"/>
                  <a:t> wage ($)</a:t>
                </a:r>
                <a:endParaRPr lang="en-AU"/>
              </a:p>
            </c:rich>
          </c:tx>
          <c:layout>
            <c:manualLayout>
              <c:xMode val="edge"/>
              <c:yMode val="edge"/>
              <c:x val="2.2557740931184729E-3"/>
              <c:y val="0.32928060128847531"/>
            </c:manualLayout>
          </c:layout>
          <c:overlay val="0"/>
        </c:title>
        <c:numFmt formatCode="0" sourceLinked="0"/>
        <c:majorTickMark val="out"/>
        <c:minorTickMark val="none"/>
        <c:tickLblPos val="nextTo"/>
        <c:spPr>
          <a:ln>
            <a:solidFill>
              <a:sysClr val="windowText" lastClr="000000"/>
            </a:solidFill>
          </a:ln>
        </c:spPr>
        <c:txPr>
          <a:bodyPr/>
          <a:lstStyle/>
          <a:p>
            <a:pPr>
              <a:defRPr sz="900"/>
            </a:pPr>
            <a:endParaRPr lang="en-US"/>
          </a:p>
        </c:txPr>
        <c:crossAx val="172283776"/>
        <c:crossesAt val="1995"/>
        <c:crossBetween val="midCat"/>
      </c:valAx>
      <c:spPr>
        <a:ln>
          <a:solidFill>
            <a:sysClr val="windowText" lastClr="000000"/>
          </a:solidFill>
        </a:ln>
      </c:spPr>
    </c:plotArea>
    <c:legend>
      <c:legendPos val="t"/>
      <c:layout>
        <c:manualLayout>
          <c:xMode val="edge"/>
          <c:yMode val="edge"/>
          <c:x val="3.313953703600872E-2"/>
          <c:y val="1.3730803974706411E-3"/>
          <c:w val="0.94045781314372745"/>
          <c:h val="0.11190814198539648"/>
        </c:manualLayout>
      </c:layout>
      <c:overlay val="0"/>
      <c:spPr>
        <a:solidFill>
          <a:schemeClr val="bg1"/>
        </a:solidFill>
        <a:ln>
          <a:noFill/>
        </a:ln>
      </c:spPr>
      <c:txPr>
        <a:bodyPr/>
        <a:lstStyle/>
        <a:p>
          <a:pPr>
            <a:defRPr sz="900"/>
          </a:pPr>
          <a:endParaRPr lang="en-US"/>
        </a:p>
      </c:txPr>
    </c:legend>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Movement into employment</a:t>
            </a:r>
          </a:p>
        </c:rich>
      </c:tx>
      <c:layout>
        <c:manualLayout>
          <c:xMode val="edge"/>
          <c:yMode val="edge"/>
          <c:x val="0.35823967645806731"/>
          <c:y val="0.15434027777777778"/>
        </c:manualLayout>
      </c:layout>
      <c:overlay val="1"/>
    </c:title>
    <c:autoTitleDeleted val="0"/>
    <c:plotArea>
      <c:layout>
        <c:manualLayout>
          <c:layoutTarget val="inner"/>
          <c:xMode val="edge"/>
          <c:yMode val="edge"/>
          <c:x val="8.1727037037037029E-2"/>
          <c:y val="0.13039583333333332"/>
          <c:w val="0.91121740740740742"/>
          <c:h val="0.72548888888888885"/>
        </c:manualLayout>
      </c:layout>
      <c:barChart>
        <c:barDir val="col"/>
        <c:grouping val="clustered"/>
        <c:varyColors val="0"/>
        <c:ser>
          <c:idx val="0"/>
          <c:order val="0"/>
          <c:tx>
            <c:strRef>
              <c:f>Sheet1!$B$14</c:f>
              <c:strCache>
                <c:ptCount val="1"/>
                <c:pt idx="0">
                  <c:v>Average 2001–2002 to 2003–2004</c:v>
                </c:pt>
              </c:strCache>
            </c:strRef>
          </c:tx>
          <c:spPr>
            <a:solidFill>
              <a:srgbClr val="344893"/>
            </a:solidFill>
            <a:ln>
              <a:solidFill>
                <a:srgbClr val="344893"/>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Sheet1!$B$15:$B$21</c:f>
              <c:numCache>
                <c:formatCode>0.00</c:formatCode>
                <c:ptCount val="7"/>
                <c:pt idx="0">
                  <c:v>1.1173782575650515</c:v>
                </c:pt>
                <c:pt idx="1">
                  <c:v>0.93055828777949701</c:v>
                </c:pt>
                <c:pt idx="2">
                  <c:v>0.82011170600154892</c:v>
                </c:pt>
                <c:pt idx="3">
                  <c:v>1.0619232777054501</c:v>
                </c:pt>
                <c:pt idx="4">
                  <c:v>0.9944193007386084</c:v>
                </c:pt>
                <c:pt idx="5">
                  <c:v>0.75893266579685481</c:v>
                </c:pt>
                <c:pt idx="6">
                  <c:v>1.5754775438853041</c:v>
                </c:pt>
              </c:numCache>
            </c:numRef>
          </c:val>
        </c:ser>
        <c:ser>
          <c:idx val="1"/>
          <c:order val="1"/>
          <c:tx>
            <c:strRef>
              <c:f>Sheet1!$C$14</c:f>
              <c:strCache>
                <c:ptCount val="1"/>
                <c:pt idx="0">
                  <c:v>Average 2004–2005 to 2006–2007</c:v>
                </c:pt>
              </c:strCache>
            </c:strRef>
          </c:tx>
          <c:spPr>
            <a:pattFill prst="pct60">
              <a:fgClr>
                <a:srgbClr val="B4C98B"/>
              </a:fgClr>
              <a:bgClr>
                <a:schemeClr val="bg1"/>
              </a:bgClr>
            </a:pattFill>
            <a:ln>
              <a:solidFill>
                <a:srgbClr val="B4C98B"/>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Sheet1!$C$15:$C$21</c:f>
              <c:numCache>
                <c:formatCode>0.00</c:formatCode>
                <c:ptCount val="7"/>
                <c:pt idx="0">
                  <c:v>1.2229790326874133</c:v>
                </c:pt>
                <c:pt idx="1">
                  <c:v>0.84768726651970983</c:v>
                </c:pt>
                <c:pt idx="2">
                  <c:v>0.7670190816892174</c:v>
                </c:pt>
                <c:pt idx="3">
                  <c:v>1.109111107586819</c:v>
                </c:pt>
                <c:pt idx="4">
                  <c:v>0.96884921552717707</c:v>
                </c:pt>
                <c:pt idx="5">
                  <c:v>0.86834306183986065</c:v>
                </c:pt>
                <c:pt idx="6">
                  <c:v>1.4538001409191412</c:v>
                </c:pt>
              </c:numCache>
            </c:numRef>
          </c:val>
        </c:ser>
        <c:ser>
          <c:idx val="2"/>
          <c:order val="2"/>
          <c:tx>
            <c:strRef>
              <c:f>Sheet1!$D$14</c:f>
              <c:strCache>
                <c:ptCount val="1"/>
                <c:pt idx="0">
                  <c:v>Average 2007–2008 to 2009–2010</c:v>
                </c:pt>
              </c:strCache>
            </c:strRef>
          </c:tx>
          <c:spPr>
            <a:pattFill prst="zigZag">
              <a:fgClr>
                <a:srgbClr val="7B905A"/>
              </a:fgClr>
              <a:bgClr>
                <a:schemeClr val="bg1"/>
              </a:bgClr>
            </a:pattFill>
            <a:ln>
              <a:solidFill>
                <a:srgbClr val="7B905A"/>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Sheet1!$D$15:$D$21</c:f>
              <c:numCache>
                <c:formatCode>0.00</c:formatCode>
                <c:ptCount val="7"/>
                <c:pt idx="0">
                  <c:v>1.0564189427335604</c:v>
                </c:pt>
                <c:pt idx="1">
                  <c:v>0.7450087313462227</c:v>
                </c:pt>
                <c:pt idx="2">
                  <c:v>0.80693579430945128</c:v>
                </c:pt>
                <c:pt idx="3">
                  <c:v>1.1414762711072337</c:v>
                </c:pt>
                <c:pt idx="4">
                  <c:v>0.97125985627687472</c:v>
                </c:pt>
                <c:pt idx="5">
                  <c:v>0.84415280894775391</c:v>
                </c:pt>
                <c:pt idx="6">
                  <c:v>1.6130437221231941</c:v>
                </c:pt>
              </c:numCache>
            </c:numRef>
          </c:val>
        </c:ser>
        <c:dLbls>
          <c:showLegendKey val="0"/>
          <c:showVal val="0"/>
          <c:showCatName val="0"/>
          <c:showSerName val="0"/>
          <c:showPercent val="0"/>
          <c:showBubbleSize val="0"/>
        </c:dLbls>
        <c:gapWidth val="150"/>
        <c:axId val="189216640"/>
        <c:axId val="189218176"/>
      </c:barChart>
      <c:catAx>
        <c:axId val="189216640"/>
        <c:scaling>
          <c:orientation val="minMax"/>
        </c:scaling>
        <c:delete val="0"/>
        <c:axPos val="b"/>
        <c:majorTickMark val="out"/>
        <c:minorTickMark val="none"/>
        <c:tickLblPos val="low"/>
        <c:spPr>
          <a:ln>
            <a:solidFill>
              <a:schemeClr val="tx1"/>
            </a:solidFill>
          </a:ln>
        </c:spPr>
        <c:txPr>
          <a:bodyPr rot="0"/>
          <a:lstStyle/>
          <a:p>
            <a:pPr>
              <a:defRPr/>
            </a:pPr>
            <a:endParaRPr lang="en-US"/>
          </a:p>
        </c:txPr>
        <c:crossAx val="189218176"/>
        <c:crossesAt val="1"/>
        <c:auto val="1"/>
        <c:lblAlgn val="ctr"/>
        <c:lblOffset val="100"/>
        <c:noMultiLvlLbl val="0"/>
      </c:catAx>
      <c:valAx>
        <c:axId val="189218176"/>
        <c:scaling>
          <c:orientation val="minMax"/>
          <c:min val="0.60000000000000009"/>
        </c:scaling>
        <c:delete val="0"/>
        <c:axPos val="l"/>
        <c:majorGridlines>
          <c:spPr>
            <a:ln>
              <a:solidFill>
                <a:schemeClr val="bg1">
                  <a:lumMod val="50000"/>
                </a:schemeClr>
              </a:solidFill>
            </a:ln>
          </c:spPr>
        </c:majorGridlines>
        <c:title>
          <c:tx>
            <c:rich>
              <a:bodyPr rot="-5400000" vert="horz"/>
              <a:lstStyle/>
              <a:p>
                <a:pPr>
                  <a:defRPr/>
                </a:pPr>
                <a:r>
                  <a:rPr lang="en-AU"/>
                  <a:t>Relative proportion</a:t>
                </a:r>
              </a:p>
            </c:rich>
          </c:tx>
          <c:layout>
            <c:manualLayout>
              <c:xMode val="edge"/>
              <c:yMode val="edge"/>
              <c:x val="4.1184147954792251E-4"/>
              <c:y val="0.2883563534712516"/>
            </c:manualLayout>
          </c:layout>
          <c:overlay val="0"/>
        </c:title>
        <c:numFmt formatCode="0.0" sourceLinked="0"/>
        <c:majorTickMark val="out"/>
        <c:minorTickMark val="none"/>
        <c:tickLblPos val="nextTo"/>
        <c:spPr>
          <a:ln>
            <a:solidFill>
              <a:schemeClr val="tx1"/>
            </a:solidFill>
          </a:ln>
        </c:spPr>
        <c:crossAx val="189216640"/>
        <c:crosses val="autoZero"/>
        <c:crossBetween val="between"/>
      </c:valAx>
      <c:spPr>
        <a:ln>
          <a:solidFill>
            <a:schemeClr val="tx1"/>
          </a:solidFill>
        </a:ln>
      </c:spPr>
    </c:plotArea>
    <c:legend>
      <c:legendPos val="r"/>
      <c:layout>
        <c:manualLayout>
          <c:xMode val="edge"/>
          <c:yMode val="edge"/>
          <c:x val="0"/>
          <c:y val="3.7514581510644631E-3"/>
          <c:w val="0.99764319803544277"/>
          <c:h val="9.9417530681944213E-2"/>
        </c:manualLayout>
      </c:layout>
      <c:overlay val="0"/>
      <c:txPr>
        <a:bodyPr/>
        <a:lstStyle/>
        <a:p>
          <a:pPr>
            <a:defRPr sz="850"/>
          </a:pPr>
          <a:endParaRPr lang="en-US"/>
        </a:p>
      </c:txPr>
    </c:legend>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Movement out of employment</a:t>
            </a:r>
          </a:p>
        </c:rich>
      </c:tx>
      <c:layout>
        <c:manualLayout>
          <c:xMode val="edge"/>
          <c:yMode val="edge"/>
          <c:x val="0.34501055555555549"/>
          <c:y val="6.9758318489711077E-2"/>
        </c:manualLayout>
      </c:layout>
      <c:overlay val="1"/>
    </c:title>
    <c:autoTitleDeleted val="0"/>
    <c:plotArea>
      <c:layout>
        <c:manualLayout>
          <c:layoutTarget val="inner"/>
          <c:xMode val="edge"/>
          <c:yMode val="edge"/>
          <c:x val="8.1727037037037029E-2"/>
          <c:y val="4.6677665346825048E-2"/>
          <c:w val="0.91121740740740742"/>
          <c:h val="0.80929865082856722"/>
        </c:manualLayout>
      </c:layout>
      <c:barChart>
        <c:barDir val="col"/>
        <c:grouping val="clustered"/>
        <c:varyColors val="0"/>
        <c:ser>
          <c:idx val="0"/>
          <c:order val="0"/>
          <c:tx>
            <c:strRef>
              <c:f>Sheet1!$B$14</c:f>
              <c:strCache>
                <c:ptCount val="1"/>
                <c:pt idx="0">
                  <c:v>Average 2001–2002 to 2003–2004</c:v>
                </c:pt>
              </c:strCache>
            </c:strRef>
          </c:tx>
          <c:spPr>
            <a:solidFill>
              <a:srgbClr val="344893"/>
            </a:solidFill>
            <a:ln>
              <a:solidFill>
                <a:srgbClr val="344893"/>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Sheet1!$B$37:$B$43</c:f>
              <c:numCache>
                <c:formatCode>0.00</c:formatCode>
                <c:ptCount val="7"/>
                <c:pt idx="0">
                  <c:v>1.5727721781130954</c:v>
                </c:pt>
                <c:pt idx="1">
                  <c:v>0.79364747193777774</c:v>
                </c:pt>
                <c:pt idx="2">
                  <c:v>0.73367310236426686</c:v>
                </c:pt>
                <c:pt idx="3">
                  <c:v>1.141393430869962</c:v>
                </c:pt>
                <c:pt idx="4">
                  <c:v>0.93831922869834183</c:v>
                </c:pt>
                <c:pt idx="5">
                  <c:v>0.81819871641232333</c:v>
                </c:pt>
                <c:pt idx="6">
                  <c:v>1.4023693156186094</c:v>
                </c:pt>
              </c:numCache>
            </c:numRef>
          </c:val>
        </c:ser>
        <c:ser>
          <c:idx val="1"/>
          <c:order val="1"/>
          <c:tx>
            <c:strRef>
              <c:f>Sheet1!$C$14</c:f>
              <c:strCache>
                <c:ptCount val="1"/>
                <c:pt idx="0">
                  <c:v>Average 2004–2005 to 2006–2007</c:v>
                </c:pt>
              </c:strCache>
            </c:strRef>
          </c:tx>
          <c:spPr>
            <a:pattFill prst="pct60">
              <a:fgClr>
                <a:srgbClr val="B4C98B"/>
              </a:fgClr>
              <a:bgClr>
                <a:schemeClr val="bg1"/>
              </a:bgClr>
            </a:pattFill>
            <a:ln>
              <a:solidFill>
                <a:srgbClr val="B4C98B"/>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Sheet1!$C$37:$C$43</c:f>
              <c:numCache>
                <c:formatCode>0.00</c:formatCode>
                <c:ptCount val="7"/>
                <c:pt idx="0">
                  <c:v>1.4114700269117133</c:v>
                </c:pt>
                <c:pt idx="1">
                  <c:v>0.95386224857362523</c:v>
                </c:pt>
                <c:pt idx="2">
                  <c:v>0.6637067025772988</c:v>
                </c:pt>
                <c:pt idx="3">
                  <c:v>1.1187804564069759</c:v>
                </c:pt>
                <c:pt idx="4">
                  <c:v>1.0187509386583269</c:v>
                </c:pt>
                <c:pt idx="5">
                  <c:v>0.81813412841565192</c:v>
                </c:pt>
                <c:pt idx="6">
                  <c:v>1.4072216223739324</c:v>
                </c:pt>
              </c:numCache>
            </c:numRef>
          </c:val>
        </c:ser>
        <c:ser>
          <c:idx val="2"/>
          <c:order val="2"/>
          <c:tx>
            <c:strRef>
              <c:f>Sheet1!$D$14</c:f>
              <c:strCache>
                <c:ptCount val="1"/>
                <c:pt idx="0">
                  <c:v>Average 2007–2008 to 2009–2010</c:v>
                </c:pt>
              </c:strCache>
            </c:strRef>
          </c:tx>
          <c:spPr>
            <a:pattFill prst="zigZag">
              <a:fgClr>
                <a:srgbClr val="7B905A"/>
              </a:fgClr>
              <a:bgClr>
                <a:schemeClr val="bg1"/>
              </a:bgClr>
            </a:pattFill>
            <a:ln>
              <a:solidFill>
                <a:srgbClr val="7B905A"/>
              </a:solidFill>
            </a:ln>
          </c:spPr>
          <c:invertIfNegative val="0"/>
          <c:cat>
            <c:strRef>
              <c:f>Sheet1!$A$15:$A$21</c:f>
              <c:strCache>
                <c:ptCount val="7"/>
                <c:pt idx="0">
                  <c:v>Agriculture</c:v>
                </c:pt>
                <c:pt idx="1">
                  <c:v>Manufac-
turing</c:v>
                </c:pt>
                <c:pt idx="2">
                  <c:v>Utilities/ Construction</c:v>
                </c:pt>
                <c:pt idx="3">
                  <c:v>Distribution services</c:v>
                </c:pt>
                <c:pt idx="4">
                  <c:v>Business services</c:v>
                </c:pt>
                <c:pt idx="5">
                  <c:v>Social services</c:v>
                </c:pt>
                <c:pt idx="6">
                  <c:v>Personal services</c:v>
                </c:pt>
              </c:strCache>
            </c:strRef>
          </c:cat>
          <c:val>
            <c:numRef>
              <c:f>Sheet1!$D$37:$D$43</c:f>
              <c:numCache>
                <c:formatCode>0.00</c:formatCode>
                <c:ptCount val="7"/>
                <c:pt idx="0">
                  <c:v>1.1910748073488358</c:v>
                </c:pt>
                <c:pt idx="1">
                  <c:v>0.997298903221426</c:v>
                </c:pt>
                <c:pt idx="2">
                  <c:v>0.81246225642007142</c:v>
                </c:pt>
                <c:pt idx="3">
                  <c:v>1.1278414148075797</c:v>
                </c:pt>
                <c:pt idx="4">
                  <c:v>0.95099119463470594</c:v>
                </c:pt>
                <c:pt idx="5">
                  <c:v>0.78474358552325307</c:v>
                </c:pt>
                <c:pt idx="6">
                  <c:v>1.5189751550891852</c:v>
                </c:pt>
              </c:numCache>
            </c:numRef>
          </c:val>
        </c:ser>
        <c:dLbls>
          <c:showLegendKey val="0"/>
          <c:showVal val="0"/>
          <c:showCatName val="0"/>
          <c:showSerName val="0"/>
          <c:showPercent val="0"/>
          <c:showBubbleSize val="0"/>
        </c:dLbls>
        <c:gapWidth val="150"/>
        <c:axId val="189244928"/>
        <c:axId val="189246464"/>
      </c:barChart>
      <c:catAx>
        <c:axId val="189244928"/>
        <c:scaling>
          <c:orientation val="minMax"/>
        </c:scaling>
        <c:delete val="0"/>
        <c:axPos val="b"/>
        <c:majorTickMark val="out"/>
        <c:minorTickMark val="none"/>
        <c:tickLblPos val="low"/>
        <c:spPr>
          <a:ln>
            <a:solidFill>
              <a:schemeClr val="tx1"/>
            </a:solidFill>
          </a:ln>
        </c:spPr>
        <c:txPr>
          <a:bodyPr rot="0"/>
          <a:lstStyle/>
          <a:p>
            <a:pPr>
              <a:defRPr/>
            </a:pPr>
            <a:endParaRPr lang="en-US"/>
          </a:p>
        </c:txPr>
        <c:crossAx val="189246464"/>
        <c:crossesAt val="1"/>
        <c:auto val="1"/>
        <c:lblAlgn val="ctr"/>
        <c:lblOffset val="100"/>
        <c:noMultiLvlLbl val="0"/>
      </c:catAx>
      <c:valAx>
        <c:axId val="189246464"/>
        <c:scaling>
          <c:orientation val="minMax"/>
          <c:min val="0.60000000000000009"/>
        </c:scaling>
        <c:delete val="0"/>
        <c:axPos val="l"/>
        <c:majorGridlines>
          <c:spPr>
            <a:ln>
              <a:solidFill>
                <a:schemeClr val="bg1">
                  <a:lumMod val="50000"/>
                </a:schemeClr>
              </a:solidFill>
            </a:ln>
          </c:spPr>
        </c:majorGridlines>
        <c:title>
          <c:tx>
            <c:rich>
              <a:bodyPr rot="-5400000" vert="horz"/>
              <a:lstStyle/>
              <a:p>
                <a:pPr>
                  <a:defRPr/>
                </a:pPr>
                <a:r>
                  <a:rPr lang="en-AU"/>
                  <a:t>Relative proportion</a:t>
                </a:r>
              </a:p>
            </c:rich>
          </c:tx>
          <c:layout>
            <c:manualLayout>
              <c:xMode val="edge"/>
              <c:yMode val="edge"/>
              <c:x val="4.1184147954792251E-4"/>
              <c:y val="0.2646508928398692"/>
            </c:manualLayout>
          </c:layout>
          <c:overlay val="0"/>
        </c:title>
        <c:numFmt formatCode="0.0" sourceLinked="0"/>
        <c:majorTickMark val="out"/>
        <c:minorTickMark val="none"/>
        <c:tickLblPos val="nextTo"/>
        <c:spPr>
          <a:ln>
            <a:solidFill>
              <a:schemeClr val="tx1"/>
            </a:solidFill>
          </a:ln>
        </c:spPr>
        <c:crossAx val="189244928"/>
        <c:crosses val="autoZero"/>
        <c:crossBetween val="between"/>
      </c:valAx>
      <c:spPr>
        <a:ln>
          <a:solidFill>
            <a:schemeClr val="tx1"/>
          </a:solidFill>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7229074074074084E-2"/>
          <c:y val="0.10874624563682117"/>
          <c:w val="0.90798166666666669"/>
          <c:h val="0.74798806721324784"/>
        </c:manualLayout>
      </c:layout>
      <c:barChart>
        <c:barDir val="col"/>
        <c:grouping val="clustered"/>
        <c:varyColors val="0"/>
        <c:ser>
          <c:idx val="0"/>
          <c:order val="0"/>
          <c:tx>
            <c:strRef>
              <c:f>Sheet1!$B$4</c:f>
              <c:strCache>
                <c:ptCount val="1"/>
                <c:pt idx="0">
                  <c:v>Average 2001–2002 to 2003–2004</c:v>
                </c:pt>
              </c:strCache>
            </c:strRef>
          </c:tx>
          <c:spPr>
            <a:solidFill>
              <a:srgbClr val="344893"/>
            </a:solidFill>
            <a:ln>
              <a:solidFill>
                <a:srgbClr val="344893"/>
              </a:solidFill>
            </a:ln>
          </c:spPr>
          <c:invertIfNegative val="0"/>
          <c:cat>
            <c:strRef>
              <c:f>Sheet1!$A$5:$A$12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Sheet1!$B$5:$B$12</c:f>
              <c:numCache>
                <c:formatCode>0.0</c:formatCode>
                <c:ptCount val="8"/>
                <c:pt idx="0">
                  <c:v>18.3</c:v>
                </c:pt>
                <c:pt idx="1">
                  <c:v>28.9</c:v>
                </c:pt>
                <c:pt idx="2">
                  <c:v>24.5</c:v>
                </c:pt>
                <c:pt idx="3">
                  <c:v>23.2</c:v>
                </c:pt>
                <c:pt idx="4">
                  <c:v>22</c:v>
                </c:pt>
                <c:pt idx="5">
                  <c:v>26.1</c:v>
                </c:pt>
                <c:pt idx="6">
                  <c:v>8.8000000000000007</c:v>
                </c:pt>
                <c:pt idx="7">
                  <c:v>26.1</c:v>
                </c:pt>
              </c:numCache>
            </c:numRef>
          </c:val>
        </c:ser>
        <c:ser>
          <c:idx val="1"/>
          <c:order val="1"/>
          <c:tx>
            <c:strRef>
              <c:f>Sheet1!$C$4</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Sheet1!$A$5:$A$12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Sheet1!$C$5:$C$12</c:f>
              <c:numCache>
                <c:formatCode>0.0</c:formatCode>
                <c:ptCount val="8"/>
                <c:pt idx="0">
                  <c:v>22.7</c:v>
                </c:pt>
                <c:pt idx="1">
                  <c:v>26.7</c:v>
                </c:pt>
                <c:pt idx="2">
                  <c:v>29.4</c:v>
                </c:pt>
                <c:pt idx="3">
                  <c:v>22.5</c:v>
                </c:pt>
                <c:pt idx="4">
                  <c:v>22.1</c:v>
                </c:pt>
                <c:pt idx="5">
                  <c:v>20.8</c:v>
                </c:pt>
                <c:pt idx="6">
                  <c:v>9.6999999999999993</c:v>
                </c:pt>
                <c:pt idx="7">
                  <c:v>29.2</c:v>
                </c:pt>
              </c:numCache>
            </c:numRef>
          </c:val>
        </c:ser>
        <c:ser>
          <c:idx val="2"/>
          <c:order val="2"/>
          <c:tx>
            <c:strRef>
              <c:f>Sheet1!$D$4</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Sheet1!$A$5:$A$12</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Sheet1!$D$5:$D$12</c:f>
              <c:numCache>
                <c:formatCode>0.0</c:formatCode>
                <c:ptCount val="8"/>
                <c:pt idx="0">
                  <c:v>21.7</c:v>
                </c:pt>
                <c:pt idx="1">
                  <c:v>26.7</c:v>
                </c:pt>
                <c:pt idx="2">
                  <c:v>27.4</c:v>
                </c:pt>
                <c:pt idx="3">
                  <c:v>24.4</c:v>
                </c:pt>
                <c:pt idx="4">
                  <c:v>22.2</c:v>
                </c:pt>
                <c:pt idx="5">
                  <c:v>22.1</c:v>
                </c:pt>
                <c:pt idx="6">
                  <c:v>9.3000000000000007</c:v>
                </c:pt>
                <c:pt idx="7">
                  <c:v>26.5</c:v>
                </c:pt>
              </c:numCache>
            </c:numRef>
          </c:val>
        </c:ser>
        <c:dLbls>
          <c:showLegendKey val="0"/>
          <c:showVal val="0"/>
          <c:showCatName val="0"/>
          <c:showSerName val="0"/>
          <c:showPercent val="0"/>
          <c:showBubbleSize val="0"/>
        </c:dLbls>
        <c:gapWidth val="93"/>
        <c:axId val="190207104"/>
        <c:axId val="190208640"/>
      </c:barChart>
      <c:catAx>
        <c:axId val="190207104"/>
        <c:scaling>
          <c:orientation val="minMax"/>
        </c:scaling>
        <c:delete val="0"/>
        <c:axPos val="b"/>
        <c:majorTickMark val="out"/>
        <c:minorTickMark val="none"/>
        <c:tickLblPos val="nextTo"/>
        <c:spPr>
          <a:ln>
            <a:solidFill>
              <a:schemeClr val="tx1"/>
            </a:solidFill>
          </a:ln>
        </c:spPr>
        <c:txPr>
          <a:bodyPr/>
          <a:lstStyle/>
          <a:p>
            <a:pPr>
              <a:defRPr sz="850"/>
            </a:pPr>
            <a:endParaRPr lang="en-US"/>
          </a:p>
        </c:txPr>
        <c:crossAx val="190208640"/>
        <c:crosses val="autoZero"/>
        <c:auto val="1"/>
        <c:lblAlgn val="ctr"/>
        <c:lblOffset val="100"/>
        <c:noMultiLvlLbl val="0"/>
      </c:catAx>
      <c:valAx>
        <c:axId val="190208640"/>
        <c:scaling>
          <c:orientation val="minMax"/>
          <c:max val="35"/>
        </c:scaling>
        <c:delete val="0"/>
        <c:axPos val="l"/>
        <c:majorGridlines>
          <c:spPr>
            <a:ln>
              <a:solidFill>
                <a:sysClr val="window" lastClr="FFFFFF">
                  <a:lumMod val="50000"/>
                </a:sysClr>
              </a:solidFill>
              <a:prstDash val="solid"/>
            </a:ln>
          </c:spPr>
        </c:majorGridlines>
        <c:title>
          <c:tx>
            <c:rich>
              <a:bodyPr rot="-5400000" vert="horz"/>
              <a:lstStyle/>
              <a:p>
                <a:pPr>
                  <a:defRPr/>
                </a:pPr>
                <a:r>
                  <a:rPr lang="en-AU" b="1"/>
                  <a:t>Per cent</a:t>
                </a:r>
              </a:p>
            </c:rich>
          </c:tx>
          <c:layout>
            <c:manualLayout>
              <c:xMode val="edge"/>
              <c:yMode val="edge"/>
              <c:x val="9.7018518518518515E-4"/>
              <c:y val="0.34292013888888895"/>
            </c:manualLayout>
          </c:layout>
          <c:overlay val="0"/>
        </c:title>
        <c:numFmt formatCode="#,##0" sourceLinked="0"/>
        <c:majorTickMark val="out"/>
        <c:minorTickMark val="none"/>
        <c:tickLblPos val="nextTo"/>
        <c:txPr>
          <a:bodyPr/>
          <a:lstStyle/>
          <a:p>
            <a:pPr>
              <a:defRPr>
                <a:latin typeface="Arial" pitchFamily="34" charset="0"/>
                <a:cs typeface="Arial" pitchFamily="34" charset="0"/>
              </a:defRPr>
            </a:pPr>
            <a:endParaRPr lang="en-US"/>
          </a:p>
        </c:txPr>
        <c:crossAx val="190207104"/>
        <c:crosses val="autoZero"/>
        <c:crossBetween val="between"/>
        <c:majorUnit val="5"/>
      </c:valAx>
      <c:spPr>
        <a:ln>
          <a:solidFill>
            <a:schemeClr val="tx1"/>
          </a:solidFill>
        </a:ln>
      </c:spPr>
    </c:plotArea>
    <c:legend>
      <c:legendPos val="b"/>
      <c:layout>
        <c:manualLayout>
          <c:xMode val="edge"/>
          <c:yMode val="edge"/>
          <c:x val="0"/>
          <c:y val="4.089930555555568E-3"/>
          <c:w val="1"/>
          <c:h val="5.3050672485722802E-2"/>
        </c:manualLayout>
      </c:layout>
      <c:overlay val="0"/>
      <c:spPr>
        <a:ln>
          <a:noFill/>
        </a:ln>
      </c:spPr>
      <c:txPr>
        <a:bodyPr/>
        <a:lstStyle/>
        <a:p>
          <a:pPr>
            <a:defRPr sz="850"/>
          </a:pPr>
          <a:endParaRPr lang="en-US"/>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84592592592592E-2"/>
          <c:y val="0.10348958333333333"/>
          <c:w val="0.91586425925925929"/>
          <c:h val="0.70315833333333333"/>
        </c:manualLayout>
      </c:layout>
      <c:barChart>
        <c:barDir val="col"/>
        <c:grouping val="clustered"/>
        <c:varyColors val="0"/>
        <c:ser>
          <c:idx val="0"/>
          <c:order val="0"/>
          <c:tx>
            <c:strRef>
              <c:f>Sheet1!$B$3</c:f>
              <c:strCache>
                <c:ptCount val="1"/>
                <c:pt idx="0">
                  <c:v>Average 2001–2002 to 2003–2004</c:v>
                </c:pt>
              </c:strCache>
            </c:strRef>
          </c:tx>
          <c:spPr>
            <a:solidFill>
              <a:srgbClr val="344893"/>
            </a:solidFill>
            <a:ln>
              <a:solidFill>
                <a:srgbClr val="344893"/>
              </a:solidFill>
            </a:ln>
          </c:spPr>
          <c:invertIfNegative val="0"/>
          <c:cat>
            <c:strRef>
              <c:f>Sheet1!$A$4:$A$11</c:f>
              <c:strCache>
                <c:ptCount val="8"/>
                <c:pt idx="0">
                  <c:v>Managers</c:v>
                </c:pt>
                <c:pt idx="1">
                  <c:v>Profess-
ionals</c:v>
                </c:pt>
                <c:pt idx="2">
                  <c:v>Technicians
 &amp; Trades 
workers</c:v>
                </c:pt>
                <c:pt idx="3">
                  <c:v>Community 
&amp; Personal 
Service workers</c:v>
                </c:pt>
                <c:pt idx="4">
                  <c:v>Clerical &amp; 
Admini-
strative 
workers</c:v>
                </c:pt>
                <c:pt idx="5">
                  <c:v>Sales 
workers</c:v>
                </c:pt>
                <c:pt idx="6">
                  <c:v>Machinery 
Operators 
&amp; Drivers</c:v>
                </c:pt>
                <c:pt idx="7">
                  <c:v>Labourers</c:v>
                </c:pt>
              </c:strCache>
            </c:strRef>
          </c:cat>
          <c:val>
            <c:numRef>
              <c:f>Sheet1!$B$4:$B$11</c:f>
              <c:numCache>
                <c:formatCode>0.00</c:formatCode>
                <c:ptCount val="8"/>
                <c:pt idx="0">
                  <c:v>33.745316405076913</c:v>
                </c:pt>
                <c:pt idx="1">
                  <c:v>18.700515221436575</c:v>
                </c:pt>
                <c:pt idx="2">
                  <c:v>21.7348116453567</c:v>
                </c:pt>
                <c:pt idx="3">
                  <c:v>24.224355020389776</c:v>
                </c:pt>
                <c:pt idx="4">
                  <c:v>24.231966758616448</c:v>
                </c:pt>
                <c:pt idx="5">
                  <c:v>33.944414185508407</c:v>
                </c:pt>
                <c:pt idx="6">
                  <c:v>28.980167100219575</c:v>
                </c:pt>
                <c:pt idx="7">
                  <c:v>35.544522716858069</c:v>
                </c:pt>
              </c:numCache>
            </c:numRef>
          </c:val>
        </c:ser>
        <c:ser>
          <c:idx val="1"/>
          <c:order val="1"/>
          <c:tx>
            <c:strRef>
              <c:f>Sheet1!$C$3</c:f>
              <c:strCache>
                <c:ptCount val="1"/>
                <c:pt idx="0">
                  <c:v>Average 2004–2005 to 2006–2007</c:v>
                </c:pt>
              </c:strCache>
            </c:strRef>
          </c:tx>
          <c:spPr>
            <a:pattFill prst="pct60">
              <a:fgClr>
                <a:srgbClr val="B4C98B"/>
              </a:fgClr>
              <a:bgClr>
                <a:schemeClr val="bg1"/>
              </a:bgClr>
            </a:pattFill>
            <a:ln>
              <a:solidFill>
                <a:srgbClr val="B4C98B"/>
              </a:solidFill>
            </a:ln>
          </c:spPr>
          <c:invertIfNegative val="0"/>
          <c:cat>
            <c:strRef>
              <c:f>Sheet1!$A$4:$A$11</c:f>
              <c:strCache>
                <c:ptCount val="8"/>
                <c:pt idx="0">
                  <c:v>Managers</c:v>
                </c:pt>
                <c:pt idx="1">
                  <c:v>Profess-
ionals</c:v>
                </c:pt>
                <c:pt idx="2">
                  <c:v>Technicians
 &amp; Trades 
workers</c:v>
                </c:pt>
                <c:pt idx="3">
                  <c:v>Community 
&amp; Personal 
Service workers</c:v>
                </c:pt>
                <c:pt idx="4">
                  <c:v>Clerical &amp; 
Admini-
strative 
workers</c:v>
                </c:pt>
                <c:pt idx="5">
                  <c:v>Sales 
workers</c:v>
                </c:pt>
                <c:pt idx="6">
                  <c:v>Machinery 
Operators 
&amp; Drivers</c:v>
                </c:pt>
                <c:pt idx="7">
                  <c:v>Labourers</c:v>
                </c:pt>
              </c:strCache>
            </c:strRef>
          </c:cat>
          <c:val>
            <c:numRef>
              <c:f>Sheet1!$C$4:$C$11</c:f>
              <c:numCache>
                <c:formatCode>0.00</c:formatCode>
                <c:ptCount val="8"/>
                <c:pt idx="0">
                  <c:v>32.474993741772636</c:v>
                </c:pt>
                <c:pt idx="1">
                  <c:v>15.383599092689948</c:v>
                </c:pt>
                <c:pt idx="2">
                  <c:v>19.147842649071691</c:v>
                </c:pt>
                <c:pt idx="3">
                  <c:v>24.970669607021765</c:v>
                </c:pt>
                <c:pt idx="4">
                  <c:v>24.441255539240313</c:v>
                </c:pt>
                <c:pt idx="5">
                  <c:v>33.735932905201729</c:v>
                </c:pt>
                <c:pt idx="6">
                  <c:v>25.868710280883146</c:v>
                </c:pt>
                <c:pt idx="7">
                  <c:v>34.964084255440802</c:v>
                </c:pt>
              </c:numCache>
            </c:numRef>
          </c:val>
        </c:ser>
        <c:ser>
          <c:idx val="2"/>
          <c:order val="2"/>
          <c:tx>
            <c:strRef>
              <c:f>Sheet1!$D$3</c:f>
              <c:strCache>
                <c:ptCount val="1"/>
                <c:pt idx="0">
                  <c:v>Average 2007–2008 to 2009–2010</c:v>
                </c:pt>
              </c:strCache>
            </c:strRef>
          </c:tx>
          <c:spPr>
            <a:pattFill prst="zigZag">
              <a:fgClr>
                <a:srgbClr val="7B905A"/>
              </a:fgClr>
              <a:bgClr>
                <a:schemeClr val="bg1"/>
              </a:bgClr>
            </a:pattFill>
            <a:ln>
              <a:solidFill>
                <a:srgbClr val="7B905A"/>
              </a:solidFill>
            </a:ln>
          </c:spPr>
          <c:invertIfNegative val="0"/>
          <c:cat>
            <c:strRef>
              <c:f>Sheet1!$A$4:$A$11</c:f>
              <c:strCache>
                <c:ptCount val="8"/>
                <c:pt idx="0">
                  <c:v>Managers</c:v>
                </c:pt>
                <c:pt idx="1">
                  <c:v>Profess-
ionals</c:v>
                </c:pt>
                <c:pt idx="2">
                  <c:v>Technicians
 &amp; Trades 
workers</c:v>
                </c:pt>
                <c:pt idx="3">
                  <c:v>Community 
&amp; Personal 
Service workers</c:v>
                </c:pt>
                <c:pt idx="4">
                  <c:v>Clerical &amp; 
Admini-
strative 
workers</c:v>
                </c:pt>
                <c:pt idx="5">
                  <c:v>Sales 
workers</c:v>
                </c:pt>
                <c:pt idx="6">
                  <c:v>Machinery 
Operators 
&amp; Drivers</c:v>
                </c:pt>
                <c:pt idx="7">
                  <c:v>Labourers</c:v>
                </c:pt>
              </c:strCache>
            </c:strRef>
          </c:cat>
          <c:val>
            <c:numRef>
              <c:f>Sheet1!$D$4:$D$11</c:f>
              <c:numCache>
                <c:formatCode>0.00</c:formatCode>
                <c:ptCount val="8"/>
                <c:pt idx="0">
                  <c:v>32.452530556561712</c:v>
                </c:pt>
                <c:pt idx="1">
                  <c:v>16.092062994036493</c:v>
                </c:pt>
                <c:pt idx="2">
                  <c:v>21.575749414092218</c:v>
                </c:pt>
                <c:pt idx="3">
                  <c:v>22.390538961173821</c:v>
                </c:pt>
                <c:pt idx="4">
                  <c:v>23.244883034418692</c:v>
                </c:pt>
                <c:pt idx="5">
                  <c:v>32.566817159668439</c:v>
                </c:pt>
                <c:pt idx="6">
                  <c:v>24.160516011292799</c:v>
                </c:pt>
                <c:pt idx="7">
                  <c:v>33.71327607068995</c:v>
                </c:pt>
              </c:numCache>
            </c:numRef>
          </c:val>
        </c:ser>
        <c:dLbls>
          <c:showLegendKey val="0"/>
          <c:showVal val="0"/>
          <c:showCatName val="0"/>
          <c:showSerName val="0"/>
          <c:showPercent val="0"/>
          <c:showBubbleSize val="0"/>
        </c:dLbls>
        <c:gapWidth val="150"/>
        <c:axId val="190243200"/>
        <c:axId val="190244736"/>
      </c:barChart>
      <c:catAx>
        <c:axId val="190243200"/>
        <c:scaling>
          <c:orientation val="minMax"/>
        </c:scaling>
        <c:delete val="0"/>
        <c:axPos val="b"/>
        <c:majorTickMark val="out"/>
        <c:minorTickMark val="none"/>
        <c:tickLblPos val="nextTo"/>
        <c:spPr>
          <a:ln>
            <a:solidFill>
              <a:schemeClr val="tx1"/>
            </a:solidFill>
          </a:ln>
        </c:spPr>
        <c:txPr>
          <a:bodyPr/>
          <a:lstStyle/>
          <a:p>
            <a:pPr>
              <a:defRPr sz="900"/>
            </a:pPr>
            <a:endParaRPr lang="en-US"/>
          </a:p>
        </c:txPr>
        <c:crossAx val="190244736"/>
        <c:crosses val="autoZero"/>
        <c:auto val="1"/>
        <c:lblAlgn val="ctr"/>
        <c:lblOffset val="100"/>
        <c:noMultiLvlLbl val="0"/>
      </c:catAx>
      <c:valAx>
        <c:axId val="190244736"/>
        <c:scaling>
          <c:orientation val="minMax"/>
          <c:max val="40"/>
        </c:scaling>
        <c:delete val="0"/>
        <c:axPos val="l"/>
        <c:majorGridlines>
          <c:spPr>
            <a:ln>
              <a:solidFill>
                <a:schemeClr val="bg1">
                  <a:lumMod val="50000"/>
                </a:schemeClr>
              </a:solidFill>
              <a:prstDash val="solid"/>
            </a:ln>
          </c:spPr>
        </c:majorGridlines>
        <c:title>
          <c:tx>
            <c:rich>
              <a:bodyPr rot="-5400000" vert="horz"/>
              <a:lstStyle/>
              <a:p>
                <a:pPr>
                  <a:defRPr/>
                </a:pPr>
                <a:r>
                  <a:rPr lang="en-AU"/>
                  <a:t>Per cent</a:t>
                </a:r>
              </a:p>
            </c:rich>
          </c:tx>
          <c:layout>
            <c:manualLayout>
              <c:xMode val="edge"/>
              <c:yMode val="edge"/>
              <c:x val="5.6451612903225812E-4"/>
              <c:y val="0.34390312500000003"/>
            </c:manualLayout>
          </c:layout>
          <c:overlay val="0"/>
        </c:title>
        <c:numFmt formatCode="#,##0" sourceLinked="0"/>
        <c:majorTickMark val="out"/>
        <c:minorTickMark val="none"/>
        <c:tickLblPos val="nextTo"/>
        <c:spPr>
          <a:ln>
            <a:solidFill>
              <a:schemeClr val="tx1"/>
            </a:solidFill>
          </a:ln>
        </c:spPr>
        <c:crossAx val="190243200"/>
        <c:crosses val="autoZero"/>
        <c:crossBetween val="between"/>
        <c:majorUnit val="8"/>
      </c:valAx>
      <c:spPr>
        <a:ln>
          <a:solidFill>
            <a:schemeClr val="tx1"/>
          </a:solidFill>
        </a:ln>
      </c:spPr>
    </c:plotArea>
    <c:legend>
      <c:legendPos val="b"/>
      <c:layout>
        <c:manualLayout>
          <c:xMode val="edge"/>
          <c:yMode val="edge"/>
          <c:x val="0"/>
          <c:y val="1.3777777777778204E-3"/>
          <c:w val="1"/>
          <c:h val="7.8677222108300388E-2"/>
        </c:manualLayout>
      </c:layout>
      <c:overlay val="0"/>
      <c:spPr>
        <a:ln>
          <a:noFill/>
        </a:ln>
      </c:spPr>
      <c:txPr>
        <a:bodyPr/>
        <a:lstStyle/>
        <a:p>
          <a:pPr>
            <a:defRPr sz="85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66788658459945E-2"/>
          <c:y val="0.15395985658042743"/>
          <c:w val="0.84538593767328385"/>
          <c:h val="0.71445549775028117"/>
        </c:manualLayout>
      </c:layout>
      <c:barChart>
        <c:barDir val="col"/>
        <c:grouping val="clustered"/>
        <c:varyColors val="0"/>
        <c:ser>
          <c:idx val="0"/>
          <c:order val="0"/>
          <c:tx>
            <c:strRef>
              <c:f>Graphs!$B$45</c:f>
              <c:strCache>
                <c:ptCount val="1"/>
                <c:pt idx="0">
                  <c:v>Average 2001–2002 to 2003–2004</c:v>
                </c:pt>
              </c:strCache>
            </c:strRef>
          </c:tx>
          <c:spPr>
            <a:solidFill>
              <a:srgbClr val="344893"/>
            </a:solidFill>
            <a:ln>
              <a:solidFill>
                <a:srgbClr val="344893"/>
              </a:solidFill>
            </a:ln>
          </c:spPr>
          <c:invertIfNegative val="0"/>
          <c:cat>
            <c:strRef>
              <c:f>Graphs!$A$46:$A$53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Graphs!$B$46:$B$53</c:f>
              <c:numCache>
                <c:formatCode>0.00</c:formatCode>
                <c:ptCount val="8"/>
                <c:pt idx="0">
                  <c:v>3.6</c:v>
                </c:pt>
                <c:pt idx="1">
                  <c:v>5.5</c:v>
                </c:pt>
                <c:pt idx="2">
                  <c:v>3.2000000000000006</c:v>
                </c:pt>
                <c:pt idx="3">
                  <c:v>2.6333333333333333</c:v>
                </c:pt>
                <c:pt idx="4">
                  <c:v>2.9333333333333336</c:v>
                </c:pt>
                <c:pt idx="5">
                  <c:v>3.8000000000000003</c:v>
                </c:pt>
                <c:pt idx="6">
                  <c:v>3.1333333333333333</c:v>
                </c:pt>
                <c:pt idx="7">
                  <c:v>4.5666666666666664</c:v>
                </c:pt>
              </c:numCache>
            </c:numRef>
          </c:val>
        </c:ser>
        <c:ser>
          <c:idx val="1"/>
          <c:order val="1"/>
          <c:tx>
            <c:strRef>
              <c:f>Graphs!$C$45</c:f>
              <c:strCache>
                <c:ptCount val="1"/>
                <c:pt idx="0">
                  <c:v>Average 2004–2005 to 2006–2007</c:v>
                </c:pt>
              </c:strCache>
            </c:strRef>
          </c:tx>
          <c:spPr>
            <a:pattFill prst="pct60">
              <a:fgClr>
                <a:srgbClr val="B4C98B"/>
              </a:fgClr>
              <a:bgClr>
                <a:sysClr val="window" lastClr="FFFFFF"/>
              </a:bgClr>
            </a:pattFill>
            <a:ln>
              <a:solidFill>
                <a:srgbClr val="B4C98B"/>
              </a:solidFill>
            </a:ln>
          </c:spPr>
          <c:invertIfNegative val="0"/>
          <c:cat>
            <c:strRef>
              <c:f>Graphs!$A$46:$A$53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Graphs!$C$46:$C$53</c:f>
              <c:numCache>
                <c:formatCode>0.00</c:formatCode>
                <c:ptCount val="8"/>
                <c:pt idx="0">
                  <c:v>2.7333333333333338</c:v>
                </c:pt>
                <c:pt idx="1">
                  <c:v>6.333333333333333</c:v>
                </c:pt>
                <c:pt idx="2">
                  <c:v>2.5666666666666669</c:v>
                </c:pt>
                <c:pt idx="3">
                  <c:v>2.6</c:v>
                </c:pt>
                <c:pt idx="4">
                  <c:v>2.1666666666666665</c:v>
                </c:pt>
                <c:pt idx="5">
                  <c:v>2.9</c:v>
                </c:pt>
                <c:pt idx="6">
                  <c:v>3</c:v>
                </c:pt>
                <c:pt idx="7">
                  <c:v>3.1666666666666665</c:v>
                </c:pt>
              </c:numCache>
            </c:numRef>
          </c:val>
        </c:ser>
        <c:ser>
          <c:idx val="2"/>
          <c:order val="2"/>
          <c:tx>
            <c:strRef>
              <c:f>Graphs!$D$45</c:f>
              <c:strCache>
                <c:ptCount val="1"/>
                <c:pt idx="0">
                  <c:v>Average 2007–2008 to 2009–2010</c:v>
                </c:pt>
              </c:strCache>
            </c:strRef>
          </c:tx>
          <c:spPr>
            <a:pattFill prst="zigZag">
              <a:fgClr>
                <a:srgbClr val="7B905A"/>
              </a:fgClr>
              <a:bgClr>
                <a:sysClr val="window" lastClr="FFFFFF"/>
              </a:bgClr>
            </a:pattFill>
            <a:ln>
              <a:solidFill>
                <a:srgbClr val="7B905A"/>
              </a:solidFill>
            </a:ln>
          </c:spPr>
          <c:invertIfNegative val="0"/>
          <c:cat>
            <c:strRef>
              <c:f>Graphs!$A$46:$A$53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Graphs!$D$46:$D$53</c:f>
              <c:numCache>
                <c:formatCode>0.00</c:formatCode>
                <c:ptCount val="8"/>
                <c:pt idx="0">
                  <c:v>4.5666666666666664</c:v>
                </c:pt>
                <c:pt idx="1">
                  <c:v>4.8666666666666671</c:v>
                </c:pt>
                <c:pt idx="2">
                  <c:v>1.9000000000000001</c:v>
                </c:pt>
                <c:pt idx="3">
                  <c:v>2.6666666666666665</c:v>
                </c:pt>
                <c:pt idx="4">
                  <c:v>2.3333333333333335</c:v>
                </c:pt>
                <c:pt idx="5">
                  <c:v>2.8666666666666667</c:v>
                </c:pt>
                <c:pt idx="6">
                  <c:v>2.6</c:v>
                </c:pt>
                <c:pt idx="7">
                  <c:v>2.6999999999999997</c:v>
                </c:pt>
              </c:numCache>
            </c:numRef>
          </c:val>
        </c:ser>
        <c:dLbls>
          <c:showLegendKey val="0"/>
          <c:showVal val="0"/>
          <c:showCatName val="0"/>
          <c:showSerName val="0"/>
          <c:showPercent val="0"/>
          <c:showBubbleSize val="0"/>
        </c:dLbls>
        <c:gapWidth val="100"/>
        <c:axId val="197843584"/>
        <c:axId val="197849856"/>
      </c:barChart>
      <c:lineChart>
        <c:grouping val="standard"/>
        <c:varyColors val="0"/>
        <c:ser>
          <c:idx val="3"/>
          <c:order val="3"/>
          <c:tx>
            <c:strRef>
              <c:f>Graphs!$H$45</c:f>
              <c:strCache>
                <c:ptCount val="1"/>
                <c:pt idx="0">
                  <c:v>Average number (all years) (RHS)</c:v>
                </c:pt>
              </c:strCache>
            </c:strRef>
          </c:tx>
          <c:spPr>
            <a:ln w="15875">
              <a:solidFill>
                <a:srgbClr val="39580D"/>
              </a:solidFill>
            </a:ln>
          </c:spPr>
          <c:marker>
            <c:symbol val="none"/>
          </c:marker>
          <c:cat>
            <c:strRef>
              <c:f>Graphs!$A$46:$A$53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Graphs!$H$46:$H$53</c:f>
              <c:numCache>
                <c:formatCode>#,##0.00</c:formatCode>
                <c:ptCount val="8"/>
                <c:pt idx="0">
                  <c:v>10.005963333333334</c:v>
                </c:pt>
                <c:pt idx="1">
                  <c:v>7.5863944444444451</c:v>
                </c:pt>
                <c:pt idx="2">
                  <c:v>25.888488888888887</c:v>
                </c:pt>
                <c:pt idx="3">
                  <c:v>21.447366666666664</c:v>
                </c:pt>
                <c:pt idx="4">
                  <c:v>49.221899999999998</c:v>
                </c:pt>
                <c:pt idx="5">
                  <c:v>47.683411111111113</c:v>
                </c:pt>
                <c:pt idx="6">
                  <c:v>75.850744444444445</c:v>
                </c:pt>
                <c:pt idx="7">
                  <c:v>38.409999999999989</c:v>
                </c:pt>
              </c:numCache>
            </c:numRef>
          </c:val>
          <c:smooth val="0"/>
        </c:ser>
        <c:dLbls>
          <c:showLegendKey val="0"/>
          <c:showVal val="0"/>
          <c:showCatName val="0"/>
          <c:showSerName val="0"/>
          <c:showPercent val="0"/>
          <c:showBubbleSize val="0"/>
        </c:dLbls>
        <c:marker val="1"/>
        <c:smooth val="0"/>
        <c:axId val="197853952"/>
        <c:axId val="197851776"/>
      </c:lineChart>
      <c:catAx>
        <c:axId val="197843584"/>
        <c:scaling>
          <c:orientation val="minMax"/>
        </c:scaling>
        <c:delete val="0"/>
        <c:axPos val="b"/>
        <c:title>
          <c:tx>
            <c:rich>
              <a:bodyPr/>
              <a:lstStyle/>
              <a:p>
                <a:pPr>
                  <a:defRPr b="0"/>
                </a:pPr>
                <a:r>
                  <a:rPr lang="en-US" sz="900" b="1"/>
                  <a:t>Workers' </a:t>
                </a:r>
                <a:r>
                  <a:rPr lang="en-US" sz="900" b="1" baseline="0"/>
                  <a:t>s</a:t>
                </a:r>
                <a:r>
                  <a:rPr lang="en-US" sz="900" b="1"/>
                  <a:t>ector of employment after moving</a:t>
                </a:r>
              </a:p>
            </c:rich>
          </c:tx>
          <c:layout>
            <c:manualLayout>
              <c:xMode val="edge"/>
              <c:yMode val="edge"/>
              <c:x val="0.26011755572806922"/>
              <c:y val="0.17227397356580429"/>
            </c:manualLayout>
          </c:layout>
          <c:overlay val="0"/>
        </c:title>
        <c:majorTickMark val="out"/>
        <c:minorTickMark val="none"/>
        <c:tickLblPos val="nextTo"/>
        <c:spPr>
          <a:ln>
            <a:solidFill>
              <a:schemeClr val="tx1"/>
            </a:solidFill>
          </a:ln>
        </c:spPr>
        <c:txPr>
          <a:bodyPr/>
          <a:lstStyle/>
          <a:p>
            <a:pPr>
              <a:defRPr sz="800"/>
            </a:pPr>
            <a:endParaRPr lang="en-US"/>
          </a:p>
        </c:txPr>
        <c:crossAx val="197849856"/>
        <c:crosses val="autoZero"/>
        <c:auto val="1"/>
        <c:lblAlgn val="ctr"/>
        <c:lblOffset val="100"/>
        <c:noMultiLvlLbl val="0"/>
      </c:catAx>
      <c:valAx>
        <c:axId val="197849856"/>
        <c:scaling>
          <c:orientation val="minMax"/>
          <c:max val="8"/>
        </c:scaling>
        <c:delete val="0"/>
        <c:axPos val="l"/>
        <c:majorGridlines>
          <c:spPr>
            <a:ln>
              <a:solidFill>
                <a:sysClr val="window" lastClr="FFFFFF">
                  <a:lumMod val="50000"/>
                </a:sysClr>
              </a:solidFill>
              <a:prstDash val="solid"/>
            </a:ln>
          </c:spPr>
        </c:majorGridlines>
        <c:title>
          <c:tx>
            <c:rich>
              <a:bodyPr rot="-5400000" vert="horz"/>
              <a:lstStyle/>
              <a:p>
                <a:pPr>
                  <a:defRPr sz="900" b="0"/>
                </a:pPr>
                <a:r>
                  <a:rPr lang="en-US" sz="900" b="1"/>
                  <a:t>Per cent of workers</a:t>
                </a:r>
              </a:p>
            </c:rich>
          </c:tx>
          <c:layout>
            <c:manualLayout>
              <c:xMode val="edge"/>
              <c:yMode val="edge"/>
              <c:x val="3.8408931277956467E-4"/>
              <c:y val="0.30727537964004498"/>
            </c:manualLayout>
          </c:layout>
          <c:overlay val="0"/>
        </c:title>
        <c:numFmt formatCode="0" sourceLinked="0"/>
        <c:majorTickMark val="out"/>
        <c:minorTickMark val="none"/>
        <c:tickLblPos val="nextTo"/>
        <c:spPr>
          <a:ln>
            <a:solidFill>
              <a:sysClr val="windowText" lastClr="000000"/>
            </a:solidFill>
          </a:ln>
        </c:spPr>
        <c:txPr>
          <a:bodyPr/>
          <a:lstStyle/>
          <a:p>
            <a:pPr>
              <a:defRPr sz="900"/>
            </a:pPr>
            <a:endParaRPr lang="en-US"/>
          </a:p>
        </c:txPr>
        <c:crossAx val="197843584"/>
        <c:crosses val="autoZero"/>
        <c:crossBetween val="between"/>
      </c:valAx>
      <c:valAx>
        <c:axId val="197851776"/>
        <c:scaling>
          <c:orientation val="minMax"/>
          <c:max val="80"/>
        </c:scaling>
        <c:delete val="0"/>
        <c:axPos val="r"/>
        <c:title>
          <c:tx>
            <c:rich>
              <a:bodyPr rot="5400000" vert="horz"/>
              <a:lstStyle/>
              <a:p>
                <a:pPr>
                  <a:defRPr sz="900" b="0"/>
                </a:pPr>
                <a:r>
                  <a:rPr lang="en-AU" sz="900" b="1"/>
                  <a:t>Number of workers (000s)</a:t>
                </a:r>
              </a:p>
            </c:rich>
          </c:tx>
          <c:layout>
            <c:manualLayout>
              <c:xMode val="edge"/>
              <c:yMode val="edge"/>
              <c:x val="0.97005418426060275"/>
              <c:y val="0.27728009446972612"/>
            </c:manualLayout>
          </c:layout>
          <c:overlay val="0"/>
        </c:title>
        <c:numFmt formatCode="#,##0" sourceLinked="0"/>
        <c:majorTickMark val="out"/>
        <c:minorTickMark val="none"/>
        <c:tickLblPos val="nextTo"/>
        <c:spPr>
          <a:ln>
            <a:solidFill>
              <a:schemeClr val="tx1"/>
            </a:solidFill>
          </a:ln>
        </c:spPr>
        <c:txPr>
          <a:bodyPr/>
          <a:lstStyle/>
          <a:p>
            <a:pPr>
              <a:defRPr sz="900"/>
            </a:pPr>
            <a:endParaRPr lang="en-US"/>
          </a:p>
        </c:txPr>
        <c:crossAx val="197853952"/>
        <c:crosses val="max"/>
        <c:crossBetween val="between"/>
      </c:valAx>
      <c:catAx>
        <c:axId val="197853952"/>
        <c:scaling>
          <c:orientation val="minMax"/>
        </c:scaling>
        <c:delete val="1"/>
        <c:axPos val="b"/>
        <c:majorTickMark val="out"/>
        <c:minorTickMark val="none"/>
        <c:tickLblPos val="nextTo"/>
        <c:crossAx val="197851776"/>
        <c:crosses val="autoZero"/>
        <c:auto val="1"/>
        <c:lblAlgn val="ctr"/>
        <c:lblOffset val="100"/>
        <c:noMultiLvlLbl val="0"/>
      </c:catAx>
      <c:spPr>
        <a:ln>
          <a:solidFill>
            <a:sysClr val="windowText" lastClr="000000"/>
          </a:solidFill>
        </a:ln>
      </c:spPr>
    </c:plotArea>
    <c:legend>
      <c:legendPos val="t"/>
      <c:layout>
        <c:manualLayout>
          <c:xMode val="edge"/>
          <c:yMode val="edge"/>
          <c:x val="0.10522938153857528"/>
          <c:y val="0"/>
          <c:w val="0.7895739529037743"/>
          <c:h val="0.1383411839145107"/>
        </c:manualLayout>
      </c:layout>
      <c:overlay val="0"/>
      <c:spPr>
        <a:ln>
          <a:noFill/>
        </a:ln>
      </c:spPr>
      <c:txPr>
        <a:bodyPr/>
        <a:lstStyle/>
        <a:p>
          <a:pPr>
            <a:defRPr sz="900"/>
          </a:pPr>
          <a:endParaRPr lang="en-US"/>
        </a:p>
      </c:txPr>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Arial" pitchFamily="34" charset="0"/>
                <a:cs typeface="Arial" pitchFamily="34" charset="0"/>
              </a:defRPr>
            </a:pPr>
            <a:r>
              <a:rPr lang="en-AU" sz="900">
                <a:latin typeface="Arial" pitchFamily="34" charset="0"/>
                <a:cs typeface="Arial" pitchFamily="34" charset="0"/>
              </a:rPr>
              <a:t>Casual employment</a:t>
            </a:r>
            <a:r>
              <a:rPr lang="en-AU" sz="1100" b="1" i="0" u="none" strike="noStrike" baseline="30000">
                <a:effectLst/>
              </a:rPr>
              <a:t>b</a:t>
            </a:r>
            <a:endParaRPr lang="en-AU" sz="1100" baseline="30000">
              <a:latin typeface="Arial" pitchFamily="34" charset="0"/>
              <a:cs typeface="Arial" pitchFamily="34" charset="0"/>
            </a:endParaRPr>
          </a:p>
        </c:rich>
      </c:tx>
      <c:layout>
        <c:manualLayout>
          <c:xMode val="edge"/>
          <c:yMode val="edge"/>
          <c:x val="0.40019429322516309"/>
          <c:y val="0.19622266537831595"/>
        </c:manualLayout>
      </c:layout>
      <c:overlay val="1"/>
    </c:title>
    <c:autoTitleDeleted val="0"/>
    <c:plotArea>
      <c:layout>
        <c:manualLayout>
          <c:layoutTarget val="inner"/>
          <c:xMode val="edge"/>
          <c:yMode val="edge"/>
          <c:x val="0.10180185185185185"/>
          <c:y val="0.19331806298812518"/>
          <c:w val="0.89114259259259254"/>
          <c:h val="0.5816765418541312"/>
        </c:manualLayout>
      </c:layout>
      <c:barChart>
        <c:barDir val="col"/>
        <c:grouping val="clustered"/>
        <c:varyColors val="0"/>
        <c:ser>
          <c:idx val="0"/>
          <c:order val="0"/>
          <c:tx>
            <c:strRef>
              <c:f>Sheet1!$B$5</c:f>
              <c:strCache>
                <c:ptCount val="1"/>
                <c:pt idx="0">
                  <c:v>Average 2001–2004</c:v>
                </c:pt>
              </c:strCache>
            </c:strRef>
          </c:tx>
          <c:spPr>
            <a:solidFill>
              <a:srgbClr val="344893"/>
            </a:solidFill>
            <a:ln>
              <a:solidFill>
                <a:srgbClr val="344893"/>
              </a:solidFill>
            </a:ln>
          </c:spPr>
          <c:invertIfNegative val="0"/>
          <c:cat>
            <c:strRef>
              <c:f>Sheet1!$A$6:$A$13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Sheet1!$B$6:$B$13</c:f>
              <c:numCache>
                <c:formatCode>0.00</c:formatCode>
                <c:ptCount val="8"/>
                <c:pt idx="0">
                  <c:v>53.493492339398593</c:v>
                </c:pt>
                <c:pt idx="1">
                  <c:v>14.232973922761566</c:v>
                </c:pt>
                <c:pt idx="2">
                  <c:v>20.801318705558952</c:v>
                </c:pt>
                <c:pt idx="3">
                  <c:v>25.866594541081028</c:v>
                </c:pt>
                <c:pt idx="4">
                  <c:v>33.420179389107375</c:v>
                </c:pt>
                <c:pt idx="5">
                  <c:v>20.97581430535833</c:v>
                </c:pt>
                <c:pt idx="6">
                  <c:v>17.485116245630238</c:v>
                </c:pt>
                <c:pt idx="7">
                  <c:v>51.146733126483156</c:v>
                </c:pt>
              </c:numCache>
            </c:numRef>
          </c:val>
        </c:ser>
        <c:ser>
          <c:idx val="1"/>
          <c:order val="1"/>
          <c:tx>
            <c:strRef>
              <c:f>Sheet1!$C$5</c:f>
              <c:strCache>
                <c:ptCount val="1"/>
                <c:pt idx="0">
                  <c:v>Average 2005–2007</c:v>
                </c:pt>
              </c:strCache>
            </c:strRef>
          </c:tx>
          <c:spPr>
            <a:pattFill prst="pct60">
              <a:fgClr>
                <a:srgbClr val="B4C98B"/>
              </a:fgClr>
              <a:bgClr>
                <a:sysClr val="window" lastClr="FFFFFF"/>
              </a:bgClr>
            </a:pattFill>
            <a:ln>
              <a:solidFill>
                <a:srgbClr val="B4C98B"/>
              </a:solidFill>
            </a:ln>
          </c:spPr>
          <c:invertIfNegative val="0"/>
          <c:cat>
            <c:strRef>
              <c:f>Sheet1!$A$6:$A$13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Sheet1!$C$6:$C$13</c:f>
              <c:numCache>
                <c:formatCode>0.00</c:formatCode>
                <c:ptCount val="8"/>
                <c:pt idx="0">
                  <c:v>48.147173495409589</c:v>
                </c:pt>
                <c:pt idx="1">
                  <c:v>8.6995753125721169</c:v>
                </c:pt>
                <c:pt idx="2">
                  <c:v>15.155103084745136</c:v>
                </c:pt>
                <c:pt idx="3">
                  <c:v>25.337325477251841</c:v>
                </c:pt>
                <c:pt idx="4">
                  <c:v>33.381336257939601</c:v>
                </c:pt>
                <c:pt idx="5">
                  <c:v>19.663709811915396</c:v>
                </c:pt>
                <c:pt idx="6">
                  <c:v>16.07978714101408</c:v>
                </c:pt>
                <c:pt idx="7">
                  <c:v>48.863145279942209</c:v>
                </c:pt>
              </c:numCache>
            </c:numRef>
          </c:val>
        </c:ser>
        <c:ser>
          <c:idx val="2"/>
          <c:order val="2"/>
          <c:tx>
            <c:strRef>
              <c:f>Sheet1!$D$5</c:f>
              <c:strCache>
                <c:ptCount val="1"/>
                <c:pt idx="0">
                  <c:v>Average 2008–2010</c:v>
                </c:pt>
              </c:strCache>
            </c:strRef>
          </c:tx>
          <c:spPr>
            <a:pattFill prst="zigZag">
              <a:fgClr>
                <a:srgbClr val="7B905A"/>
              </a:fgClr>
              <a:bgClr>
                <a:sysClr val="window" lastClr="FFFFFF"/>
              </a:bgClr>
            </a:pattFill>
            <a:ln>
              <a:solidFill>
                <a:srgbClr val="7B905A"/>
              </a:solidFill>
            </a:ln>
          </c:spPr>
          <c:invertIfNegative val="0"/>
          <c:cat>
            <c:strRef>
              <c:f>Sheet1!$A$6:$A$13</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Sheet1!$D$6:$D$13</c:f>
              <c:numCache>
                <c:formatCode>0.00</c:formatCode>
                <c:ptCount val="8"/>
                <c:pt idx="0">
                  <c:v>50.731833572331446</c:v>
                </c:pt>
                <c:pt idx="1">
                  <c:v>9.5675374218822746</c:v>
                </c:pt>
                <c:pt idx="2">
                  <c:v>14.089824432156226</c:v>
                </c:pt>
                <c:pt idx="3">
                  <c:v>22.446127524094862</c:v>
                </c:pt>
                <c:pt idx="4">
                  <c:v>31.207344496717472</c:v>
                </c:pt>
                <c:pt idx="5">
                  <c:v>17.878548867304506</c:v>
                </c:pt>
                <c:pt idx="6">
                  <c:v>14.495703438982082</c:v>
                </c:pt>
                <c:pt idx="7">
                  <c:v>52.171274502898662</c:v>
                </c:pt>
              </c:numCache>
            </c:numRef>
          </c:val>
        </c:ser>
        <c:dLbls>
          <c:showLegendKey val="0"/>
          <c:showVal val="0"/>
          <c:showCatName val="0"/>
          <c:showSerName val="0"/>
          <c:showPercent val="0"/>
          <c:showBubbleSize val="0"/>
        </c:dLbls>
        <c:gapWidth val="100"/>
        <c:axId val="197896064"/>
        <c:axId val="197897600"/>
      </c:barChart>
      <c:catAx>
        <c:axId val="197896064"/>
        <c:scaling>
          <c:orientation val="minMax"/>
        </c:scaling>
        <c:delete val="0"/>
        <c:axPos val="b"/>
        <c:majorTickMark val="out"/>
        <c:minorTickMark val="none"/>
        <c:tickLblPos val="nextTo"/>
        <c:spPr>
          <a:ln>
            <a:solidFill>
              <a:schemeClr val="tx1">
                <a:lumMod val="85000"/>
                <a:lumOff val="15000"/>
              </a:schemeClr>
            </a:solidFill>
          </a:ln>
        </c:spPr>
        <c:txPr>
          <a:bodyPr/>
          <a:lstStyle/>
          <a:p>
            <a:pPr>
              <a:defRPr sz="800">
                <a:latin typeface="Arial" pitchFamily="34" charset="0"/>
                <a:cs typeface="Arial" pitchFamily="34" charset="0"/>
              </a:defRPr>
            </a:pPr>
            <a:endParaRPr lang="en-US"/>
          </a:p>
        </c:txPr>
        <c:crossAx val="197897600"/>
        <c:crosses val="autoZero"/>
        <c:auto val="1"/>
        <c:lblAlgn val="ctr"/>
        <c:lblOffset val="100"/>
        <c:noMultiLvlLbl val="0"/>
      </c:catAx>
      <c:valAx>
        <c:axId val="197897600"/>
        <c:scaling>
          <c:orientation val="minMax"/>
          <c:max val="80"/>
        </c:scaling>
        <c:delete val="0"/>
        <c:axPos val="l"/>
        <c:majorGridlines>
          <c:spPr>
            <a:ln>
              <a:solidFill>
                <a:sysClr val="window" lastClr="FFFFFF">
                  <a:lumMod val="50000"/>
                </a:sysClr>
              </a:solidFill>
              <a:prstDash val="solid"/>
            </a:ln>
          </c:spPr>
        </c:majorGridlines>
        <c:title>
          <c:tx>
            <c:rich>
              <a:bodyPr rot="-5400000" vert="horz"/>
              <a:lstStyle/>
              <a:p>
                <a:pPr>
                  <a:defRPr sz="900">
                    <a:latin typeface="Arial" pitchFamily="34" charset="0"/>
                    <a:cs typeface="Arial" pitchFamily="34" charset="0"/>
                  </a:defRPr>
                </a:pPr>
                <a:r>
                  <a:rPr lang="en-US" sz="900" b="1">
                    <a:latin typeface="Arial" pitchFamily="34" charset="0"/>
                    <a:cs typeface="Arial" pitchFamily="34" charset="0"/>
                  </a:rPr>
                  <a:t>Per cent</a:t>
                </a:r>
                <a:endParaRPr lang="en-US" sz="900" b="0">
                  <a:latin typeface="Arial" pitchFamily="34" charset="0"/>
                  <a:cs typeface="Arial" pitchFamily="34" charset="0"/>
                </a:endParaRPr>
              </a:p>
            </c:rich>
          </c:tx>
          <c:layout>
            <c:manualLayout>
              <c:xMode val="edge"/>
              <c:yMode val="edge"/>
              <c:x val="1.7303703703703704E-3"/>
              <c:y val="0.29156354930699752"/>
            </c:manualLayout>
          </c:layout>
          <c:overlay val="0"/>
        </c:title>
        <c:numFmt formatCode="0" sourceLinked="0"/>
        <c:majorTickMark val="out"/>
        <c:minorTickMark val="none"/>
        <c:tickLblPos val="nextTo"/>
        <c:spPr>
          <a:ln>
            <a:solidFill>
              <a:schemeClr val="tx1">
                <a:lumMod val="75000"/>
                <a:lumOff val="25000"/>
              </a:schemeClr>
            </a:solidFill>
          </a:ln>
        </c:spPr>
        <c:txPr>
          <a:bodyPr/>
          <a:lstStyle/>
          <a:p>
            <a:pPr>
              <a:defRPr>
                <a:latin typeface="Arial" pitchFamily="34" charset="0"/>
                <a:cs typeface="Arial" pitchFamily="34" charset="0"/>
              </a:defRPr>
            </a:pPr>
            <a:endParaRPr lang="en-US"/>
          </a:p>
        </c:txPr>
        <c:crossAx val="197896064"/>
        <c:crosses val="autoZero"/>
        <c:crossBetween val="between"/>
        <c:majorUnit val="20"/>
      </c:valAx>
      <c:spPr>
        <a:ln>
          <a:solidFill>
            <a:schemeClr val="tx1"/>
          </a:solidFill>
        </a:ln>
      </c:spPr>
    </c:plotArea>
    <c:legend>
      <c:legendPos val="t"/>
      <c:layout>
        <c:manualLayout>
          <c:xMode val="edge"/>
          <c:yMode val="edge"/>
          <c:x val="0.16495716349290618"/>
          <c:y val="0"/>
          <c:w val="0.74260343904189974"/>
          <c:h val="0.11612191399702491"/>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Arial" pitchFamily="34" charset="0"/>
                <a:cs typeface="Arial" pitchFamily="34" charset="0"/>
              </a:defRPr>
            </a:pPr>
            <a:r>
              <a:rPr lang="en-AU" sz="900">
                <a:latin typeface="Arial" pitchFamily="34" charset="0"/>
                <a:cs typeface="Arial" pitchFamily="34" charset="0"/>
              </a:rPr>
              <a:t>Part-time employment</a:t>
            </a:r>
            <a:r>
              <a:rPr lang="en-AU" sz="1100" b="1" i="0" u="none" strike="noStrike" baseline="30000">
                <a:effectLst/>
                <a:latin typeface="Arial" pitchFamily="34" charset="0"/>
                <a:cs typeface="Arial" pitchFamily="34" charset="0"/>
              </a:rPr>
              <a:t>c</a:t>
            </a:r>
            <a:endParaRPr lang="en-AU" sz="1100" baseline="30000">
              <a:latin typeface="Arial" pitchFamily="34" charset="0"/>
              <a:cs typeface="Arial" pitchFamily="34" charset="0"/>
            </a:endParaRPr>
          </a:p>
        </c:rich>
      </c:tx>
      <c:layout>
        <c:manualLayout>
          <c:xMode val="edge"/>
          <c:yMode val="edge"/>
          <c:x val="0.40196907407407406"/>
          <c:y val="5.2748062015503888E-2"/>
        </c:manualLayout>
      </c:layout>
      <c:overlay val="1"/>
    </c:title>
    <c:autoTitleDeleted val="0"/>
    <c:plotArea>
      <c:layout>
        <c:manualLayout>
          <c:layoutTarget val="inner"/>
          <c:xMode val="edge"/>
          <c:yMode val="edge"/>
          <c:x val="0.10180185185185185"/>
          <c:y val="4.535714285714286E-2"/>
          <c:w val="0.89114259259259254"/>
          <c:h val="0.72963707729468597"/>
        </c:manualLayout>
      </c:layout>
      <c:barChart>
        <c:barDir val="col"/>
        <c:grouping val="clustered"/>
        <c:varyColors val="0"/>
        <c:ser>
          <c:idx val="0"/>
          <c:order val="0"/>
          <c:spPr>
            <a:solidFill>
              <a:srgbClr val="344893"/>
            </a:solidFill>
            <a:ln>
              <a:solidFill>
                <a:srgbClr val="344893"/>
              </a:solidFill>
            </a:ln>
          </c:spPr>
          <c:invertIfNegative val="0"/>
          <c:cat>
            <c:strRef>
              <c:f>Sheet1!$A$21:$A$28</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Sheet1!$B$21:$B$28</c:f>
              <c:numCache>
                <c:formatCode>General</c:formatCode>
                <c:ptCount val="8"/>
                <c:pt idx="0">
                  <c:v>19.129631358343772</c:v>
                </c:pt>
                <c:pt idx="1">
                  <c:v>2.8094468786270363</c:v>
                </c:pt>
                <c:pt idx="2">
                  <c:v>9.8655735724652072</c:v>
                </c:pt>
                <c:pt idx="3">
                  <c:v>10.454701152726944</c:v>
                </c:pt>
                <c:pt idx="4">
                  <c:v>26.775642268750438</c:v>
                </c:pt>
                <c:pt idx="5">
                  <c:v>20.446238037624951</c:v>
                </c:pt>
                <c:pt idx="6">
                  <c:v>28.866666707810605</c:v>
                </c:pt>
                <c:pt idx="7">
                  <c:v>37.531417432810258</c:v>
                </c:pt>
              </c:numCache>
            </c:numRef>
          </c:val>
        </c:ser>
        <c:ser>
          <c:idx val="1"/>
          <c:order val="1"/>
          <c:spPr>
            <a:pattFill prst="pct60">
              <a:fgClr>
                <a:srgbClr val="B4C98B"/>
              </a:fgClr>
              <a:bgClr>
                <a:sysClr val="window" lastClr="FFFFFF"/>
              </a:bgClr>
            </a:pattFill>
            <a:ln>
              <a:solidFill>
                <a:srgbClr val="B4C98B"/>
              </a:solidFill>
            </a:ln>
          </c:spPr>
          <c:invertIfNegative val="0"/>
          <c:cat>
            <c:strRef>
              <c:f>Sheet1!$A$21:$A$28</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Sheet1!$C$21:$C$28</c:f>
              <c:numCache>
                <c:formatCode>General</c:formatCode>
                <c:ptCount val="8"/>
                <c:pt idx="0">
                  <c:v>17.795773124030148</c:v>
                </c:pt>
                <c:pt idx="1">
                  <c:v>3.8300410030095322</c:v>
                </c:pt>
                <c:pt idx="2">
                  <c:v>9.0843276419936796</c:v>
                </c:pt>
                <c:pt idx="3">
                  <c:v>10.663958858833267</c:v>
                </c:pt>
                <c:pt idx="4">
                  <c:v>28.010964739838951</c:v>
                </c:pt>
                <c:pt idx="5">
                  <c:v>20.803431216415152</c:v>
                </c:pt>
                <c:pt idx="6">
                  <c:v>29.813664557661195</c:v>
                </c:pt>
                <c:pt idx="7">
                  <c:v>35.464481406190288</c:v>
                </c:pt>
              </c:numCache>
            </c:numRef>
          </c:val>
        </c:ser>
        <c:ser>
          <c:idx val="2"/>
          <c:order val="2"/>
          <c:spPr>
            <a:pattFill prst="zigZag">
              <a:fgClr>
                <a:srgbClr val="7B905A"/>
              </a:fgClr>
              <a:bgClr>
                <a:sysClr val="window" lastClr="FFFFFF"/>
              </a:bgClr>
            </a:pattFill>
            <a:ln>
              <a:solidFill>
                <a:srgbClr val="7B905A"/>
              </a:solidFill>
            </a:ln>
          </c:spPr>
          <c:invertIfNegative val="0"/>
          <c:cat>
            <c:strRef>
              <c:f>Sheet1!$A$21:$A$28</c:f>
              <c:strCache>
                <c:ptCount val="8"/>
                <c:pt idx="0">
                  <c:v>Agriculture</c:v>
                </c:pt>
                <c:pt idx="1">
                  <c:v>Mining</c:v>
                </c:pt>
                <c:pt idx="2">
                  <c:v>Manufac-
turing</c:v>
                </c:pt>
                <c:pt idx="3">
                  <c:v>Utilities/
Construction</c:v>
                </c:pt>
                <c:pt idx="4">
                  <c:v>Distribution 
services</c:v>
                </c:pt>
                <c:pt idx="5">
                  <c:v>Business
services</c:v>
                </c:pt>
                <c:pt idx="6">
                  <c:v>Social
services</c:v>
                </c:pt>
                <c:pt idx="7">
                  <c:v>Personal
services</c:v>
                </c:pt>
              </c:strCache>
            </c:strRef>
          </c:cat>
          <c:val>
            <c:numRef>
              <c:f>Sheet1!$D$21:$D$28</c:f>
              <c:numCache>
                <c:formatCode>General</c:formatCode>
                <c:ptCount val="8"/>
                <c:pt idx="0">
                  <c:v>19.114938743019209</c:v>
                </c:pt>
                <c:pt idx="1">
                  <c:v>4.7424885064766329</c:v>
                </c:pt>
                <c:pt idx="2">
                  <c:v>9.5475888691572095</c:v>
                </c:pt>
                <c:pt idx="3">
                  <c:v>8.450846988543395</c:v>
                </c:pt>
                <c:pt idx="4">
                  <c:v>27.866487362479585</c:v>
                </c:pt>
                <c:pt idx="5">
                  <c:v>19.83041506344388</c:v>
                </c:pt>
                <c:pt idx="6">
                  <c:v>28.611353187280887</c:v>
                </c:pt>
                <c:pt idx="7">
                  <c:v>39.410315861147495</c:v>
                </c:pt>
              </c:numCache>
            </c:numRef>
          </c:val>
        </c:ser>
        <c:dLbls>
          <c:showLegendKey val="0"/>
          <c:showVal val="0"/>
          <c:showCatName val="0"/>
          <c:showSerName val="0"/>
          <c:showPercent val="0"/>
          <c:showBubbleSize val="0"/>
        </c:dLbls>
        <c:gapWidth val="100"/>
        <c:axId val="35808768"/>
        <c:axId val="35810304"/>
      </c:barChart>
      <c:catAx>
        <c:axId val="35808768"/>
        <c:scaling>
          <c:orientation val="minMax"/>
        </c:scaling>
        <c:delete val="0"/>
        <c:axPos val="b"/>
        <c:majorTickMark val="out"/>
        <c:minorTickMark val="none"/>
        <c:tickLblPos val="nextTo"/>
        <c:spPr>
          <a:ln>
            <a:solidFill>
              <a:schemeClr val="tx1">
                <a:lumMod val="85000"/>
                <a:lumOff val="15000"/>
              </a:schemeClr>
            </a:solidFill>
          </a:ln>
        </c:spPr>
        <c:txPr>
          <a:bodyPr/>
          <a:lstStyle/>
          <a:p>
            <a:pPr>
              <a:defRPr sz="800">
                <a:latin typeface="Arial" pitchFamily="34" charset="0"/>
                <a:cs typeface="Arial" pitchFamily="34" charset="0"/>
              </a:defRPr>
            </a:pPr>
            <a:endParaRPr lang="en-US"/>
          </a:p>
        </c:txPr>
        <c:crossAx val="35810304"/>
        <c:crosses val="autoZero"/>
        <c:auto val="1"/>
        <c:lblAlgn val="ctr"/>
        <c:lblOffset val="100"/>
        <c:noMultiLvlLbl val="0"/>
      </c:catAx>
      <c:valAx>
        <c:axId val="35810304"/>
        <c:scaling>
          <c:orientation val="minMax"/>
          <c:max val="80"/>
        </c:scaling>
        <c:delete val="0"/>
        <c:axPos val="l"/>
        <c:majorGridlines>
          <c:spPr>
            <a:ln>
              <a:solidFill>
                <a:sysClr val="window" lastClr="FFFFFF">
                  <a:lumMod val="50000"/>
                </a:sysClr>
              </a:solidFill>
              <a:prstDash val="solid"/>
            </a:ln>
          </c:spPr>
        </c:majorGridlines>
        <c:title>
          <c:tx>
            <c:rich>
              <a:bodyPr rot="-5400000" vert="horz"/>
              <a:lstStyle/>
              <a:p>
                <a:pPr>
                  <a:defRPr sz="900">
                    <a:latin typeface="Arial" pitchFamily="34" charset="0"/>
                    <a:cs typeface="Arial" pitchFamily="34" charset="0"/>
                  </a:defRPr>
                </a:pPr>
                <a:r>
                  <a:rPr lang="en-US" sz="900" b="1">
                    <a:latin typeface="Arial" pitchFamily="34" charset="0"/>
                    <a:cs typeface="Arial" pitchFamily="34" charset="0"/>
                  </a:rPr>
                  <a:t>Per cent</a:t>
                </a:r>
                <a:endParaRPr lang="en-US" sz="900" b="0">
                  <a:latin typeface="Arial" pitchFamily="34" charset="0"/>
                  <a:cs typeface="Arial" pitchFamily="34" charset="0"/>
                </a:endParaRPr>
              </a:p>
            </c:rich>
          </c:tx>
          <c:layout>
            <c:manualLayout>
              <c:xMode val="edge"/>
              <c:yMode val="edge"/>
              <c:x val="1.7303906723198062E-3"/>
              <c:y val="0.1575151044263797"/>
            </c:manualLayout>
          </c:layout>
          <c:overlay val="0"/>
        </c:title>
        <c:numFmt formatCode="0" sourceLinked="0"/>
        <c:majorTickMark val="out"/>
        <c:minorTickMark val="none"/>
        <c:tickLblPos val="nextTo"/>
        <c:spPr>
          <a:ln>
            <a:solidFill>
              <a:schemeClr val="tx1">
                <a:lumMod val="75000"/>
                <a:lumOff val="25000"/>
              </a:schemeClr>
            </a:solidFill>
          </a:ln>
        </c:spPr>
        <c:txPr>
          <a:bodyPr/>
          <a:lstStyle/>
          <a:p>
            <a:pPr>
              <a:defRPr sz="900">
                <a:latin typeface="Arial" pitchFamily="34" charset="0"/>
                <a:cs typeface="Arial" pitchFamily="34" charset="0"/>
              </a:defRPr>
            </a:pPr>
            <a:endParaRPr lang="en-US"/>
          </a:p>
        </c:txPr>
        <c:crossAx val="35808768"/>
        <c:crosses val="autoZero"/>
        <c:crossBetween val="between"/>
        <c:majorUnit val="20"/>
      </c:valAx>
      <c:spPr>
        <a:ln>
          <a:solidFill>
            <a:schemeClr val="tx1"/>
          </a:solidFill>
        </a:ln>
      </c:spPr>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171FB-0EDF-48F1-8745-DEF74B1E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30</Pages>
  <Words>8822</Words>
  <Characters>48755</Characters>
  <Application>Microsoft Office Word</Application>
  <DocSecurity>0</DocSecurity>
  <Lines>790</Lines>
  <Paragraphs>169</Paragraphs>
  <ScaleCrop>false</ScaleCrop>
  <HeadingPairs>
    <vt:vector size="2" baseType="variant">
      <vt:variant>
        <vt:lpstr>Title</vt:lpstr>
      </vt:variant>
      <vt:variant>
        <vt:i4>1</vt:i4>
      </vt:variant>
    </vt:vector>
  </HeadingPairs>
  <TitlesOfParts>
    <vt:vector size="1" baseType="lpstr">
      <vt:lpstr>Trends in labour adjustment</vt:lpstr>
    </vt:vector>
  </TitlesOfParts>
  <Company>Productivity Commission</Company>
  <LinksUpToDate>false</LinksUpToDate>
  <CharactersWithSpaces>57482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in labour adjustment</dc:title>
  <dc:subject>looking back on structural change</dc:subject>
  <dc:creator>Productivity Commission</dc:creator>
  <dc:description>5.</dc:description>
  <cp:lastModifiedBy>Productivity Commission</cp:lastModifiedBy>
  <cp:revision>2</cp:revision>
  <cp:lastPrinted>2013-10-07T23:33:00Z</cp:lastPrinted>
  <dcterms:created xsi:type="dcterms:W3CDTF">2014-02-18T23:30:00Z</dcterms:created>
  <dcterms:modified xsi:type="dcterms:W3CDTF">2014-02-18T23:30:00Z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