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theme/themeOverride1.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Pr="00E91821" w:rsidRDefault="00C01EE1" w:rsidP="00687526">
      <w:pPr>
        <w:pStyle w:val="Chapter"/>
        <w:spacing w:before="0"/>
        <w:ind w:left="907" w:hanging="907"/>
      </w:pPr>
      <w:bookmarkStart w:id="0" w:name="_AppendixNotByChapter"/>
      <w:bookmarkStart w:id="1" w:name="ChapterNumber"/>
      <w:bookmarkStart w:id="2" w:name="_GoBack"/>
      <w:bookmarkEnd w:id="0"/>
      <w:bookmarkEnd w:id="2"/>
      <w:r>
        <w:t>B</w:t>
      </w:r>
      <w:bookmarkEnd w:id="1"/>
      <w:r>
        <w:tab/>
      </w:r>
      <w:bookmarkStart w:id="3" w:name="ChapterTitle"/>
      <w:r>
        <w:t>Structural change indexes</w:t>
      </w:r>
      <w:bookmarkEnd w:id="3"/>
    </w:p>
    <w:p w:rsidR="00DB26D2" w:rsidRDefault="00C01EE1" w:rsidP="00201464">
      <w:pPr>
        <w:pStyle w:val="Heading2"/>
      </w:pPr>
      <w:bookmarkStart w:id="4" w:name="begin"/>
      <w:bookmarkEnd w:id="4"/>
      <w:r>
        <w:t>B.</w:t>
      </w:r>
      <w:r>
        <w:rPr>
          <w:noProof/>
        </w:rPr>
        <w:t>1</w:t>
      </w:r>
      <w:r w:rsidR="00201464">
        <w:tab/>
        <w:t>Calculation</w:t>
      </w:r>
    </w:p>
    <w:p w:rsidR="00D71941" w:rsidRDefault="00D71941" w:rsidP="00D71941">
      <w:pPr>
        <w:pStyle w:val="BodyText"/>
      </w:pPr>
      <w:r>
        <w:t xml:space="preserve">Structural change </w:t>
      </w:r>
      <w:r w:rsidR="00E13F7D">
        <w:t xml:space="preserve">indexes </w:t>
      </w:r>
      <w:r>
        <w:t xml:space="preserve">(SCIs) are used throughout this report to </w:t>
      </w:r>
      <w:r w:rsidR="00E13F7D">
        <w:t xml:space="preserve">measure </w:t>
      </w:r>
      <w:r>
        <w:t xml:space="preserve">the extent of change in the sectoral composition of the economy as a whole. The SCIs </w:t>
      </w:r>
      <w:r w:rsidR="00687526">
        <w:t xml:space="preserve">summarise </w:t>
      </w:r>
      <w:r>
        <w:t>information about changes in the dis</w:t>
      </w:r>
      <w:r w:rsidR="003611D8">
        <w:t>tribution of economic activity ― </w:t>
      </w:r>
      <w:r>
        <w:t>usually output or employment — into a single indicator. This means</w:t>
      </w:r>
      <w:r w:rsidR="00E13F7D">
        <w:t>, on the one hand,</w:t>
      </w:r>
      <w:r>
        <w:t xml:space="preserve"> </w:t>
      </w:r>
      <w:r w:rsidR="00707A2B">
        <w:t xml:space="preserve">that </w:t>
      </w:r>
      <w:r>
        <w:t xml:space="preserve">changes in disaggregated output or employment </w:t>
      </w:r>
      <w:r w:rsidR="00687526">
        <w:t xml:space="preserve">share </w:t>
      </w:r>
      <w:r>
        <w:t xml:space="preserve">data can be presented in a </w:t>
      </w:r>
      <w:r w:rsidR="00707A2B">
        <w:t xml:space="preserve">convenient </w:t>
      </w:r>
      <w:r>
        <w:t xml:space="preserve">and readily interpretable manner. </w:t>
      </w:r>
      <w:r w:rsidR="00E13F7D">
        <w:t>On the other hand</w:t>
      </w:r>
      <w:r>
        <w:t xml:space="preserve">, SCIs do not make use of all the information available — </w:t>
      </w:r>
      <w:r w:rsidR="00E13F7D">
        <w:t xml:space="preserve">for example, </w:t>
      </w:r>
      <w:r>
        <w:t xml:space="preserve">they provide no information about </w:t>
      </w:r>
      <w:r w:rsidR="00707A2B">
        <w:t>within</w:t>
      </w:r>
      <w:r w:rsidR="005C45BF">
        <w:noBreakHyphen/>
      </w:r>
      <w:r>
        <w:t xml:space="preserve">sector change or changes in the </w:t>
      </w:r>
      <w:r w:rsidRPr="00707A2B">
        <w:rPr>
          <w:i/>
        </w:rPr>
        <w:t>level</w:t>
      </w:r>
      <w:r>
        <w:t xml:space="preserve"> of output or employment.</w:t>
      </w:r>
    </w:p>
    <w:p w:rsidR="00D71941" w:rsidRDefault="00D71941" w:rsidP="00D71941">
      <w:pPr>
        <w:pStyle w:val="BodyText"/>
      </w:pPr>
      <w:r>
        <w:t>A</w:t>
      </w:r>
      <w:r w:rsidR="00707A2B">
        <w:t>n</w:t>
      </w:r>
      <w:r>
        <w:t xml:space="preserve"> SCI may be thought of as the total number of percentage points of economic activity that </w:t>
      </w:r>
      <w:r w:rsidR="00E13F7D">
        <w:t xml:space="preserve">has </w:t>
      </w:r>
      <w:r>
        <w:t>‘moved’ sectors</w:t>
      </w:r>
      <w:r w:rsidR="008E641B">
        <w:t xml:space="preserve"> (broad industry groupings)</w:t>
      </w:r>
      <w:r>
        <w:t xml:space="preserve"> within a </w:t>
      </w:r>
      <w:r w:rsidR="00707A2B">
        <w:t xml:space="preserve">given </w:t>
      </w:r>
      <w:r>
        <w:t xml:space="preserve">period. The SCI is calculated by halving the sum of </w:t>
      </w:r>
      <w:r w:rsidR="00E13F7D">
        <w:t xml:space="preserve">the </w:t>
      </w:r>
      <w:r>
        <w:t>absolute value of the changes in the share of economic activity of each sector, in percentage points</w:t>
      </w:r>
      <w:r w:rsidR="00E13F7D">
        <w:t xml:space="preserve"> (equation 1)</w:t>
      </w:r>
      <w:r>
        <w:t xml:space="preserve">. The absolute value of changes is used to ensure that positive and negative changes </w:t>
      </w:r>
      <w:r w:rsidR="00E13F7D">
        <w:t xml:space="preserve">in </w:t>
      </w:r>
      <w:r>
        <w:t>shares do not cancel each other out. The total is divided by two so as to avoid counting the same shifts twice.</w:t>
      </w:r>
    </w:p>
    <w:p w:rsidR="00D71941" w:rsidRPr="007B60C1" w:rsidRDefault="00BC2FF2" w:rsidP="00E13F7D">
      <w:pPr>
        <w:pStyle w:val="BodyText"/>
        <w:tabs>
          <w:tab w:val="right" w:pos="8789"/>
        </w:tabs>
      </w:pPr>
      <w:r>
        <w:rPr>
          <w:rStyle w:val="Emphasi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The value of the structural change index in time t is equal to half of the sum of the absolute values of the differences in percentage share of employment sector i in time t and in time t-1." style="width:103.5pt;height:34.5pt">
            <v:imagedata r:id="rId9" o:title=""/>
          </v:shape>
        </w:pict>
      </w:r>
      <w:r w:rsidR="00E13F7D">
        <w:rPr>
          <w:rStyle w:val="Emphasis"/>
          <w:position w:val="-28"/>
        </w:rPr>
        <w:tab/>
      </w:r>
      <w:r w:rsidR="00E13F7D" w:rsidRPr="00E13F7D">
        <w:rPr>
          <w:rStyle w:val="Emphasis"/>
          <w:i w:val="0"/>
        </w:rPr>
        <w:t>(1)</w:t>
      </w:r>
    </w:p>
    <w:p w:rsidR="00D71941" w:rsidRPr="00816FFD" w:rsidRDefault="00D71941" w:rsidP="00D71941">
      <w:pPr>
        <w:pStyle w:val="BodyText"/>
      </w:pPr>
      <w:r>
        <w:t xml:space="preserve">where </w:t>
      </w:r>
      <m:oMath>
        <m:sSub>
          <m:sSubPr>
            <m:ctrlPr>
              <w:rPr>
                <w:rFonts w:ascii="Cambria Math" w:hAnsi="Cambria Math"/>
                <w:i/>
              </w:rPr>
            </m:ctrlPr>
          </m:sSubPr>
          <m:e>
            <m:r>
              <w:rPr>
                <w:rFonts w:ascii="Cambria Math" w:hAnsi="Cambria Math"/>
              </w:rPr>
              <m:t>s</m:t>
            </m:r>
          </m:e>
          <m:sub>
            <m:r>
              <w:rPr>
                <w:rFonts w:ascii="Cambria Math" w:hAnsi="Cambria Math"/>
              </w:rPr>
              <m:t>it</m:t>
            </m:r>
          </m:sub>
        </m:sSub>
      </m:oMath>
      <w:r>
        <w:t xml:space="preserve"> is the</w:t>
      </w:r>
      <w:r w:rsidR="00E17CF2">
        <w:t xml:space="preserve"> percentage</w:t>
      </w:r>
      <w:r>
        <w:t xml:space="preserve"> </w:t>
      </w:r>
      <w:r w:rsidR="00E13F7D">
        <w:t xml:space="preserve">employment </w:t>
      </w:r>
      <w:r>
        <w:t xml:space="preserve">share of sector </w:t>
      </w:r>
      <w:r>
        <w:rPr>
          <w:i/>
        </w:rPr>
        <w:t xml:space="preserve">i </w:t>
      </w:r>
      <w:r>
        <w:t xml:space="preserve">in the economy at time </w:t>
      </w:r>
      <w:r>
        <w:rPr>
          <w:i/>
        </w:rPr>
        <w:t>t</w:t>
      </w:r>
    </w:p>
    <w:p w:rsidR="00D71941" w:rsidRDefault="00E13F7D" w:rsidP="00D71941">
      <w:pPr>
        <w:pStyle w:val="BodyText"/>
      </w:pPr>
      <w:r>
        <w:t xml:space="preserve">By construction, the </w:t>
      </w:r>
      <w:r w:rsidR="00D71941">
        <w:t xml:space="preserve">value of </w:t>
      </w:r>
      <w:r w:rsidR="00D71941" w:rsidRPr="00E05E6A">
        <w:rPr>
          <w:i/>
        </w:rPr>
        <w:t>SCI</w:t>
      </w:r>
      <w:r w:rsidR="00D71941" w:rsidRPr="00E05E6A">
        <w:rPr>
          <w:i/>
          <w:vertAlign w:val="subscript"/>
        </w:rPr>
        <w:t>t</w:t>
      </w:r>
      <w:r w:rsidR="00D71941">
        <w:t xml:space="preserve"> falls between zero and 100, with a value of zero representing no structural change between time </w:t>
      </w:r>
      <w:r w:rsidR="00D71941" w:rsidRPr="00E05E6A">
        <w:rPr>
          <w:i/>
        </w:rPr>
        <w:t>t</w:t>
      </w:r>
      <w:r w:rsidR="005C45BF">
        <w:rPr>
          <w:i/>
        </w:rPr>
        <w:noBreakHyphen/>
      </w:r>
      <w:r w:rsidR="00D71941" w:rsidRPr="00E05E6A">
        <w:rPr>
          <w:i/>
        </w:rPr>
        <w:t xml:space="preserve">1 </w:t>
      </w:r>
      <w:r w:rsidR="00D71941">
        <w:t xml:space="preserve">and time </w:t>
      </w:r>
      <w:r w:rsidR="00D71941" w:rsidRPr="00E05E6A">
        <w:rPr>
          <w:i/>
        </w:rPr>
        <w:t>t</w:t>
      </w:r>
      <w:r w:rsidR="00D71941">
        <w:t>, and a value of 100</w:t>
      </w:r>
      <w:r w:rsidR="00AF22B9">
        <w:t> </w:t>
      </w:r>
      <w:r w:rsidR="00D71941">
        <w:t xml:space="preserve">representing a complete </w:t>
      </w:r>
      <w:r w:rsidR="00707A2B">
        <w:t xml:space="preserve">change </w:t>
      </w:r>
      <w:r w:rsidR="00D71941">
        <w:t>in composition over that time.</w:t>
      </w:r>
    </w:p>
    <w:p w:rsidR="00201464" w:rsidRDefault="00D71941" w:rsidP="00D71941">
      <w:pPr>
        <w:pStyle w:val="BodyText"/>
      </w:pPr>
      <w:r>
        <w:t xml:space="preserve">Given the </w:t>
      </w:r>
      <w:r w:rsidR="00687526">
        <w:t>methodology underlying</w:t>
      </w:r>
      <w:r>
        <w:t xml:space="preserve"> SCIs, it is important that any comparison of SCI values use </w:t>
      </w:r>
      <w:r w:rsidR="00E074BA">
        <w:t xml:space="preserve">indexes </w:t>
      </w:r>
      <w:r>
        <w:t xml:space="preserve">that are calculated in the same way. </w:t>
      </w:r>
      <w:r w:rsidR="00707A2B">
        <w:t>This is because the formula above is</w:t>
      </w:r>
      <w:r>
        <w:t xml:space="preserve"> sensitive to both the level of industry or sector aggregation, and </w:t>
      </w:r>
      <w:r w:rsidR="00E17CF2">
        <w:t xml:space="preserve">the </w:t>
      </w:r>
      <w:r>
        <w:t>time period chosen for comparison.</w:t>
      </w:r>
    </w:p>
    <w:p w:rsidR="00201464" w:rsidRDefault="00201464" w:rsidP="007944A1">
      <w:pPr>
        <w:pStyle w:val="Heading3"/>
      </w:pPr>
      <w:r>
        <w:lastRenderedPageBreak/>
        <w:t>Level of industry or sectoral aggregation</w:t>
      </w:r>
    </w:p>
    <w:p w:rsidR="00E91821" w:rsidRDefault="00D71941" w:rsidP="00D71941">
      <w:pPr>
        <w:pStyle w:val="BodyText"/>
      </w:pPr>
      <w:r>
        <w:t>The level of aggregation used in constructing a</w:t>
      </w:r>
      <w:r w:rsidR="00011B53">
        <w:t>n</w:t>
      </w:r>
      <w:r>
        <w:t xml:space="preserve"> </w:t>
      </w:r>
      <w:r w:rsidR="00011B53">
        <w:t>SCI</w:t>
      </w:r>
      <w:r>
        <w:t xml:space="preserve"> impact</w:t>
      </w:r>
      <w:r w:rsidR="00E17CF2">
        <w:t>s</w:t>
      </w:r>
      <w:r>
        <w:t xml:space="preserve"> on the value of that index. This is by virtue of the fact that the index does not quantify change</w:t>
      </w:r>
      <w:r w:rsidR="00765328">
        <w:t>s</w:t>
      </w:r>
      <w:r>
        <w:t xml:space="preserve"> that occur </w:t>
      </w:r>
      <w:r>
        <w:rPr>
          <w:i/>
        </w:rPr>
        <w:t>within</w:t>
      </w:r>
      <w:r>
        <w:t xml:space="preserve"> a sectoral group</w:t>
      </w:r>
      <w:r w:rsidR="00E17CF2">
        <w:t>ing</w:t>
      </w:r>
      <w:r w:rsidR="00765328">
        <w:t>, but</w:t>
      </w:r>
      <w:r>
        <w:t xml:space="preserve"> only includes changes </w:t>
      </w:r>
      <w:r w:rsidRPr="00E96A20">
        <w:rPr>
          <w:i/>
        </w:rPr>
        <w:t>between</w:t>
      </w:r>
      <w:r>
        <w:t xml:space="preserve"> sectoral groups. As a result, an index calculated using </w:t>
      </w:r>
      <w:r w:rsidR="00154A0F">
        <w:t xml:space="preserve">the </w:t>
      </w:r>
      <w:r>
        <w:t xml:space="preserve">four broad sectors — </w:t>
      </w:r>
      <w:r w:rsidR="00E17CF2">
        <w:t>agriculture</w:t>
      </w:r>
      <w:r>
        <w:t xml:space="preserve">, mining, </w:t>
      </w:r>
      <w:r w:rsidR="00E17CF2">
        <w:t xml:space="preserve">manufacturing and </w:t>
      </w:r>
      <w:r>
        <w:t>services — will always be less than or equal to an index calculated using the 19</w:t>
      </w:r>
      <w:r w:rsidR="005C45BF">
        <w:noBreakHyphen/>
      </w:r>
      <w:r>
        <w:t xml:space="preserve">industry divisions that </w:t>
      </w:r>
      <w:r w:rsidR="00E17CF2">
        <w:t xml:space="preserve">make up </w:t>
      </w:r>
      <w:r>
        <w:t>those sectors</w:t>
      </w:r>
      <w:r w:rsidR="00E17CF2">
        <w:t xml:space="preserve"> (appendix</w:t>
      </w:r>
      <w:r w:rsidR="00D7027B">
        <w:t> </w:t>
      </w:r>
      <w:r w:rsidR="00E17CF2">
        <w:t>A)</w:t>
      </w:r>
      <w:r>
        <w:t>.</w:t>
      </w:r>
    </w:p>
    <w:p w:rsidR="00E91821" w:rsidRDefault="00E91821" w:rsidP="00E91821">
      <w:pPr>
        <w:pStyle w:val="BodyText"/>
      </w:pPr>
      <w:r>
        <w:t>Decisions regarding the level of data aggregation depend largely on the research questions being considered and the data available. However, it is important to recognise that it is not possible to interpret an SCI value without knowing the industry aggregation used in creating it. Where SCI values are to be compared (say, across countries), it is crucial that they be based on the same aggregation for the comparison to be valid.</w:t>
      </w:r>
    </w:p>
    <w:p w:rsidR="00E91821" w:rsidRDefault="00154A0F" w:rsidP="00E91821">
      <w:pPr>
        <w:pStyle w:val="BodyText"/>
      </w:pPr>
      <w:r>
        <w:t>To illustrate this point, figure</w:t>
      </w:r>
      <w:r w:rsidR="00F17288">
        <w:t>s</w:t>
      </w:r>
      <w:r>
        <w:t xml:space="preserve"> </w:t>
      </w:r>
      <w:r w:rsidR="005C45BF">
        <w:rPr>
          <w:bCs/>
          <w:lang w:val="en-US"/>
        </w:rPr>
        <w:t>B.1</w:t>
      </w:r>
      <w:r w:rsidR="00E91821">
        <w:t xml:space="preserve"> </w:t>
      </w:r>
      <w:r w:rsidR="00F17288">
        <w:t xml:space="preserve">and B.2 </w:t>
      </w:r>
      <w:r w:rsidR="006C2FBB">
        <w:t xml:space="preserve">each </w:t>
      </w:r>
      <w:r w:rsidR="00E91821">
        <w:t>plot three separate SCIs</w:t>
      </w:r>
      <w:r w:rsidR="00F17288">
        <w:t xml:space="preserve"> (for real output and employment, respectively)</w:t>
      </w:r>
      <w:r w:rsidR="00E91821">
        <w:t>, using an increasingly disaggregated breakdown of the services sector (alongside the agriculture, mining, and manufacturing sectors).</w:t>
      </w:r>
    </w:p>
    <w:p w:rsidR="00F17288" w:rsidRDefault="00F17288" w:rsidP="003670E3">
      <w:pPr>
        <w:pStyle w:val="FigureTitle"/>
      </w:pPr>
      <w:r>
        <w:rPr>
          <w:b w:val="0"/>
        </w:rPr>
        <w:t>Figure B.</w:t>
      </w:r>
      <w:r>
        <w:rPr>
          <w:b w:val="0"/>
          <w:noProof/>
        </w:rPr>
        <w:t>1</w:t>
      </w:r>
      <w:r>
        <w:tab/>
        <w:t>Real output structural change indexes, by level of sector disaggregation, 1969 to 2012</w:t>
      </w:r>
      <w:r w:rsidRPr="00F17288">
        <w:rPr>
          <w:rStyle w:val="NoteLabel"/>
          <w:b/>
        </w:rPr>
        <w:t>a</w:t>
      </w:r>
      <w:r>
        <w:rPr>
          <w:rStyle w:val="NoteLabel"/>
          <w:b/>
        </w:rPr>
        <w:t>, b</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F17288" w:rsidTr="00F579B3">
        <w:tc>
          <w:tcPr>
            <w:tcW w:w="8777" w:type="dxa"/>
          </w:tcPr>
          <w:p w:rsidR="00F17288" w:rsidRDefault="00F579B3">
            <w:pPr>
              <w:pStyle w:val="Figure"/>
            </w:pPr>
            <w:r w:rsidRPr="00F579B3">
              <w:rPr>
                <w:noProof/>
              </w:rPr>
              <w:drawing>
                <wp:inline distT="0" distB="0" distL="0" distR="0" wp14:anchorId="6F615A6F" wp14:editId="04D747E8">
                  <wp:extent cx="5587869" cy="2880000"/>
                  <wp:effectExtent l="0" t="0" r="0" b="0"/>
                  <wp:docPr id="1" name="Chart 1" descr="Figure B.1 Real output structural change indexes, by level of sector disaggregation, 1969 to 2012&#10;&#10;This figure graphs indexes of structural change in real output using 4, 8 and then 19 sector or industry categories.&#10;&#10;More details can be found within the text immediately before and after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bl>
    <w:p w:rsidR="00F17288" w:rsidRDefault="00F17288" w:rsidP="00F17288">
      <w:pPr>
        <w:pStyle w:val="Note"/>
      </w:pPr>
      <w:r>
        <w:rPr>
          <w:rStyle w:val="NoteLabel"/>
        </w:rPr>
        <w:t>a</w:t>
      </w:r>
      <w:r>
        <w:t xml:space="preserve"> </w:t>
      </w:r>
      <w:r w:rsidR="00713CFC" w:rsidRPr="00A5677E">
        <w:t>Real output</w:t>
      </w:r>
      <w:r w:rsidR="00713CFC">
        <w:t xml:space="preserve"> measured as gross value added by industry in chain volume terms (reference year 2010</w:t>
      </w:r>
      <w:r w:rsidR="00713CFC">
        <w:noBreakHyphen/>
        <w:t>11)</w:t>
      </w:r>
      <w:r>
        <w:t xml:space="preserve">.  </w:t>
      </w:r>
      <w:r>
        <w:rPr>
          <w:rStyle w:val="NoteLabel"/>
        </w:rPr>
        <w:t>b</w:t>
      </w:r>
      <w:r>
        <w:t> </w:t>
      </w:r>
      <w:r w:rsidR="00713CFC">
        <w:t>Appendix A provides information on the aggregation of industry divisions into sectors</w:t>
      </w:r>
      <w:r>
        <w:t>.</w:t>
      </w:r>
    </w:p>
    <w:p w:rsidR="00F17288" w:rsidRDefault="003670E3" w:rsidP="00F17288">
      <w:pPr>
        <w:pStyle w:val="Source"/>
      </w:pPr>
      <w:r>
        <w:rPr>
          <w:i/>
        </w:rPr>
        <w:t>S</w:t>
      </w:r>
      <w:r w:rsidR="00F17288">
        <w:rPr>
          <w:i/>
        </w:rPr>
        <w:t>ources</w:t>
      </w:r>
      <w:r w:rsidR="00F17288">
        <w:t xml:space="preserve">: </w:t>
      </w:r>
      <w:r>
        <w:t xml:space="preserve">Productivity Commission estimates using </w:t>
      </w:r>
      <w:r w:rsidR="00F17288">
        <w:t>ABS (</w:t>
      </w:r>
      <w:r w:rsidR="00F17288">
        <w:rPr>
          <w:i/>
        </w:rPr>
        <w:t>Australian System of National Accounts, 2011</w:t>
      </w:r>
      <w:r w:rsidR="00F17288">
        <w:rPr>
          <w:i/>
        </w:rPr>
        <w:noBreakHyphen/>
        <w:t>12</w:t>
      </w:r>
      <w:r w:rsidR="00F17288">
        <w:t>, Cat. no. 5204.0</w:t>
      </w:r>
      <w:r>
        <w:t xml:space="preserve">) and E. </w:t>
      </w:r>
      <w:r w:rsidR="00F17288">
        <w:t>Connolly </w:t>
      </w:r>
      <w:r>
        <w:t>(RBA, Sydney, pers. comm., 13 August 2012, unpublished data)</w:t>
      </w:r>
      <w:r w:rsidR="00F17288">
        <w:t>.</w:t>
      </w:r>
    </w:p>
    <w:p w:rsidR="00E91821" w:rsidRDefault="00E91821" w:rsidP="00E822AE">
      <w:pPr>
        <w:pStyle w:val="FigureTitle"/>
      </w:pPr>
      <w:r>
        <w:rPr>
          <w:b w:val="0"/>
        </w:rPr>
        <w:lastRenderedPageBreak/>
        <w:t xml:space="preserve">Figure </w:t>
      </w:r>
      <w:bookmarkStart w:id="5" w:name="OLE_LINK1"/>
      <w:r w:rsidR="00F17288">
        <w:rPr>
          <w:b w:val="0"/>
        </w:rPr>
        <w:t>B.</w:t>
      </w:r>
      <w:r w:rsidR="00F17288">
        <w:rPr>
          <w:b w:val="0"/>
          <w:noProof/>
        </w:rPr>
        <w:t>2</w:t>
      </w:r>
      <w:bookmarkEnd w:id="5"/>
      <w:r>
        <w:tab/>
        <w:t>Employment structural change indexes, by level of sector disaggregation</w:t>
      </w:r>
      <w:r w:rsidR="00E822AE">
        <w:t>, 1969 to 2012</w:t>
      </w:r>
      <w:r w:rsidRPr="00C95AE5">
        <w:rPr>
          <w:rStyle w:val="NoteLabel"/>
          <w:b/>
        </w:rPr>
        <w:t>a</w:t>
      </w:r>
      <w:r w:rsidR="00EE5910">
        <w:rPr>
          <w:rStyle w:val="NoteLabel"/>
          <w:b/>
        </w:rPr>
        <w:t>, b</w:t>
      </w:r>
    </w:p>
    <w:tbl>
      <w:tblPr>
        <w:tblW w:w="8805" w:type="dxa"/>
        <w:tblInd w:w="119" w:type="dxa"/>
        <w:tblBorders>
          <w:top w:val="single" w:sz="6" w:space="0" w:color="auto"/>
          <w:bottom w:val="single" w:sz="6" w:space="0" w:color="auto"/>
        </w:tblBorders>
        <w:tblLayout w:type="fixed"/>
        <w:tblLook w:val="04A0" w:firstRow="1" w:lastRow="0" w:firstColumn="1" w:lastColumn="0" w:noHBand="0" w:noVBand="1"/>
      </w:tblPr>
      <w:tblGrid>
        <w:gridCol w:w="8805"/>
      </w:tblGrid>
      <w:tr w:rsidR="00E91821" w:rsidTr="00F74FC6">
        <w:trPr>
          <w:trHeight w:val="397"/>
        </w:trPr>
        <w:tc>
          <w:tcPr>
            <w:tcW w:w="8805" w:type="dxa"/>
            <w:tcBorders>
              <w:top w:val="single" w:sz="6" w:space="0" w:color="auto"/>
              <w:left w:val="nil"/>
              <w:bottom w:val="single" w:sz="6" w:space="0" w:color="auto"/>
              <w:right w:val="nil"/>
            </w:tcBorders>
            <w:hideMark/>
          </w:tcPr>
          <w:p w:rsidR="00E91821" w:rsidRDefault="00E91821" w:rsidP="00F74FC6">
            <w:pPr>
              <w:pStyle w:val="Figure"/>
              <w:rPr>
                <w:lang w:val="en-US" w:eastAsia="en-US"/>
              </w:rPr>
            </w:pPr>
            <w:r w:rsidRPr="001D7BB8">
              <w:rPr>
                <w:noProof/>
              </w:rPr>
              <w:drawing>
                <wp:inline distT="0" distB="0" distL="0" distR="0" wp14:anchorId="51EE3678" wp14:editId="3AAC735C">
                  <wp:extent cx="5253487" cy="2622430"/>
                  <wp:effectExtent l="0" t="0" r="4445" b="6985"/>
                  <wp:docPr id="31" name="Chart 31" descr="Figure B.2 Employment structural change indexes, by level of sector disaggregation, 1969 to 2012&#10;&#10;This figure graphs indexes of structural change in employment using 4, 8 and then 19 sector or industry categories.&#10;&#10;More details can be found within the text immediately before and after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r>
    </w:tbl>
    <w:p w:rsidR="00E91821" w:rsidRDefault="00E91821" w:rsidP="00E91821">
      <w:pPr>
        <w:pStyle w:val="Note"/>
      </w:pPr>
      <w:r>
        <w:rPr>
          <w:rStyle w:val="NoteLabel"/>
        </w:rPr>
        <w:t>a</w:t>
      </w:r>
      <w:r>
        <w:t xml:space="preserve"> Data are for financial years until 1985, and annual averages of quarterly data, ending in the May quarter of each year, from 1986 to </w:t>
      </w:r>
      <w:r w:rsidR="00154A0F">
        <w:t>2012</w:t>
      </w:r>
      <w:r>
        <w:t>. Industries are at the ANZSIC 2006 division level.</w:t>
      </w:r>
      <w:r w:rsidR="00EE5910">
        <w:t xml:space="preserve"> </w:t>
      </w:r>
      <w:r>
        <w:t xml:space="preserve"> </w:t>
      </w:r>
      <w:r w:rsidR="00EE5910">
        <w:rPr>
          <w:rStyle w:val="NoteLabel"/>
        </w:rPr>
        <w:t>b</w:t>
      </w:r>
      <w:r w:rsidR="00EE5910">
        <w:t xml:space="preserve"> </w:t>
      </w:r>
      <w:r>
        <w:t>Appendix</w:t>
      </w:r>
      <w:r w:rsidR="005C45BF">
        <w:t> </w:t>
      </w:r>
      <w:r>
        <w:t xml:space="preserve">A provides information on the aggregation of industry divisions </w:t>
      </w:r>
      <w:r w:rsidR="00154A0F">
        <w:t>in</w:t>
      </w:r>
      <w:r>
        <w:t>to sectors.</w:t>
      </w:r>
    </w:p>
    <w:p w:rsidR="00E91821" w:rsidRDefault="00E91821" w:rsidP="00E91821">
      <w:pPr>
        <w:pStyle w:val="Source"/>
      </w:pPr>
      <w:r>
        <w:rPr>
          <w:i/>
        </w:rPr>
        <w:t>Sources</w:t>
      </w:r>
      <w:r>
        <w:t xml:space="preserve">: </w:t>
      </w:r>
      <w:r w:rsidR="00353F24">
        <w:t>Productivity Commission</w:t>
      </w:r>
      <w:r>
        <w:t xml:space="preserve"> estimates using ABS (</w:t>
      </w:r>
      <w:r>
        <w:rPr>
          <w:i/>
        </w:rPr>
        <w:t>Labour Force, Australia, Detailed, Quarterly,</w:t>
      </w:r>
      <w:r>
        <w:t xml:space="preserve"> Cat. no. 6291.0.55.003) and E. Connolly (RBA, Sydney, pers. comm., 13</w:t>
      </w:r>
      <w:r w:rsidR="005C45BF">
        <w:t> </w:t>
      </w:r>
      <w:r>
        <w:t>August 2012, unpublished data).</w:t>
      </w:r>
    </w:p>
    <w:p w:rsidR="00E91821" w:rsidRDefault="00F17288" w:rsidP="00E91821">
      <w:pPr>
        <w:pStyle w:val="BodyText"/>
      </w:pPr>
      <w:r>
        <w:t xml:space="preserve">As is apparent, the </w:t>
      </w:r>
      <w:r w:rsidR="00E91821">
        <w:t xml:space="preserve">three indexes </w:t>
      </w:r>
      <w:r>
        <w:t xml:space="preserve">in figures B.1 and B.2 </w:t>
      </w:r>
      <w:r w:rsidR="00E91821">
        <w:t xml:space="preserve">follow a similar trend, rising or falling together. However, there is usually a gap between them, due to the fact that indexes based on a greater number of categories allow more potential shifts between </w:t>
      </w:r>
      <w:r w:rsidR="006C2FBB">
        <w:t>industries</w:t>
      </w:r>
      <w:r w:rsidR="00E91821">
        <w:t>/sector</w:t>
      </w:r>
      <w:r w:rsidR="006C2FBB">
        <w:t>s</w:t>
      </w:r>
      <w:r w:rsidR="00E91821">
        <w:t xml:space="preserve">. For example, </w:t>
      </w:r>
      <w:r>
        <w:t xml:space="preserve">in figure B.2, </w:t>
      </w:r>
      <w:r w:rsidR="00E91821">
        <w:t xml:space="preserve">equal but opposite changes in the employment shares of the Health care </w:t>
      </w:r>
      <w:r w:rsidR="004846AE">
        <w:t xml:space="preserve">and social assistance </w:t>
      </w:r>
      <w:r w:rsidR="00E91821">
        <w:t xml:space="preserve">and Education </w:t>
      </w:r>
      <w:r w:rsidR="004846AE">
        <w:t xml:space="preserve">and training </w:t>
      </w:r>
      <w:r w:rsidR="00E91821">
        <w:t>industries would be picked up by the 19</w:t>
      </w:r>
      <w:r w:rsidR="00E91821">
        <w:noBreakHyphen/>
        <w:t>industry index, but not the 4</w:t>
      </w:r>
      <w:r w:rsidR="00E91821">
        <w:noBreakHyphen/>
      </w:r>
      <w:r w:rsidR="00B54E5B">
        <w:t> </w:t>
      </w:r>
      <w:r w:rsidR="00E91821">
        <w:t>or</w:t>
      </w:r>
      <w:r w:rsidR="00B54E5B">
        <w:t> </w:t>
      </w:r>
      <w:r w:rsidR="00E91821">
        <w:t>8</w:t>
      </w:r>
      <w:r w:rsidR="00E91821">
        <w:noBreakHyphen/>
        <w:t>sector indexes, in which they are aggregated together. Similarly, equal but opposite changes in the employment shares of the business services and social services sectors would be picked up by the 8</w:t>
      </w:r>
      <w:r w:rsidR="00E91821">
        <w:noBreakHyphen/>
        <w:t>sector index, but not the 4</w:t>
      </w:r>
      <w:r w:rsidR="00E91821">
        <w:noBreakHyphen/>
        <w:t>sector index. Finally, changes in the employment shares of the broad services sector and the agriculture sector would be picked up by all three indexes.</w:t>
      </w:r>
    </w:p>
    <w:p w:rsidR="00E91821" w:rsidRPr="001D7BB8" w:rsidRDefault="00E91821" w:rsidP="00E91821">
      <w:pPr>
        <w:pStyle w:val="BodyText"/>
      </w:pPr>
      <w:r>
        <w:t xml:space="preserve">Changes </w:t>
      </w:r>
      <w:r w:rsidR="00B54E5B">
        <w:t xml:space="preserve">in </w:t>
      </w:r>
      <w:r>
        <w:t xml:space="preserve">the size of the gap between indexes reflect the extent to which structural change is occurring within aggregated sectors without affecting the overall share of those sectors in employment. For example, in 1984, share changes were taking place within the broad services sector that were not reflected in the overall share of services. Hence the </w:t>
      </w:r>
      <w:r w:rsidR="00B54E5B">
        <w:t xml:space="preserve">large </w:t>
      </w:r>
      <w:r>
        <w:t>gap between the 8</w:t>
      </w:r>
      <w:r w:rsidR="005C45BF">
        <w:noBreakHyphen/>
      </w:r>
      <w:r>
        <w:t xml:space="preserve">sector and 4 sector indexes. This suggests that share changes within services at the time were occurring in opposite directions. Conversely, in 1988, there was no difference between these two indexes, </w:t>
      </w:r>
      <w:r w:rsidR="00B54E5B">
        <w:t>indicating</w:t>
      </w:r>
      <w:r w:rsidR="00B54E5B" w:rsidRPr="001D7BB8">
        <w:t xml:space="preserve"> </w:t>
      </w:r>
      <w:r w:rsidRPr="001D7BB8">
        <w:t xml:space="preserve">that </w:t>
      </w:r>
      <w:r>
        <w:t>all individual shares</w:t>
      </w:r>
      <w:r w:rsidRPr="001D7BB8">
        <w:t xml:space="preserve"> within services </w:t>
      </w:r>
      <w:r>
        <w:t xml:space="preserve">were changing in the same </w:t>
      </w:r>
      <w:r>
        <w:lastRenderedPageBreak/>
        <w:t>direction. (The same reasoning can be applied</w:t>
      </w:r>
      <w:r w:rsidRPr="001D7BB8">
        <w:t xml:space="preserve"> to </w:t>
      </w:r>
      <w:r>
        <w:t>explain the existence or absence of a gap between the 8</w:t>
      </w:r>
      <w:r w:rsidR="005C45BF">
        <w:noBreakHyphen/>
      </w:r>
      <w:r>
        <w:t>sector and 19</w:t>
      </w:r>
      <w:r w:rsidR="005C45BF">
        <w:noBreakHyphen/>
      </w:r>
      <w:r>
        <w:t xml:space="preserve">industry indexes.) </w:t>
      </w:r>
    </w:p>
    <w:p w:rsidR="00E91821" w:rsidRDefault="00E91821" w:rsidP="00E91821">
      <w:pPr>
        <w:pStyle w:val="BodyText"/>
      </w:pPr>
      <w:r>
        <w:t xml:space="preserve">The comparison of indexes based on varying levels of disaggregation highlights an interesting fact. With the proportion of workers employed in the broad services sector now reaching almost 90 per cent of total employment, the rate of relative growth of this sector has declined, </w:t>
      </w:r>
      <w:r w:rsidR="00BE753C">
        <w:t xml:space="preserve">compared with the 1970s, </w:t>
      </w:r>
      <w:r>
        <w:t>and with it, the rate of change measured by the 4</w:t>
      </w:r>
      <w:r>
        <w:noBreakHyphen/>
        <w:t>sector index in figure </w:t>
      </w:r>
      <w:r w:rsidR="005C45BF">
        <w:rPr>
          <w:bCs/>
          <w:lang w:val="en-US"/>
        </w:rPr>
        <w:t>B.1</w:t>
      </w:r>
      <w:r>
        <w:t>.</w:t>
      </w:r>
      <w:r>
        <w:rPr>
          <w:rStyle w:val="FootnoteReference"/>
        </w:rPr>
        <w:footnoteReference w:id="1"/>
      </w:r>
      <w:r>
        <w:t xml:space="preserve"> This can be regarded as an inevitable outcome, </w:t>
      </w:r>
      <w:r w:rsidR="00BE753C">
        <w:t xml:space="preserve">since </w:t>
      </w:r>
      <w:r>
        <w:t>the share of the broad services sector in the economy cannot expand indefinitely, that is, it cannot grow beyond one hundred per cent of employment. By contrast, the change in the distribution of employment among the disaggregated services sectors or industries is not bound in this way. As a case in point, between 2007 and 2012, the 19</w:t>
      </w:r>
      <w:r w:rsidR="005C45BF">
        <w:noBreakHyphen/>
      </w:r>
      <w:r>
        <w:t xml:space="preserve">industry index in figure </w:t>
      </w:r>
      <w:r w:rsidR="005C45BF">
        <w:rPr>
          <w:bCs/>
          <w:lang w:val="en-US"/>
        </w:rPr>
        <w:t>B.1</w:t>
      </w:r>
      <w:r>
        <w:t xml:space="preserve"> remained relatively stable, while both the 4</w:t>
      </w:r>
      <w:r w:rsidR="005C45BF">
        <w:noBreakHyphen/>
      </w:r>
      <w:r>
        <w:t xml:space="preserve"> and 8</w:t>
      </w:r>
      <w:r>
        <w:noBreakHyphen/>
        <w:t>sector indexes fell.</w:t>
      </w:r>
    </w:p>
    <w:p w:rsidR="00201464" w:rsidRDefault="0011198B" w:rsidP="007944A1">
      <w:pPr>
        <w:pStyle w:val="Heading3"/>
      </w:pPr>
      <w:r>
        <w:t>Choice of t</w:t>
      </w:r>
      <w:r w:rsidR="00201464">
        <w:t>ime periods</w:t>
      </w:r>
    </w:p>
    <w:p w:rsidR="00D71941" w:rsidRDefault="00D71941" w:rsidP="00D71941">
      <w:pPr>
        <w:pStyle w:val="BodyText"/>
      </w:pPr>
      <w:r w:rsidRPr="00846338">
        <w:t xml:space="preserve">The period of time between </w:t>
      </w:r>
      <w:r w:rsidRPr="00846338">
        <w:rPr>
          <w:i/>
        </w:rPr>
        <w:t xml:space="preserve">t </w:t>
      </w:r>
      <w:r w:rsidRPr="00846338">
        <w:t>and</w:t>
      </w:r>
      <w:r w:rsidRPr="00846338">
        <w:rPr>
          <w:i/>
        </w:rPr>
        <w:t xml:space="preserve"> t</w:t>
      </w:r>
      <w:r w:rsidR="005C45BF">
        <w:rPr>
          <w:i/>
        </w:rPr>
        <w:noBreakHyphen/>
      </w:r>
      <w:r w:rsidRPr="00846338">
        <w:rPr>
          <w:i/>
        </w:rPr>
        <w:t>1</w:t>
      </w:r>
      <w:r w:rsidRPr="00846338">
        <w:t xml:space="preserve"> also impact</w:t>
      </w:r>
      <w:r w:rsidR="00E17CF2">
        <w:t>s</w:t>
      </w:r>
      <w:r w:rsidRPr="00846338">
        <w:t xml:space="preserve"> on SCI values, and the extent to which they fluctuate over time. </w:t>
      </w:r>
      <w:r w:rsidR="00BE753C">
        <w:t>S</w:t>
      </w:r>
      <w:r w:rsidRPr="00846338">
        <w:t>hort</w:t>
      </w:r>
      <w:r w:rsidR="005C45BF">
        <w:noBreakHyphen/>
      </w:r>
      <w:r w:rsidRPr="00846338">
        <w:t>term changes in sector</w:t>
      </w:r>
      <w:r w:rsidR="001A0918">
        <w:t>al</w:t>
      </w:r>
      <w:r w:rsidRPr="00846338">
        <w:t xml:space="preserve"> shares of economic activity can be driven by both cyclical and structural factors. Therefore, if a short time period is chosen, the </w:t>
      </w:r>
      <w:r w:rsidR="00011B53">
        <w:t>SCI</w:t>
      </w:r>
      <w:r w:rsidRPr="00846338">
        <w:t xml:space="preserve"> may simply reflect cyclical changes in </w:t>
      </w:r>
      <w:r w:rsidR="005E2A3D">
        <w:t>economic</w:t>
      </w:r>
      <w:r w:rsidR="005E2A3D" w:rsidRPr="00846338">
        <w:t xml:space="preserve"> </w:t>
      </w:r>
      <w:r w:rsidRPr="00846338">
        <w:t xml:space="preserve">activity, rather than </w:t>
      </w:r>
      <w:r w:rsidR="005E2A3D">
        <w:t>a</w:t>
      </w:r>
      <w:r w:rsidR="005E2A3D" w:rsidRPr="00846338">
        <w:t xml:space="preserve"> </w:t>
      </w:r>
      <w:r w:rsidRPr="00846338">
        <w:t>long</w:t>
      </w:r>
      <w:r w:rsidR="005C45BF">
        <w:noBreakHyphen/>
      </w:r>
      <w:r w:rsidRPr="00846338">
        <w:t xml:space="preserve">term change in the </w:t>
      </w:r>
      <w:r w:rsidR="005E2A3D">
        <w:t>nature</w:t>
      </w:r>
      <w:r w:rsidR="005E2A3D" w:rsidRPr="00846338">
        <w:t xml:space="preserve"> </w:t>
      </w:r>
      <w:r w:rsidRPr="00846338">
        <w:t xml:space="preserve">of </w:t>
      </w:r>
      <w:r w:rsidR="005E2A3D">
        <w:t xml:space="preserve">that </w:t>
      </w:r>
      <w:r w:rsidRPr="00846338">
        <w:t xml:space="preserve">activity. Intuitively, by viewing plots of industry shares over time, it </w:t>
      </w:r>
      <w:r w:rsidR="005E2A3D">
        <w:t>becomes</w:t>
      </w:r>
      <w:r w:rsidR="005E2A3D" w:rsidRPr="00846338">
        <w:t xml:space="preserve"> </w:t>
      </w:r>
      <w:r w:rsidRPr="00846338">
        <w:t xml:space="preserve">apparent whether shares exhibit noisy variability or </w:t>
      </w:r>
      <w:r w:rsidR="00473771">
        <w:t xml:space="preserve">reflect </w:t>
      </w:r>
      <w:r w:rsidRPr="00846338">
        <w:t>long</w:t>
      </w:r>
      <w:r w:rsidR="00473771">
        <w:t>er</w:t>
      </w:r>
      <w:r w:rsidR="005C45BF">
        <w:noBreakHyphen/>
      </w:r>
      <w:r w:rsidRPr="00846338">
        <w:t xml:space="preserve">term changes. </w:t>
      </w:r>
      <w:r w:rsidR="00011B53">
        <w:t>SCIs</w:t>
      </w:r>
      <w:r w:rsidRPr="00846338">
        <w:t xml:space="preserve">, by their nature, </w:t>
      </w:r>
      <w:r w:rsidR="005E2A3D">
        <w:t>can</w:t>
      </w:r>
      <w:r w:rsidRPr="00846338">
        <w:t>not distinguish between the two.</w:t>
      </w:r>
    </w:p>
    <w:p w:rsidR="00D71941" w:rsidRDefault="00D71941" w:rsidP="00D71941">
      <w:pPr>
        <w:pStyle w:val="BodyText"/>
      </w:pPr>
      <w:r>
        <w:t>To minimise the effect of short</w:t>
      </w:r>
      <w:r w:rsidR="005C45BF">
        <w:noBreakHyphen/>
      </w:r>
      <w:r>
        <w:t xml:space="preserve">term variability on </w:t>
      </w:r>
      <w:r w:rsidR="00011B53">
        <w:t>SCIs</w:t>
      </w:r>
      <w:r>
        <w:t xml:space="preserve">, Connolly and </w:t>
      </w:r>
      <w:r w:rsidR="00011B53">
        <w:t>Lewis </w:t>
      </w:r>
      <w:r>
        <w:t>(</w:t>
      </w:r>
      <w:r w:rsidR="00473771">
        <w:t>2010</w:t>
      </w:r>
      <w:r>
        <w:t xml:space="preserve">) measure the share of sector </w:t>
      </w:r>
      <w:r>
        <w:rPr>
          <w:i/>
        </w:rPr>
        <w:t xml:space="preserve">i </w:t>
      </w:r>
      <w:r>
        <w:t>in the economy as the five</w:t>
      </w:r>
      <w:r w:rsidR="005C45BF">
        <w:noBreakHyphen/>
      </w:r>
      <w:r>
        <w:t xml:space="preserve">year average to year </w:t>
      </w:r>
      <w:r>
        <w:rPr>
          <w:i/>
        </w:rPr>
        <w:t>t.</w:t>
      </w:r>
      <w:r>
        <w:t xml:space="preserve"> They then calculate the index by differencing with the five</w:t>
      </w:r>
      <w:r w:rsidR="005C45BF">
        <w:noBreakHyphen/>
      </w:r>
      <w:r>
        <w:t xml:space="preserve">year average to year </w:t>
      </w:r>
      <w:r w:rsidRPr="003A4DA8">
        <w:rPr>
          <w:i/>
        </w:rPr>
        <w:t>t</w:t>
      </w:r>
      <w:r w:rsidR="005C45BF">
        <w:rPr>
          <w:i/>
        </w:rPr>
        <w:noBreakHyphen/>
      </w:r>
      <w:r w:rsidRPr="003A4DA8">
        <w:rPr>
          <w:i/>
        </w:rPr>
        <w:t>1</w:t>
      </w:r>
      <w:r>
        <w:t xml:space="preserve">. </w:t>
      </w:r>
      <w:r w:rsidR="00BE753C">
        <w:t>T</w:t>
      </w:r>
      <w:r>
        <w:t xml:space="preserve">his approach </w:t>
      </w:r>
      <w:r w:rsidR="005E2A3D">
        <w:t xml:space="preserve">has been </w:t>
      </w:r>
      <w:r>
        <w:t>employed throughout this report</w:t>
      </w:r>
      <w:r w:rsidR="00BE753C">
        <w:t xml:space="preserve"> (with the exception of figure 4.9</w:t>
      </w:r>
      <w:r w:rsidR="00443320">
        <w:t>, for which sufficient data were not available</w:t>
      </w:r>
      <w:r w:rsidR="00BE753C">
        <w:t>)</w:t>
      </w:r>
      <w:r>
        <w:t>.</w:t>
      </w:r>
    </w:p>
    <w:p w:rsidR="00201464" w:rsidRDefault="00C01EE1" w:rsidP="00201464">
      <w:pPr>
        <w:pStyle w:val="Heading2"/>
      </w:pPr>
      <w:r>
        <w:lastRenderedPageBreak/>
        <w:t>B.</w:t>
      </w:r>
      <w:r>
        <w:rPr>
          <w:noProof/>
        </w:rPr>
        <w:t>2</w:t>
      </w:r>
      <w:r w:rsidR="00201464">
        <w:tab/>
      </w:r>
      <w:r w:rsidR="00201464" w:rsidRPr="00D5004D">
        <w:t>Interpretation: what drives changes in a structural change index?</w:t>
      </w:r>
    </w:p>
    <w:p w:rsidR="00D71941" w:rsidRDefault="00D71941" w:rsidP="00D71941">
      <w:pPr>
        <w:pStyle w:val="BodyText"/>
      </w:pPr>
      <w:r>
        <w:t xml:space="preserve">In order to correctly interpret </w:t>
      </w:r>
      <w:r w:rsidR="002001A0">
        <w:t>a</w:t>
      </w:r>
      <w:r w:rsidR="005E2A3D">
        <w:t>n</w:t>
      </w:r>
      <w:r w:rsidR="002001A0">
        <w:t xml:space="preserve"> SCI</w:t>
      </w:r>
      <w:r>
        <w:t>, it is important to be explicit about the economic events that might drive — or</w:t>
      </w:r>
      <w:r w:rsidR="005E2A3D">
        <w:t>,</w:t>
      </w:r>
      <w:r>
        <w:t xml:space="preserve"> alternatively, might fail to drive — changes to the value of a computed index.</w:t>
      </w:r>
    </w:p>
    <w:p w:rsidR="00D71941" w:rsidRDefault="002001A0" w:rsidP="00D71941">
      <w:pPr>
        <w:pStyle w:val="BodyText"/>
      </w:pPr>
      <w:r>
        <w:t>A</w:t>
      </w:r>
      <w:r w:rsidR="005E2A3D">
        <w:t>n</w:t>
      </w:r>
      <w:r w:rsidR="00D71941">
        <w:t xml:space="preserve"> SCI reacts to both job reallocation and to differing rates of net job creation across sectors. Both the movement of workers and differences in employment growth rates </w:t>
      </w:r>
      <w:r w:rsidR="00473771">
        <w:t xml:space="preserve">between sectors </w:t>
      </w:r>
      <w:r w:rsidR="005E2A3D">
        <w:t xml:space="preserve">can </w:t>
      </w:r>
      <w:r w:rsidR="00D71941">
        <w:t>lead to ‘movement’ in employment shares — the share of a static industry will decline in the presence of positive growth in another industry, all else equal. More generally, a</w:t>
      </w:r>
      <w:r w:rsidR="009614F2">
        <w:t>n</w:t>
      </w:r>
      <w:r w:rsidR="00D71941">
        <w:t xml:space="preserve"> </w:t>
      </w:r>
      <w:r w:rsidR="009614F2">
        <w:t>SCI</w:t>
      </w:r>
      <w:r w:rsidR="00D71941">
        <w:t xml:space="preserve"> will be positive in the presence of differential employment growth rates between sectors, even if no </w:t>
      </w:r>
      <w:r w:rsidR="0084124F">
        <w:t xml:space="preserve">workers physically </w:t>
      </w:r>
      <w:r w:rsidR="00D71941">
        <w:t xml:space="preserve">change industries. </w:t>
      </w:r>
      <w:r w:rsidR="00AF22B9">
        <w:t>Although</w:t>
      </w:r>
      <w:r w:rsidR="00D71941">
        <w:t xml:space="preserve"> it is </w:t>
      </w:r>
      <w:r w:rsidR="0084124F">
        <w:t>un</w:t>
      </w:r>
      <w:r w:rsidR="00D71941">
        <w:t xml:space="preserve">likely that precisely zero individuals change industries in any given period, the </w:t>
      </w:r>
      <w:r w:rsidR="005E2A3D">
        <w:t xml:space="preserve">ongoing </w:t>
      </w:r>
      <w:r w:rsidR="00D71941">
        <w:t xml:space="preserve">entry of young people and </w:t>
      </w:r>
      <w:r w:rsidR="005E2A3D">
        <w:t xml:space="preserve">new </w:t>
      </w:r>
      <w:r w:rsidR="00D71941">
        <w:t xml:space="preserve">migrants into the labour market </w:t>
      </w:r>
      <w:r w:rsidR="005E2A3D">
        <w:t>cautions against</w:t>
      </w:r>
      <w:r>
        <w:t xml:space="preserve"> the interpretation of a</w:t>
      </w:r>
      <w:r w:rsidR="005E2A3D">
        <w:t>n</w:t>
      </w:r>
      <w:r>
        <w:t xml:space="preserve"> </w:t>
      </w:r>
      <w:r w:rsidR="00D71941">
        <w:t xml:space="preserve">SCI as </w:t>
      </w:r>
      <w:r w:rsidR="0084124F">
        <w:t xml:space="preserve">reflecting solely </w:t>
      </w:r>
      <w:r w:rsidR="00D71941">
        <w:t>the movement of individuals</w:t>
      </w:r>
      <w:r w:rsidR="0084124F">
        <w:t xml:space="preserve"> between industries (or regions)</w:t>
      </w:r>
      <w:r w:rsidR="00D71941">
        <w:t xml:space="preserve">. </w:t>
      </w:r>
    </w:p>
    <w:p w:rsidR="00D71941" w:rsidRDefault="00D71941" w:rsidP="00D71941">
      <w:pPr>
        <w:pStyle w:val="BodyText"/>
      </w:pPr>
      <w:r>
        <w:t>Conversely, it is also possible for many individual workers to have moved jobs and sectors, but for the employment shares of industries to remain unchanged — a</w:t>
      </w:r>
      <w:r w:rsidR="005E2A3D">
        <w:t>n</w:t>
      </w:r>
      <w:r>
        <w:t xml:space="preserve"> SCI only captures </w:t>
      </w:r>
      <w:r w:rsidRPr="000016CA">
        <w:rPr>
          <w:i/>
        </w:rPr>
        <w:t>net</w:t>
      </w:r>
      <w:r>
        <w:t xml:space="preserve"> movement in employment shares. For example, it may be that there is gross employment </w:t>
      </w:r>
      <w:r w:rsidR="00261C12">
        <w:t>‘</w:t>
      </w:r>
      <w:r>
        <w:t>churn</w:t>
      </w:r>
      <w:r w:rsidR="00261C12">
        <w:t>’</w:t>
      </w:r>
      <w:r>
        <w:t xml:space="preserve"> between indus</w:t>
      </w:r>
      <w:r w:rsidR="002001A0">
        <w:t>tries that is not captured by a</w:t>
      </w:r>
      <w:r w:rsidR="005E2A3D">
        <w:t>n</w:t>
      </w:r>
      <w:r>
        <w:t xml:space="preserve"> SCI</w:t>
      </w:r>
      <w:r w:rsidR="00AF22B9">
        <w:t> </w:t>
      </w:r>
      <w:r>
        <w:t>because approximately the same number of individuals is moving between two</w:t>
      </w:r>
      <w:r w:rsidR="002001A0">
        <w:t xml:space="preserve"> industries in both directions.</w:t>
      </w:r>
    </w:p>
    <w:p w:rsidR="00BB76CD" w:rsidRDefault="005E2A3D" w:rsidP="00D71941">
      <w:pPr>
        <w:pStyle w:val="BodyText"/>
      </w:pPr>
      <w:r>
        <w:t>T</w:t>
      </w:r>
      <w:r w:rsidR="00D71941">
        <w:t xml:space="preserve">hese examples highlight that </w:t>
      </w:r>
      <w:r w:rsidR="002001A0">
        <w:t>a</w:t>
      </w:r>
      <w:r>
        <w:t>n</w:t>
      </w:r>
      <w:r w:rsidR="002001A0">
        <w:t xml:space="preserve"> SCI</w:t>
      </w:r>
      <w:r w:rsidR="00D71941">
        <w:t xml:space="preserve"> should be interpreted as a </w:t>
      </w:r>
      <w:r>
        <w:t xml:space="preserve">convenient </w:t>
      </w:r>
      <w:r w:rsidR="00D71941">
        <w:t xml:space="preserve">summary measure of the </w:t>
      </w:r>
      <w:r>
        <w:t xml:space="preserve">global </w:t>
      </w:r>
      <w:r w:rsidR="00D71941">
        <w:t xml:space="preserve">change in employment shares </w:t>
      </w:r>
      <w:r>
        <w:t xml:space="preserve">of all </w:t>
      </w:r>
      <w:r w:rsidR="00D71941">
        <w:t>industries</w:t>
      </w:r>
      <w:r>
        <w:t>/sectors</w:t>
      </w:r>
      <w:r w:rsidR="00D71941">
        <w:t xml:space="preserve">, not as an indicator of the </w:t>
      </w:r>
      <w:r w:rsidR="009614F2">
        <w:t>extent</w:t>
      </w:r>
      <w:r w:rsidR="00D71941">
        <w:t xml:space="preserve"> of movement of individuals between </w:t>
      </w:r>
      <w:r w:rsidR="00261C12">
        <w:t xml:space="preserve">specific </w:t>
      </w:r>
      <w:r w:rsidR="00D71941">
        <w:t>industries.</w:t>
      </w:r>
    </w:p>
    <w:p w:rsidR="00BB76CD" w:rsidRDefault="00BB76CD" w:rsidP="00BB76CD">
      <w:pPr>
        <w:pStyle w:val="BodyText"/>
      </w:pPr>
    </w:p>
    <w:p w:rsidR="00BB76CD" w:rsidRDefault="00BB76CD" w:rsidP="00D71941">
      <w:pPr>
        <w:pStyle w:val="BodyText"/>
      </w:pPr>
    </w:p>
    <w:sectPr w:rsidR="00BB76CD" w:rsidSect="00326904">
      <w:headerReference w:type="even" r:id="rId12"/>
      <w:headerReference w:type="default" r:id="rId13"/>
      <w:footerReference w:type="even" r:id="rId14"/>
      <w:footerReference w:type="default" r:id="rId15"/>
      <w:footnotePr>
        <w:numStart w:val="67"/>
      </w:footnotePr>
      <w:pgSz w:w="11907" w:h="16840" w:code="9"/>
      <w:pgMar w:top="1985" w:right="1304" w:bottom="1418" w:left="1814" w:header="1701" w:footer="567" w:gutter="0"/>
      <w:pgNumType w:start="155" w:chapStyle="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4FC6" w:rsidRDefault="00F74FC6">
      <w:r>
        <w:separator/>
      </w:r>
    </w:p>
  </w:endnote>
  <w:endnote w:type="continuationSeparator" w:id="0">
    <w:p w:rsidR="00F74FC6" w:rsidRDefault="00F74F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F74FC6">
      <w:trPr>
        <w:trHeight w:hRule="exact" w:val="740"/>
      </w:trPr>
      <w:tc>
        <w:tcPr>
          <w:tcW w:w="510" w:type="dxa"/>
          <w:tcBorders>
            <w:top w:val="single" w:sz="6" w:space="0" w:color="auto"/>
          </w:tcBorders>
        </w:tcPr>
        <w:p w:rsidR="00F74FC6" w:rsidRDefault="00F74FC6"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BC2FF2">
            <w:rPr>
              <w:rStyle w:val="PageNumber"/>
              <w:noProof/>
            </w:rPr>
            <w:t>156</w:t>
          </w:r>
          <w:r>
            <w:rPr>
              <w:rStyle w:val="PageNumber"/>
            </w:rPr>
            <w:fldChar w:fldCharType="end"/>
          </w:r>
        </w:p>
      </w:tc>
      <w:tc>
        <w:tcPr>
          <w:tcW w:w="1644" w:type="dxa"/>
          <w:tcBorders>
            <w:top w:val="single" w:sz="6" w:space="0" w:color="auto"/>
          </w:tcBorders>
        </w:tcPr>
        <w:p w:rsidR="00F74FC6" w:rsidRDefault="005C45BF" w:rsidP="0019293B">
          <w:pPr>
            <w:pStyle w:val="Footer"/>
          </w:pPr>
          <w:r>
            <w:t>looking back on structural change</w:t>
          </w:r>
        </w:p>
      </w:tc>
      <w:tc>
        <w:tcPr>
          <w:tcW w:w="6634" w:type="dxa"/>
        </w:tcPr>
        <w:p w:rsidR="00F74FC6" w:rsidRDefault="00F74FC6" w:rsidP="0019293B">
          <w:pPr>
            <w:pStyle w:val="Footer"/>
          </w:pPr>
        </w:p>
      </w:tc>
    </w:tr>
  </w:tbl>
  <w:p w:rsidR="00F74FC6" w:rsidRDefault="00F74FC6"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F74FC6">
      <w:trPr>
        <w:trHeight w:hRule="exact" w:val="740"/>
      </w:trPr>
      <w:tc>
        <w:tcPr>
          <w:tcW w:w="6634" w:type="dxa"/>
        </w:tcPr>
        <w:p w:rsidR="00F74FC6" w:rsidRDefault="00F74FC6">
          <w:pPr>
            <w:pStyle w:val="Footer"/>
            <w:ind w:right="360" w:firstLine="360"/>
          </w:pPr>
        </w:p>
      </w:tc>
      <w:tc>
        <w:tcPr>
          <w:tcW w:w="1644" w:type="dxa"/>
          <w:tcBorders>
            <w:top w:val="single" w:sz="6" w:space="0" w:color="auto"/>
          </w:tcBorders>
        </w:tcPr>
        <w:p w:rsidR="00F74FC6" w:rsidRDefault="00BC2FF2">
          <w:pPr>
            <w:pStyle w:val="Footer"/>
          </w:pPr>
          <w:r>
            <w:fldChar w:fldCharType="begin"/>
          </w:r>
          <w:r>
            <w:instrText xml:space="preserve"> TITLE  \* MERGEFORMAT </w:instrText>
          </w:r>
          <w:r>
            <w:fldChar w:fldCharType="separate"/>
          </w:r>
          <w:r w:rsidR="00C01EE1">
            <w:t>Structural change indexes</w:t>
          </w:r>
          <w:r>
            <w:fldChar w:fldCharType="end"/>
          </w:r>
        </w:p>
      </w:tc>
      <w:tc>
        <w:tcPr>
          <w:tcW w:w="510" w:type="dxa"/>
          <w:tcBorders>
            <w:top w:val="single" w:sz="6" w:space="0" w:color="auto"/>
          </w:tcBorders>
        </w:tcPr>
        <w:p w:rsidR="00F74FC6" w:rsidRDefault="00F74FC6">
          <w:pPr>
            <w:pStyle w:val="Footer"/>
            <w:jc w:val="right"/>
          </w:pPr>
          <w:r>
            <w:rPr>
              <w:rStyle w:val="PageNumber"/>
            </w:rPr>
            <w:fldChar w:fldCharType="begin"/>
          </w:r>
          <w:r>
            <w:rPr>
              <w:rStyle w:val="PageNumber"/>
            </w:rPr>
            <w:instrText xml:space="preserve">PAGE  </w:instrText>
          </w:r>
          <w:r>
            <w:rPr>
              <w:rStyle w:val="PageNumber"/>
            </w:rPr>
            <w:fldChar w:fldCharType="separate"/>
          </w:r>
          <w:r w:rsidR="00BC2FF2">
            <w:rPr>
              <w:rStyle w:val="PageNumber"/>
              <w:noProof/>
            </w:rPr>
            <w:t>155</w:t>
          </w:r>
          <w:r>
            <w:rPr>
              <w:rStyle w:val="PageNumber"/>
            </w:rPr>
            <w:fldChar w:fldCharType="end"/>
          </w:r>
        </w:p>
      </w:tc>
    </w:tr>
  </w:tbl>
  <w:p w:rsidR="00F74FC6" w:rsidRDefault="00F74FC6">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4FC6" w:rsidRDefault="00F74FC6">
      <w:r>
        <w:separator/>
      </w:r>
    </w:p>
  </w:footnote>
  <w:footnote w:type="continuationSeparator" w:id="0">
    <w:p w:rsidR="00F74FC6" w:rsidRDefault="00F74FC6">
      <w:r>
        <w:continuationSeparator/>
      </w:r>
    </w:p>
  </w:footnote>
  <w:footnote w:id="1">
    <w:p w:rsidR="00F74FC6" w:rsidRDefault="00F74FC6" w:rsidP="00E91821">
      <w:pPr>
        <w:pStyle w:val="FootnoteText"/>
      </w:pPr>
      <w:r>
        <w:rPr>
          <w:rStyle w:val="FootnoteReference"/>
        </w:rPr>
        <w:footnoteRef/>
      </w:r>
      <w:r>
        <w:t xml:space="preserve"> </w:t>
      </w:r>
      <w:r>
        <w:tab/>
        <w:t>The time path of the 4-sector SCI in Australia is very similar to that recorded by its OECD average counterpart. From a value of around 4 in the early 1980s, that multi</w:t>
      </w:r>
      <w:r w:rsidR="00980B53">
        <w:noBreakHyphen/>
      </w:r>
      <w:r>
        <w:t>country index declined to around 2.5 in the late 1990s, before rising to around 3 by the mid</w:t>
      </w:r>
      <w:r>
        <w:noBreakHyphen/>
        <w:t>2000s</w:t>
      </w:r>
      <w:r w:rsidR="00980B53">
        <w:t xml:space="preserve"> (data not shown)</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F74FC6">
      <w:tc>
        <w:tcPr>
          <w:tcW w:w="2155" w:type="dxa"/>
          <w:tcBorders>
            <w:top w:val="single" w:sz="24" w:space="0" w:color="auto"/>
          </w:tcBorders>
        </w:tcPr>
        <w:p w:rsidR="00F74FC6" w:rsidRDefault="00F74FC6" w:rsidP="0019293B">
          <w:pPr>
            <w:pStyle w:val="HeaderEven"/>
          </w:pPr>
        </w:p>
      </w:tc>
      <w:tc>
        <w:tcPr>
          <w:tcW w:w="6634" w:type="dxa"/>
          <w:tcBorders>
            <w:top w:val="single" w:sz="6" w:space="0" w:color="auto"/>
          </w:tcBorders>
        </w:tcPr>
        <w:p w:rsidR="00F74FC6" w:rsidRDefault="00F74FC6" w:rsidP="0019293B">
          <w:pPr>
            <w:pStyle w:val="HeaderEven"/>
          </w:pPr>
        </w:p>
      </w:tc>
    </w:tr>
  </w:tbl>
  <w:p w:rsidR="00F74FC6" w:rsidRDefault="00F74FC6"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F74FC6">
      <w:tc>
        <w:tcPr>
          <w:tcW w:w="6634" w:type="dxa"/>
          <w:tcBorders>
            <w:top w:val="single" w:sz="6" w:space="0" w:color="auto"/>
          </w:tcBorders>
        </w:tcPr>
        <w:p w:rsidR="00F74FC6" w:rsidRDefault="00F74FC6" w:rsidP="00E669E2">
          <w:pPr>
            <w:pStyle w:val="HeaderOdd"/>
          </w:pPr>
        </w:p>
      </w:tc>
      <w:tc>
        <w:tcPr>
          <w:tcW w:w="2155" w:type="dxa"/>
          <w:tcBorders>
            <w:top w:val="single" w:sz="24" w:space="0" w:color="auto"/>
          </w:tcBorders>
        </w:tcPr>
        <w:p w:rsidR="00F74FC6" w:rsidRDefault="00F74FC6" w:rsidP="00E669E2">
          <w:pPr>
            <w:pStyle w:val="HeaderOdd"/>
          </w:pPr>
        </w:p>
      </w:tc>
    </w:tr>
  </w:tbl>
  <w:p w:rsidR="00F74FC6" w:rsidRDefault="00F74FC6"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4">
    <w:nsid w:val="51F74561"/>
    <w:multiLevelType w:val="singleLevel"/>
    <w:tmpl w:val="ED98921A"/>
    <w:lvl w:ilvl="0">
      <w:start w:val="1"/>
      <w:numFmt w:val="decimal"/>
      <w:lvlText w:val="%1."/>
      <w:legacy w:legacy="1" w:legacySpace="0" w:legacyIndent="340"/>
      <w:lvlJc w:val="left"/>
      <w:pPr>
        <w:ind w:left="340" w:hanging="340"/>
      </w:pPr>
    </w:lvl>
  </w:abstractNum>
  <w:abstractNum w:abstractNumId="2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7">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1">
    <w:nsid w:val="5A096576"/>
    <w:multiLevelType w:val="singleLevel"/>
    <w:tmpl w:val="ED98921A"/>
    <w:lvl w:ilvl="0">
      <w:start w:val="1"/>
      <w:numFmt w:val="decimal"/>
      <w:lvlText w:val="%1."/>
      <w:legacy w:legacy="1" w:legacySpace="0" w:legacyIndent="340"/>
      <w:lvlJc w:val="left"/>
      <w:pPr>
        <w:ind w:left="340" w:hanging="340"/>
      </w:pPr>
    </w:lvl>
  </w:abstractNum>
  <w:abstractNum w:abstractNumId="32">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60055F7F"/>
    <w:multiLevelType w:val="singleLevel"/>
    <w:tmpl w:val="ED98921A"/>
    <w:lvl w:ilvl="0">
      <w:start w:val="1"/>
      <w:numFmt w:val="decimal"/>
      <w:lvlText w:val="%1."/>
      <w:legacy w:legacy="1" w:legacySpace="0" w:legacyIndent="340"/>
      <w:lvlJc w:val="left"/>
      <w:pPr>
        <w:ind w:left="340" w:hanging="340"/>
      </w:pPr>
    </w:lvl>
  </w:abstractNum>
  <w:abstractNum w:abstractNumId="34">
    <w:nsid w:val="608E741E"/>
    <w:multiLevelType w:val="singleLevel"/>
    <w:tmpl w:val="ED98921A"/>
    <w:lvl w:ilvl="0">
      <w:start w:val="1"/>
      <w:numFmt w:val="decimal"/>
      <w:lvlText w:val="%1."/>
      <w:legacy w:legacy="1" w:legacySpace="0" w:legacyIndent="340"/>
      <w:lvlJc w:val="left"/>
      <w:pPr>
        <w:ind w:left="340" w:hanging="340"/>
      </w:pPr>
    </w:lvl>
  </w:abstractNum>
  <w:abstractNum w:abstractNumId="35">
    <w:nsid w:val="61320C1E"/>
    <w:multiLevelType w:val="singleLevel"/>
    <w:tmpl w:val="C444122C"/>
    <w:lvl w:ilvl="0">
      <w:start w:val="1"/>
      <w:numFmt w:val="decimal"/>
      <w:lvlText w:val="%1."/>
      <w:legacy w:legacy="1" w:legacySpace="0" w:legacyIndent="284"/>
      <w:lvlJc w:val="left"/>
      <w:pPr>
        <w:ind w:left="284" w:hanging="284"/>
      </w:pPr>
    </w:lvl>
  </w:abstractNum>
  <w:abstractNum w:abstractNumId="36">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7">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8">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9">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0">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4">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10"/>
  </w:num>
  <w:num w:numId="3">
    <w:abstractNumId w:val="42"/>
  </w:num>
  <w:num w:numId="4">
    <w:abstractNumId w:val="7"/>
  </w:num>
  <w:num w:numId="5">
    <w:abstractNumId w:val="5"/>
  </w:num>
  <w:num w:numId="6">
    <w:abstractNumId w:val="25"/>
  </w:num>
  <w:num w:numId="7">
    <w:abstractNumId w:val="3"/>
  </w:num>
  <w:num w:numId="8">
    <w:abstractNumId w:val="9"/>
  </w:num>
  <w:num w:numId="9">
    <w:abstractNumId w:val="2"/>
  </w:num>
  <w:num w:numId="10">
    <w:abstractNumId w:val="37"/>
  </w:num>
  <w:num w:numId="11">
    <w:abstractNumId w:val="4"/>
  </w:num>
  <w:num w:numId="12">
    <w:abstractNumId w:val="1"/>
  </w:num>
  <w:num w:numId="13">
    <w:abstractNumId w:val="0"/>
  </w:num>
  <w:num w:numId="14">
    <w:abstractNumId w:val="28"/>
  </w:num>
  <w:num w:numId="15">
    <w:abstractNumId w:val="43"/>
  </w:num>
  <w:num w:numId="16">
    <w:abstractNumId w:val="17"/>
  </w:num>
  <w:num w:numId="17">
    <w:abstractNumId w:val="16"/>
  </w:num>
  <w:num w:numId="18">
    <w:abstractNumId w:val="26"/>
  </w:num>
  <w:num w:numId="19">
    <w:abstractNumId w:val="12"/>
  </w:num>
  <w:num w:numId="20">
    <w:abstractNumId w:val="34"/>
  </w:num>
  <w:num w:numId="21">
    <w:abstractNumId w:val="36"/>
  </w:num>
  <w:num w:numId="22">
    <w:abstractNumId w:val="24"/>
  </w:num>
  <w:num w:numId="23">
    <w:abstractNumId w:val="27"/>
  </w:num>
  <w:num w:numId="24">
    <w:abstractNumId w:val="29"/>
  </w:num>
  <w:num w:numId="25">
    <w:abstractNumId w:val="41"/>
  </w:num>
  <w:num w:numId="26">
    <w:abstractNumId w:val="33"/>
  </w:num>
  <w:num w:numId="27">
    <w:abstractNumId w:val="38"/>
  </w:num>
  <w:num w:numId="28">
    <w:abstractNumId w:val="39"/>
  </w:num>
  <w:num w:numId="29">
    <w:abstractNumId w:val="31"/>
  </w:num>
  <w:num w:numId="30">
    <w:abstractNumId w:val="21"/>
  </w:num>
  <w:num w:numId="31">
    <w:abstractNumId w:val="44"/>
  </w:num>
  <w:num w:numId="32">
    <w:abstractNumId w:val="15"/>
  </w:num>
  <w:num w:numId="33">
    <w:abstractNumId w:val="8"/>
  </w:num>
  <w:num w:numId="34">
    <w:abstractNumId w:val="18"/>
  </w:num>
  <w:num w:numId="35">
    <w:abstractNumId w:val="40"/>
  </w:num>
  <w:num w:numId="36">
    <w:abstractNumId w:val="32"/>
  </w:num>
  <w:num w:numId="37">
    <w:abstractNumId w:val="13"/>
  </w:num>
  <w:num w:numId="38">
    <w:abstractNumId w:val="35"/>
  </w:num>
  <w:num w:numId="39">
    <w:abstractNumId w:val="14"/>
  </w:num>
  <w:num w:numId="40">
    <w:abstractNumId w:val="17"/>
  </w:num>
  <w:num w:numId="41">
    <w:abstractNumId w:val="9"/>
  </w:num>
  <w:num w:numId="42">
    <w:abstractNumId w:val="23"/>
  </w:num>
  <w:num w:numId="43">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1"/>
  </w:num>
  <w:num w:numId="45">
    <w:abstractNumId w:val="19"/>
  </w:num>
  <w:num w:numId="46">
    <w:abstractNumId w:val="22"/>
  </w:num>
  <w:num w:numId="47">
    <w:abstractNumId w:val="10"/>
  </w:num>
  <w:num w:numId="4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hideSpellingError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71681"/>
  </w:hdrShapeDefaults>
  <w:footnotePr>
    <w:numStart w:val="67"/>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B"/>
    <w:docVar w:name="FindingOptions" w:val="1"/>
    <w:docVar w:name="RecOptions" w:val="111"/>
    <w:docVar w:name="ShortChapterTitle" w:val="Structural change indexes"/>
    <w:docVar w:name="ShortReportTitle" w:val="Aspects of structural change"/>
  </w:docVars>
  <w:rsids>
    <w:rsidRoot w:val="00201464"/>
    <w:rsid w:val="00011B53"/>
    <w:rsid w:val="000227D5"/>
    <w:rsid w:val="000245AA"/>
    <w:rsid w:val="0003664B"/>
    <w:rsid w:val="0004111F"/>
    <w:rsid w:val="000565B3"/>
    <w:rsid w:val="000566A3"/>
    <w:rsid w:val="0007150B"/>
    <w:rsid w:val="000938F5"/>
    <w:rsid w:val="00095793"/>
    <w:rsid w:val="00096E55"/>
    <w:rsid w:val="000B601B"/>
    <w:rsid w:val="000C207E"/>
    <w:rsid w:val="000C601A"/>
    <w:rsid w:val="000E067F"/>
    <w:rsid w:val="000F0035"/>
    <w:rsid w:val="000F420B"/>
    <w:rsid w:val="00106420"/>
    <w:rsid w:val="00110116"/>
    <w:rsid w:val="0011198B"/>
    <w:rsid w:val="0011724B"/>
    <w:rsid w:val="00120072"/>
    <w:rsid w:val="00126EB8"/>
    <w:rsid w:val="001274D4"/>
    <w:rsid w:val="0012794A"/>
    <w:rsid w:val="001363AA"/>
    <w:rsid w:val="00154A0F"/>
    <w:rsid w:val="00183E82"/>
    <w:rsid w:val="001878BB"/>
    <w:rsid w:val="00191AE0"/>
    <w:rsid w:val="0019293B"/>
    <w:rsid w:val="001A0918"/>
    <w:rsid w:val="001C0865"/>
    <w:rsid w:val="001C3ABA"/>
    <w:rsid w:val="001E7BE8"/>
    <w:rsid w:val="001F0248"/>
    <w:rsid w:val="001F3EB3"/>
    <w:rsid w:val="001F4F86"/>
    <w:rsid w:val="002001A0"/>
    <w:rsid w:val="00201464"/>
    <w:rsid w:val="00202C2C"/>
    <w:rsid w:val="002135AB"/>
    <w:rsid w:val="002144BE"/>
    <w:rsid w:val="00242279"/>
    <w:rsid w:val="00245C82"/>
    <w:rsid w:val="00247C12"/>
    <w:rsid w:val="00261C12"/>
    <w:rsid w:val="00291B40"/>
    <w:rsid w:val="002B4008"/>
    <w:rsid w:val="002D0E8E"/>
    <w:rsid w:val="00301189"/>
    <w:rsid w:val="00323E09"/>
    <w:rsid w:val="00326904"/>
    <w:rsid w:val="00333932"/>
    <w:rsid w:val="003518AA"/>
    <w:rsid w:val="00352165"/>
    <w:rsid w:val="00353182"/>
    <w:rsid w:val="00353F24"/>
    <w:rsid w:val="003565D9"/>
    <w:rsid w:val="003602E1"/>
    <w:rsid w:val="003611D8"/>
    <w:rsid w:val="003670E3"/>
    <w:rsid w:val="0037026F"/>
    <w:rsid w:val="00371240"/>
    <w:rsid w:val="00374731"/>
    <w:rsid w:val="00376E59"/>
    <w:rsid w:val="003919F9"/>
    <w:rsid w:val="003A23EC"/>
    <w:rsid w:val="003C38B5"/>
    <w:rsid w:val="003C5D99"/>
    <w:rsid w:val="003E2F59"/>
    <w:rsid w:val="003F0789"/>
    <w:rsid w:val="003F3906"/>
    <w:rsid w:val="00401882"/>
    <w:rsid w:val="004100C8"/>
    <w:rsid w:val="00411DBD"/>
    <w:rsid w:val="00412ACE"/>
    <w:rsid w:val="0042012D"/>
    <w:rsid w:val="00431249"/>
    <w:rsid w:val="00434C19"/>
    <w:rsid w:val="00443320"/>
    <w:rsid w:val="00450810"/>
    <w:rsid w:val="004549E7"/>
    <w:rsid w:val="00460FCE"/>
    <w:rsid w:val="0047167B"/>
    <w:rsid w:val="00473771"/>
    <w:rsid w:val="00477144"/>
    <w:rsid w:val="004846AE"/>
    <w:rsid w:val="00491380"/>
    <w:rsid w:val="0049459F"/>
    <w:rsid w:val="004A38DD"/>
    <w:rsid w:val="004B43AE"/>
    <w:rsid w:val="004C30ED"/>
    <w:rsid w:val="004D5675"/>
    <w:rsid w:val="00523639"/>
    <w:rsid w:val="00531FE5"/>
    <w:rsid w:val="005402FA"/>
    <w:rsid w:val="005566EA"/>
    <w:rsid w:val="00583C39"/>
    <w:rsid w:val="00587F28"/>
    <w:rsid w:val="005909CF"/>
    <w:rsid w:val="00591E71"/>
    <w:rsid w:val="005A0D41"/>
    <w:rsid w:val="005C45BF"/>
    <w:rsid w:val="005E2A3D"/>
    <w:rsid w:val="00607BF1"/>
    <w:rsid w:val="00630D4D"/>
    <w:rsid w:val="00632A74"/>
    <w:rsid w:val="00687526"/>
    <w:rsid w:val="006A4655"/>
    <w:rsid w:val="006B2B3C"/>
    <w:rsid w:val="006B46C1"/>
    <w:rsid w:val="006C1D81"/>
    <w:rsid w:val="006C2FBB"/>
    <w:rsid w:val="006C7038"/>
    <w:rsid w:val="006E73EF"/>
    <w:rsid w:val="006E7B9A"/>
    <w:rsid w:val="00707A2B"/>
    <w:rsid w:val="00713CFC"/>
    <w:rsid w:val="00714D4D"/>
    <w:rsid w:val="007604BB"/>
    <w:rsid w:val="00765328"/>
    <w:rsid w:val="00785232"/>
    <w:rsid w:val="007944A1"/>
    <w:rsid w:val="007A21EB"/>
    <w:rsid w:val="007B1A93"/>
    <w:rsid w:val="007C36C9"/>
    <w:rsid w:val="007D6401"/>
    <w:rsid w:val="007E01E4"/>
    <w:rsid w:val="007E2C17"/>
    <w:rsid w:val="007F7107"/>
    <w:rsid w:val="00800D4C"/>
    <w:rsid w:val="0081030F"/>
    <w:rsid w:val="00816FFD"/>
    <w:rsid w:val="0082087D"/>
    <w:rsid w:val="00835771"/>
    <w:rsid w:val="0084124F"/>
    <w:rsid w:val="00842933"/>
    <w:rsid w:val="0086082C"/>
    <w:rsid w:val="008623EB"/>
    <w:rsid w:val="00864ADC"/>
    <w:rsid w:val="00880153"/>
    <w:rsid w:val="008801D6"/>
    <w:rsid w:val="00880F97"/>
    <w:rsid w:val="0088133A"/>
    <w:rsid w:val="0089285E"/>
    <w:rsid w:val="0089436C"/>
    <w:rsid w:val="008D365C"/>
    <w:rsid w:val="008E641B"/>
    <w:rsid w:val="009030BF"/>
    <w:rsid w:val="0091032F"/>
    <w:rsid w:val="00914368"/>
    <w:rsid w:val="00931076"/>
    <w:rsid w:val="009345D9"/>
    <w:rsid w:val="00934B15"/>
    <w:rsid w:val="00940C87"/>
    <w:rsid w:val="00942B62"/>
    <w:rsid w:val="0095323B"/>
    <w:rsid w:val="00956A0C"/>
    <w:rsid w:val="00956BD9"/>
    <w:rsid w:val="009614F2"/>
    <w:rsid w:val="00962489"/>
    <w:rsid w:val="00980B53"/>
    <w:rsid w:val="00990C2C"/>
    <w:rsid w:val="009E1844"/>
    <w:rsid w:val="009F0D1B"/>
    <w:rsid w:val="009F696D"/>
    <w:rsid w:val="009F6BC6"/>
    <w:rsid w:val="00A008BD"/>
    <w:rsid w:val="00A17328"/>
    <w:rsid w:val="00A23A20"/>
    <w:rsid w:val="00A268B9"/>
    <w:rsid w:val="00A2703A"/>
    <w:rsid w:val="00A33DFF"/>
    <w:rsid w:val="00A35115"/>
    <w:rsid w:val="00A36D9A"/>
    <w:rsid w:val="00A554AB"/>
    <w:rsid w:val="00A57062"/>
    <w:rsid w:val="00A92B53"/>
    <w:rsid w:val="00A94FA6"/>
    <w:rsid w:val="00AA49A0"/>
    <w:rsid w:val="00AA6710"/>
    <w:rsid w:val="00AB0681"/>
    <w:rsid w:val="00AD4CC0"/>
    <w:rsid w:val="00AD520B"/>
    <w:rsid w:val="00AF22B9"/>
    <w:rsid w:val="00B425C3"/>
    <w:rsid w:val="00B440AD"/>
    <w:rsid w:val="00B479BB"/>
    <w:rsid w:val="00B53E7E"/>
    <w:rsid w:val="00B54E5B"/>
    <w:rsid w:val="00B6342E"/>
    <w:rsid w:val="00B7113F"/>
    <w:rsid w:val="00B87DB5"/>
    <w:rsid w:val="00BA73B6"/>
    <w:rsid w:val="00BA7E27"/>
    <w:rsid w:val="00BB2603"/>
    <w:rsid w:val="00BB4FCD"/>
    <w:rsid w:val="00BB76CD"/>
    <w:rsid w:val="00BC04E9"/>
    <w:rsid w:val="00BC2FF2"/>
    <w:rsid w:val="00BD13EA"/>
    <w:rsid w:val="00BE3808"/>
    <w:rsid w:val="00BE753C"/>
    <w:rsid w:val="00C01EE1"/>
    <w:rsid w:val="00C062E9"/>
    <w:rsid w:val="00C07B64"/>
    <w:rsid w:val="00C12A21"/>
    <w:rsid w:val="00C13721"/>
    <w:rsid w:val="00C14FE4"/>
    <w:rsid w:val="00C3066D"/>
    <w:rsid w:val="00C52416"/>
    <w:rsid w:val="00C543F4"/>
    <w:rsid w:val="00C6291C"/>
    <w:rsid w:val="00C633CB"/>
    <w:rsid w:val="00C736B7"/>
    <w:rsid w:val="00C81D4A"/>
    <w:rsid w:val="00C8762C"/>
    <w:rsid w:val="00CA00F9"/>
    <w:rsid w:val="00CA2961"/>
    <w:rsid w:val="00CB50D7"/>
    <w:rsid w:val="00CB7177"/>
    <w:rsid w:val="00CC1998"/>
    <w:rsid w:val="00CC4946"/>
    <w:rsid w:val="00D270A4"/>
    <w:rsid w:val="00D31FE9"/>
    <w:rsid w:val="00D34E1B"/>
    <w:rsid w:val="00D376BA"/>
    <w:rsid w:val="00D45634"/>
    <w:rsid w:val="00D5568A"/>
    <w:rsid w:val="00D63D73"/>
    <w:rsid w:val="00D64452"/>
    <w:rsid w:val="00D66E1E"/>
    <w:rsid w:val="00D7027B"/>
    <w:rsid w:val="00D71941"/>
    <w:rsid w:val="00D75722"/>
    <w:rsid w:val="00D80CF5"/>
    <w:rsid w:val="00DA5BBA"/>
    <w:rsid w:val="00DB26D2"/>
    <w:rsid w:val="00DB67C9"/>
    <w:rsid w:val="00DC0C95"/>
    <w:rsid w:val="00DD6580"/>
    <w:rsid w:val="00E074BA"/>
    <w:rsid w:val="00E13F7D"/>
    <w:rsid w:val="00E17C72"/>
    <w:rsid w:val="00E17CF2"/>
    <w:rsid w:val="00E21FC6"/>
    <w:rsid w:val="00E24538"/>
    <w:rsid w:val="00E431A9"/>
    <w:rsid w:val="00E55914"/>
    <w:rsid w:val="00E669E2"/>
    <w:rsid w:val="00E76135"/>
    <w:rsid w:val="00E822AE"/>
    <w:rsid w:val="00E82F4F"/>
    <w:rsid w:val="00E91821"/>
    <w:rsid w:val="00E93A12"/>
    <w:rsid w:val="00EC2844"/>
    <w:rsid w:val="00EC5500"/>
    <w:rsid w:val="00ED18F8"/>
    <w:rsid w:val="00EE241D"/>
    <w:rsid w:val="00EE5910"/>
    <w:rsid w:val="00EF6C6C"/>
    <w:rsid w:val="00F056FC"/>
    <w:rsid w:val="00F10476"/>
    <w:rsid w:val="00F135D8"/>
    <w:rsid w:val="00F17288"/>
    <w:rsid w:val="00F31299"/>
    <w:rsid w:val="00F3534A"/>
    <w:rsid w:val="00F51609"/>
    <w:rsid w:val="00F579B3"/>
    <w:rsid w:val="00F7231C"/>
    <w:rsid w:val="00F74FC6"/>
    <w:rsid w:val="00F81006"/>
    <w:rsid w:val="00F85325"/>
    <w:rsid w:val="00FD22B1"/>
    <w:rsid w:val="00FE453A"/>
    <w:rsid w:val="00FE53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footnote text" w:uiPriority="99"/>
    <w:lsdException w:name="annotation text" w:uiPriority="99"/>
    <w:lsdException w:name="List Bullet" w:uiPriority="99"/>
    <w:lsdException w:name="Body Text" w:uiPriority="99" w:qFormat="1"/>
    <w:lsdException w:name="Subtitle" w:qFormat="1"/>
    <w:lsdException w:name="Emphasis" w:uiPriority="99"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BB76CD"/>
    <w:pPr>
      <w:spacing w:after="200" w:line="276" w:lineRule="auto"/>
    </w:pPr>
    <w:rPr>
      <w:rFonts w:ascii="Calibri" w:hAnsi="Calibri"/>
      <w:sz w:val="22"/>
      <w:szCs w:val="22"/>
      <w:lang w:eastAsia="en-US"/>
    </w:rPr>
  </w:style>
  <w:style w:type="paragraph" w:styleId="Heading1">
    <w:name w:val="heading 1"/>
    <w:basedOn w:val="Normal"/>
    <w:next w:val="BodyText"/>
    <w:link w:val="Heading1Char"/>
    <w:rsid w:val="00FD22B1"/>
    <w:pPr>
      <w:keepNext/>
      <w:spacing w:before="160" w:after="1360" w:line="600" w:lineRule="exact"/>
      <w:ind w:left="907" w:hanging="907"/>
      <w:outlineLvl w:val="0"/>
    </w:pPr>
    <w:rPr>
      <w:rFonts w:ascii="Times New Roman" w:hAnsi="Times New Roman"/>
      <w:sz w:val="52"/>
      <w:szCs w:val="24"/>
      <w:lang w:eastAsia="en-AU"/>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uiPriority w:val="99"/>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link w:val="NoteChar"/>
    <w:rsid w:val="00A17328"/>
    <w:pPr>
      <w:keepLines/>
      <w:spacing w:before="80" w:line="220" w:lineRule="exact"/>
    </w:pPr>
    <w:rPr>
      <w:rFonts w:ascii="Arial" w:hAnsi="Arial"/>
      <w:sz w:val="18"/>
    </w:rPr>
  </w:style>
  <w:style w:type="paragraph" w:customStyle="1" w:styleId="Source">
    <w:name w:val="Source"/>
    <w:basedOn w:val="Note"/>
    <w:next w:val="BodyText"/>
    <w:link w:val="SourceChar"/>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rPr>
      <w:szCs w:val="20"/>
    </w:r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uiPriority w:val="99"/>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uiPriority w:val="99"/>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uiPriority w:val="99"/>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uiPriority w:val="99"/>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uiPriority w:val="99"/>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uiPriority w:val="99"/>
    <w:qForma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character" w:customStyle="1" w:styleId="Heading1Char">
    <w:name w:val="Heading 1 Char"/>
    <w:basedOn w:val="DefaultParagraphFont"/>
    <w:link w:val="Heading1"/>
    <w:rsid w:val="00D71941"/>
    <w:rPr>
      <w:sz w:val="52"/>
      <w:szCs w:val="24"/>
    </w:rPr>
  </w:style>
  <w:style w:type="character" w:customStyle="1" w:styleId="BodyTextChar">
    <w:name w:val="Body Text Char"/>
    <w:basedOn w:val="DefaultParagraphFont"/>
    <w:link w:val="BodyText"/>
    <w:uiPriority w:val="99"/>
    <w:locked/>
    <w:rsid w:val="00D71941"/>
    <w:rPr>
      <w:sz w:val="26"/>
    </w:rPr>
  </w:style>
  <w:style w:type="character" w:customStyle="1" w:styleId="CommentTextChar">
    <w:name w:val="Comment Text Char"/>
    <w:basedOn w:val="DefaultParagraphFont"/>
    <w:link w:val="CommentText"/>
    <w:uiPriority w:val="99"/>
    <w:semiHidden/>
    <w:locked/>
    <w:rsid w:val="00BB76CD"/>
    <w:rPr>
      <w:szCs w:val="24"/>
    </w:rPr>
  </w:style>
  <w:style w:type="character" w:customStyle="1" w:styleId="FootnoteTextChar">
    <w:name w:val="Footnote Text Char"/>
    <w:basedOn w:val="DefaultParagraphFont"/>
    <w:link w:val="FootnoteText"/>
    <w:uiPriority w:val="99"/>
    <w:rsid w:val="00E91821"/>
    <w:rPr>
      <w:sz w:val="22"/>
    </w:rPr>
  </w:style>
  <w:style w:type="paragraph" w:styleId="CommentSubject">
    <w:name w:val="annotation subject"/>
    <w:basedOn w:val="CommentText"/>
    <w:next w:val="CommentText"/>
    <w:link w:val="CommentSubjectChar"/>
    <w:rsid w:val="0012794A"/>
    <w:pPr>
      <w:spacing w:before="0" w:line="240" w:lineRule="auto"/>
      <w:ind w:left="0" w:firstLine="0"/>
    </w:pPr>
    <w:rPr>
      <w:b/>
      <w:bCs/>
      <w:szCs w:val="20"/>
    </w:rPr>
  </w:style>
  <w:style w:type="character" w:customStyle="1" w:styleId="CommentSubjectChar">
    <w:name w:val="Comment Subject Char"/>
    <w:basedOn w:val="CommentTextChar"/>
    <w:link w:val="CommentSubject"/>
    <w:rsid w:val="0012794A"/>
    <w:rPr>
      <w:rFonts w:ascii="Calibri" w:hAnsi="Calibri"/>
      <w:b/>
      <w:bCs/>
      <w:szCs w:val="24"/>
      <w:lang w:eastAsia="en-US"/>
    </w:rPr>
  </w:style>
  <w:style w:type="character" w:customStyle="1" w:styleId="NoteChar">
    <w:name w:val="Note Char"/>
    <w:link w:val="Note"/>
    <w:locked/>
    <w:rsid w:val="00F17288"/>
    <w:rPr>
      <w:rFonts w:ascii="Arial" w:hAnsi="Arial"/>
      <w:sz w:val="18"/>
    </w:rPr>
  </w:style>
  <w:style w:type="character" w:customStyle="1" w:styleId="SourceChar">
    <w:name w:val="Source Char"/>
    <w:link w:val="Source"/>
    <w:locked/>
    <w:rsid w:val="00F17288"/>
    <w:rPr>
      <w:rFonts w:ascii="Arial" w:hAnsi="Arial"/>
      <w:sz w:val="18"/>
    </w:rPr>
  </w:style>
  <w:style w:type="table" w:styleId="TableGrid">
    <w:name w:val="Table Grid"/>
    <w:basedOn w:val="TableNormal"/>
    <w:rsid w:val="00E93A1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footnote text" w:uiPriority="99"/>
    <w:lsdException w:name="annotation text" w:uiPriority="99"/>
    <w:lsdException w:name="List Bullet" w:uiPriority="99"/>
    <w:lsdException w:name="Body Text" w:uiPriority="99" w:qFormat="1"/>
    <w:lsdException w:name="Subtitle" w:qFormat="1"/>
    <w:lsdException w:name="Emphasis" w:uiPriority="99"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BB76CD"/>
    <w:pPr>
      <w:spacing w:after="200" w:line="276" w:lineRule="auto"/>
    </w:pPr>
    <w:rPr>
      <w:rFonts w:ascii="Calibri" w:hAnsi="Calibri"/>
      <w:sz w:val="22"/>
      <w:szCs w:val="22"/>
      <w:lang w:eastAsia="en-US"/>
    </w:rPr>
  </w:style>
  <w:style w:type="paragraph" w:styleId="Heading1">
    <w:name w:val="heading 1"/>
    <w:basedOn w:val="Normal"/>
    <w:next w:val="BodyText"/>
    <w:link w:val="Heading1Char"/>
    <w:rsid w:val="00FD22B1"/>
    <w:pPr>
      <w:keepNext/>
      <w:spacing w:before="160" w:after="1360" w:line="600" w:lineRule="exact"/>
      <w:ind w:left="907" w:hanging="907"/>
      <w:outlineLvl w:val="0"/>
    </w:pPr>
    <w:rPr>
      <w:rFonts w:ascii="Times New Roman" w:hAnsi="Times New Roman"/>
      <w:sz w:val="52"/>
      <w:szCs w:val="24"/>
      <w:lang w:eastAsia="en-AU"/>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uiPriority w:val="99"/>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link w:val="NoteChar"/>
    <w:rsid w:val="00A17328"/>
    <w:pPr>
      <w:keepLines/>
      <w:spacing w:before="80" w:line="220" w:lineRule="exact"/>
    </w:pPr>
    <w:rPr>
      <w:rFonts w:ascii="Arial" w:hAnsi="Arial"/>
      <w:sz w:val="18"/>
    </w:rPr>
  </w:style>
  <w:style w:type="paragraph" w:customStyle="1" w:styleId="Source">
    <w:name w:val="Source"/>
    <w:basedOn w:val="Note"/>
    <w:next w:val="BodyText"/>
    <w:link w:val="SourceChar"/>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rPr>
      <w:szCs w:val="20"/>
    </w:r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uiPriority w:val="99"/>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uiPriority w:val="99"/>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uiPriority w:val="99"/>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uiPriority w:val="99"/>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uiPriority w:val="99"/>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uiPriority w:val="99"/>
    <w:qForma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character" w:customStyle="1" w:styleId="Heading1Char">
    <w:name w:val="Heading 1 Char"/>
    <w:basedOn w:val="DefaultParagraphFont"/>
    <w:link w:val="Heading1"/>
    <w:rsid w:val="00D71941"/>
    <w:rPr>
      <w:sz w:val="52"/>
      <w:szCs w:val="24"/>
    </w:rPr>
  </w:style>
  <w:style w:type="character" w:customStyle="1" w:styleId="BodyTextChar">
    <w:name w:val="Body Text Char"/>
    <w:basedOn w:val="DefaultParagraphFont"/>
    <w:link w:val="BodyText"/>
    <w:uiPriority w:val="99"/>
    <w:locked/>
    <w:rsid w:val="00D71941"/>
    <w:rPr>
      <w:sz w:val="26"/>
    </w:rPr>
  </w:style>
  <w:style w:type="character" w:customStyle="1" w:styleId="CommentTextChar">
    <w:name w:val="Comment Text Char"/>
    <w:basedOn w:val="DefaultParagraphFont"/>
    <w:link w:val="CommentText"/>
    <w:uiPriority w:val="99"/>
    <w:semiHidden/>
    <w:locked/>
    <w:rsid w:val="00BB76CD"/>
    <w:rPr>
      <w:szCs w:val="24"/>
    </w:rPr>
  </w:style>
  <w:style w:type="character" w:customStyle="1" w:styleId="FootnoteTextChar">
    <w:name w:val="Footnote Text Char"/>
    <w:basedOn w:val="DefaultParagraphFont"/>
    <w:link w:val="FootnoteText"/>
    <w:uiPriority w:val="99"/>
    <w:rsid w:val="00E91821"/>
    <w:rPr>
      <w:sz w:val="22"/>
    </w:rPr>
  </w:style>
  <w:style w:type="paragraph" w:styleId="CommentSubject">
    <w:name w:val="annotation subject"/>
    <w:basedOn w:val="CommentText"/>
    <w:next w:val="CommentText"/>
    <w:link w:val="CommentSubjectChar"/>
    <w:rsid w:val="0012794A"/>
    <w:pPr>
      <w:spacing w:before="0" w:line="240" w:lineRule="auto"/>
      <w:ind w:left="0" w:firstLine="0"/>
    </w:pPr>
    <w:rPr>
      <w:b/>
      <w:bCs/>
      <w:szCs w:val="20"/>
    </w:rPr>
  </w:style>
  <w:style w:type="character" w:customStyle="1" w:styleId="CommentSubjectChar">
    <w:name w:val="Comment Subject Char"/>
    <w:basedOn w:val="CommentTextChar"/>
    <w:link w:val="CommentSubject"/>
    <w:rsid w:val="0012794A"/>
    <w:rPr>
      <w:rFonts w:ascii="Calibri" w:hAnsi="Calibri"/>
      <w:b/>
      <w:bCs/>
      <w:szCs w:val="24"/>
      <w:lang w:eastAsia="en-US"/>
    </w:rPr>
  </w:style>
  <w:style w:type="character" w:customStyle="1" w:styleId="NoteChar">
    <w:name w:val="Note Char"/>
    <w:link w:val="Note"/>
    <w:locked/>
    <w:rsid w:val="00F17288"/>
    <w:rPr>
      <w:rFonts w:ascii="Arial" w:hAnsi="Arial"/>
      <w:sz w:val="18"/>
    </w:rPr>
  </w:style>
  <w:style w:type="character" w:customStyle="1" w:styleId="SourceChar">
    <w:name w:val="Source Char"/>
    <w:link w:val="Source"/>
    <w:locked/>
    <w:rsid w:val="00F17288"/>
    <w:rPr>
      <w:rFonts w:ascii="Arial" w:hAnsi="Arial"/>
      <w:sz w:val="18"/>
    </w:rPr>
  </w:style>
  <w:style w:type="table" w:styleId="TableGrid">
    <w:name w:val="Table Grid"/>
    <w:basedOn w:val="TableNormal"/>
    <w:rsid w:val="00E93A1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chart" Target="charts/chart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2.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8.4317204301075269E-2"/>
          <c:y val="0.12151631944444445"/>
          <c:w val="0.88404229390681"/>
          <c:h val="0.72662118055555547"/>
        </c:manualLayout>
      </c:layout>
      <c:lineChart>
        <c:grouping val="standard"/>
        <c:varyColors val="0"/>
        <c:ser>
          <c:idx val="1"/>
          <c:order val="0"/>
          <c:tx>
            <c:strRef>
              <c:f>'By level of disaggregation'!$C$2</c:f>
              <c:strCache>
                <c:ptCount val="1"/>
                <c:pt idx="0">
                  <c:v>4 sectors</c:v>
                </c:pt>
              </c:strCache>
            </c:strRef>
          </c:tx>
          <c:spPr>
            <a:ln w="19050">
              <a:solidFill>
                <a:srgbClr val="B4C98B"/>
              </a:solidFill>
              <a:prstDash val="sysDash"/>
            </a:ln>
          </c:spPr>
          <c:marker>
            <c:symbol val="none"/>
          </c:marker>
          <c:cat>
            <c:numRef>
              <c:f>'By level of disaggregation'!$A$3:$A$46</c:f>
              <c:numCache>
                <c:formatCode>yyyy</c:formatCode>
                <c:ptCount val="44"/>
                <c:pt idx="0">
                  <c:v>25355</c:v>
                </c:pt>
                <c:pt idx="1">
                  <c:v>25720</c:v>
                </c:pt>
                <c:pt idx="2">
                  <c:v>26085</c:v>
                </c:pt>
                <c:pt idx="3">
                  <c:v>26451</c:v>
                </c:pt>
                <c:pt idx="4">
                  <c:v>26816</c:v>
                </c:pt>
                <c:pt idx="5">
                  <c:v>27181</c:v>
                </c:pt>
                <c:pt idx="6">
                  <c:v>27546</c:v>
                </c:pt>
                <c:pt idx="7">
                  <c:v>27912</c:v>
                </c:pt>
                <c:pt idx="8">
                  <c:v>28277</c:v>
                </c:pt>
                <c:pt idx="9">
                  <c:v>28642</c:v>
                </c:pt>
                <c:pt idx="10">
                  <c:v>29007</c:v>
                </c:pt>
                <c:pt idx="11">
                  <c:v>29373</c:v>
                </c:pt>
                <c:pt idx="12">
                  <c:v>29738</c:v>
                </c:pt>
                <c:pt idx="13">
                  <c:v>30103</c:v>
                </c:pt>
                <c:pt idx="14">
                  <c:v>30468</c:v>
                </c:pt>
                <c:pt idx="15">
                  <c:v>30834</c:v>
                </c:pt>
                <c:pt idx="16">
                  <c:v>31199</c:v>
                </c:pt>
                <c:pt idx="17">
                  <c:v>31564</c:v>
                </c:pt>
                <c:pt idx="18">
                  <c:v>31929</c:v>
                </c:pt>
                <c:pt idx="19">
                  <c:v>32295</c:v>
                </c:pt>
                <c:pt idx="20">
                  <c:v>32660</c:v>
                </c:pt>
                <c:pt idx="21" formatCode="0;\-0;0;@">
                  <c:v>1990</c:v>
                </c:pt>
                <c:pt idx="22" formatCode="0;\-0;0;@">
                  <c:v>1991</c:v>
                </c:pt>
                <c:pt idx="23" formatCode="0;\-0;0;@">
                  <c:v>1992</c:v>
                </c:pt>
                <c:pt idx="24" formatCode="0;\-0;0;@">
                  <c:v>1993</c:v>
                </c:pt>
                <c:pt idx="25" formatCode="0;\-0;0;@">
                  <c:v>1994</c:v>
                </c:pt>
                <c:pt idx="26" formatCode="0;\-0;0;@">
                  <c:v>1995</c:v>
                </c:pt>
                <c:pt idx="27" formatCode="0;\-0;0;@">
                  <c:v>1996</c:v>
                </c:pt>
                <c:pt idx="28" formatCode="0;\-0;0;@">
                  <c:v>1997</c:v>
                </c:pt>
                <c:pt idx="29" formatCode="0;\-0;0;@">
                  <c:v>1998</c:v>
                </c:pt>
                <c:pt idx="30" formatCode="0;\-0;0;@">
                  <c:v>1999</c:v>
                </c:pt>
                <c:pt idx="31" formatCode="0;\-0;0;@">
                  <c:v>2000</c:v>
                </c:pt>
                <c:pt idx="32" formatCode="0;\-0;0;@">
                  <c:v>2001</c:v>
                </c:pt>
                <c:pt idx="33" formatCode="0;\-0;0;@">
                  <c:v>2002</c:v>
                </c:pt>
                <c:pt idx="34" formatCode="0;\-0;0;@">
                  <c:v>2003</c:v>
                </c:pt>
                <c:pt idx="35" formatCode="0;\-0;0;@">
                  <c:v>2004</c:v>
                </c:pt>
                <c:pt idx="36" formatCode="0;\-0;0;@">
                  <c:v>2005</c:v>
                </c:pt>
                <c:pt idx="37" formatCode="0;\-0;0;@">
                  <c:v>2006</c:v>
                </c:pt>
                <c:pt idx="38" formatCode="0;\-0;0;@">
                  <c:v>2007</c:v>
                </c:pt>
                <c:pt idx="39" formatCode="0;\-0;0;@">
                  <c:v>2008</c:v>
                </c:pt>
                <c:pt idx="40" formatCode="0;\-0;0;@">
                  <c:v>2009</c:v>
                </c:pt>
                <c:pt idx="41" formatCode="0;\-0;0;@">
                  <c:v>2010</c:v>
                </c:pt>
                <c:pt idx="42" formatCode="0;\-0;0;@">
                  <c:v>2011</c:v>
                </c:pt>
                <c:pt idx="43" formatCode="0;\-0;0;@">
                  <c:v>2012</c:v>
                </c:pt>
              </c:numCache>
            </c:numRef>
          </c:cat>
          <c:val>
            <c:numRef>
              <c:f>'By level of disaggregation'!$C$3:$C$46</c:f>
              <c:numCache>
                <c:formatCode>0.00</c:formatCode>
                <c:ptCount val="44"/>
                <c:pt idx="0">
                  <c:v>0.48352372099253516</c:v>
                </c:pt>
                <c:pt idx="1">
                  <c:v>0.97568998318892675</c:v>
                </c:pt>
                <c:pt idx="2">
                  <c:v>1.7062684282905873</c:v>
                </c:pt>
                <c:pt idx="3">
                  <c:v>2.5575273110407282</c:v>
                </c:pt>
                <c:pt idx="4">
                  <c:v>3.4251583576180433</c:v>
                </c:pt>
                <c:pt idx="5">
                  <c:v>4.1679731031766893</c:v>
                </c:pt>
                <c:pt idx="6">
                  <c:v>4.1147937130753709</c:v>
                </c:pt>
                <c:pt idx="7">
                  <c:v>3.4783259829858491</c:v>
                </c:pt>
                <c:pt idx="8">
                  <c:v>2.882677887860611</c:v>
                </c:pt>
                <c:pt idx="9">
                  <c:v>3.4482548401768605</c:v>
                </c:pt>
                <c:pt idx="10">
                  <c:v>3.5690900343969094</c:v>
                </c:pt>
                <c:pt idx="11">
                  <c:v>3.0862880098420487</c:v>
                </c:pt>
                <c:pt idx="12">
                  <c:v>2.6347658593272332</c:v>
                </c:pt>
                <c:pt idx="13">
                  <c:v>2.335020915136881</c:v>
                </c:pt>
                <c:pt idx="14">
                  <c:v>2.0609826755972027</c:v>
                </c:pt>
                <c:pt idx="15">
                  <c:v>2.0071570357312725</c:v>
                </c:pt>
                <c:pt idx="16">
                  <c:v>1.9759106877083898</c:v>
                </c:pt>
                <c:pt idx="17">
                  <c:v>1.7270110958123273</c:v>
                </c:pt>
                <c:pt idx="18">
                  <c:v>2.0612731582528117</c:v>
                </c:pt>
                <c:pt idx="19">
                  <c:v>1.9647968142238441</c:v>
                </c:pt>
                <c:pt idx="20">
                  <c:v>1.932577986260531</c:v>
                </c:pt>
                <c:pt idx="21">
                  <c:v>1.9311358415319566</c:v>
                </c:pt>
                <c:pt idx="22">
                  <c:v>1.7303796959442252</c:v>
                </c:pt>
                <c:pt idx="23">
                  <c:v>1.5993388515048772</c:v>
                </c:pt>
                <c:pt idx="24">
                  <c:v>1.6221461807619177</c:v>
                </c:pt>
                <c:pt idx="25">
                  <c:v>1.6046160555928903</c:v>
                </c:pt>
                <c:pt idx="26">
                  <c:v>1.5918193972474115</c:v>
                </c:pt>
                <c:pt idx="27">
                  <c:v>1.674809112068439</c:v>
                </c:pt>
                <c:pt idx="28">
                  <c:v>1.5040179346238527</c:v>
                </c:pt>
                <c:pt idx="29">
                  <c:v>1.4685067288703277</c:v>
                </c:pt>
                <c:pt idx="30">
                  <c:v>1.4302580424406517</c:v>
                </c:pt>
                <c:pt idx="31">
                  <c:v>1.2316081676577171</c:v>
                </c:pt>
                <c:pt idx="32">
                  <c:v>1.3996822583841446</c:v>
                </c:pt>
                <c:pt idx="33">
                  <c:v>1.493820247290867</c:v>
                </c:pt>
                <c:pt idx="34">
                  <c:v>1.5648869447162461</c:v>
                </c:pt>
                <c:pt idx="35">
                  <c:v>1.527448679960097</c:v>
                </c:pt>
                <c:pt idx="36">
                  <c:v>1.5724960794859471</c:v>
                </c:pt>
                <c:pt idx="37">
                  <c:v>1.8687693827554954</c:v>
                </c:pt>
                <c:pt idx="38">
                  <c:v>2.0776505507139209</c:v>
                </c:pt>
                <c:pt idx="39">
                  <c:v>2.0410789790946398</c:v>
                </c:pt>
                <c:pt idx="40">
                  <c:v>2.0068747001703731</c:v>
                </c:pt>
                <c:pt idx="41">
                  <c:v>1.845158364343024</c:v>
                </c:pt>
                <c:pt idx="42">
                  <c:v>1.6314766715229865</c:v>
                </c:pt>
                <c:pt idx="43">
                  <c:v>1.4498805056463022</c:v>
                </c:pt>
              </c:numCache>
            </c:numRef>
          </c:val>
          <c:smooth val="0"/>
        </c:ser>
        <c:ser>
          <c:idx val="0"/>
          <c:order val="1"/>
          <c:tx>
            <c:strRef>
              <c:f>'By level of disaggregation'!$B$2</c:f>
              <c:strCache>
                <c:ptCount val="1"/>
                <c:pt idx="0">
                  <c:v>8 sectors</c:v>
                </c:pt>
              </c:strCache>
            </c:strRef>
          </c:tx>
          <c:spPr>
            <a:ln w="19050" cmpd="sng">
              <a:solidFill>
                <a:srgbClr val="344893"/>
              </a:solidFill>
              <a:prstDash val="solid"/>
            </a:ln>
          </c:spPr>
          <c:marker>
            <c:symbol val="none"/>
          </c:marker>
          <c:cat>
            <c:numRef>
              <c:f>'By level of disaggregation'!$A$3:$A$46</c:f>
              <c:numCache>
                <c:formatCode>yyyy</c:formatCode>
                <c:ptCount val="44"/>
                <c:pt idx="0">
                  <c:v>25355</c:v>
                </c:pt>
                <c:pt idx="1">
                  <c:v>25720</c:v>
                </c:pt>
                <c:pt idx="2">
                  <c:v>26085</c:v>
                </c:pt>
                <c:pt idx="3">
                  <c:v>26451</c:v>
                </c:pt>
                <c:pt idx="4">
                  <c:v>26816</c:v>
                </c:pt>
                <c:pt idx="5">
                  <c:v>27181</c:v>
                </c:pt>
                <c:pt idx="6">
                  <c:v>27546</c:v>
                </c:pt>
                <c:pt idx="7">
                  <c:v>27912</c:v>
                </c:pt>
                <c:pt idx="8">
                  <c:v>28277</c:v>
                </c:pt>
                <c:pt idx="9">
                  <c:v>28642</c:v>
                </c:pt>
                <c:pt idx="10">
                  <c:v>29007</c:v>
                </c:pt>
                <c:pt idx="11">
                  <c:v>29373</c:v>
                </c:pt>
                <c:pt idx="12">
                  <c:v>29738</c:v>
                </c:pt>
                <c:pt idx="13">
                  <c:v>30103</c:v>
                </c:pt>
                <c:pt idx="14">
                  <c:v>30468</c:v>
                </c:pt>
                <c:pt idx="15">
                  <c:v>30834</c:v>
                </c:pt>
                <c:pt idx="16">
                  <c:v>31199</c:v>
                </c:pt>
                <c:pt idx="17">
                  <c:v>31564</c:v>
                </c:pt>
                <c:pt idx="18">
                  <c:v>31929</c:v>
                </c:pt>
                <c:pt idx="19">
                  <c:v>32295</c:v>
                </c:pt>
                <c:pt idx="20">
                  <c:v>32660</c:v>
                </c:pt>
                <c:pt idx="21" formatCode="0;\-0;0;@">
                  <c:v>1990</c:v>
                </c:pt>
                <c:pt idx="22" formatCode="0;\-0;0;@">
                  <c:v>1991</c:v>
                </c:pt>
                <c:pt idx="23" formatCode="0;\-0;0;@">
                  <c:v>1992</c:v>
                </c:pt>
                <c:pt idx="24" formatCode="0;\-0;0;@">
                  <c:v>1993</c:v>
                </c:pt>
                <c:pt idx="25" formatCode="0;\-0;0;@">
                  <c:v>1994</c:v>
                </c:pt>
                <c:pt idx="26" formatCode="0;\-0;0;@">
                  <c:v>1995</c:v>
                </c:pt>
                <c:pt idx="27" formatCode="0;\-0;0;@">
                  <c:v>1996</c:v>
                </c:pt>
                <c:pt idx="28" formatCode="0;\-0;0;@">
                  <c:v>1997</c:v>
                </c:pt>
                <c:pt idx="29" formatCode="0;\-0;0;@">
                  <c:v>1998</c:v>
                </c:pt>
                <c:pt idx="30" formatCode="0;\-0;0;@">
                  <c:v>1999</c:v>
                </c:pt>
                <c:pt idx="31" formatCode="0;\-0;0;@">
                  <c:v>2000</c:v>
                </c:pt>
                <c:pt idx="32" formatCode="0;\-0;0;@">
                  <c:v>2001</c:v>
                </c:pt>
                <c:pt idx="33" formatCode="0;\-0;0;@">
                  <c:v>2002</c:v>
                </c:pt>
                <c:pt idx="34" formatCode="0;\-0;0;@">
                  <c:v>2003</c:v>
                </c:pt>
                <c:pt idx="35" formatCode="0;\-0;0;@">
                  <c:v>2004</c:v>
                </c:pt>
                <c:pt idx="36" formatCode="0;\-0;0;@">
                  <c:v>2005</c:v>
                </c:pt>
                <c:pt idx="37" formatCode="0;\-0;0;@">
                  <c:v>2006</c:v>
                </c:pt>
                <c:pt idx="38" formatCode="0;\-0;0;@">
                  <c:v>2007</c:v>
                </c:pt>
                <c:pt idx="39" formatCode="0;\-0;0;@">
                  <c:v>2008</c:v>
                </c:pt>
                <c:pt idx="40" formatCode="0;\-0;0;@">
                  <c:v>2009</c:v>
                </c:pt>
                <c:pt idx="41" formatCode="0;\-0;0;@">
                  <c:v>2010</c:v>
                </c:pt>
                <c:pt idx="42" formatCode="0;\-0;0;@">
                  <c:v>2011</c:v>
                </c:pt>
                <c:pt idx="43" formatCode="0;\-0;0;@">
                  <c:v>2012</c:v>
                </c:pt>
              </c:numCache>
            </c:numRef>
          </c:cat>
          <c:val>
            <c:numRef>
              <c:f>'By level of disaggregation'!$B$3:$B$46</c:f>
              <c:numCache>
                <c:formatCode>0.00</c:formatCode>
                <c:ptCount val="44"/>
                <c:pt idx="0">
                  <c:v>0.84343921312643144</c:v>
                </c:pt>
                <c:pt idx="1">
                  <c:v>1.2520886708220007</c:v>
                </c:pt>
                <c:pt idx="2">
                  <c:v>1.8195109430799621</c:v>
                </c:pt>
                <c:pt idx="3">
                  <c:v>2.6274202088965253</c:v>
                </c:pt>
                <c:pt idx="4">
                  <c:v>3.425158357618034</c:v>
                </c:pt>
                <c:pt idx="5">
                  <c:v>4.1679731031766885</c:v>
                </c:pt>
                <c:pt idx="6">
                  <c:v>4.1417143552865729</c:v>
                </c:pt>
                <c:pt idx="7">
                  <c:v>4.3569569360497891</c:v>
                </c:pt>
                <c:pt idx="8">
                  <c:v>4.5550514506136146</c:v>
                </c:pt>
                <c:pt idx="9">
                  <c:v>5.1659069559523072</c:v>
                </c:pt>
                <c:pt idx="10">
                  <c:v>5.2955721544048924</c:v>
                </c:pt>
                <c:pt idx="11">
                  <c:v>4.5147222166487309</c:v>
                </c:pt>
                <c:pt idx="12">
                  <c:v>3.6719995296831915</c:v>
                </c:pt>
                <c:pt idx="13">
                  <c:v>2.8899375562348553</c:v>
                </c:pt>
                <c:pt idx="14">
                  <c:v>2.3542413619539571</c:v>
                </c:pt>
                <c:pt idx="15">
                  <c:v>2.5117262134844816</c:v>
                </c:pt>
                <c:pt idx="16">
                  <c:v>2.4985583742968251</c:v>
                </c:pt>
                <c:pt idx="17">
                  <c:v>2.3108515157645533</c:v>
                </c:pt>
                <c:pt idx="18">
                  <c:v>2.8369791374303559</c:v>
                </c:pt>
                <c:pt idx="19">
                  <c:v>2.9828637652002681</c:v>
                </c:pt>
                <c:pt idx="20">
                  <c:v>3.4026573869817724</c:v>
                </c:pt>
                <c:pt idx="21">
                  <c:v>3.8400790574547057</c:v>
                </c:pt>
                <c:pt idx="22">
                  <c:v>3.9390871768519058</c:v>
                </c:pt>
                <c:pt idx="23">
                  <c:v>3.8536587630863717</c:v>
                </c:pt>
                <c:pt idx="24">
                  <c:v>3.3669244319339677</c:v>
                </c:pt>
                <c:pt idx="25">
                  <c:v>3.1070916685113752</c:v>
                </c:pt>
                <c:pt idx="26">
                  <c:v>2.7119019909527449</c:v>
                </c:pt>
                <c:pt idx="27">
                  <c:v>2.6388699529986397</c:v>
                </c:pt>
                <c:pt idx="28">
                  <c:v>2.3613728305520691</c:v>
                </c:pt>
                <c:pt idx="29">
                  <c:v>2.480430634677409</c:v>
                </c:pt>
                <c:pt idx="30">
                  <c:v>2.4239785097743569</c:v>
                </c:pt>
                <c:pt idx="31">
                  <c:v>2.3969700281153119</c:v>
                </c:pt>
                <c:pt idx="32">
                  <c:v>2.5755522316831199</c:v>
                </c:pt>
                <c:pt idx="33">
                  <c:v>2.6673664797360805</c:v>
                </c:pt>
                <c:pt idx="34">
                  <c:v>2.5462791498089912</c:v>
                </c:pt>
                <c:pt idx="35">
                  <c:v>2.4125934834362206</c:v>
                </c:pt>
                <c:pt idx="36">
                  <c:v>2.2458059374205237</c:v>
                </c:pt>
                <c:pt idx="37">
                  <c:v>2.5743871307053072</c:v>
                </c:pt>
                <c:pt idx="38">
                  <c:v>2.770133418566092</c:v>
                </c:pt>
                <c:pt idx="39">
                  <c:v>2.8281149332427917</c:v>
                </c:pt>
                <c:pt idx="40">
                  <c:v>2.7517605089542241</c:v>
                </c:pt>
                <c:pt idx="41">
                  <c:v>2.5573930242817196</c:v>
                </c:pt>
                <c:pt idx="42">
                  <c:v>2.2533557223334406</c:v>
                </c:pt>
                <c:pt idx="43">
                  <c:v>2.164805671435154</c:v>
                </c:pt>
              </c:numCache>
            </c:numRef>
          </c:val>
          <c:smooth val="0"/>
        </c:ser>
        <c:ser>
          <c:idx val="2"/>
          <c:order val="2"/>
          <c:tx>
            <c:strRef>
              <c:f>'By level of disaggregation'!$D$2</c:f>
              <c:strCache>
                <c:ptCount val="1"/>
                <c:pt idx="0">
                  <c:v>19 industries</c:v>
                </c:pt>
              </c:strCache>
            </c:strRef>
          </c:tx>
          <c:spPr>
            <a:ln w="19050">
              <a:solidFill>
                <a:srgbClr val="7B905A"/>
              </a:solidFill>
              <a:prstDash val="dashDot"/>
            </a:ln>
          </c:spPr>
          <c:marker>
            <c:symbol val="none"/>
          </c:marker>
          <c:cat>
            <c:numRef>
              <c:f>'By level of disaggregation'!$A$3:$A$46</c:f>
              <c:numCache>
                <c:formatCode>yyyy</c:formatCode>
                <c:ptCount val="44"/>
                <c:pt idx="0">
                  <c:v>25355</c:v>
                </c:pt>
                <c:pt idx="1">
                  <c:v>25720</c:v>
                </c:pt>
                <c:pt idx="2">
                  <c:v>26085</c:v>
                </c:pt>
                <c:pt idx="3">
                  <c:v>26451</c:v>
                </c:pt>
                <c:pt idx="4">
                  <c:v>26816</c:v>
                </c:pt>
                <c:pt idx="5">
                  <c:v>27181</c:v>
                </c:pt>
                <c:pt idx="6">
                  <c:v>27546</c:v>
                </c:pt>
                <c:pt idx="7">
                  <c:v>27912</c:v>
                </c:pt>
                <c:pt idx="8">
                  <c:v>28277</c:v>
                </c:pt>
                <c:pt idx="9">
                  <c:v>28642</c:v>
                </c:pt>
                <c:pt idx="10">
                  <c:v>29007</c:v>
                </c:pt>
                <c:pt idx="11">
                  <c:v>29373</c:v>
                </c:pt>
                <c:pt idx="12">
                  <c:v>29738</c:v>
                </c:pt>
                <c:pt idx="13">
                  <c:v>30103</c:v>
                </c:pt>
                <c:pt idx="14">
                  <c:v>30468</c:v>
                </c:pt>
                <c:pt idx="15">
                  <c:v>30834</c:v>
                </c:pt>
                <c:pt idx="16">
                  <c:v>31199</c:v>
                </c:pt>
                <c:pt idx="17">
                  <c:v>31564</c:v>
                </c:pt>
                <c:pt idx="18">
                  <c:v>31929</c:v>
                </c:pt>
                <c:pt idx="19">
                  <c:v>32295</c:v>
                </c:pt>
                <c:pt idx="20">
                  <c:v>32660</c:v>
                </c:pt>
                <c:pt idx="21" formatCode="0;\-0;0;@">
                  <c:v>1990</c:v>
                </c:pt>
                <c:pt idx="22" formatCode="0;\-0;0;@">
                  <c:v>1991</c:v>
                </c:pt>
                <c:pt idx="23" formatCode="0;\-0;0;@">
                  <c:v>1992</c:v>
                </c:pt>
                <c:pt idx="24" formatCode="0;\-0;0;@">
                  <c:v>1993</c:v>
                </c:pt>
                <c:pt idx="25" formatCode="0;\-0;0;@">
                  <c:v>1994</c:v>
                </c:pt>
                <c:pt idx="26" formatCode="0;\-0;0;@">
                  <c:v>1995</c:v>
                </c:pt>
                <c:pt idx="27" formatCode="0;\-0;0;@">
                  <c:v>1996</c:v>
                </c:pt>
                <c:pt idx="28" formatCode="0;\-0;0;@">
                  <c:v>1997</c:v>
                </c:pt>
                <c:pt idx="29" formatCode="0;\-0;0;@">
                  <c:v>1998</c:v>
                </c:pt>
                <c:pt idx="30" formatCode="0;\-0;0;@">
                  <c:v>1999</c:v>
                </c:pt>
                <c:pt idx="31" formatCode="0;\-0;0;@">
                  <c:v>2000</c:v>
                </c:pt>
                <c:pt idx="32" formatCode="0;\-0;0;@">
                  <c:v>2001</c:v>
                </c:pt>
                <c:pt idx="33" formatCode="0;\-0;0;@">
                  <c:v>2002</c:v>
                </c:pt>
                <c:pt idx="34" formatCode="0;\-0;0;@">
                  <c:v>2003</c:v>
                </c:pt>
                <c:pt idx="35" formatCode="0;\-0;0;@">
                  <c:v>2004</c:v>
                </c:pt>
                <c:pt idx="36" formatCode="0;\-0;0;@">
                  <c:v>2005</c:v>
                </c:pt>
                <c:pt idx="37" formatCode="0;\-0;0;@">
                  <c:v>2006</c:v>
                </c:pt>
                <c:pt idx="38" formatCode="0;\-0;0;@">
                  <c:v>2007</c:v>
                </c:pt>
                <c:pt idx="39" formatCode="0;\-0;0;@">
                  <c:v>2008</c:v>
                </c:pt>
                <c:pt idx="40" formatCode="0;\-0;0;@">
                  <c:v>2009</c:v>
                </c:pt>
                <c:pt idx="41" formatCode="0;\-0;0;@">
                  <c:v>2010</c:v>
                </c:pt>
                <c:pt idx="42" formatCode="0;\-0;0;@">
                  <c:v>2011</c:v>
                </c:pt>
                <c:pt idx="43" formatCode="0;\-0;0;@">
                  <c:v>2012</c:v>
                </c:pt>
              </c:numCache>
            </c:numRef>
          </c:cat>
          <c:val>
            <c:numRef>
              <c:f>'By level of disaggregation'!$D$3:$D$46</c:f>
              <c:numCache>
                <c:formatCode>General</c:formatCode>
                <c:ptCount val="44"/>
                <c:pt idx="15" formatCode="0.0">
                  <c:v>3.2367187800857327</c:v>
                </c:pt>
                <c:pt idx="16" formatCode="0.0">
                  <c:v>3.18730711829153</c:v>
                </c:pt>
                <c:pt idx="17" formatCode="0.0">
                  <c:v>2.9496475003164537</c:v>
                </c:pt>
                <c:pt idx="18" formatCode="0.0">
                  <c:v>3.5390603063842381</c:v>
                </c:pt>
                <c:pt idx="19" formatCode="0.0">
                  <c:v>3.7555169898677119</c:v>
                </c:pt>
                <c:pt idx="20" formatCode="0.0">
                  <c:v>4.0109257122864292</c:v>
                </c:pt>
                <c:pt idx="21" formatCode="0.0">
                  <c:v>4.2565202363334151</c:v>
                </c:pt>
                <c:pt idx="22" formatCode="0.0">
                  <c:v>4.3746990682743352</c:v>
                </c:pt>
                <c:pt idx="23" formatCode="0.0">
                  <c:v>4.3227997864160352</c:v>
                </c:pt>
                <c:pt idx="24" formatCode="0.0">
                  <c:v>4.006835270127123</c:v>
                </c:pt>
                <c:pt idx="25" formatCode="0.0">
                  <c:v>3.8616745856318735</c:v>
                </c:pt>
                <c:pt idx="26" formatCode="0.0">
                  <c:v>3.5880076099595293</c:v>
                </c:pt>
                <c:pt idx="27" formatCode="0.0">
                  <c:v>3.2514768250987864</c:v>
                </c:pt>
                <c:pt idx="28" formatCode="0.0">
                  <c:v>2.7625181956485365</c:v>
                </c:pt>
                <c:pt idx="29" formatCode="0.0">
                  <c:v>2.7810883314651229</c:v>
                </c:pt>
                <c:pt idx="30" formatCode="0.0">
                  <c:v>2.8067811814819787</c:v>
                </c:pt>
                <c:pt idx="31" formatCode="0.0">
                  <c:v>2.8616148216370449</c:v>
                </c:pt>
                <c:pt idx="32" formatCode="0.0">
                  <c:v>3.0859770682926708</c:v>
                </c:pt>
                <c:pt idx="33" formatCode="0.0">
                  <c:v>3.2603841512800518</c:v>
                </c:pt>
                <c:pt idx="34" formatCode="0.0">
                  <c:v>3.1452126038509038</c:v>
                </c:pt>
                <c:pt idx="35" formatCode="0.0">
                  <c:v>3.0063702882134224</c:v>
                </c:pt>
                <c:pt idx="36" formatCode="0.0">
                  <c:v>3.0149154711980595</c:v>
                </c:pt>
                <c:pt idx="37" formatCode="0.0">
                  <c:v>3.3282750677592885</c:v>
                </c:pt>
                <c:pt idx="38" formatCode="0.0">
                  <c:v>3.6091511281342701</c:v>
                </c:pt>
                <c:pt idx="39" formatCode="0.0">
                  <c:v>3.8636215676578862</c:v>
                </c:pt>
                <c:pt idx="40" formatCode="0.0">
                  <c:v>3.9609981662807838</c:v>
                </c:pt>
                <c:pt idx="41" formatCode="0.0">
                  <c:v>3.8428310564585972</c:v>
                </c:pt>
                <c:pt idx="42" formatCode="0.0">
                  <c:v>3.6502703227645759</c:v>
                </c:pt>
                <c:pt idx="43" formatCode="0.0">
                  <c:v>3.3764679511383995</c:v>
                </c:pt>
              </c:numCache>
            </c:numRef>
          </c:val>
          <c:smooth val="0"/>
        </c:ser>
        <c:dLbls>
          <c:showLegendKey val="0"/>
          <c:showVal val="0"/>
          <c:showCatName val="0"/>
          <c:showSerName val="0"/>
          <c:showPercent val="0"/>
          <c:showBubbleSize val="0"/>
        </c:dLbls>
        <c:marker val="1"/>
        <c:smooth val="0"/>
        <c:axId val="85747584"/>
        <c:axId val="85749120"/>
      </c:lineChart>
      <c:catAx>
        <c:axId val="85747584"/>
        <c:scaling>
          <c:orientation val="minMax"/>
        </c:scaling>
        <c:delete val="0"/>
        <c:axPos val="b"/>
        <c:numFmt formatCode="yyyy" sourceLinked="1"/>
        <c:majorTickMark val="out"/>
        <c:minorTickMark val="none"/>
        <c:tickLblPos val="nextTo"/>
        <c:txPr>
          <a:bodyPr rot="0"/>
          <a:lstStyle/>
          <a:p>
            <a:pPr>
              <a:defRPr/>
            </a:pPr>
            <a:endParaRPr lang="en-US"/>
          </a:p>
        </c:txPr>
        <c:crossAx val="85749120"/>
        <c:crosses val="autoZero"/>
        <c:auto val="1"/>
        <c:lblAlgn val="ctr"/>
        <c:lblOffset val="100"/>
        <c:tickLblSkip val="3"/>
        <c:tickMarkSkip val="3"/>
        <c:noMultiLvlLbl val="0"/>
      </c:catAx>
      <c:valAx>
        <c:axId val="85749120"/>
        <c:scaling>
          <c:orientation val="minMax"/>
        </c:scaling>
        <c:delete val="0"/>
        <c:axPos val="l"/>
        <c:majorGridlines/>
        <c:title>
          <c:tx>
            <c:rich>
              <a:bodyPr rot="-5400000" vert="horz"/>
              <a:lstStyle/>
              <a:p>
                <a:pPr>
                  <a:defRPr/>
                </a:pPr>
                <a:r>
                  <a:rPr lang="en-US"/>
                  <a:t>Index values</a:t>
                </a:r>
              </a:p>
            </c:rich>
          </c:tx>
          <c:layout>
            <c:manualLayout>
              <c:xMode val="edge"/>
              <c:yMode val="edge"/>
              <c:x val="3.8890681003584228E-3"/>
              <c:y val="0.32588576388888885"/>
            </c:manualLayout>
          </c:layout>
          <c:overlay val="0"/>
        </c:title>
        <c:numFmt formatCode="0" sourceLinked="0"/>
        <c:majorTickMark val="out"/>
        <c:minorTickMark val="none"/>
        <c:tickLblPos val="nextTo"/>
        <c:crossAx val="85747584"/>
        <c:crosses val="autoZero"/>
        <c:crossBetween val="midCat"/>
      </c:valAx>
      <c:spPr>
        <a:ln>
          <a:solidFill>
            <a:schemeClr val="tx1"/>
          </a:solidFill>
        </a:ln>
      </c:spPr>
    </c:plotArea>
    <c:legend>
      <c:legendPos val="t"/>
      <c:overlay val="0"/>
    </c:legend>
    <c:plotVisOnly val="1"/>
    <c:dispBlanksAs val="gap"/>
    <c:showDLblsOverMax val="0"/>
  </c:chart>
  <c:spPr>
    <a:ln>
      <a:noFill/>
    </a:ln>
  </c:spPr>
  <c:txPr>
    <a:bodyPr/>
    <a:lstStyle/>
    <a:p>
      <a:pPr>
        <a:defRPr>
          <a:latin typeface="Arial" pitchFamily="34" charset="0"/>
          <a:cs typeface="Arial" pitchFamily="34" charset="0"/>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9.0959246468513333E-2"/>
          <c:y val="0.11271493055555555"/>
          <c:w val="0.86890851851851847"/>
          <c:h val="0.78104152543845928"/>
        </c:manualLayout>
      </c:layout>
      <c:lineChart>
        <c:grouping val="standard"/>
        <c:varyColors val="0"/>
        <c:ser>
          <c:idx val="0"/>
          <c:order val="0"/>
          <c:tx>
            <c:strRef>
              <c:f>'Fig 4.5'!$B$4</c:f>
              <c:strCache>
                <c:ptCount val="1"/>
                <c:pt idx="0">
                  <c:v>4 sectors</c:v>
                </c:pt>
              </c:strCache>
            </c:strRef>
          </c:tx>
          <c:spPr>
            <a:ln w="19050">
              <a:solidFill>
                <a:srgbClr val="B4C98B"/>
              </a:solidFill>
              <a:prstDash val="sysDash"/>
            </a:ln>
          </c:spPr>
          <c:marker>
            <c:symbol val="none"/>
          </c:marker>
          <c:cat>
            <c:numRef>
              <c:f>'Fig 4.5'!$A$16:$A$59</c:f>
              <c:numCache>
                <c:formatCode>yyyy</c:formatCode>
                <c:ptCount val="44"/>
                <c:pt idx="0">
                  <c:v>25355</c:v>
                </c:pt>
                <c:pt idx="1">
                  <c:v>25720</c:v>
                </c:pt>
                <c:pt idx="2">
                  <c:v>26085</c:v>
                </c:pt>
                <c:pt idx="3">
                  <c:v>26451</c:v>
                </c:pt>
                <c:pt idx="4">
                  <c:v>26816</c:v>
                </c:pt>
                <c:pt idx="5">
                  <c:v>27181</c:v>
                </c:pt>
                <c:pt idx="6">
                  <c:v>27546</c:v>
                </c:pt>
                <c:pt idx="7">
                  <c:v>27912</c:v>
                </c:pt>
                <c:pt idx="8">
                  <c:v>28277</c:v>
                </c:pt>
                <c:pt idx="9">
                  <c:v>28642</c:v>
                </c:pt>
                <c:pt idx="10">
                  <c:v>29007</c:v>
                </c:pt>
                <c:pt idx="11">
                  <c:v>29373</c:v>
                </c:pt>
                <c:pt idx="12">
                  <c:v>29738</c:v>
                </c:pt>
                <c:pt idx="13">
                  <c:v>30103</c:v>
                </c:pt>
                <c:pt idx="14">
                  <c:v>30468</c:v>
                </c:pt>
                <c:pt idx="15">
                  <c:v>30834</c:v>
                </c:pt>
                <c:pt idx="16">
                  <c:v>31199</c:v>
                </c:pt>
                <c:pt idx="17">
                  <c:v>31564</c:v>
                </c:pt>
                <c:pt idx="18">
                  <c:v>31929</c:v>
                </c:pt>
                <c:pt idx="19">
                  <c:v>32295</c:v>
                </c:pt>
                <c:pt idx="20">
                  <c:v>32660</c:v>
                </c:pt>
                <c:pt idx="21">
                  <c:v>33025</c:v>
                </c:pt>
                <c:pt idx="22">
                  <c:v>33390</c:v>
                </c:pt>
                <c:pt idx="23">
                  <c:v>33756</c:v>
                </c:pt>
                <c:pt idx="24">
                  <c:v>34121</c:v>
                </c:pt>
                <c:pt idx="25">
                  <c:v>34486</c:v>
                </c:pt>
                <c:pt idx="26">
                  <c:v>34851</c:v>
                </c:pt>
                <c:pt idx="27">
                  <c:v>35217</c:v>
                </c:pt>
                <c:pt idx="28">
                  <c:v>35582</c:v>
                </c:pt>
                <c:pt idx="29">
                  <c:v>35947</c:v>
                </c:pt>
                <c:pt idx="30">
                  <c:v>36312</c:v>
                </c:pt>
                <c:pt idx="31">
                  <c:v>36678</c:v>
                </c:pt>
                <c:pt idx="32">
                  <c:v>37043</c:v>
                </c:pt>
                <c:pt idx="33">
                  <c:v>37408</c:v>
                </c:pt>
                <c:pt idx="34">
                  <c:v>37773</c:v>
                </c:pt>
                <c:pt idx="35">
                  <c:v>38139</c:v>
                </c:pt>
                <c:pt idx="36">
                  <c:v>38504</c:v>
                </c:pt>
                <c:pt idx="37">
                  <c:v>38869</c:v>
                </c:pt>
                <c:pt idx="38">
                  <c:v>39234</c:v>
                </c:pt>
                <c:pt idx="39">
                  <c:v>39600</c:v>
                </c:pt>
                <c:pt idx="40">
                  <c:v>39965</c:v>
                </c:pt>
                <c:pt idx="41">
                  <c:v>40330</c:v>
                </c:pt>
                <c:pt idx="42">
                  <c:v>40695</c:v>
                </c:pt>
                <c:pt idx="43">
                  <c:v>41061</c:v>
                </c:pt>
              </c:numCache>
            </c:numRef>
          </c:cat>
          <c:val>
            <c:numRef>
              <c:f>'Fig 4.5'!$B$16:$B$59</c:f>
              <c:numCache>
                <c:formatCode>General</c:formatCode>
                <c:ptCount val="44"/>
                <c:pt idx="0">
                  <c:v>2.3108254364701271</c:v>
                </c:pt>
                <c:pt idx="1">
                  <c:v>2.43597099920812</c:v>
                </c:pt>
                <c:pt idx="2">
                  <c:v>2.4648312374417678</c:v>
                </c:pt>
                <c:pt idx="3">
                  <c:v>2.5588082197988014</c:v>
                </c:pt>
                <c:pt idx="4">
                  <c:v>2.5260603567247824</c:v>
                </c:pt>
                <c:pt idx="5">
                  <c:v>2.5481794437246603</c:v>
                </c:pt>
                <c:pt idx="6">
                  <c:v>2.8425677075683637</c:v>
                </c:pt>
                <c:pt idx="7">
                  <c:v>3.298374893501872</c:v>
                </c:pt>
                <c:pt idx="8">
                  <c:v>3.9287377157433525</c:v>
                </c:pt>
                <c:pt idx="9">
                  <c:v>4.2682787186052433</c:v>
                </c:pt>
                <c:pt idx="10">
                  <c:v>4.529484629326296</c:v>
                </c:pt>
                <c:pt idx="11">
                  <c:v>4.1620452353298845</c:v>
                </c:pt>
                <c:pt idx="12">
                  <c:v>3.9821783336123593</c:v>
                </c:pt>
                <c:pt idx="13">
                  <c:v>3.1642935233009641</c:v>
                </c:pt>
                <c:pt idx="14">
                  <c:v>2.8498746140895084</c:v>
                </c:pt>
                <c:pt idx="15">
                  <c:v>2.6849103566922921</c:v>
                </c:pt>
                <c:pt idx="16">
                  <c:v>2.8910076199541654</c:v>
                </c:pt>
                <c:pt idx="17">
                  <c:v>2.9899472127851667</c:v>
                </c:pt>
                <c:pt idx="18">
                  <c:v>3.4678714726582225</c:v>
                </c:pt>
                <c:pt idx="19">
                  <c:v>3.5016829731560573</c:v>
                </c:pt>
                <c:pt idx="20">
                  <c:v>3.3928935117122445</c:v>
                </c:pt>
                <c:pt idx="21">
                  <c:v>3.1519710481854761</c:v>
                </c:pt>
                <c:pt idx="22">
                  <c:v>2.9918354790679587</c:v>
                </c:pt>
                <c:pt idx="23">
                  <c:v>2.7122718327007176</c:v>
                </c:pt>
                <c:pt idx="24">
                  <c:v>2.5818715956636216</c:v>
                </c:pt>
                <c:pt idx="25">
                  <c:v>2.505200893921979</c:v>
                </c:pt>
                <c:pt idx="26">
                  <c:v>2.4233961041774128</c:v>
                </c:pt>
                <c:pt idx="27">
                  <c:v>2.2208963424047234</c:v>
                </c:pt>
                <c:pt idx="28">
                  <c:v>1.9387868844515674</c:v>
                </c:pt>
                <c:pt idx="29">
                  <c:v>1.7703786616084127</c:v>
                </c:pt>
                <c:pt idx="30">
                  <c:v>1.7637255458893977</c:v>
                </c:pt>
                <c:pt idx="31">
                  <c:v>1.5873899478884184</c:v>
                </c:pt>
                <c:pt idx="32">
                  <c:v>1.5532438465709946</c:v>
                </c:pt>
                <c:pt idx="33">
                  <c:v>1.7375720725962345</c:v>
                </c:pt>
                <c:pt idx="34">
                  <c:v>1.9026473871412297</c:v>
                </c:pt>
                <c:pt idx="35">
                  <c:v>1.8497022670966052</c:v>
                </c:pt>
                <c:pt idx="36">
                  <c:v>2.1312420135019687</c:v>
                </c:pt>
                <c:pt idx="37">
                  <c:v>2.4309240619547023</c:v>
                </c:pt>
                <c:pt idx="38">
                  <c:v>2.6185190115334707</c:v>
                </c:pt>
                <c:pt idx="39">
                  <c:v>2.5455174510996428</c:v>
                </c:pt>
                <c:pt idx="40">
                  <c:v>2.5132874421245397</c:v>
                </c:pt>
                <c:pt idx="41">
                  <c:v>2.2817573395649626</c:v>
                </c:pt>
                <c:pt idx="42">
                  <c:v>2.1085186536318488</c:v>
                </c:pt>
                <c:pt idx="43">
                  <c:v>1.9156313242166569</c:v>
                </c:pt>
              </c:numCache>
            </c:numRef>
          </c:val>
          <c:smooth val="0"/>
        </c:ser>
        <c:ser>
          <c:idx val="1"/>
          <c:order val="1"/>
          <c:tx>
            <c:strRef>
              <c:f>'Fig 4.5'!$C$4</c:f>
              <c:strCache>
                <c:ptCount val="1"/>
                <c:pt idx="0">
                  <c:v>8 sectors</c:v>
                </c:pt>
              </c:strCache>
            </c:strRef>
          </c:tx>
          <c:spPr>
            <a:ln w="19050">
              <a:solidFill>
                <a:srgbClr val="344893"/>
              </a:solidFill>
              <a:prstDash val="solid"/>
            </a:ln>
            <a:effectLst/>
          </c:spPr>
          <c:marker>
            <c:symbol val="none"/>
          </c:marker>
          <c:cat>
            <c:numRef>
              <c:f>'Fig 4.5'!$A$16:$A$59</c:f>
              <c:numCache>
                <c:formatCode>yyyy</c:formatCode>
                <c:ptCount val="44"/>
                <c:pt idx="0">
                  <c:v>25355</c:v>
                </c:pt>
                <c:pt idx="1">
                  <c:v>25720</c:v>
                </c:pt>
                <c:pt idx="2">
                  <c:v>26085</c:v>
                </c:pt>
                <c:pt idx="3">
                  <c:v>26451</c:v>
                </c:pt>
                <c:pt idx="4">
                  <c:v>26816</c:v>
                </c:pt>
                <c:pt idx="5">
                  <c:v>27181</c:v>
                </c:pt>
                <c:pt idx="6">
                  <c:v>27546</c:v>
                </c:pt>
                <c:pt idx="7">
                  <c:v>27912</c:v>
                </c:pt>
                <c:pt idx="8">
                  <c:v>28277</c:v>
                </c:pt>
                <c:pt idx="9">
                  <c:v>28642</c:v>
                </c:pt>
                <c:pt idx="10">
                  <c:v>29007</c:v>
                </c:pt>
                <c:pt idx="11">
                  <c:v>29373</c:v>
                </c:pt>
                <c:pt idx="12">
                  <c:v>29738</c:v>
                </c:pt>
                <c:pt idx="13">
                  <c:v>30103</c:v>
                </c:pt>
                <c:pt idx="14">
                  <c:v>30468</c:v>
                </c:pt>
                <c:pt idx="15">
                  <c:v>30834</c:v>
                </c:pt>
                <c:pt idx="16">
                  <c:v>31199</c:v>
                </c:pt>
                <c:pt idx="17">
                  <c:v>31564</c:v>
                </c:pt>
                <c:pt idx="18">
                  <c:v>31929</c:v>
                </c:pt>
                <c:pt idx="19">
                  <c:v>32295</c:v>
                </c:pt>
                <c:pt idx="20">
                  <c:v>32660</c:v>
                </c:pt>
                <c:pt idx="21">
                  <c:v>33025</c:v>
                </c:pt>
                <c:pt idx="22">
                  <c:v>33390</c:v>
                </c:pt>
                <c:pt idx="23">
                  <c:v>33756</c:v>
                </c:pt>
                <c:pt idx="24">
                  <c:v>34121</c:v>
                </c:pt>
                <c:pt idx="25">
                  <c:v>34486</c:v>
                </c:pt>
                <c:pt idx="26">
                  <c:v>34851</c:v>
                </c:pt>
                <c:pt idx="27">
                  <c:v>35217</c:v>
                </c:pt>
                <c:pt idx="28">
                  <c:v>35582</c:v>
                </c:pt>
                <c:pt idx="29">
                  <c:v>35947</c:v>
                </c:pt>
                <c:pt idx="30">
                  <c:v>36312</c:v>
                </c:pt>
                <c:pt idx="31">
                  <c:v>36678</c:v>
                </c:pt>
                <c:pt idx="32">
                  <c:v>37043</c:v>
                </c:pt>
                <c:pt idx="33">
                  <c:v>37408</c:v>
                </c:pt>
                <c:pt idx="34">
                  <c:v>37773</c:v>
                </c:pt>
                <c:pt idx="35">
                  <c:v>38139</c:v>
                </c:pt>
                <c:pt idx="36">
                  <c:v>38504</c:v>
                </c:pt>
                <c:pt idx="37">
                  <c:v>38869</c:v>
                </c:pt>
                <c:pt idx="38">
                  <c:v>39234</c:v>
                </c:pt>
                <c:pt idx="39">
                  <c:v>39600</c:v>
                </c:pt>
                <c:pt idx="40">
                  <c:v>39965</c:v>
                </c:pt>
                <c:pt idx="41">
                  <c:v>40330</c:v>
                </c:pt>
                <c:pt idx="42">
                  <c:v>40695</c:v>
                </c:pt>
                <c:pt idx="43">
                  <c:v>41061</c:v>
                </c:pt>
              </c:numCache>
            </c:numRef>
          </c:cat>
          <c:val>
            <c:numRef>
              <c:f>'Fig 4.5'!$C$16:$C$59</c:f>
              <c:numCache>
                <c:formatCode>General</c:formatCode>
                <c:ptCount val="44"/>
                <c:pt idx="0">
                  <c:v>3.0454833564041701</c:v>
                </c:pt>
                <c:pt idx="1">
                  <c:v>3.348014089252473</c:v>
                </c:pt>
                <c:pt idx="2">
                  <c:v>3.4193650107235838</c:v>
                </c:pt>
                <c:pt idx="3">
                  <c:v>3.2817787589076195</c:v>
                </c:pt>
                <c:pt idx="4">
                  <c:v>3.1071230012083193</c:v>
                </c:pt>
                <c:pt idx="5">
                  <c:v>3.0590614819096893</c:v>
                </c:pt>
                <c:pt idx="6">
                  <c:v>3.2811741729513315</c:v>
                </c:pt>
                <c:pt idx="7">
                  <c:v>3.688486765117633</c:v>
                </c:pt>
                <c:pt idx="8">
                  <c:v>4.1301851127576761</c:v>
                </c:pt>
                <c:pt idx="9">
                  <c:v>4.5016943807296013</c:v>
                </c:pt>
                <c:pt idx="10">
                  <c:v>4.899348913020269</c:v>
                </c:pt>
                <c:pt idx="11">
                  <c:v>4.8523059530881802</c:v>
                </c:pt>
                <c:pt idx="12">
                  <c:v>4.8589863070278509</c:v>
                </c:pt>
                <c:pt idx="13">
                  <c:v>4.392680161502204</c:v>
                </c:pt>
                <c:pt idx="14">
                  <c:v>4.1291500320823662</c:v>
                </c:pt>
                <c:pt idx="15">
                  <c:v>3.9321109461708579</c:v>
                </c:pt>
                <c:pt idx="16">
                  <c:v>3.9308353069442381</c:v>
                </c:pt>
                <c:pt idx="17">
                  <c:v>3.8778224458557546</c:v>
                </c:pt>
                <c:pt idx="18">
                  <c:v>3.7869493334364619</c:v>
                </c:pt>
                <c:pt idx="19">
                  <c:v>3.5016829731560604</c:v>
                </c:pt>
                <c:pt idx="20">
                  <c:v>3.3928935117122445</c:v>
                </c:pt>
                <c:pt idx="21">
                  <c:v>3.4003282100615859</c:v>
                </c:pt>
                <c:pt idx="22">
                  <c:v>3.4960968504714578</c:v>
                </c:pt>
                <c:pt idx="23">
                  <c:v>3.3054393042314958</c:v>
                </c:pt>
                <c:pt idx="24">
                  <c:v>3.3701938278924191</c:v>
                </c:pt>
                <c:pt idx="25">
                  <c:v>3.3733727021404025</c:v>
                </c:pt>
                <c:pt idx="26">
                  <c:v>3.4792575140803175</c:v>
                </c:pt>
                <c:pt idx="27">
                  <c:v>3.2879188267460804</c:v>
                </c:pt>
                <c:pt idx="28">
                  <c:v>2.967243762304915</c:v>
                </c:pt>
                <c:pt idx="29">
                  <c:v>2.767933592576882</c:v>
                </c:pt>
                <c:pt idx="30">
                  <c:v>2.6033025558285843</c:v>
                </c:pt>
                <c:pt idx="31">
                  <c:v>2.4318790365599798</c:v>
                </c:pt>
                <c:pt idx="32">
                  <c:v>2.4123454147031191</c:v>
                </c:pt>
                <c:pt idx="33">
                  <c:v>2.5214288286441628</c:v>
                </c:pt>
                <c:pt idx="34">
                  <c:v>2.5562079273691585</c:v>
                </c:pt>
                <c:pt idx="35">
                  <c:v>2.6126577265305695</c:v>
                </c:pt>
                <c:pt idx="36">
                  <c:v>2.7832694979980479</c:v>
                </c:pt>
                <c:pt idx="37">
                  <c:v>3.0594263810209417</c:v>
                </c:pt>
                <c:pt idx="38">
                  <c:v>3.2204949579480373</c:v>
                </c:pt>
                <c:pt idx="39">
                  <c:v>3.2056932318485072</c:v>
                </c:pt>
                <c:pt idx="40">
                  <c:v>3.0386567251796066</c:v>
                </c:pt>
                <c:pt idx="41">
                  <c:v>3.0399880144723608</c:v>
                </c:pt>
                <c:pt idx="42">
                  <c:v>2.8626679210527715</c:v>
                </c:pt>
                <c:pt idx="43">
                  <c:v>2.8232194710444758</c:v>
                </c:pt>
              </c:numCache>
            </c:numRef>
          </c:val>
          <c:smooth val="0"/>
        </c:ser>
        <c:ser>
          <c:idx val="2"/>
          <c:order val="2"/>
          <c:tx>
            <c:strRef>
              <c:f>'Fig 4.5'!$D$4</c:f>
              <c:strCache>
                <c:ptCount val="1"/>
                <c:pt idx="0">
                  <c:v>19 industries</c:v>
                </c:pt>
              </c:strCache>
            </c:strRef>
          </c:tx>
          <c:spPr>
            <a:ln w="19050">
              <a:solidFill>
                <a:srgbClr val="7B905A"/>
              </a:solidFill>
              <a:prstDash val="dashDot"/>
            </a:ln>
            <a:effectLst/>
          </c:spPr>
          <c:marker>
            <c:symbol val="none"/>
          </c:marker>
          <c:cat>
            <c:numRef>
              <c:f>'Fig 4.5'!$A$16:$A$59</c:f>
              <c:numCache>
                <c:formatCode>yyyy</c:formatCode>
                <c:ptCount val="44"/>
                <c:pt idx="0">
                  <c:v>25355</c:v>
                </c:pt>
                <c:pt idx="1">
                  <c:v>25720</c:v>
                </c:pt>
                <c:pt idx="2">
                  <c:v>26085</c:v>
                </c:pt>
                <c:pt idx="3">
                  <c:v>26451</c:v>
                </c:pt>
                <c:pt idx="4">
                  <c:v>26816</c:v>
                </c:pt>
                <c:pt idx="5">
                  <c:v>27181</c:v>
                </c:pt>
                <c:pt idx="6">
                  <c:v>27546</c:v>
                </c:pt>
                <c:pt idx="7">
                  <c:v>27912</c:v>
                </c:pt>
                <c:pt idx="8">
                  <c:v>28277</c:v>
                </c:pt>
                <c:pt idx="9">
                  <c:v>28642</c:v>
                </c:pt>
                <c:pt idx="10">
                  <c:v>29007</c:v>
                </c:pt>
                <c:pt idx="11">
                  <c:v>29373</c:v>
                </c:pt>
                <c:pt idx="12">
                  <c:v>29738</c:v>
                </c:pt>
                <c:pt idx="13">
                  <c:v>30103</c:v>
                </c:pt>
                <c:pt idx="14">
                  <c:v>30468</c:v>
                </c:pt>
                <c:pt idx="15">
                  <c:v>30834</c:v>
                </c:pt>
                <c:pt idx="16">
                  <c:v>31199</c:v>
                </c:pt>
                <c:pt idx="17">
                  <c:v>31564</c:v>
                </c:pt>
                <c:pt idx="18">
                  <c:v>31929</c:v>
                </c:pt>
                <c:pt idx="19">
                  <c:v>32295</c:v>
                </c:pt>
                <c:pt idx="20">
                  <c:v>32660</c:v>
                </c:pt>
                <c:pt idx="21">
                  <c:v>33025</c:v>
                </c:pt>
                <c:pt idx="22">
                  <c:v>33390</c:v>
                </c:pt>
                <c:pt idx="23">
                  <c:v>33756</c:v>
                </c:pt>
                <c:pt idx="24">
                  <c:v>34121</c:v>
                </c:pt>
                <c:pt idx="25">
                  <c:v>34486</c:v>
                </c:pt>
                <c:pt idx="26">
                  <c:v>34851</c:v>
                </c:pt>
                <c:pt idx="27">
                  <c:v>35217</c:v>
                </c:pt>
                <c:pt idx="28">
                  <c:v>35582</c:v>
                </c:pt>
                <c:pt idx="29">
                  <c:v>35947</c:v>
                </c:pt>
                <c:pt idx="30">
                  <c:v>36312</c:v>
                </c:pt>
                <c:pt idx="31">
                  <c:v>36678</c:v>
                </c:pt>
                <c:pt idx="32">
                  <c:v>37043</c:v>
                </c:pt>
                <c:pt idx="33">
                  <c:v>37408</c:v>
                </c:pt>
                <c:pt idx="34">
                  <c:v>37773</c:v>
                </c:pt>
                <c:pt idx="35">
                  <c:v>38139</c:v>
                </c:pt>
                <c:pt idx="36">
                  <c:v>38504</c:v>
                </c:pt>
                <c:pt idx="37">
                  <c:v>38869</c:v>
                </c:pt>
                <c:pt idx="38">
                  <c:v>39234</c:v>
                </c:pt>
                <c:pt idx="39">
                  <c:v>39600</c:v>
                </c:pt>
                <c:pt idx="40">
                  <c:v>39965</c:v>
                </c:pt>
                <c:pt idx="41">
                  <c:v>40330</c:v>
                </c:pt>
                <c:pt idx="42">
                  <c:v>40695</c:v>
                </c:pt>
                <c:pt idx="43">
                  <c:v>41061</c:v>
                </c:pt>
              </c:numCache>
            </c:numRef>
          </c:cat>
          <c:val>
            <c:numRef>
              <c:f>'Fig 4.5'!$D$16:$D$59</c:f>
              <c:numCache>
                <c:formatCode>General</c:formatCode>
                <c:ptCount val="44"/>
                <c:pt idx="25">
                  <c:v>3.8423477278980185</c:v>
                </c:pt>
                <c:pt idx="26">
                  <c:v>3.9963133219206259</c:v>
                </c:pt>
                <c:pt idx="27">
                  <c:v>3.9708642387207083</c:v>
                </c:pt>
                <c:pt idx="28">
                  <c:v>3.7280452685960594</c:v>
                </c:pt>
                <c:pt idx="29">
                  <c:v>3.6769487092781268</c:v>
                </c:pt>
                <c:pt idx="30">
                  <c:v>3.7082565360017385</c:v>
                </c:pt>
                <c:pt idx="31">
                  <c:v>3.4691165373192963</c:v>
                </c:pt>
                <c:pt idx="32">
                  <c:v>3.4350827448980805</c:v>
                </c:pt>
                <c:pt idx="33">
                  <c:v>3.4487095221741697</c:v>
                </c:pt>
                <c:pt idx="34">
                  <c:v>3.3389701181665115</c:v>
                </c:pt>
                <c:pt idx="35">
                  <c:v>3.3320486036415415</c:v>
                </c:pt>
                <c:pt idx="36">
                  <c:v>3.4965221987196493</c:v>
                </c:pt>
                <c:pt idx="37">
                  <c:v>3.6675949927548808</c:v>
                </c:pt>
                <c:pt idx="38">
                  <c:v>3.7650144240064605</c:v>
                </c:pt>
                <c:pt idx="39">
                  <c:v>3.7374573754534235</c:v>
                </c:pt>
                <c:pt idx="40">
                  <c:v>3.7800283263960175</c:v>
                </c:pt>
                <c:pt idx="41">
                  <c:v>3.8337467188243659</c:v>
                </c:pt>
                <c:pt idx="42">
                  <c:v>3.667042256448954</c:v>
                </c:pt>
                <c:pt idx="43">
                  <c:v>3.6787609660659513</c:v>
                </c:pt>
              </c:numCache>
            </c:numRef>
          </c:val>
          <c:smooth val="0"/>
        </c:ser>
        <c:dLbls>
          <c:showLegendKey val="0"/>
          <c:showVal val="0"/>
          <c:showCatName val="0"/>
          <c:showSerName val="0"/>
          <c:showPercent val="0"/>
          <c:showBubbleSize val="0"/>
        </c:dLbls>
        <c:marker val="1"/>
        <c:smooth val="0"/>
        <c:axId val="161815936"/>
        <c:axId val="161821824"/>
      </c:lineChart>
      <c:catAx>
        <c:axId val="161815936"/>
        <c:scaling>
          <c:orientation val="minMax"/>
        </c:scaling>
        <c:delete val="0"/>
        <c:axPos val="b"/>
        <c:numFmt formatCode="yyyy" sourceLinked="1"/>
        <c:majorTickMark val="out"/>
        <c:minorTickMark val="none"/>
        <c:tickLblPos val="nextTo"/>
        <c:crossAx val="161821824"/>
        <c:crosses val="autoZero"/>
        <c:auto val="0"/>
        <c:lblAlgn val="ctr"/>
        <c:lblOffset val="100"/>
        <c:tickLblSkip val="3"/>
        <c:tickMarkSkip val="3"/>
        <c:noMultiLvlLbl val="0"/>
      </c:catAx>
      <c:valAx>
        <c:axId val="161821824"/>
        <c:scaling>
          <c:orientation val="minMax"/>
        </c:scaling>
        <c:delete val="0"/>
        <c:axPos val="l"/>
        <c:majorGridlines/>
        <c:title>
          <c:tx>
            <c:rich>
              <a:bodyPr rot="-5400000" vert="horz"/>
              <a:lstStyle/>
              <a:p>
                <a:pPr>
                  <a:defRPr/>
                </a:pPr>
                <a:r>
                  <a:rPr lang="en-US"/>
                  <a:t>Index values</a:t>
                </a:r>
              </a:p>
            </c:rich>
          </c:tx>
          <c:layout>
            <c:manualLayout>
              <c:xMode val="edge"/>
              <c:yMode val="edge"/>
              <c:x val="2.351111111111112E-3"/>
              <c:y val="0.29145520833333327"/>
            </c:manualLayout>
          </c:layout>
          <c:overlay val="0"/>
        </c:title>
        <c:numFmt formatCode="General" sourceLinked="1"/>
        <c:majorTickMark val="out"/>
        <c:minorTickMark val="none"/>
        <c:tickLblPos val="nextTo"/>
        <c:spPr>
          <a:ln>
            <a:solidFill>
              <a:schemeClr val="tx1"/>
            </a:solidFill>
          </a:ln>
        </c:spPr>
        <c:crossAx val="161815936"/>
        <c:crosses val="autoZero"/>
        <c:crossBetween val="midCat"/>
      </c:valAx>
      <c:spPr>
        <a:noFill/>
        <a:ln>
          <a:solidFill>
            <a:schemeClr val="tx1"/>
          </a:solidFill>
        </a:ln>
      </c:spPr>
    </c:plotArea>
    <c:legend>
      <c:legendPos val="b"/>
      <c:layout>
        <c:manualLayout>
          <c:xMode val="edge"/>
          <c:yMode val="edge"/>
          <c:x val="0.10117259259259259"/>
          <c:y val="2.2599783722686839E-2"/>
          <c:w val="0.8369064814814815"/>
          <c:h val="4.7103459893600257E-2"/>
        </c:manualLayout>
      </c:layout>
      <c:overlay val="0"/>
      <c:spPr>
        <a:ln>
          <a:noFill/>
        </a:ln>
      </c:sp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AD76E6-993A-49E9-862A-F2E2B1D8B5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0</TotalTime>
  <Pages>5</Pages>
  <Words>1519</Words>
  <Characters>7952</Characters>
  <Application>Microsoft Office Word</Application>
  <DocSecurity>0</DocSecurity>
  <Lines>132</Lines>
  <Paragraphs>34</Paragraphs>
  <ScaleCrop>false</ScaleCrop>
  <HeadingPairs>
    <vt:vector size="2" baseType="variant">
      <vt:variant>
        <vt:lpstr>Title</vt:lpstr>
      </vt:variant>
      <vt:variant>
        <vt:i4>1</vt:i4>
      </vt:variant>
    </vt:vector>
  </HeadingPairs>
  <TitlesOfParts>
    <vt:vector size="1" baseType="lpstr">
      <vt:lpstr>Structural change indexes</vt:lpstr>
    </vt:vector>
  </TitlesOfParts>
  <Company>Productivity Commission</Company>
  <LinksUpToDate>false</LinksUpToDate>
  <CharactersWithSpaces>9437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Structural change indexes</dc:title>
  <dc:subject>Aspects of structural change</dc:subject>
  <dc:creator>Productivity Commission</dc:creator>
  <dc:description>B.</dc:description>
  <cp:lastModifiedBy>Productivity Commission</cp:lastModifiedBy>
  <cp:revision>2</cp:revision>
  <cp:lastPrinted>2013-07-12T07:17:00Z</cp:lastPrinted>
  <dcterms:created xsi:type="dcterms:W3CDTF">2013-10-08T23:48:00Z</dcterms:created>
  <dcterms:modified xsi:type="dcterms:W3CDTF">2013-10-08T23:48:00Z</dcterms:modified>
</cp:coreProperties>
</file>