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0C0165" w:rsidP="00285B6E">
      <w:pPr>
        <w:pStyle w:val="Heading1"/>
        <w:spacing w:before="0"/>
      </w:pPr>
      <w:bookmarkStart w:id="0" w:name="ChapterTitle"/>
      <w:bookmarkStart w:id="1" w:name="_GoBack"/>
      <w:bookmarkEnd w:id="1"/>
      <w:r>
        <w:t>References</w:t>
      </w:r>
      <w:bookmarkEnd w:id="0"/>
    </w:p>
    <w:p w:rsidR="002F73CF" w:rsidRDefault="0026391A" w:rsidP="002B6B61">
      <w:pPr>
        <w:pStyle w:val="Reference"/>
      </w:pPr>
      <w:r>
        <w:t xml:space="preserve">ABARES </w:t>
      </w:r>
      <w:r w:rsidR="0090238D">
        <w:t>(Australian Bureau of Agricultural and Resource Economics and Statistics)</w:t>
      </w:r>
      <w:r w:rsidR="00BA4690">
        <w:t> </w:t>
      </w:r>
      <w:r w:rsidR="00BA3A8D">
        <w:t xml:space="preserve">2011, </w:t>
      </w:r>
      <w:r w:rsidR="00BA3A8D" w:rsidRPr="00C967EA">
        <w:rPr>
          <w:i/>
        </w:rPr>
        <w:t>Australian Mineral Statistics 2011</w:t>
      </w:r>
      <w:r w:rsidR="00BA3A8D" w:rsidRPr="00072C5E">
        <w:rPr>
          <w:i/>
        </w:rPr>
        <w:t>:</w:t>
      </w:r>
      <w:r w:rsidR="00BA3A8D">
        <w:t xml:space="preserve"> </w:t>
      </w:r>
      <w:r w:rsidR="00BA3A8D" w:rsidRPr="00BA4690">
        <w:rPr>
          <w:i/>
        </w:rPr>
        <w:t>March Quarter 2011</w:t>
      </w:r>
      <w:r w:rsidR="00BA3A8D">
        <w:t>, Canberra.</w:t>
      </w:r>
    </w:p>
    <w:p w:rsidR="00C33B57" w:rsidRPr="002B561F" w:rsidRDefault="008D3B49" w:rsidP="007166B2">
      <w:pPr>
        <w:pStyle w:val="Reference"/>
        <w:rPr>
          <w:color w:val="000000" w:themeColor="text1"/>
        </w:rPr>
      </w:pPr>
      <w:r w:rsidRPr="008D3B49">
        <w:rPr>
          <w:color w:val="000000" w:themeColor="text1"/>
        </w:rPr>
        <w:t xml:space="preserve">ABS (Australian Bureau of Statistics) </w:t>
      </w:r>
      <w:r w:rsidR="00C33B57" w:rsidRPr="008D3B49">
        <w:rPr>
          <w:color w:val="000000" w:themeColor="text1"/>
        </w:rPr>
        <w:t xml:space="preserve">2006a, </w:t>
      </w:r>
      <w:r w:rsidR="00C33B57" w:rsidRPr="008D3B49">
        <w:rPr>
          <w:i/>
          <w:color w:val="000000" w:themeColor="text1"/>
        </w:rPr>
        <w:t xml:space="preserve">Australian and New Zealand Standard </w:t>
      </w:r>
      <w:r w:rsidR="00C33B57" w:rsidRPr="002B561F">
        <w:rPr>
          <w:i/>
          <w:color w:val="000000" w:themeColor="text1"/>
        </w:rPr>
        <w:t>Classification of Occupations</w:t>
      </w:r>
      <w:r w:rsidR="00C33B57" w:rsidRPr="002B561F">
        <w:rPr>
          <w:color w:val="000000" w:themeColor="text1"/>
        </w:rPr>
        <w:t xml:space="preserve">, </w:t>
      </w:r>
      <w:r w:rsidR="00C33B57" w:rsidRPr="002B561F">
        <w:rPr>
          <w:i/>
          <w:color w:val="000000" w:themeColor="text1"/>
        </w:rPr>
        <w:t>(ANZSCO)</w:t>
      </w:r>
      <w:r w:rsidR="00D344C8">
        <w:rPr>
          <w:color w:val="000000" w:themeColor="text1"/>
        </w:rPr>
        <w:t xml:space="preserve">, </w:t>
      </w:r>
      <w:r w:rsidR="00C33B57" w:rsidRPr="002B561F">
        <w:rPr>
          <w:color w:val="000000" w:themeColor="text1"/>
        </w:rPr>
        <w:t>Cat. no. 1220.0, Canberra.</w:t>
      </w:r>
    </w:p>
    <w:p w:rsidR="00C33B57" w:rsidRPr="00C33B57" w:rsidRDefault="00C33B57" w:rsidP="007166B2">
      <w:pPr>
        <w:pStyle w:val="Reference"/>
      </w:pPr>
      <w:r>
        <w:t>——</w:t>
      </w:r>
      <w:r w:rsidR="00A417CE">
        <w:t xml:space="preserve"> </w:t>
      </w:r>
      <w:r>
        <w:t xml:space="preserve">2006b, </w:t>
      </w:r>
      <w:r>
        <w:rPr>
          <w:i/>
        </w:rPr>
        <w:t>Australian and New Zealand Standard Industrial Classification (ANZSIC)</w:t>
      </w:r>
      <w:r>
        <w:t>, Cat. no. 1292.0, Canberra.</w:t>
      </w:r>
    </w:p>
    <w:p w:rsidR="002F73CF" w:rsidRDefault="001C6BCB" w:rsidP="00823DD5">
      <w:pPr>
        <w:pStyle w:val="Reference"/>
      </w:pPr>
      <w:r>
        <w:t>—— </w:t>
      </w:r>
      <w:r w:rsidR="008D3B49">
        <w:t>2006c</w:t>
      </w:r>
      <w:r>
        <w:t xml:space="preserve">, </w:t>
      </w:r>
      <w:r>
        <w:rPr>
          <w:i/>
        </w:rPr>
        <w:t>Census of Population and Housing 2006, TableBuilder</w:t>
      </w:r>
      <w:r w:rsidR="00C33B57">
        <w:t xml:space="preserve">, Cat. </w:t>
      </w:r>
      <w:r w:rsidR="00D344C8">
        <w:t xml:space="preserve">no. </w:t>
      </w:r>
      <w:r w:rsidR="00C33B57">
        <w:t>2065.0, Canberra.</w:t>
      </w:r>
    </w:p>
    <w:p w:rsidR="002F73CF" w:rsidRPr="0014636E" w:rsidRDefault="00823DD5" w:rsidP="00BA4690">
      <w:pPr>
        <w:pStyle w:val="Reference"/>
        <w:rPr>
          <w:color w:val="000000" w:themeColor="text1"/>
        </w:rPr>
      </w:pPr>
      <w:r w:rsidRPr="0014636E">
        <w:rPr>
          <w:color w:val="000000" w:themeColor="text1"/>
        </w:rPr>
        <w:t>—— </w:t>
      </w:r>
      <w:r w:rsidR="008D3B49">
        <w:rPr>
          <w:color w:val="000000" w:themeColor="text1"/>
        </w:rPr>
        <w:t>2008</w:t>
      </w:r>
      <w:r w:rsidRPr="0014636E">
        <w:rPr>
          <w:color w:val="000000" w:themeColor="text1"/>
        </w:rPr>
        <w:t xml:space="preserve">, </w:t>
      </w:r>
      <w:r w:rsidRPr="0014636E">
        <w:rPr>
          <w:i/>
          <w:color w:val="000000" w:themeColor="text1"/>
        </w:rPr>
        <w:t>Population Projections, Australia, 2006 to 2101</w:t>
      </w:r>
      <w:r w:rsidR="007759C2" w:rsidRPr="0014636E">
        <w:rPr>
          <w:color w:val="000000" w:themeColor="text1"/>
        </w:rPr>
        <w:t>, Cat. no. 3222</w:t>
      </w:r>
      <w:r w:rsidR="002F73CF" w:rsidRPr="0014636E">
        <w:rPr>
          <w:color w:val="000000" w:themeColor="text1"/>
        </w:rPr>
        <w:t>.0, Canberra.</w:t>
      </w:r>
    </w:p>
    <w:p w:rsidR="002F73CF" w:rsidRDefault="00492FC2" w:rsidP="00BA4690">
      <w:pPr>
        <w:pStyle w:val="Reference"/>
      </w:pPr>
      <w:r>
        <w:t>—— </w:t>
      </w:r>
      <w:r w:rsidR="00BA4690">
        <w:t xml:space="preserve">2009, </w:t>
      </w:r>
      <w:r w:rsidR="00BA4690">
        <w:rPr>
          <w:i/>
        </w:rPr>
        <w:t>Perspective</w:t>
      </w:r>
      <w:r w:rsidR="007759C2">
        <w:rPr>
          <w:i/>
        </w:rPr>
        <w:t>s</w:t>
      </w:r>
      <w:r w:rsidR="00BA4690">
        <w:rPr>
          <w:i/>
        </w:rPr>
        <w:t xml:space="preserve"> on Education and Training: Pathways in Vocational and Higher Education</w:t>
      </w:r>
      <w:r w:rsidR="00BA4690">
        <w:t>, Cat. no. 4250.0.55.002</w:t>
      </w:r>
      <w:r w:rsidR="00CD4921">
        <w:t>, Canberra</w:t>
      </w:r>
      <w:r w:rsidR="002F73CF">
        <w:t>.</w:t>
      </w:r>
    </w:p>
    <w:p w:rsidR="00DC39C6" w:rsidRDefault="00492FC2" w:rsidP="00BA4690">
      <w:pPr>
        <w:pStyle w:val="Reference"/>
      </w:pPr>
      <w:r>
        <w:t>—— </w:t>
      </w:r>
      <w:r w:rsidR="00DC39C6" w:rsidRPr="00DC39C6">
        <w:t>2010</w:t>
      </w:r>
      <w:r w:rsidR="00DC39C6">
        <w:t>a</w:t>
      </w:r>
      <w:r w:rsidR="00DC39C6" w:rsidRPr="00DC39C6">
        <w:t xml:space="preserve">, </w:t>
      </w:r>
      <w:r w:rsidR="00DC39C6" w:rsidRPr="007F5634">
        <w:rPr>
          <w:i/>
        </w:rPr>
        <w:t>Employee Earnings and Hours</w:t>
      </w:r>
      <w:r w:rsidR="00DC39C6" w:rsidRPr="00DC39C6">
        <w:t>, Cat. no. 6306.0, Canberra</w:t>
      </w:r>
      <w:r w:rsidR="00D344C8">
        <w:t>.</w:t>
      </w:r>
      <w:r w:rsidR="00DC39C6" w:rsidRPr="00DC39C6">
        <w:t xml:space="preserve"> </w:t>
      </w:r>
    </w:p>
    <w:p w:rsidR="002F73CF" w:rsidRPr="0029261A" w:rsidRDefault="00DC39C6" w:rsidP="00BA4690">
      <w:pPr>
        <w:pStyle w:val="Reference"/>
        <w:rPr>
          <w:color w:val="000000" w:themeColor="text1"/>
        </w:rPr>
      </w:pPr>
      <w:r w:rsidRPr="0029261A">
        <w:rPr>
          <w:color w:val="000000" w:themeColor="text1"/>
        </w:rPr>
        <w:t>——</w:t>
      </w:r>
      <w:r w:rsidR="0029261A">
        <w:rPr>
          <w:color w:val="000000" w:themeColor="text1"/>
        </w:rPr>
        <w:t> </w:t>
      </w:r>
      <w:r w:rsidR="00BA4690" w:rsidRPr="0029261A">
        <w:rPr>
          <w:color w:val="000000" w:themeColor="text1"/>
        </w:rPr>
        <w:t>2010</w:t>
      </w:r>
      <w:r w:rsidRPr="0029261A">
        <w:rPr>
          <w:color w:val="000000" w:themeColor="text1"/>
        </w:rPr>
        <w:t>b</w:t>
      </w:r>
      <w:r w:rsidR="00BA4690" w:rsidRPr="0029261A">
        <w:rPr>
          <w:color w:val="000000" w:themeColor="text1"/>
        </w:rPr>
        <w:t xml:space="preserve">, </w:t>
      </w:r>
      <w:r w:rsidR="00BA4690" w:rsidRPr="0029261A">
        <w:rPr>
          <w:i/>
          <w:color w:val="000000" w:themeColor="text1"/>
        </w:rPr>
        <w:t>Labour Mobility</w:t>
      </w:r>
      <w:r w:rsidR="007759C2" w:rsidRPr="0029261A">
        <w:rPr>
          <w:i/>
          <w:color w:val="000000" w:themeColor="text1"/>
        </w:rPr>
        <w:t>, Australia</w:t>
      </w:r>
      <w:r w:rsidR="00BA4690" w:rsidRPr="0029261A">
        <w:rPr>
          <w:color w:val="000000" w:themeColor="text1"/>
        </w:rPr>
        <w:t>, Cat.</w:t>
      </w:r>
      <w:r w:rsidR="00573933" w:rsidRPr="0029261A">
        <w:rPr>
          <w:color w:val="000000" w:themeColor="text1"/>
        </w:rPr>
        <w:t xml:space="preserve"> no.</w:t>
      </w:r>
      <w:r w:rsidR="00BA4690" w:rsidRPr="0029261A">
        <w:rPr>
          <w:color w:val="000000" w:themeColor="text1"/>
        </w:rPr>
        <w:t xml:space="preserve"> 6209.0, </w:t>
      </w:r>
      <w:r w:rsidR="004C21B7" w:rsidRPr="0029261A">
        <w:rPr>
          <w:color w:val="000000" w:themeColor="text1"/>
        </w:rPr>
        <w:t>Canberra</w:t>
      </w:r>
      <w:r w:rsidR="002F73CF" w:rsidRPr="0029261A">
        <w:rPr>
          <w:color w:val="000000" w:themeColor="text1"/>
        </w:rPr>
        <w:t>.</w:t>
      </w:r>
    </w:p>
    <w:p w:rsidR="002F73CF" w:rsidRDefault="008579D6" w:rsidP="007166B2">
      <w:pPr>
        <w:pStyle w:val="Reference"/>
      </w:pPr>
      <w:r>
        <w:t>—— 2010</w:t>
      </w:r>
      <w:r w:rsidR="00DC39C6">
        <w:t>c</w:t>
      </w:r>
      <w:r>
        <w:t xml:space="preserve">, </w:t>
      </w:r>
      <w:r w:rsidRPr="008579D6">
        <w:rPr>
          <w:i/>
        </w:rPr>
        <w:t>Microdata: Labour Force Survey and Labour Mobility, Basi</w:t>
      </w:r>
      <w:r>
        <w:rPr>
          <w:i/>
        </w:rPr>
        <w:t>c and Expanded CURF, Australia</w:t>
      </w:r>
      <w:r>
        <w:t>, Cat. no.</w:t>
      </w:r>
      <w:r w:rsidRPr="008579D6">
        <w:t> 6202.0.30.004</w:t>
      </w:r>
      <w:r w:rsidR="002F73CF">
        <w:t>, Canberra.</w:t>
      </w:r>
    </w:p>
    <w:p w:rsidR="002F73CF" w:rsidRDefault="00823DD5" w:rsidP="00DF1F24">
      <w:pPr>
        <w:pStyle w:val="Reference"/>
      </w:pPr>
      <w:r>
        <w:t>—— </w:t>
      </w:r>
      <w:r w:rsidR="008D3B49">
        <w:t>2011a</w:t>
      </w:r>
      <w:r>
        <w:t xml:space="preserve">, </w:t>
      </w:r>
      <w:r>
        <w:rPr>
          <w:i/>
        </w:rPr>
        <w:t>Australian System of National Accounts, 2010</w:t>
      </w:r>
      <w:r>
        <w:rPr>
          <w:i/>
        </w:rPr>
        <w:noBreakHyphen/>
        <w:t>11</w:t>
      </w:r>
      <w:r w:rsidR="002F73CF">
        <w:t>, Cat. no. 5204.0, Canberra.</w:t>
      </w:r>
    </w:p>
    <w:p w:rsidR="002F73CF" w:rsidRDefault="00DF1F24" w:rsidP="00823DD5">
      <w:pPr>
        <w:pStyle w:val="Reference"/>
      </w:pPr>
      <w:r>
        <w:t>—— </w:t>
      </w:r>
      <w:r w:rsidR="008D3B49">
        <w:t>2011b</w:t>
      </w:r>
      <w:r>
        <w:t xml:space="preserve">, </w:t>
      </w:r>
      <w:r>
        <w:rPr>
          <w:i/>
        </w:rPr>
        <w:t>Census of Population and Housing 2011, TableBuilder</w:t>
      </w:r>
      <w:r w:rsidR="007759C2">
        <w:rPr>
          <w:i/>
        </w:rPr>
        <w:t xml:space="preserve"> Basic</w:t>
      </w:r>
      <w:r w:rsidR="00852905">
        <w:t>, Cat. no. </w:t>
      </w:r>
      <w:r w:rsidR="002F73CF">
        <w:t>2072.0, Canberra.</w:t>
      </w:r>
    </w:p>
    <w:p w:rsidR="002F73CF" w:rsidRDefault="00492FC2" w:rsidP="00823DD5">
      <w:pPr>
        <w:pStyle w:val="Reference"/>
      </w:pPr>
      <w:r>
        <w:t>—— </w:t>
      </w:r>
      <w:r w:rsidR="008D3B49">
        <w:t>2011c</w:t>
      </w:r>
      <w:r w:rsidR="007166B2" w:rsidRPr="00395D97">
        <w:t xml:space="preserve">, </w:t>
      </w:r>
      <w:r w:rsidR="007166B2" w:rsidRPr="00395D97">
        <w:rPr>
          <w:i/>
        </w:rPr>
        <w:t>Forms of Employment</w:t>
      </w:r>
      <w:r w:rsidR="007759C2">
        <w:rPr>
          <w:i/>
        </w:rPr>
        <w:t>, Australia</w:t>
      </w:r>
      <w:r w:rsidR="007166B2">
        <w:t>, Cat. no. 6359.0</w:t>
      </w:r>
      <w:r w:rsidR="00CD4921">
        <w:t>, Canberra</w:t>
      </w:r>
      <w:r w:rsidR="002F73CF">
        <w:t>.</w:t>
      </w:r>
    </w:p>
    <w:p w:rsidR="002F73CF" w:rsidRPr="0014636E" w:rsidRDefault="00823DD5" w:rsidP="00823DD5">
      <w:pPr>
        <w:pStyle w:val="Reference"/>
        <w:rPr>
          <w:color w:val="000000" w:themeColor="text1"/>
        </w:rPr>
      </w:pPr>
      <w:r w:rsidRPr="0014636E">
        <w:rPr>
          <w:color w:val="000000" w:themeColor="text1"/>
        </w:rPr>
        <w:t>—— </w:t>
      </w:r>
      <w:r w:rsidR="008D3B49">
        <w:rPr>
          <w:color w:val="000000" w:themeColor="text1"/>
        </w:rPr>
        <w:t>2011d</w:t>
      </w:r>
      <w:r w:rsidRPr="0014636E">
        <w:rPr>
          <w:color w:val="000000" w:themeColor="text1"/>
        </w:rPr>
        <w:t xml:space="preserve">, </w:t>
      </w:r>
      <w:r w:rsidRPr="0014636E">
        <w:rPr>
          <w:i/>
          <w:color w:val="000000" w:themeColor="text1"/>
        </w:rPr>
        <w:t>Housing Occupancy and Costs</w:t>
      </w:r>
      <w:r w:rsidRPr="00D344C8">
        <w:rPr>
          <w:i/>
          <w:color w:val="000000" w:themeColor="text1"/>
        </w:rPr>
        <w:t>, 2009</w:t>
      </w:r>
      <w:r w:rsidR="00D344C8">
        <w:rPr>
          <w:i/>
          <w:color w:val="000000" w:themeColor="text1"/>
        </w:rPr>
        <w:t>-</w:t>
      </w:r>
      <w:r w:rsidRPr="00D344C8">
        <w:rPr>
          <w:i/>
          <w:color w:val="000000" w:themeColor="text1"/>
        </w:rPr>
        <w:t>10</w:t>
      </w:r>
      <w:r w:rsidRPr="0014636E">
        <w:rPr>
          <w:color w:val="000000" w:themeColor="text1"/>
        </w:rPr>
        <w:t>, Cat. no. 4130.0, Canberra.</w:t>
      </w:r>
      <w:r w:rsidR="002F73CF" w:rsidRPr="0014636E">
        <w:rPr>
          <w:color w:val="000000" w:themeColor="text1"/>
        </w:rPr>
        <w:t>.</w:t>
      </w:r>
    </w:p>
    <w:p w:rsidR="002F73CF" w:rsidRDefault="00823DD5" w:rsidP="00823DD5">
      <w:pPr>
        <w:pStyle w:val="Reference"/>
      </w:pPr>
      <w:r>
        <w:t>—— </w:t>
      </w:r>
      <w:r w:rsidR="008D3B49">
        <w:t>2011e</w:t>
      </w:r>
      <w:r>
        <w:t xml:space="preserve">, ‘Life expectancy trends — Australia’, </w:t>
      </w:r>
      <w:r w:rsidR="00833177">
        <w:t xml:space="preserve">Article, </w:t>
      </w:r>
      <w:r>
        <w:rPr>
          <w:i/>
        </w:rPr>
        <w:t>Australian Social Trends</w:t>
      </w:r>
      <w:r w:rsidR="00D344C8">
        <w:rPr>
          <w:i/>
        </w:rPr>
        <w:t>,</w:t>
      </w:r>
      <w:r>
        <w:rPr>
          <w:i/>
        </w:rPr>
        <w:t xml:space="preserve"> March 2011</w:t>
      </w:r>
      <w:r w:rsidR="002F73CF">
        <w:t>, Cat. no. 4102.0, Canberra.</w:t>
      </w:r>
    </w:p>
    <w:p w:rsidR="002F73CF" w:rsidRDefault="00492FC2" w:rsidP="00014A7D">
      <w:pPr>
        <w:pStyle w:val="Reference"/>
      </w:pPr>
      <w:r>
        <w:t>—— </w:t>
      </w:r>
      <w:r w:rsidR="008D3B49">
        <w:t>2012a</w:t>
      </w:r>
      <w:r w:rsidR="00BC3DB1">
        <w:t xml:space="preserve">, </w:t>
      </w:r>
      <w:r w:rsidR="00BC3DB1">
        <w:rPr>
          <w:i/>
          <w:iCs/>
        </w:rPr>
        <w:t>Australian System of National Accounts: 2011</w:t>
      </w:r>
      <w:r w:rsidR="00BC3DB1">
        <w:rPr>
          <w:i/>
          <w:iCs/>
        </w:rPr>
        <w:noBreakHyphen/>
        <w:t>12</w:t>
      </w:r>
      <w:r w:rsidR="00BC3DB1">
        <w:t xml:space="preserve">, Cat. no. </w:t>
      </w:r>
      <w:r w:rsidR="002F73CF">
        <w:t>5204.0, Canberra.</w:t>
      </w:r>
    </w:p>
    <w:p w:rsidR="002F73CF" w:rsidRDefault="00014A7D" w:rsidP="00573C72">
      <w:pPr>
        <w:pStyle w:val="Reference"/>
      </w:pPr>
      <w:r>
        <w:t>—— </w:t>
      </w:r>
      <w:r w:rsidR="008D3B49">
        <w:t>2012b</w:t>
      </w:r>
      <w:r>
        <w:t xml:space="preserve">, </w:t>
      </w:r>
      <w:r>
        <w:rPr>
          <w:i/>
        </w:rPr>
        <w:t xml:space="preserve">Australian System of National Accounts: Concepts, Sources and Methods, Australia, </w:t>
      </w:r>
      <w:r w:rsidRPr="00735A48">
        <w:rPr>
          <w:i/>
        </w:rPr>
        <w:t>2012, Edition 2</w:t>
      </w:r>
      <w:r w:rsidR="002F73CF">
        <w:t>, Cat. no. 5216.0, Canberra.</w:t>
      </w:r>
    </w:p>
    <w:p w:rsidR="002F73CF" w:rsidRDefault="003569A0" w:rsidP="003569A0">
      <w:pPr>
        <w:pStyle w:val="Reference"/>
      </w:pPr>
      <w:r>
        <w:lastRenderedPageBreak/>
        <w:t>—— </w:t>
      </w:r>
      <w:r w:rsidR="008D3B49">
        <w:t>2012c</w:t>
      </w:r>
      <w:r>
        <w:t>, ‘</w:t>
      </w:r>
      <w:r w:rsidRPr="002C3F01">
        <w:t>Inquiry into the use of Fly-</w:t>
      </w:r>
      <w:r>
        <w:t>i</w:t>
      </w:r>
      <w:r w:rsidRPr="002C3F01">
        <w:t>n Fly-</w:t>
      </w:r>
      <w:r>
        <w:t>o</w:t>
      </w:r>
      <w:r w:rsidRPr="002C3F01">
        <w:t>ut (FIFO) and Drive-</w:t>
      </w:r>
      <w:r>
        <w:t>i</w:t>
      </w:r>
      <w:r w:rsidRPr="002C3F01">
        <w:t>n Drive-</w:t>
      </w:r>
      <w:r>
        <w:t>o</w:t>
      </w:r>
      <w:r w:rsidRPr="002C3F01">
        <w:t>ut (DIDO) Work Practices in Regional Australia</w:t>
      </w:r>
      <w:r>
        <w:t xml:space="preserve">’, </w:t>
      </w:r>
      <w:r w:rsidRPr="00A72240">
        <w:t xml:space="preserve">Submission to the House </w:t>
      </w:r>
      <w:r>
        <w:t xml:space="preserve">of Representatives </w:t>
      </w:r>
      <w:r w:rsidRPr="00A72240">
        <w:t>Standing Committee on Regional Australia</w:t>
      </w:r>
      <w:r>
        <w:t>,</w:t>
      </w:r>
      <w:r>
        <w:rPr>
          <w:i/>
        </w:rPr>
        <w:t xml:space="preserve"> </w:t>
      </w:r>
      <w:r w:rsidR="001E07C7">
        <w:t>sub.</w:t>
      </w:r>
      <w:r w:rsidR="002F73CF">
        <w:t xml:space="preserve"> no.</w:t>
      </w:r>
      <w:r w:rsidR="002C38E2">
        <w:t> </w:t>
      </w:r>
      <w:r w:rsidR="002F73CF">
        <w:t>223.</w:t>
      </w:r>
    </w:p>
    <w:p w:rsidR="002F73CF" w:rsidRDefault="003569A0" w:rsidP="003D14F5">
      <w:pPr>
        <w:pStyle w:val="Reference"/>
      </w:pPr>
      <w:r>
        <w:t>—— </w:t>
      </w:r>
      <w:r w:rsidR="008D3B49">
        <w:t>2012d</w:t>
      </w:r>
      <w:r>
        <w:t>, ‘</w:t>
      </w:r>
      <w:r w:rsidRPr="002C3F01">
        <w:t>Inquiry into the use of Fly-</w:t>
      </w:r>
      <w:r>
        <w:t>i</w:t>
      </w:r>
      <w:r w:rsidRPr="002C3F01">
        <w:t>n Fly-</w:t>
      </w:r>
      <w:r>
        <w:t>o</w:t>
      </w:r>
      <w:r w:rsidRPr="002C3F01">
        <w:t>ut (FIFO) and Drive-</w:t>
      </w:r>
      <w:r>
        <w:t>i</w:t>
      </w:r>
      <w:r w:rsidRPr="002C3F01">
        <w:t>n Drive-</w:t>
      </w:r>
      <w:r>
        <w:t>o</w:t>
      </w:r>
      <w:r w:rsidRPr="002C3F01">
        <w:t>ut (DIDO) Work Practices in Regional Australia</w:t>
      </w:r>
      <w:r>
        <w:t xml:space="preserve">’, </w:t>
      </w:r>
      <w:r w:rsidRPr="00A72240">
        <w:t>S</w:t>
      </w:r>
      <w:r w:rsidR="00CF2E63">
        <w:t>upplementary s</w:t>
      </w:r>
      <w:r w:rsidRPr="00A72240">
        <w:t xml:space="preserve">ubmission to the House </w:t>
      </w:r>
      <w:r>
        <w:t xml:space="preserve">of Representatives </w:t>
      </w:r>
      <w:r w:rsidRPr="00A72240">
        <w:t>Standing Committee on Regional Australia</w:t>
      </w:r>
      <w:r>
        <w:t>,</w:t>
      </w:r>
      <w:r>
        <w:rPr>
          <w:i/>
        </w:rPr>
        <w:t xml:space="preserve"> </w:t>
      </w:r>
      <w:r w:rsidR="001E07C7">
        <w:t>sub.</w:t>
      </w:r>
      <w:r>
        <w:t xml:space="preserve"> no. 223.1</w:t>
      </w:r>
      <w:r w:rsidR="002F73CF">
        <w:t>.</w:t>
      </w:r>
    </w:p>
    <w:p w:rsidR="002F73CF" w:rsidRDefault="002F7B98" w:rsidP="003D14F5">
      <w:pPr>
        <w:pStyle w:val="Reference"/>
      </w:pPr>
      <w:r>
        <w:t>—— </w:t>
      </w:r>
      <w:r w:rsidR="008D3B49">
        <w:t>2012e</w:t>
      </w:r>
      <w:r w:rsidRPr="004D2B93">
        <w:t>,</w:t>
      </w:r>
      <w:r>
        <w:t xml:space="preserve"> </w:t>
      </w:r>
      <w:r>
        <w:rPr>
          <w:i/>
        </w:rPr>
        <w:t>Job Search Experience, Australia</w:t>
      </w:r>
      <w:r w:rsidR="002F73CF">
        <w:t>, Cat. no. 6222.0</w:t>
      </w:r>
      <w:r w:rsidR="00D344C8">
        <w:t>, Canberra</w:t>
      </w:r>
      <w:r w:rsidR="002F73CF">
        <w:t>.</w:t>
      </w:r>
    </w:p>
    <w:p w:rsidR="002F73CF" w:rsidRDefault="00492FC2" w:rsidP="003D14F5">
      <w:pPr>
        <w:pStyle w:val="Reference"/>
      </w:pPr>
      <w:r>
        <w:t>—— </w:t>
      </w:r>
      <w:r w:rsidR="008D3B49">
        <w:t>2012f</w:t>
      </w:r>
      <w:r w:rsidR="003D14F5" w:rsidRPr="004D2B93">
        <w:t>,</w:t>
      </w:r>
      <w:r w:rsidR="003D14F5" w:rsidRPr="008C04B5">
        <w:t xml:space="preserve"> </w:t>
      </w:r>
      <w:r w:rsidR="002B39EB">
        <w:rPr>
          <w:i/>
        </w:rPr>
        <w:t>Labour Force</w:t>
      </w:r>
      <w:r w:rsidR="007759C2">
        <w:rPr>
          <w:i/>
        </w:rPr>
        <w:t>,</w:t>
      </w:r>
      <w:r w:rsidR="003D14F5" w:rsidRPr="008C04B5">
        <w:rPr>
          <w:i/>
        </w:rPr>
        <w:t xml:space="preserve"> Australia</w:t>
      </w:r>
      <w:r w:rsidR="004C21B7">
        <w:t>, Cat. no. 6202.0, Canberra</w:t>
      </w:r>
      <w:r w:rsidR="002F73CF">
        <w:t>.</w:t>
      </w:r>
    </w:p>
    <w:p w:rsidR="002F73CF" w:rsidRDefault="003D14F5" w:rsidP="008C04B5">
      <w:pPr>
        <w:pStyle w:val="Reference"/>
      </w:pPr>
      <w:r w:rsidRPr="008C04B5">
        <w:t>—— </w:t>
      </w:r>
      <w:r w:rsidR="008D3B49">
        <w:t>2012g</w:t>
      </w:r>
      <w:r w:rsidRPr="004D2B93">
        <w:t>,</w:t>
      </w:r>
      <w:r w:rsidRPr="008C04B5">
        <w:t xml:space="preserve"> </w:t>
      </w:r>
      <w:r w:rsidR="002B39EB">
        <w:rPr>
          <w:i/>
        </w:rPr>
        <w:t>Labour Force</w:t>
      </w:r>
      <w:r w:rsidRPr="008C04B5">
        <w:rPr>
          <w:i/>
        </w:rPr>
        <w:t xml:space="preserve"> Australia, Detailed</w:t>
      </w:r>
      <w:r w:rsidR="002B39EB">
        <w:rPr>
          <w:i/>
        </w:rPr>
        <w:t>,</w:t>
      </w:r>
      <w:r w:rsidRPr="008C04B5">
        <w:rPr>
          <w:i/>
        </w:rPr>
        <w:t xml:space="preserve"> Electronic Delivery</w:t>
      </w:r>
      <w:r w:rsidRPr="008C04B5">
        <w:t>, Cat.</w:t>
      </w:r>
      <w:r w:rsidR="00014A7D">
        <w:t> </w:t>
      </w:r>
      <w:r w:rsidRPr="008C04B5">
        <w:t>no. 6291.0.55.001, Canberra</w:t>
      </w:r>
      <w:r w:rsidR="002F73CF">
        <w:t>.</w:t>
      </w:r>
    </w:p>
    <w:p w:rsidR="002F73CF" w:rsidRDefault="00492FC2" w:rsidP="003D14F5">
      <w:pPr>
        <w:pStyle w:val="Reference"/>
      </w:pPr>
      <w:r>
        <w:t>—— </w:t>
      </w:r>
      <w:r w:rsidR="008D3B49">
        <w:t>2012h</w:t>
      </w:r>
      <w:r w:rsidR="008C04B5" w:rsidRPr="008C04B5">
        <w:t xml:space="preserve">, </w:t>
      </w:r>
      <w:r w:rsidR="008C04B5" w:rsidRPr="008C04B5">
        <w:rPr>
          <w:i/>
        </w:rPr>
        <w:t>Labour Force Australia, Detailed, Quarterly</w:t>
      </w:r>
      <w:r w:rsidR="008C04B5" w:rsidRPr="008C04B5">
        <w:t>, Cat.</w:t>
      </w:r>
      <w:r w:rsidR="00C726D1">
        <w:t> </w:t>
      </w:r>
      <w:r w:rsidR="008C04B5" w:rsidRPr="008C04B5">
        <w:t>n</w:t>
      </w:r>
      <w:r w:rsidR="004C21B7">
        <w:t>o. 6291.0.55.003, Canberra</w:t>
      </w:r>
      <w:r w:rsidR="002F73CF">
        <w:t>.</w:t>
      </w:r>
    </w:p>
    <w:p w:rsidR="003D14F5" w:rsidRPr="00771F8D" w:rsidRDefault="00492FC2" w:rsidP="003D14F5">
      <w:pPr>
        <w:pStyle w:val="Reference"/>
      </w:pPr>
      <w:r>
        <w:t>—— </w:t>
      </w:r>
      <w:r w:rsidR="008D3B49">
        <w:t>2012i</w:t>
      </w:r>
      <w:r w:rsidR="003D14F5">
        <w:t xml:space="preserve">, </w:t>
      </w:r>
      <w:r w:rsidR="003D14F5" w:rsidRPr="008D4045">
        <w:rPr>
          <w:i/>
        </w:rPr>
        <w:t>Labour Mobility</w:t>
      </w:r>
      <w:r w:rsidR="007759C2">
        <w:rPr>
          <w:i/>
        </w:rPr>
        <w:t>, Australia</w:t>
      </w:r>
      <w:r w:rsidR="004C21B7">
        <w:t>, Cat. no. 6209.0, Canberra</w:t>
      </w:r>
      <w:r w:rsidR="003D14F5" w:rsidRPr="00771F8D">
        <w:t>.</w:t>
      </w:r>
    </w:p>
    <w:p w:rsidR="002E1979" w:rsidRPr="002E1979" w:rsidRDefault="006F3878" w:rsidP="006F3878">
      <w:pPr>
        <w:pStyle w:val="Reference"/>
      </w:pPr>
      <w:r>
        <w:t>—— </w:t>
      </w:r>
      <w:r w:rsidR="009B3977">
        <w:t>2012j</w:t>
      </w:r>
      <w:r w:rsidRPr="004D2B93">
        <w:t>,</w:t>
      </w:r>
      <w:r>
        <w:t xml:space="preserve"> </w:t>
      </w:r>
      <w:r w:rsidR="002E1979">
        <w:rPr>
          <w:i/>
        </w:rPr>
        <w:t>Underemployed Workers, Australia</w:t>
      </w:r>
      <w:r w:rsidR="002E1979">
        <w:t>, Cat. no. 6265.0, Canberra.</w:t>
      </w:r>
    </w:p>
    <w:p w:rsidR="0085398B" w:rsidRDefault="0085398B" w:rsidP="006F3878">
      <w:pPr>
        <w:pStyle w:val="Reference"/>
      </w:pPr>
      <w:r>
        <w:t>—— </w:t>
      </w:r>
      <w:r w:rsidR="009B3977">
        <w:t>2012k</w:t>
      </w:r>
      <w:r>
        <w:t xml:space="preserve">, </w:t>
      </w:r>
      <w:r w:rsidRPr="0085398B">
        <w:rPr>
          <w:i/>
        </w:rPr>
        <w:t>Estimates of Industry Multifactor Productivity, 2011-12</w:t>
      </w:r>
      <w:r>
        <w:t>, Cat. no. </w:t>
      </w:r>
      <w:r w:rsidRPr="0085398B">
        <w:t>5260.0.55.002</w:t>
      </w:r>
      <w:r>
        <w:t>, Canberra.</w:t>
      </w:r>
    </w:p>
    <w:p w:rsidR="002F73CF" w:rsidRDefault="00BE7ED6" w:rsidP="004D04E2">
      <w:pPr>
        <w:pStyle w:val="Reference"/>
      </w:pPr>
      <w:r>
        <w:t xml:space="preserve">Acemoglu, D. </w:t>
      </w:r>
      <w:r w:rsidR="004D04E2">
        <w:t xml:space="preserve">2012, </w:t>
      </w:r>
      <w:r w:rsidR="004D04E2">
        <w:rPr>
          <w:i/>
        </w:rPr>
        <w:t xml:space="preserve">Introduction to Modern Economic Growth, </w:t>
      </w:r>
      <w:r w:rsidR="002F73CF">
        <w:t>Princeton University Press</w:t>
      </w:r>
      <w:r w:rsidR="00D344C8">
        <w:t>, Princeton, New Jersey</w:t>
      </w:r>
      <w:r w:rsidR="002F73CF">
        <w:t>.</w:t>
      </w:r>
    </w:p>
    <w:p w:rsidR="002F73CF" w:rsidRDefault="00912E44" w:rsidP="00BA3A8D">
      <w:pPr>
        <w:pStyle w:val="Reference"/>
      </w:pPr>
      <w:r>
        <w:t>AIHW (</w:t>
      </w:r>
      <w:r w:rsidRPr="00912E44">
        <w:t>Australian Institute of Health and Welfare</w:t>
      </w:r>
      <w:r>
        <w:t xml:space="preserve">) 2012, </w:t>
      </w:r>
      <w:r>
        <w:rPr>
          <w:i/>
        </w:rPr>
        <w:t>Australia’s Health 2012</w:t>
      </w:r>
      <w:r>
        <w:t xml:space="preserve">, </w:t>
      </w:r>
      <w:r w:rsidR="008830C0">
        <w:t>Australia’s Health series no.</w:t>
      </w:r>
      <w:r w:rsidR="002F73CF">
        <w:t xml:space="preserve"> 13, Cat. no. AUS 156, Canberra.</w:t>
      </w:r>
    </w:p>
    <w:p w:rsidR="00BA3A8D" w:rsidRPr="00771F8D" w:rsidRDefault="00BA3A8D" w:rsidP="00BA3A8D">
      <w:pPr>
        <w:pStyle w:val="Reference"/>
      </w:pPr>
      <w:r>
        <w:t xml:space="preserve">AMP-NATSEM </w:t>
      </w:r>
      <w:r w:rsidR="00406FD9">
        <w:t xml:space="preserve">(National Centre for Social and Economic Modelling) </w:t>
      </w:r>
      <w:r>
        <w:t xml:space="preserve">2012, </w:t>
      </w:r>
      <w:r w:rsidR="002C3F01">
        <w:t>‘</w:t>
      </w:r>
      <w:r w:rsidRPr="002C3F01">
        <w:t xml:space="preserve">Prices </w:t>
      </w:r>
      <w:r w:rsidR="002B39EB" w:rsidRPr="002C3F01">
        <w:t>T</w:t>
      </w:r>
      <w:r w:rsidRPr="002C3F01">
        <w:t xml:space="preserve">hese </w:t>
      </w:r>
      <w:r w:rsidR="002B39EB" w:rsidRPr="002C3F01">
        <w:t>D</w:t>
      </w:r>
      <w:r w:rsidRPr="002C3F01">
        <w:t xml:space="preserve">ays! The </w:t>
      </w:r>
      <w:r w:rsidR="002B39EB" w:rsidRPr="002C3F01">
        <w:t>C</w:t>
      </w:r>
      <w:r w:rsidRPr="002C3F01">
        <w:t xml:space="preserve">ost of </w:t>
      </w:r>
      <w:r w:rsidR="002B39EB" w:rsidRPr="002C3F01">
        <w:t>L</w:t>
      </w:r>
      <w:r w:rsidRPr="002C3F01">
        <w:t>iving in Australia</w:t>
      </w:r>
      <w:r w:rsidR="002C3F01">
        <w:t>’</w:t>
      </w:r>
      <w:r w:rsidR="008C04B5">
        <w:t>, Income and Wealth R</w:t>
      </w:r>
      <w:r>
        <w:t>eport, Issue 31, May.</w:t>
      </w:r>
    </w:p>
    <w:p w:rsidR="00BA3A8D" w:rsidRDefault="00BA3A8D" w:rsidP="00BA3A8D">
      <w:pPr>
        <w:pStyle w:val="Reference"/>
      </w:pPr>
      <w:r>
        <w:t xml:space="preserve">ARC Research Team 2011, </w:t>
      </w:r>
      <w:r w:rsidR="00551DAE">
        <w:t>‘</w:t>
      </w:r>
      <w:r w:rsidR="00551DAE" w:rsidRPr="002C3F01">
        <w:t>Inquiry into the use of Fly-</w:t>
      </w:r>
      <w:r w:rsidR="00551DAE">
        <w:t>i</w:t>
      </w:r>
      <w:r w:rsidR="00551DAE" w:rsidRPr="002C3F01">
        <w:t>n Fly-</w:t>
      </w:r>
      <w:r w:rsidR="00551DAE">
        <w:t>o</w:t>
      </w:r>
      <w:r w:rsidR="00551DAE" w:rsidRPr="002C3F01">
        <w:t>ut (FIFO) and Drive-</w:t>
      </w:r>
      <w:r w:rsidR="00551DAE">
        <w:t>i</w:t>
      </w:r>
      <w:r w:rsidR="00551DAE" w:rsidRPr="002C3F01">
        <w:t>n Drive-</w:t>
      </w:r>
      <w:r w:rsidR="00551DAE">
        <w:t>o</w:t>
      </w:r>
      <w:r w:rsidR="00551DAE" w:rsidRPr="002C3F01">
        <w:t>ut (DIDO) Work Practices in Regional Australia</w:t>
      </w:r>
      <w:r w:rsidR="00551DAE">
        <w:t xml:space="preserve">’, </w:t>
      </w:r>
      <w:r w:rsidR="00551DAE" w:rsidRPr="00A72240">
        <w:t xml:space="preserve">Submission to the House </w:t>
      </w:r>
      <w:r w:rsidR="00551DAE">
        <w:t xml:space="preserve">of Representatives </w:t>
      </w:r>
      <w:r w:rsidR="00551DAE" w:rsidRPr="00A72240">
        <w:t>Standing Committee on Regional Australia</w:t>
      </w:r>
      <w:r w:rsidR="00551DAE">
        <w:t>,</w:t>
      </w:r>
      <w:r w:rsidR="00551DAE">
        <w:rPr>
          <w:i/>
        </w:rPr>
        <w:t xml:space="preserve"> </w:t>
      </w:r>
      <w:r w:rsidR="001E07C7">
        <w:t>sub.</w:t>
      </w:r>
      <w:r w:rsidR="00551DAE">
        <w:t xml:space="preserve"> no</w:t>
      </w:r>
      <w:r>
        <w:t>.</w:t>
      </w:r>
      <w:r w:rsidR="006F7FC4">
        <w:t> </w:t>
      </w:r>
      <w:r w:rsidR="00551DAE">
        <w:t>95.</w:t>
      </w:r>
    </w:p>
    <w:p w:rsidR="00380262" w:rsidRDefault="00380262" w:rsidP="00490BBC">
      <w:pPr>
        <w:pStyle w:val="Reference"/>
      </w:pPr>
      <w:r>
        <w:t>ATO (Australian Taxation Office) 2013</w:t>
      </w:r>
      <w:r>
        <w:rPr>
          <w:szCs w:val="26"/>
        </w:rPr>
        <w:t xml:space="preserve">, </w:t>
      </w:r>
      <w:r w:rsidRPr="00380262">
        <w:rPr>
          <w:i/>
          <w:szCs w:val="26"/>
        </w:rPr>
        <w:t>Fringe Benefits Tax – A Guide for Employers</w:t>
      </w:r>
      <w:r>
        <w:rPr>
          <w:szCs w:val="26"/>
        </w:rPr>
        <w:t>.</w:t>
      </w:r>
    </w:p>
    <w:p w:rsidR="00490BBC" w:rsidRDefault="00490BBC" w:rsidP="00490BBC">
      <w:pPr>
        <w:pStyle w:val="Reference"/>
      </w:pPr>
      <w:r w:rsidRPr="00F06793">
        <w:t xml:space="preserve">Auer, P. and Fortuny, M. 2000, </w:t>
      </w:r>
      <w:r w:rsidRPr="00F06793">
        <w:rPr>
          <w:i/>
        </w:rPr>
        <w:t xml:space="preserve">Ageing of the Labour Force in OECD Countries, </w:t>
      </w:r>
      <w:r w:rsidRPr="005F77A0">
        <w:t>Employment Paper</w:t>
      </w:r>
      <w:r w:rsidRPr="00F06793">
        <w:t xml:space="preserve"> no. 2, International Labour Organisation, Geneva. </w:t>
      </w:r>
    </w:p>
    <w:p w:rsidR="00F81B2E" w:rsidRPr="00160D48" w:rsidRDefault="00F81B2E" w:rsidP="002F73CF">
      <w:pPr>
        <w:pStyle w:val="Reference"/>
      </w:pPr>
      <w:r>
        <w:t xml:space="preserve">Austrade 2012, </w:t>
      </w:r>
      <w:r w:rsidRPr="00F530F4">
        <w:rPr>
          <w:i/>
        </w:rPr>
        <w:t>Boeing looks to Australia for innovation breakthroughs</w:t>
      </w:r>
      <w:r w:rsidRPr="00991B8F">
        <w:t>, Austrade,</w:t>
      </w:r>
      <w:r>
        <w:t xml:space="preserve"> </w:t>
      </w:r>
      <w:r w:rsidRPr="000314C8">
        <w:t>http://www.austrade.gov.au/Invest/Doing-business-in-Australia/Success-Stories/</w:t>
      </w:r>
      <w:r w:rsidR="00053614">
        <w:br/>
      </w:r>
      <w:r w:rsidRPr="000314C8">
        <w:t>Boeing-looks-to-Australia-for-innovation-breakthroughs</w:t>
      </w:r>
      <w:r>
        <w:t xml:space="preserve"> (accessed 21</w:t>
      </w:r>
      <w:r w:rsidR="008831A0">
        <w:t> </w:t>
      </w:r>
      <w:r>
        <w:t>January 2013).</w:t>
      </w:r>
    </w:p>
    <w:p w:rsidR="00D207B8" w:rsidRPr="004E4DD1" w:rsidRDefault="008D3B49" w:rsidP="00D207B8">
      <w:pPr>
        <w:pStyle w:val="Reference"/>
      </w:pPr>
      <w:r w:rsidRPr="008D3B49">
        <w:lastRenderedPageBreak/>
        <w:t xml:space="preserve">Banks, G. </w:t>
      </w:r>
      <w:r w:rsidR="008F5A71" w:rsidRPr="008D3B49">
        <w:t xml:space="preserve">2011, </w:t>
      </w:r>
      <w:r w:rsidR="002C3F01" w:rsidRPr="008D3B49">
        <w:t>‘</w:t>
      </w:r>
      <w:r w:rsidR="00D207B8" w:rsidRPr="008D3B49">
        <w:t xml:space="preserve">Australia’s </w:t>
      </w:r>
      <w:r w:rsidR="002863FF" w:rsidRPr="008D3B49">
        <w:t>Mining B</w:t>
      </w:r>
      <w:r w:rsidR="00D207B8" w:rsidRPr="008D3B49">
        <w:t>oom: What’s the problem?</w:t>
      </w:r>
      <w:r w:rsidR="002C3F01" w:rsidRPr="008D3B49">
        <w:t>’</w:t>
      </w:r>
      <w:r w:rsidR="00D207B8" w:rsidRPr="008D3B49">
        <w:t xml:space="preserve">, Speech </w:t>
      </w:r>
      <w:r w:rsidR="00D207B8" w:rsidRPr="004E4DD1">
        <w:t>presented at the ‘Managing the Growth Shock’ at the Economic and Social Outlook</w:t>
      </w:r>
      <w:r w:rsidR="004E4DD1">
        <w:t xml:space="preserve"> Conference, Melbourne, 30</w:t>
      </w:r>
      <w:r w:rsidR="00C228B1">
        <w:t> </w:t>
      </w:r>
      <w:r w:rsidR="004E4DD1">
        <w:t>June,</w:t>
      </w:r>
      <w:r w:rsidR="00D207B8" w:rsidRPr="004E4DD1">
        <w:t xml:space="preserve"> </w:t>
      </w:r>
      <w:r w:rsidR="00A53A67" w:rsidRPr="00A53A67">
        <w:t>http://www.pc.gov.au/</w:t>
      </w:r>
      <w:r w:rsidR="006D1096" w:rsidRPr="003342B0">
        <w:t>speeches</w:t>
      </w:r>
      <w:r w:rsidR="00D207B8" w:rsidRPr="004E4DD1">
        <w:t>/</w:t>
      </w:r>
      <w:r w:rsidR="00A53A67">
        <w:br/>
      </w:r>
      <w:r w:rsidR="00D207B8" w:rsidRPr="004E4DD1">
        <w:t>mining</w:t>
      </w:r>
      <w:r w:rsidR="00833177">
        <w:t>-boom</w:t>
      </w:r>
      <w:r w:rsidR="00A53A67">
        <w:t xml:space="preserve">-what-problem (accessed 2 May </w:t>
      </w:r>
      <w:r w:rsidR="00D207B8" w:rsidRPr="004E4DD1">
        <w:t xml:space="preserve">2012). </w:t>
      </w:r>
    </w:p>
    <w:p w:rsidR="00D90351" w:rsidRDefault="00D90351" w:rsidP="002F73CF">
      <w:pPr>
        <w:pStyle w:val="Reference"/>
      </w:pPr>
      <w:r w:rsidRPr="008D74FC">
        <w:t>Barb</w:t>
      </w:r>
      <w:r w:rsidR="00014A7D" w:rsidRPr="008D74FC">
        <w:t>er, J., Shael, T., Hitchins, N. and Bialowas, A.</w:t>
      </w:r>
      <w:r w:rsidRPr="008D74FC">
        <w:t xml:space="preserve"> 2012, </w:t>
      </w:r>
      <w:r w:rsidRPr="008D74FC">
        <w:rPr>
          <w:i/>
        </w:rPr>
        <w:t>Resources and Energy Major Projects October 2012</w:t>
      </w:r>
      <w:r w:rsidRPr="008D74FC">
        <w:t>, Bureau of Resources and Energy Economics, Canberra, November.</w:t>
      </w:r>
    </w:p>
    <w:p w:rsidR="00FD40E7" w:rsidRDefault="00C60456" w:rsidP="002F73CF">
      <w:pPr>
        <w:pStyle w:val="Reference"/>
      </w:pPr>
      <w:r>
        <w:t>——, ——, </w:t>
      </w:r>
      <w:r w:rsidR="00FD40E7">
        <w:t>Cowling, S., Bialowas, A. and Hough, O</w:t>
      </w:r>
      <w:r w:rsidR="00DF60F6">
        <w:t xml:space="preserve">. </w:t>
      </w:r>
      <w:r w:rsidR="00FD40E7">
        <w:t xml:space="preserve">2013, </w:t>
      </w:r>
      <w:r w:rsidR="00FD40E7" w:rsidRPr="008D74FC">
        <w:rPr>
          <w:i/>
        </w:rPr>
        <w:t xml:space="preserve">Resources and Energy Major Projects </w:t>
      </w:r>
      <w:r w:rsidR="00FD40E7">
        <w:rPr>
          <w:i/>
        </w:rPr>
        <w:t>April 2013</w:t>
      </w:r>
      <w:r w:rsidR="00FD40E7" w:rsidRPr="008D74FC">
        <w:t xml:space="preserve">, Bureau of Resources and Energy Economics, Canberra, </w:t>
      </w:r>
      <w:r w:rsidR="00F34794">
        <w:t>May</w:t>
      </w:r>
      <w:r w:rsidR="00FD40E7" w:rsidRPr="008D74FC">
        <w:t>.</w:t>
      </w:r>
    </w:p>
    <w:p w:rsidR="00AB66A7" w:rsidRPr="002F73CF" w:rsidRDefault="00AB66A7" w:rsidP="002F73CF">
      <w:pPr>
        <w:pStyle w:val="Reference"/>
        <w:rPr>
          <w:rStyle w:val="DraftingNote"/>
          <w:color w:val="auto"/>
        </w:rPr>
      </w:pPr>
      <w:r w:rsidRPr="00334137">
        <w:t xml:space="preserve">Barnes, P. and McClure, A. 2009, </w:t>
      </w:r>
      <w:r w:rsidRPr="00334137">
        <w:rPr>
          <w:i/>
        </w:rPr>
        <w:t>Investments in Intangible Assets and Australia’s Productivity Growth</w:t>
      </w:r>
      <w:r w:rsidRPr="00334137">
        <w:t>, Productivity Commission Staff Working Paper, Canberr</w:t>
      </w:r>
      <w:r>
        <w:t>a.</w:t>
      </w:r>
    </w:p>
    <w:p w:rsidR="009A2D59" w:rsidRPr="00A106FC" w:rsidRDefault="00AB66A7" w:rsidP="009A2D59">
      <w:pPr>
        <w:pStyle w:val="Reference"/>
      </w:pPr>
      <w:r>
        <w:t>——</w:t>
      </w:r>
      <w:r w:rsidR="009A2D59" w:rsidRPr="00A106FC">
        <w:t>, Soames, L.</w:t>
      </w:r>
      <w:r w:rsidR="00C9589F">
        <w:t>,</w:t>
      </w:r>
      <w:r w:rsidR="009A2D59" w:rsidRPr="00A106FC">
        <w:t xml:space="preserve"> Li, C. </w:t>
      </w:r>
      <w:r w:rsidR="00C9589F">
        <w:t>and Munoz, M. 2013</w:t>
      </w:r>
      <w:r w:rsidR="009A2D59" w:rsidRPr="00A106FC">
        <w:t xml:space="preserve">, </w:t>
      </w:r>
      <w:r w:rsidR="009A2D59" w:rsidRPr="00A106FC">
        <w:rPr>
          <w:i/>
        </w:rPr>
        <w:t>Productivity in Manufacturing</w:t>
      </w:r>
      <w:r w:rsidR="009A2D59" w:rsidRPr="00A106FC">
        <w:t>, Productivity Commission, Staff Working Paper, Canberra.</w:t>
      </w:r>
    </w:p>
    <w:p w:rsidR="00D34B8C" w:rsidRDefault="00D34B8C" w:rsidP="00D34B8C">
      <w:pPr>
        <w:pStyle w:val="Reference"/>
      </w:pPr>
      <w:r>
        <w:t xml:space="preserve">Battelino, R. 2000, ‘Australian financial markets: looking back and looking ahead’, </w:t>
      </w:r>
      <w:r>
        <w:rPr>
          <w:i/>
          <w:iCs/>
        </w:rPr>
        <w:t>Bulletin</w:t>
      </w:r>
      <w:r>
        <w:t>, Reserve Bank of Australia, March, pp. 16–25.</w:t>
      </w:r>
    </w:p>
    <w:p w:rsidR="00F530F4" w:rsidRDefault="00F530F4" w:rsidP="00F530F4">
      <w:pPr>
        <w:pStyle w:val="Reference"/>
      </w:pPr>
      <w:r>
        <w:t xml:space="preserve">—— 2010, Mining </w:t>
      </w:r>
      <w:r w:rsidR="00A147FC">
        <w:t>booms and the Australian economy</w:t>
      </w:r>
      <w:r>
        <w:t>, Address to The Sydney Institute, Sydney, 23 February</w:t>
      </w:r>
      <w:r w:rsidR="00A147FC">
        <w:t xml:space="preserve">, </w:t>
      </w:r>
      <w:r w:rsidR="00A147FC" w:rsidRPr="00A147FC">
        <w:rPr>
          <w:i/>
        </w:rPr>
        <w:t>Bulletin</w:t>
      </w:r>
      <w:r w:rsidR="00A147FC">
        <w:t>, Reserve Bank of Australia, March Quarter, pp. 63–69</w:t>
      </w:r>
      <w:r>
        <w:t>.</w:t>
      </w:r>
    </w:p>
    <w:p w:rsidR="00D207B8" w:rsidRPr="00A805BF" w:rsidRDefault="00D207B8" w:rsidP="00D207B8">
      <w:pPr>
        <w:pStyle w:val="Reference"/>
      </w:pPr>
      <w:r>
        <w:t xml:space="preserve">Berger-Thomson, L. and Roberts, N. </w:t>
      </w:r>
      <w:r w:rsidR="005F77A0">
        <w:t>2012, ‘Labour market dynamics: c</w:t>
      </w:r>
      <w:r>
        <w:t xml:space="preserve">ross-country insights from panel data’, </w:t>
      </w:r>
      <w:r>
        <w:rPr>
          <w:i/>
        </w:rPr>
        <w:t>Bulletin</w:t>
      </w:r>
      <w:r>
        <w:t>, Reserve Bank of Australia, September Quarter, pp. 27</w:t>
      </w:r>
      <w:r w:rsidR="00823ADB">
        <w:t>–</w:t>
      </w:r>
      <w:r>
        <w:t>36.</w:t>
      </w:r>
    </w:p>
    <w:p w:rsidR="00D207B8" w:rsidRDefault="00D207B8" w:rsidP="00D207B8">
      <w:pPr>
        <w:pStyle w:val="Reference"/>
      </w:pPr>
      <w:r>
        <w:t>Bhagwati, J., Panagariya, A. and Srinivasan, T.</w:t>
      </w:r>
      <w:r w:rsidR="00F24F15">
        <w:t> </w:t>
      </w:r>
      <w:r>
        <w:t xml:space="preserve">N. 2004, ‘The muddles over outsourcing’, </w:t>
      </w:r>
      <w:r>
        <w:rPr>
          <w:i/>
        </w:rPr>
        <w:t>Journal of Economic Perspectives</w:t>
      </w:r>
      <w:r>
        <w:t>, vol. 18, no. 4, pp. 93–114.</w:t>
      </w:r>
    </w:p>
    <w:p w:rsidR="005F5979" w:rsidRPr="005F5979" w:rsidRDefault="005F5979" w:rsidP="00D207B8">
      <w:pPr>
        <w:pStyle w:val="Reference"/>
      </w:pPr>
      <w:r>
        <w:t xml:space="preserve">Bishop, J., Kent, C., Plumb, M. and Rayner, V. 2013, ‘The resources boom and the Australian economy: A sectoral analysis’, </w:t>
      </w:r>
      <w:r>
        <w:rPr>
          <w:i/>
        </w:rPr>
        <w:t>Bulletin</w:t>
      </w:r>
      <w:r>
        <w:t xml:space="preserve">, Reserve Bank of Australia, </w:t>
      </w:r>
      <w:r w:rsidR="006C71C8">
        <w:t>March</w:t>
      </w:r>
      <w:r>
        <w:t xml:space="preserve"> Quarter, pp. </w:t>
      </w:r>
      <w:r w:rsidR="00E459DF">
        <w:t>39–50</w:t>
      </w:r>
      <w:r>
        <w:t>.</w:t>
      </w:r>
    </w:p>
    <w:p w:rsidR="00067BBC" w:rsidRPr="00F0357E" w:rsidRDefault="00067BBC" w:rsidP="00D207B8">
      <w:pPr>
        <w:pStyle w:val="Reference"/>
      </w:pPr>
      <w:r w:rsidRPr="00F0357E">
        <w:t>BITRE (Bureau of Infrastructure, Transport and Regional Economics) 2012, ‘Airport Traffic Data’</w:t>
      </w:r>
      <w:r w:rsidR="002C492B">
        <w:t>,</w:t>
      </w:r>
      <w:r w:rsidRPr="00F0357E">
        <w:rPr>
          <w:i/>
        </w:rPr>
        <w:t xml:space="preserve"> </w:t>
      </w:r>
      <w:r w:rsidR="00C228B1" w:rsidRPr="00F0357E">
        <w:t>http://www.bitre.gov.au/publications/ongoing/airport_ traffic_data.aspx</w:t>
      </w:r>
      <w:r w:rsidR="002C492B">
        <w:t xml:space="preserve"> (</w:t>
      </w:r>
      <w:r w:rsidRPr="00F0357E">
        <w:t>accessed 12 December 2012</w:t>
      </w:r>
      <w:r w:rsidR="002C492B">
        <w:t>)</w:t>
      </w:r>
      <w:r w:rsidRPr="00F0357E">
        <w:t>.</w:t>
      </w:r>
    </w:p>
    <w:p w:rsidR="00F6232A" w:rsidRDefault="00F6232A" w:rsidP="00F6232A">
      <w:pPr>
        <w:pStyle w:val="Reference"/>
      </w:pPr>
      <w:r>
        <w:t xml:space="preserve">Blanchflower, D. G. and Oswald, A. J. 2013, </w:t>
      </w:r>
      <w:r>
        <w:rPr>
          <w:i/>
        </w:rPr>
        <w:t>Does high home-ownership impair the labor market?</w:t>
      </w:r>
      <w:r w:rsidRPr="00F6232A">
        <w:t>,</w:t>
      </w:r>
      <w:r>
        <w:t xml:space="preserve"> Working paper no. 19079, National Bureau of Economic Research, Cambridge, Massachusetts.</w:t>
      </w:r>
    </w:p>
    <w:p w:rsidR="008250DE" w:rsidRDefault="008250DE" w:rsidP="008250DE">
      <w:pPr>
        <w:pStyle w:val="Reference"/>
      </w:pPr>
      <w:r>
        <w:t xml:space="preserve">Borland, J. 2011, ‘The Australian </w:t>
      </w:r>
      <w:r w:rsidR="005F77A0">
        <w:t>l</w:t>
      </w:r>
      <w:r>
        <w:t xml:space="preserve">abour </w:t>
      </w:r>
      <w:r w:rsidR="005F77A0">
        <w:t>m</w:t>
      </w:r>
      <w:r>
        <w:t xml:space="preserve">arket in the 2000s: </w:t>
      </w:r>
      <w:r w:rsidR="005F77A0">
        <w:t>t</w:t>
      </w:r>
      <w:r>
        <w:t xml:space="preserve">he </w:t>
      </w:r>
      <w:r w:rsidR="005F77A0">
        <w:t>q</w:t>
      </w:r>
      <w:r>
        <w:t xml:space="preserve">uiet </w:t>
      </w:r>
      <w:r w:rsidR="005F77A0">
        <w:t>decade’, in Gerard,</w:t>
      </w:r>
      <w:r>
        <w:t xml:space="preserve"> H. and Kearns, J. (eds.)</w:t>
      </w:r>
      <w:r w:rsidR="002C492B">
        <w:t>,</w:t>
      </w:r>
      <w:r>
        <w:t xml:space="preserve"> </w:t>
      </w:r>
      <w:r>
        <w:rPr>
          <w:i/>
        </w:rPr>
        <w:t>The Australian Economy in the 2000s</w:t>
      </w:r>
      <w:r>
        <w:t>, Conference Proceedings, Res</w:t>
      </w:r>
      <w:r w:rsidR="00C01602">
        <w:t>erve Bank of Australia, pp. 165–</w:t>
      </w:r>
      <w:r>
        <w:t>218.</w:t>
      </w:r>
    </w:p>
    <w:p w:rsidR="00A106FC" w:rsidRDefault="00492FC2" w:rsidP="003342B0">
      <w:pPr>
        <w:pStyle w:val="Reference"/>
      </w:pPr>
      <w:r w:rsidRPr="00D80A5E">
        <w:lastRenderedPageBreak/>
        <w:t>—— </w:t>
      </w:r>
      <w:r w:rsidR="008250DE" w:rsidRPr="00D80A5E">
        <w:t xml:space="preserve">2012, ‘Industrial </w:t>
      </w:r>
      <w:r w:rsidR="005F77A0" w:rsidRPr="00D80A5E">
        <w:t>r</w:t>
      </w:r>
      <w:r w:rsidR="008250DE" w:rsidRPr="00D80A5E">
        <w:t xml:space="preserve">elations </w:t>
      </w:r>
      <w:r w:rsidR="005F77A0" w:rsidRPr="00D80A5E">
        <w:t>r</w:t>
      </w:r>
      <w:r w:rsidR="008250DE" w:rsidRPr="00D80A5E">
        <w:t xml:space="preserve">eform: </w:t>
      </w:r>
      <w:r w:rsidR="005F77A0" w:rsidRPr="00D80A5E">
        <w:t>c</w:t>
      </w:r>
      <w:r w:rsidR="008250DE" w:rsidRPr="00D80A5E">
        <w:t xml:space="preserve">hasing a </w:t>
      </w:r>
      <w:r w:rsidR="005F77A0" w:rsidRPr="00D80A5E">
        <w:t>p</w:t>
      </w:r>
      <w:r w:rsidR="008250DE" w:rsidRPr="00D80A5E">
        <w:t xml:space="preserve">ot of </w:t>
      </w:r>
      <w:r w:rsidR="005F77A0" w:rsidRPr="00D80A5E">
        <w:t>g</w:t>
      </w:r>
      <w:r w:rsidR="008250DE" w:rsidRPr="00D80A5E">
        <w:t xml:space="preserve">old at the </w:t>
      </w:r>
      <w:r w:rsidR="005F77A0" w:rsidRPr="00D80A5E">
        <w:t>e</w:t>
      </w:r>
      <w:r w:rsidR="008250DE" w:rsidRPr="00D80A5E">
        <w:t xml:space="preserve">nd of the </w:t>
      </w:r>
      <w:r w:rsidR="005F77A0" w:rsidRPr="00D80A5E">
        <w:t>r</w:t>
      </w:r>
      <w:r w:rsidR="008250DE" w:rsidRPr="00D80A5E">
        <w:t xml:space="preserve">ainbow?’, </w:t>
      </w:r>
      <w:r w:rsidR="008250DE" w:rsidRPr="00D80A5E">
        <w:rPr>
          <w:i/>
        </w:rPr>
        <w:t>The Australian Economic Review</w:t>
      </w:r>
      <w:r w:rsidR="00C01602" w:rsidRPr="00D80A5E">
        <w:t>, vol. 45, no. 3, pp. 269–</w:t>
      </w:r>
      <w:r w:rsidR="008250DE" w:rsidRPr="00D80A5E">
        <w:t>89.</w:t>
      </w:r>
    </w:p>
    <w:p w:rsidR="00842070" w:rsidRPr="00D80A5E" w:rsidRDefault="00842070" w:rsidP="003342B0">
      <w:pPr>
        <w:pStyle w:val="Reference"/>
      </w:pPr>
      <w:r>
        <w:t xml:space="preserve">Breunig, R. V. and Bakhtiari, S. 2013, ‘Outsourcing and innovation: an empirical exploration of the dynamic relationship’, </w:t>
      </w:r>
      <w:r w:rsidRPr="00842070">
        <w:rPr>
          <w:i/>
        </w:rPr>
        <w:t>The B.E. Journal of Economic Analysis and Policy,</w:t>
      </w:r>
      <w:r>
        <w:t xml:space="preserve"> vol. 14, issue 1, pp. 395–418.</w:t>
      </w:r>
    </w:p>
    <w:p w:rsidR="009C080A" w:rsidRPr="009C080A" w:rsidRDefault="009C080A" w:rsidP="009C080A">
      <w:pPr>
        <w:pStyle w:val="Reference"/>
      </w:pPr>
      <w:r w:rsidRPr="009C080A">
        <w:t xml:space="preserve">BREE (Bureau of Resources and Energy Economics) 2012a, </w:t>
      </w:r>
      <w:r w:rsidRPr="009C080A">
        <w:rPr>
          <w:i/>
        </w:rPr>
        <w:t>Energy in Australia 2012</w:t>
      </w:r>
      <w:r w:rsidRPr="009C080A">
        <w:t xml:space="preserve">, BREE, Canberra, February. </w:t>
      </w:r>
    </w:p>
    <w:p w:rsidR="009C080A" w:rsidRDefault="009C080A" w:rsidP="009C080A">
      <w:pPr>
        <w:pStyle w:val="Reference"/>
      </w:pPr>
      <w:r w:rsidRPr="009C080A">
        <w:t>—— </w:t>
      </w:r>
      <w:r w:rsidR="00105B70" w:rsidRPr="009C080A">
        <w:t>2012</w:t>
      </w:r>
      <w:r w:rsidR="00105B70">
        <w:t>b</w:t>
      </w:r>
      <w:r w:rsidRPr="009C080A">
        <w:t xml:space="preserve">, </w:t>
      </w:r>
      <w:r w:rsidRPr="009C080A">
        <w:rPr>
          <w:i/>
        </w:rPr>
        <w:t>Resources and Energy Statistics: Data Files</w:t>
      </w:r>
      <w:r w:rsidRPr="009C080A">
        <w:t xml:space="preserve">, BREE, </w:t>
      </w:r>
      <w:r w:rsidR="00006E65" w:rsidRPr="00006E65">
        <w:t>http://www.bree.gov.au/publications/res.html</w:t>
      </w:r>
      <w:r w:rsidR="00006E65">
        <w:t xml:space="preserve"> (</w:t>
      </w:r>
      <w:r w:rsidRPr="009C080A">
        <w:t>accessed 1 February 2013</w:t>
      </w:r>
      <w:r w:rsidR="00006E65">
        <w:t>)</w:t>
      </w:r>
      <w:r w:rsidRPr="009C080A">
        <w:t>.</w:t>
      </w:r>
    </w:p>
    <w:p w:rsidR="00D207B8" w:rsidRDefault="00D207B8" w:rsidP="00D207B8">
      <w:pPr>
        <w:pStyle w:val="Reference"/>
      </w:pPr>
      <w:r w:rsidRPr="00C34FEE">
        <w:t>Buchanan</w:t>
      </w:r>
      <w:r>
        <w:t>,</w:t>
      </w:r>
      <w:r w:rsidRPr="00C34FEE">
        <w:t xml:space="preserve"> J</w:t>
      </w:r>
      <w:r>
        <w:t>.</w:t>
      </w:r>
      <w:r w:rsidRPr="00C34FEE">
        <w:t>, Baldwin</w:t>
      </w:r>
      <w:r>
        <w:t>,</w:t>
      </w:r>
      <w:r w:rsidRPr="00C34FEE">
        <w:t xml:space="preserve"> S</w:t>
      </w:r>
      <w:r>
        <w:t>.</w:t>
      </w:r>
      <w:r w:rsidRPr="00C34FEE">
        <w:t xml:space="preserve"> and Wright</w:t>
      </w:r>
      <w:r>
        <w:t>,</w:t>
      </w:r>
      <w:r w:rsidRPr="00C34FEE">
        <w:t xml:space="preserve"> S</w:t>
      </w:r>
      <w:r>
        <w:t>.</w:t>
      </w:r>
      <w:r w:rsidRPr="00C34FEE">
        <w:t xml:space="preserve"> 2011, </w:t>
      </w:r>
      <w:r w:rsidRPr="004F1B06">
        <w:rPr>
          <w:i/>
        </w:rPr>
        <w:t>Understanding and Improving Labour Mobility: Scoping Paper</w:t>
      </w:r>
      <w:r w:rsidRPr="00C34FEE">
        <w:t>, Workplace Research Centre, University of Sydney Business School, NCVER Occasional Paper, Adelaide.</w:t>
      </w:r>
    </w:p>
    <w:p w:rsidR="002B6B61" w:rsidRPr="00E169EB" w:rsidRDefault="002B6B61" w:rsidP="002B6B61">
      <w:pPr>
        <w:pStyle w:val="Reference"/>
      </w:pPr>
      <w:r w:rsidRPr="00E169EB">
        <w:t xml:space="preserve">Carroll, C., Slacalek, J. and Sommer, M. 2012, </w:t>
      </w:r>
      <w:r w:rsidR="002C3F01">
        <w:t>‘</w:t>
      </w:r>
      <w:r w:rsidRPr="00014A7D">
        <w:rPr>
          <w:rStyle w:val="st1"/>
        </w:rPr>
        <w:t xml:space="preserve">Dissecting </w:t>
      </w:r>
      <w:r w:rsidR="00E169EB" w:rsidRPr="00014A7D">
        <w:rPr>
          <w:rStyle w:val="st1"/>
        </w:rPr>
        <w:t>S</w:t>
      </w:r>
      <w:r w:rsidRPr="00014A7D">
        <w:rPr>
          <w:rStyle w:val="st1"/>
        </w:rPr>
        <w:t xml:space="preserve">aving </w:t>
      </w:r>
      <w:r w:rsidR="00E169EB" w:rsidRPr="00014A7D">
        <w:rPr>
          <w:rStyle w:val="st1"/>
        </w:rPr>
        <w:t>D</w:t>
      </w:r>
      <w:r w:rsidRPr="00014A7D">
        <w:rPr>
          <w:rStyle w:val="st1"/>
        </w:rPr>
        <w:t xml:space="preserve">ynamics: Measuring </w:t>
      </w:r>
      <w:r w:rsidR="00E169EB" w:rsidRPr="00014A7D">
        <w:rPr>
          <w:rStyle w:val="st1"/>
        </w:rPr>
        <w:t>C</w:t>
      </w:r>
      <w:r w:rsidRPr="00014A7D">
        <w:rPr>
          <w:rStyle w:val="st1"/>
        </w:rPr>
        <w:t xml:space="preserve">redit, </w:t>
      </w:r>
      <w:r w:rsidR="00E169EB" w:rsidRPr="00014A7D">
        <w:rPr>
          <w:rStyle w:val="st1"/>
        </w:rPr>
        <w:t>W</w:t>
      </w:r>
      <w:r w:rsidRPr="00014A7D">
        <w:rPr>
          <w:rStyle w:val="st1"/>
        </w:rPr>
        <w:t xml:space="preserve">ealth, and </w:t>
      </w:r>
      <w:r w:rsidR="00E169EB" w:rsidRPr="00014A7D">
        <w:rPr>
          <w:rStyle w:val="st1"/>
        </w:rPr>
        <w:t>P</w:t>
      </w:r>
      <w:r w:rsidRPr="00014A7D">
        <w:rPr>
          <w:rStyle w:val="st1"/>
        </w:rPr>
        <w:t xml:space="preserve">recautionary </w:t>
      </w:r>
      <w:r w:rsidR="00E169EB" w:rsidRPr="00014A7D">
        <w:rPr>
          <w:rStyle w:val="st1"/>
        </w:rPr>
        <w:t>E</w:t>
      </w:r>
      <w:r w:rsidRPr="00014A7D">
        <w:rPr>
          <w:rStyle w:val="st1"/>
        </w:rPr>
        <w:t>ffects</w:t>
      </w:r>
      <w:r w:rsidR="002C3F01">
        <w:rPr>
          <w:rStyle w:val="st1"/>
        </w:rPr>
        <w:t>’</w:t>
      </w:r>
      <w:r w:rsidRPr="00E169EB">
        <w:rPr>
          <w:rStyle w:val="st1"/>
        </w:rPr>
        <w:t xml:space="preserve">, Paper presented at the </w:t>
      </w:r>
      <w:r w:rsidRPr="00752FD2">
        <w:rPr>
          <w:rStyle w:val="st1"/>
        </w:rPr>
        <w:t>Structural and Cyclical Elements in Macroeconomics</w:t>
      </w:r>
      <w:r w:rsidR="000F1B91" w:rsidRPr="00E169EB">
        <w:rPr>
          <w:rStyle w:val="st1"/>
        </w:rPr>
        <w:t xml:space="preserve"> C</w:t>
      </w:r>
      <w:r w:rsidRPr="00E169EB">
        <w:rPr>
          <w:rStyle w:val="st1"/>
        </w:rPr>
        <w:t xml:space="preserve">onference, Federal Reserve Bank of San Francisco, </w:t>
      </w:r>
      <w:r w:rsidR="005F77A0" w:rsidRPr="00E169EB">
        <w:rPr>
          <w:rStyle w:val="st1"/>
        </w:rPr>
        <w:t>16</w:t>
      </w:r>
      <w:r w:rsidR="005F77A0">
        <w:rPr>
          <w:rStyle w:val="st1"/>
        </w:rPr>
        <w:t xml:space="preserve"> </w:t>
      </w:r>
      <w:r w:rsidRPr="00E169EB">
        <w:rPr>
          <w:rStyle w:val="st1"/>
        </w:rPr>
        <w:t>March.</w:t>
      </w:r>
    </w:p>
    <w:p w:rsidR="00E169EB" w:rsidRPr="003A2896" w:rsidRDefault="00E169EB" w:rsidP="00E169EB">
      <w:pPr>
        <w:pStyle w:val="Reference"/>
      </w:pPr>
      <w:r>
        <w:t>Cashin, P. and McDe</w:t>
      </w:r>
      <w:r w:rsidR="00252545">
        <w:t>rmott, J. 2002, ‘Riding on the sheep’s back: e</w:t>
      </w:r>
      <w:r>
        <w:t xml:space="preserve">xamining Australia’s </w:t>
      </w:r>
      <w:r w:rsidR="00252545">
        <w:t>d</w:t>
      </w:r>
      <w:r>
        <w:t xml:space="preserve">ependence on </w:t>
      </w:r>
      <w:r w:rsidR="00252545">
        <w:t>w</w:t>
      </w:r>
      <w:r>
        <w:t xml:space="preserve">ool </w:t>
      </w:r>
      <w:r w:rsidR="00252545">
        <w:t>e</w:t>
      </w:r>
      <w:r>
        <w:t xml:space="preserve">xports’, </w:t>
      </w:r>
      <w:r>
        <w:rPr>
          <w:i/>
        </w:rPr>
        <w:t>Economic Record</w:t>
      </w:r>
      <w:r w:rsidR="002863FF">
        <w:t>, vol. 78, no. 242, pp. 249–</w:t>
      </w:r>
      <w:r>
        <w:t>63.</w:t>
      </w:r>
    </w:p>
    <w:p w:rsidR="008F5A71" w:rsidRDefault="008F5A71" w:rsidP="008F5A71">
      <w:pPr>
        <w:pStyle w:val="Reference"/>
      </w:pPr>
      <w:r w:rsidRPr="003A740F">
        <w:t>CMEWA (Chamber of Mineral</w:t>
      </w:r>
      <w:r>
        <w:t>s</w:t>
      </w:r>
      <w:r w:rsidRPr="003A740F">
        <w:t xml:space="preserve"> and Energy of </w:t>
      </w:r>
      <w:r w:rsidR="00900B0A">
        <w:t>Western Australia</w:t>
      </w:r>
      <w:r w:rsidRPr="003A740F">
        <w:t>)</w:t>
      </w:r>
      <w:r>
        <w:t xml:space="preserve"> 2011a, </w:t>
      </w:r>
      <w:r w:rsidR="002C3F01">
        <w:t>‘</w:t>
      </w:r>
      <w:r w:rsidR="009F1D8E" w:rsidRPr="002C3F01">
        <w:t>Inquiry into the use of Fly-In Fly-Out (FIFO) and Drive-In Drive-Out (DIDO) Work Practices in Regional Australia</w:t>
      </w:r>
      <w:r w:rsidR="002C3F01">
        <w:t>’</w:t>
      </w:r>
      <w:r w:rsidR="009F1D8E">
        <w:t xml:space="preserve">, </w:t>
      </w:r>
      <w:r w:rsidRPr="009F1D8E">
        <w:t>Submission to the House Standing Committee on Regional Australia</w:t>
      </w:r>
      <w:r w:rsidR="009F1D8E">
        <w:t>,</w:t>
      </w:r>
      <w:r w:rsidRPr="00910411">
        <w:rPr>
          <w:i/>
        </w:rPr>
        <w:t xml:space="preserve"> </w:t>
      </w:r>
      <w:r w:rsidR="001E07C7">
        <w:t>sub</w:t>
      </w:r>
      <w:r w:rsidR="00551DAE">
        <w:t>. no. 99</w:t>
      </w:r>
      <w:r>
        <w:t>.</w:t>
      </w:r>
    </w:p>
    <w:p w:rsidR="008F5A71" w:rsidRPr="006D69CE" w:rsidRDefault="00492FC2" w:rsidP="008F5A71">
      <w:pPr>
        <w:pStyle w:val="Reference"/>
      </w:pPr>
      <w:r>
        <w:t>—— </w:t>
      </w:r>
      <w:r w:rsidR="008F5A71">
        <w:t xml:space="preserve">2011b, </w:t>
      </w:r>
      <w:r w:rsidR="008F5A71">
        <w:rPr>
          <w:i/>
        </w:rPr>
        <w:t>WA State Growth Outlook 2011</w:t>
      </w:r>
      <w:r w:rsidR="008F5A71">
        <w:t>, Report prepared by CME and PricewaterhouseCoopers</w:t>
      </w:r>
      <w:r w:rsidR="005F77A0">
        <w:t>,</w:t>
      </w:r>
      <w:r w:rsidR="008F5A71">
        <w:t xml:space="preserve"> Australia.</w:t>
      </w:r>
    </w:p>
    <w:p w:rsidR="008F5A71" w:rsidRDefault="00492FC2" w:rsidP="008F5A71">
      <w:pPr>
        <w:pStyle w:val="Reference"/>
      </w:pPr>
      <w:r>
        <w:t>—— </w:t>
      </w:r>
      <w:r w:rsidR="008F5A71">
        <w:t>2012</w:t>
      </w:r>
      <w:r w:rsidR="008F5A71" w:rsidRPr="003A740F">
        <w:t xml:space="preserve">, </w:t>
      </w:r>
      <w:r w:rsidR="008F5A71" w:rsidRPr="003A740F">
        <w:rPr>
          <w:i/>
        </w:rPr>
        <w:t>A Matter of Choice: Capturing the FIFO Opportunities in Pilbara Communities</w:t>
      </w:r>
      <w:r w:rsidR="008F5A71" w:rsidRPr="003A740F">
        <w:t>, Perth.</w:t>
      </w:r>
    </w:p>
    <w:p w:rsidR="00E169EB" w:rsidRDefault="00E169EB" w:rsidP="00E169EB">
      <w:pPr>
        <w:pStyle w:val="Reference"/>
      </w:pPr>
      <w:r>
        <w:t xml:space="preserve">Connolly, E. and Lewis, C. 2010, ‘Structural change in the Australian economy’, </w:t>
      </w:r>
      <w:r w:rsidRPr="001C01D2">
        <w:rPr>
          <w:i/>
        </w:rPr>
        <w:t>Bulletin</w:t>
      </w:r>
      <w:r>
        <w:t>, Reserve Bank of Australia, September.</w:t>
      </w:r>
    </w:p>
    <w:p w:rsidR="002B6B61" w:rsidRDefault="00492FC2" w:rsidP="002B6B61">
      <w:pPr>
        <w:pStyle w:val="Reference"/>
      </w:pPr>
      <w:r>
        <w:t>—— </w:t>
      </w:r>
      <w:r w:rsidR="002B6B61">
        <w:t xml:space="preserve">and Orsmond, D. 2011, </w:t>
      </w:r>
      <w:r w:rsidR="002C3F01">
        <w:t>‘</w:t>
      </w:r>
      <w:r w:rsidR="002B6B61" w:rsidRPr="002C3F01">
        <w:t>The Mining Industry: From Bust to Boom</w:t>
      </w:r>
      <w:r w:rsidR="002C3F01">
        <w:t>’</w:t>
      </w:r>
      <w:r w:rsidR="002B6B61">
        <w:t>, P</w:t>
      </w:r>
      <w:r w:rsidR="002B6B61" w:rsidRPr="0031229B">
        <w:t>aper prepared for the Reserv</w:t>
      </w:r>
      <w:r w:rsidR="002B6B61">
        <w:t>e Bank of Australia Conference ‘Australia in the 2000s’</w:t>
      </w:r>
      <w:r w:rsidR="002B6B61" w:rsidRPr="0031229B">
        <w:t xml:space="preserve">, </w:t>
      </w:r>
      <w:r w:rsidR="002B6B61">
        <w:t>Sydney</w:t>
      </w:r>
      <w:r w:rsidR="002B6B61" w:rsidRPr="0031229B">
        <w:t>, 15</w:t>
      </w:r>
      <w:r w:rsidR="00900B0A">
        <w:t>–</w:t>
      </w:r>
      <w:r w:rsidR="002B6B61" w:rsidRPr="0031229B">
        <w:t>16 August.</w:t>
      </w:r>
    </w:p>
    <w:p w:rsidR="00E169EB" w:rsidRDefault="00E169EB" w:rsidP="00E169EB">
      <w:pPr>
        <w:pStyle w:val="Reference"/>
      </w:pPr>
      <w:r>
        <w:t xml:space="preserve">Corden, W.M. 2012, </w:t>
      </w:r>
      <w:r w:rsidR="002C3F01">
        <w:t>‘</w:t>
      </w:r>
      <w:r w:rsidRPr="002C3F01">
        <w:t>The Dutch Disease in Australia: Policy Options for a</w:t>
      </w:r>
      <w:r w:rsidR="008F5A71" w:rsidRPr="002C3F01">
        <w:t xml:space="preserve"> </w:t>
      </w:r>
      <w:r w:rsidRPr="002C3F01">
        <w:t>Three</w:t>
      </w:r>
      <w:r w:rsidR="00900B0A">
        <w:noBreakHyphen/>
      </w:r>
      <w:r w:rsidRPr="002C3F01">
        <w:t>Speed Economy</w:t>
      </w:r>
      <w:r w:rsidR="002C3F01">
        <w:t>’</w:t>
      </w:r>
      <w:r>
        <w:t xml:space="preserve">, </w:t>
      </w:r>
      <w:r w:rsidRPr="00E169EB">
        <w:t>Melbourne Institute Working Paper Series</w:t>
      </w:r>
      <w:r w:rsidR="00900B0A">
        <w:t>,</w:t>
      </w:r>
      <w:r>
        <w:t xml:space="preserve"> no. 5/12, February.</w:t>
      </w:r>
    </w:p>
    <w:p w:rsidR="006F42DC" w:rsidRDefault="006F42DC" w:rsidP="006F42DC">
      <w:pPr>
        <w:pStyle w:val="Reference"/>
      </w:pPr>
      <w:r>
        <w:lastRenderedPageBreak/>
        <w:t xml:space="preserve">—— and Neary, J. P. 1982, ‘Booming sector and de-industrialisation in a small open economy’, </w:t>
      </w:r>
      <w:r w:rsidRPr="00B94C3F">
        <w:rPr>
          <w:i/>
        </w:rPr>
        <w:t>The Economic Journal</w:t>
      </w:r>
      <w:r>
        <w:t>, vol. 92, no. 368, pp. 825–48.</w:t>
      </w:r>
    </w:p>
    <w:p w:rsidR="00A76350" w:rsidRDefault="00A76350" w:rsidP="00A76350">
      <w:pPr>
        <w:pStyle w:val="Reference"/>
      </w:pPr>
      <w:r w:rsidRPr="00006E65">
        <w:t>CSIRO (Commonwealth Scientific and Industrial Research Organisation) 201</w:t>
      </w:r>
      <w:r>
        <w:t>3</w:t>
      </w:r>
      <w:r w:rsidRPr="00006E65">
        <w:t xml:space="preserve">, </w:t>
      </w:r>
      <w:r>
        <w:rPr>
          <w:i/>
        </w:rPr>
        <w:t>Advanced Coal Mining T</w:t>
      </w:r>
      <w:r w:rsidRPr="00006E65">
        <w:rPr>
          <w:i/>
        </w:rPr>
        <w:t>echnologies</w:t>
      </w:r>
      <w:r w:rsidRPr="00006E65">
        <w:t xml:space="preserve">, http://www.csiro.au/en/Outcomes/ Energy/Energy-from-coal/Advanced-coal-mining-technologies/Advanced-coal-mining-technologies.aspx </w:t>
      </w:r>
      <w:r>
        <w:t>(</w:t>
      </w:r>
      <w:r w:rsidRPr="00006E65">
        <w:t>accessed 13 February 2013</w:t>
      </w:r>
      <w:r>
        <w:t>)</w:t>
      </w:r>
      <w:r w:rsidRPr="00006E65">
        <w:t>.</w:t>
      </w:r>
    </w:p>
    <w:p w:rsidR="003E4D6C" w:rsidRPr="005E6103" w:rsidRDefault="003E4D6C" w:rsidP="00BC453B">
      <w:pPr>
        <w:pStyle w:val="Reference"/>
      </w:pPr>
      <w:r>
        <w:t xml:space="preserve">Cunningham, M. and Davis, K. 2011 ‘Labour Market Outcomes in Regional Australia’, </w:t>
      </w:r>
      <w:r>
        <w:rPr>
          <w:i/>
        </w:rPr>
        <w:t>Bulletin</w:t>
      </w:r>
      <w:r>
        <w:t>, Reserve Bank of Australia, September Quarter, pp. 1–8.</w:t>
      </w:r>
    </w:p>
    <w:p w:rsidR="00CE26DF" w:rsidRPr="00006E65" w:rsidRDefault="00CE26DF" w:rsidP="00006E65">
      <w:pPr>
        <w:pStyle w:val="Reference"/>
      </w:pPr>
      <w:r>
        <w:t xml:space="preserve">Daley, J. 2013, </w:t>
      </w:r>
      <w:r w:rsidRPr="00CE26DF">
        <w:rPr>
          <w:i/>
        </w:rPr>
        <w:t>Budget Pressures on Australian Governments</w:t>
      </w:r>
      <w:r>
        <w:t xml:space="preserve">, Grattan Institute Report, </w:t>
      </w:r>
      <w:r w:rsidR="005B2AAD">
        <w:t>no</w:t>
      </w:r>
      <w:r>
        <w:t>. 2013-4, Melbourne, April.</w:t>
      </w:r>
    </w:p>
    <w:p w:rsidR="00CA2725" w:rsidRPr="00771F8D" w:rsidRDefault="00CA2725" w:rsidP="00CA2725">
      <w:pPr>
        <w:pStyle w:val="Reference"/>
      </w:pPr>
      <w:r>
        <w:t xml:space="preserve">D’Arcy, P., Gustafsson, L., Lewis, C. and Wiltshire, T. 2012, ‘Labour market turnover and mobility’, </w:t>
      </w:r>
      <w:r>
        <w:rPr>
          <w:i/>
        </w:rPr>
        <w:t>Bulletin</w:t>
      </w:r>
      <w:r>
        <w:t>, Reserve Bank of Australia, December Quarter, pp. 1</w:t>
      </w:r>
      <w:r w:rsidR="001C6BCB">
        <w:t>–</w:t>
      </w:r>
      <w:r>
        <w:t>12.</w:t>
      </w:r>
    </w:p>
    <w:p w:rsidR="00160D48" w:rsidRPr="002C38E2" w:rsidRDefault="005B2AAD" w:rsidP="00CA2725">
      <w:pPr>
        <w:pStyle w:val="Reference"/>
      </w:pPr>
      <w:r w:rsidRPr="002C38E2">
        <w:t>——</w:t>
      </w:r>
      <w:r w:rsidR="00160D48" w:rsidRPr="002C38E2">
        <w:t xml:space="preserve"> and Ossolinski</w:t>
      </w:r>
      <w:r w:rsidR="002C38E2">
        <w:t>, C.</w:t>
      </w:r>
      <w:r w:rsidR="00160D48" w:rsidRPr="002C38E2">
        <w:t xml:space="preserve"> 2009</w:t>
      </w:r>
      <w:r w:rsidR="002C38E2" w:rsidRPr="002C38E2">
        <w:t xml:space="preserve">, ‘Australian capital flows and the financial crisis’, </w:t>
      </w:r>
      <w:r w:rsidR="002C38E2" w:rsidRPr="002C38E2">
        <w:rPr>
          <w:i/>
        </w:rPr>
        <w:t>Bulletin</w:t>
      </w:r>
      <w:r w:rsidR="002C38E2" w:rsidRPr="002C38E2">
        <w:t>, Reserve Bank of Australia, November, pp. 1–6.</w:t>
      </w:r>
    </w:p>
    <w:p w:rsidR="00DB5E45" w:rsidRPr="00DB5E45" w:rsidRDefault="00DB5E45" w:rsidP="00DB5E45">
      <w:pPr>
        <w:pStyle w:val="Reference"/>
        <w:rPr>
          <w:rStyle w:val="DraftingNote"/>
          <w:b w:val="0"/>
          <w:color w:val="auto"/>
          <w:sz w:val="26"/>
          <w:u w:val="none"/>
        </w:rPr>
      </w:pPr>
      <w:r>
        <w:t xml:space="preserve">De Laine, C., Laplagne, P., Stone, S. 2000, </w:t>
      </w:r>
      <w:r w:rsidRPr="00DB5E45">
        <w:rPr>
          <w:i/>
        </w:rPr>
        <w:t>The Increasing Demand for Skilled Workers in Australia: The Role of Technical Change</w:t>
      </w:r>
      <w:r>
        <w:t>, Staff Research Paper, Productivity Commission, Canberra, September.</w:t>
      </w:r>
    </w:p>
    <w:p w:rsidR="00014A7D" w:rsidRDefault="00DB5E45" w:rsidP="002F73CF">
      <w:pPr>
        <w:pStyle w:val="Reference"/>
      </w:pPr>
      <w:r>
        <w:t xml:space="preserve">——, </w:t>
      </w:r>
      <w:r w:rsidR="00014A7D">
        <w:t xml:space="preserve">Lee, K. and Woodbridge, G. 1997, </w:t>
      </w:r>
      <w:r w:rsidR="00014A7D">
        <w:rPr>
          <w:i/>
        </w:rPr>
        <w:t>Microeconomic Reform and Structural Change in Employment</w:t>
      </w:r>
      <w:r w:rsidR="00014A7D">
        <w:t>, Staff Research Paper, Productivity Commission, Canberra.</w:t>
      </w:r>
    </w:p>
    <w:p w:rsidR="007E6977" w:rsidRDefault="007E6977" w:rsidP="007E6977">
      <w:pPr>
        <w:pStyle w:val="Reference"/>
      </w:pPr>
      <w:r w:rsidRPr="007C4799">
        <w:t>Debelle</w:t>
      </w:r>
      <w:r>
        <w:t>,</w:t>
      </w:r>
      <w:r w:rsidRPr="007C4799">
        <w:t xml:space="preserve"> G</w:t>
      </w:r>
      <w:r w:rsidR="00252545">
        <w:t>.</w:t>
      </w:r>
      <w:r w:rsidRPr="007C4799">
        <w:t xml:space="preserve"> and Vickery</w:t>
      </w:r>
      <w:r>
        <w:t>,</w:t>
      </w:r>
      <w:r w:rsidRPr="007C4799">
        <w:t xml:space="preserve"> J</w:t>
      </w:r>
      <w:r>
        <w:t>.</w:t>
      </w:r>
      <w:r w:rsidRPr="007C4799">
        <w:t xml:space="preserve"> 1998, </w:t>
      </w:r>
      <w:r w:rsidRPr="005B2AAD">
        <w:rPr>
          <w:i/>
        </w:rPr>
        <w:t>Labour Market Adjustment: Evidence on Interstate Labour Mobility</w:t>
      </w:r>
      <w:r w:rsidRPr="007C4799">
        <w:t>, Research Discussion Paper no. 9801, Reserve Bank of Australia.</w:t>
      </w:r>
    </w:p>
    <w:p w:rsidR="00723BF3" w:rsidRDefault="00723BF3" w:rsidP="007E6977">
      <w:pPr>
        <w:pStyle w:val="Reference"/>
      </w:pPr>
      <w:r>
        <w:t>Debelle, G. 2013, ‘Funding the resources investment boom’, Address to the Melbourne Institute Public Economic Forum, Canberra, 16 April.</w:t>
      </w:r>
    </w:p>
    <w:p w:rsidR="005A2218" w:rsidRPr="000C240A" w:rsidRDefault="005A2218" w:rsidP="005A2218">
      <w:pPr>
        <w:pStyle w:val="Reference"/>
        <w:spacing w:before="240"/>
      </w:pPr>
      <w:r w:rsidRPr="000C240A">
        <w:t xml:space="preserve">Denniss and Grudnoff 2012, </w:t>
      </w:r>
      <w:r w:rsidRPr="00EE6108">
        <w:rPr>
          <w:i/>
        </w:rPr>
        <w:t>Too Much of A Good Thing? The Macroeconomic Case for Slowing Down The Mining Boom</w:t>
      </w:r>
      <w:r>
        <w:t xml:space="preserve">, The Australia Institute, Policy Brief, no. 37, Canberra. </w:t>
      </w:r>
    </w:p>
    <w:p w:rsidR="00C77009" w:rsidRPr="00736EC1" w:rsidRDefault="00492540" w:rsidP="00C77009">
      <w:pPr>
        <w:pStyle w:val="Reference"/>
      </w:pPr>
      <w:r w:rsidRPr="00B704CE">
        <w:t xml:space="preserve">DEEWR </w:t>
      </w:r>
      <w:r>
        <w:t>(Department of Education, Employment and Workplace Relations)</w:t>
      </w:r>
      <w:r w:rsidR="00492FC2">
        <w:t> </w:t>
      </w:r>
      <w:r w:rsidR="00C77009">
        <w:t>2012</w:t>
      </w:r>
      <w:r w:rsidR="007E6977">
        <w:t>a</w:t>
      </w:r>
      <w:r w:rsidR="00C77009">
        <w:t xml:space="preserve">, </w:t>
      </w:r>
      <w:r w:rsidR="00C77009">
        <w:rPr>
          <w:i/>
        </w:rPr>
        <w:t>Australian Jobs 2012</w:t>
      </w:r>
      <w:r w:rsidR="00C1784D">
        <w:t xml:space="preserve">, </w:t>
      </w:r>
      <w:r w:rsidR="00A95E13" w:rsidRPr="00A95E13">
        <w:t>http://www.deewr.gov.au/Employment/Research</w:t>
      </w:r>
      <w:r w:rsidR="00A95E13">
        <w:br/>
      </w:r>
      <w:r w:rsidR="00C77009" w:rsidRPr="00736EC1">
        <w:t>Statistics/Documents/AustralianJobs.</w:t>
      </w:r>
      <w:r w:rsidR="008831A0">
        <w:t>pd</w:t>
      </w:r>
      <w:r w:rsidR="00211C0A">
        <w:t>f</w:t>
      </w:r>
      <w:r w:rsidR="00C77009">
        <w:t xml:space="preserve"> (accessed 17 September 2012)</w:t>
      </w:r>
      <w:r w:rsidR="00DE18CE">
        <w:t>.</w:t>
      </w:r>
    </w:p>
    <w:p w:rsidR="00C77009" w:rsidRDefault="00492FC2" w:rsidP="00C77009">
      <w:pPr>
        <w:pStyle w:val="Reference"/>
      </w:pPr>
      <w:r>
        <w:t>—— </w:t>
      </w:r>
      <w:r w:rsidR="00DD14C2">
        <w:t>2012b</w:t>
      </w:r>
      <w:r w:rsidR="00C77009" w:rsidRPr="00B704CE">
        <w:t xml:space="preserve">, </w:t>
      </w:r>
      <w:r w:rsidR="00C77009" w:rsidRPr="00B704CE">
        <w:rPr>
          <w:i/>
        </w:rPr>
        <w:t>Mining</w:t>
      </w:r>
      <w:r w:rsidR="006E134F">
        <w:t>, Skills</w:t>
      </w:r>
      <w:r w:rsidR="00C77009" w:rsidRPr="00B704CE">
        <w:t>Info Industry</w:t>
      </w:r>
      <w:r w:rsidR="00C77009" w:rsidRPr="00B704CE">
        <w:rPr>
          <w:i/>
        </w:rPr>
        <w:t xml:space="preserve"> </w:t>
      </w:r>
      <w:r w:rsidR="00C77009" w:rsidRPr="00B704CE">
        <w:t>Report, http://skillsinfo.gov.au/</w:t>
      </w:r>
      <w:r w:rsidR="005B2AAD">
        <w:br/>
      </w:r>
      <w:r w:rsidR="00C77009" w:rsidRPr="00B704CE">
        <w:t>sites/default/files/documents/2011miningreport.</w:t>
      </w:r>
      <w:r w:rsidR="008831A0">
        <w:t>pdf</w:t>
      </w:r>
      <w:r w:rsidR="00C77009" w:rsidRPr="00B704CE">
        <w:t xml:space="preserve"> (accessed 13 June 2012).</w:t>
      </w:r>
    </w:p>
    <w:p w:rsidR="002863FF" w:rsidRDefault="00492FC2" w:rsidP="002863FF">
      <w:pPr>
        <w:pStyle w:val="Reference"/>
      </w:pPr>
      <w:r>
        <w:t>—— </w:t>
      </w:r>
      <w:r w:rsidR="00DD14C2">
        <w:t>2012c</w:t>
      </w:r>
      <w:r w:rsidR="002863FF">
        <w:t xml:space="preserve">, </w:t>
      </w:r>
      <w:r w:rsidR="002863FF" w:rsidRPr="00C77009">
        <w:rPr>
          <w:i/>
        </w:rPr>
        <w:t>Small Area Labour Markets Database</w:t>
      </w:r>
      <w:r w:rsidR="00C77009" w:rsidRPr="00C77009">
        <w:t xml:space="preserve">, </w:t>
      </w:r>
      <w:r w:rsidR="004760E8">
        <w:t>Australian Government,</w:t>
      </w:r>
      <w:r w:rsidR="004760E8" w:rsidRPr="00C77009">
        <w:t xml:space="preserve"> </w:t>
      </w:r>
      <w:r w:rsidR="00C77009" w:rsidRPr="00C77009">
        <w:t>Canberra</w:t>
      </w:r>
      <w:r w:rsidR="002863FF">
        <w:t>.</w:t>
      </w:r>
    </w:p>
    <w:p w:rsidR="002863FF" w:rsidRDefault="00492FC2" w:rsidP="002863FF">
      <w:pPr>
        <w:pStyle w:val="Reference"/>
      </w:pPr>
      <w:r>
        <w:lastRenderedPageBreak/>
        <w:t>—— </w:t>
      </w:r>
      <w:r w:rsidR="00DD14C2">
        <w:t>2012d</w:t>
      </w:r>
      <w:r w:rsidR="002863FF">
        <w:t xml:space="preserve">, </w:t>
      </w:r>
      <w:r w:rsidR="002863FF" w:rsidRPr="004A3DA7">
        <w:rPr>
          <w:i/>
        </w:rPr>
        <w:t>Vacancy Report</w:t>
      </w:r>
      <w:r w:rsidR="002863FF">
        <w:t>,</w:t>
      </w:r>
      <w:r w:rsidR="002863FF" w:rsidRPr="00D74BC3">
        <w:t xml:space="preserve"> </w:t>
      </w:r>
      <w:r w:rsidR="002863FF">
        <w:t>Canberra.</w:t>
      </w:r>
    </w:p>
    <w:p w:rsidR="007E6977" w:rsidRPr="00B704CE" w:rsidRDefault="0074613C" w:rsidP="007E6977">
      <w:pPr>
        <w:pStyle w:val="Reference"/>
        <w:spacing w:before="240"/>
      </w:pPr>
      <w:r>
        <w:t xml:space="preserve">DIAC </w:t>
      </w:r>
      <w:r w:rsidRPr="00B704CE">
        <w:t>(Department of Immigration and Citizenship)</w:t>
      </w:r>
      <w:r w:rsidR="00492FC2">
        <w:t> </w:t>
      </w:r>
      <w:r w:rsidR="007E6977">
        <w:t>2012</w:t>
      </w:r>
      <w:r w:rsidR="00FD7545">
        <w:t>a</w:t>
      </w:r>
      <w:r w:rsidR="007E6977" w:rsidRPr="00B704CE">
        <w:t xml:space="preserve">, </w:t>
      </w:r>
      <w:r w:rsidR="007E6977" w:rsidRPr="00B704CE">
        <w:rPr>
          <w:i/>
        </w:rPr>
        <w:t>2011-12 Migration Program Report: Program year to 30 June 2012</w:t>
      </w:r>
      <w:r w:rsidR="007E6977" w:rsidRPr="00B704CE">
        <w:t>, Australian Government. http://www.immi.gov.au/media/statistics/</w:t>
      </w:r>
      <w:r w:rsidR="00211C0A">
        <w:t>pdf</w:t>
      </w:r>
      <w:r w:rsidR="007E6977" w:rsidRPr="00B704CE">
        <w:t>/report-on-migration-program-2011-12.</w:t>
      </w:r>
      <w:r w:rsidR="008831A0">
        <w:t>pdf</w:t>
      </w:r>
      <w:r w:rsidR="007E6977" w:rsidRPr="00B704CE">
        <w:t xml:space="preserve"> (accessed 17 September 2012).</w:t>
      </w:r>
    </w:p>
    <w:p w:rsidR="00586CCA" w:rsidRDefault="00492FC2" w:rsidP="007E6977">
      <w:pPr>
        <w:pStyle w:val="Reference"/>
        <w:spacing w:before="240"/>
      </w:pPr>
      <w:r>
        <w:t>—— </w:t>
      </w:r>
      <w:r w:rsidR="008D3B49">
        <w:t>2012b</w:t>
      </w:r>
      <w:r w:rsidR="007E6977" w:rsidRPr="00B704CE">
        <w:t xml:space="preserve">, </w:t>
      </w:r>
      <w:r w:rsidR="007E6977" w:rsidRPr="00B704CE">
        <w:rPr>
          <w:i/>
        </w:rPr>
        <w:t>Subclass 457 State/Territory Summary Report: 2011-12 to 30 June 2012</w:t>
      </w:r>
      <w:r w:rsidR="007E6977" w:rsidRPr="00B704CE">
        <w:t>, A</w:t>
      </w:r>
      <w:r w:rsidR="007E6977">
        <w:t>ustralian Government,</w:t>
      </w:r>
      <w:r w:rsidR="007E6977" w:rsidRPr="00B704CE">
        <w:t xml:space="preserve"> http://www.immi.gov.au/media/statistics/</w:t>
      </w:r>
      <w:r w:rsidR="007E6977">
        <w:br/>
      </w:r>
      <w:r w:rsidR="008831A0">
        <w:t>pdf</w:t>
      </w:r>
      <w:r w:rsidR="007E6977" w:rsidRPr="00B704CE">
        <w:t>/457-stats-state-territory-june12.</w:t>
      </w:r>
      <w:r w:rsidR="00211C0A">
        <w:t>pdf</w:t>
      </w:r>
      <w:r w:rsidR="007E6977" w:rsidRPr="00B704CE">
        <w:t xml:space="preserve"> (accessed 5 September 2012).</w:t>
      </w:r>
    </w:p>
    <w:p w:rsidR="008568C2" w:rsidRDefault="008568C2" w:rsidP="008568C2">
      <w:pPr>
        <w:pStyle w:val="Reference"/>
      </w:pPr>
      <w:r w:rsidRPr="00636955">
        <w:t xml:space="preserve">Downes, P. and Stoeckel, A. 2006, </w:t>
      </w:r>
      <w:r w:rsidRPr="00636955">
        <w:rPr>
          <w:i/>
        </w:rPr>
        <w:t>Drivers of Structural Change in the Australian Economy</w:t>
      </w:r>
      <w:r w:rsidRPr="00636955">
        <w:t>, Centre for</w:t>
      </w:r>
      <w:r>
        <w:t xml:space="preserve"> </w:t>
      </w:r>
      <w:r w:rsidRPr="00636955">
        <w:t>In</w:t>
      </w:r>
      <w:r>
        <w:t>ternational Economics, Canberra and Sydney, December.</w:t>
      </w:r>
    </w:p>
    <w:p w:rsidR="000A5887" w:rsidRDefault="000A5887" w:rsidP="000A5887">
      <w:pPr>
        <w:pStyle w:val="Reference"/>
      </w:pPr>
      <w:r>
        <w:t xml:space="preserve">Dreher, A., Gaston, N. and Martens, P. 2008, </w:t>
      </w:r>
      <w:r w:rsidRPr="00B90939">
        <w:rPr>
          <w:i/>
        </w:rPr>
        <w:t>Measuring Globalisation: Gauging its Consequences</w:t>
      </w:r>
      <w:r>
        <w:t>, Springer, New York.</w:t>
      </w:r>
    </w:p>
    <w:p w:rsidR="009E34A5" w:rsidRDefault="009E34A5" w:rsidP="009E34A5">
      <w:pPr>
        <w:pStyle w:val="Reference"/>
        <w:rPr>
          <w:rFonts w:eastAsiaTheme="minorEastAsia"/>
        </w:rPr>
      </w:pPr>
      <w:r w:rsidRPr="00830560">
        <w:t xml:space="preserve">Ferreira, F., Gyourko, J. and Tracy, J. 2011, </w:t>
      </w:r>
      <w:r w:rsidRPr="005B2AAD">
        <w:rPr>
          <w:i/>
        </w:rPr>
        <w:t>Housing Busts and Household Mobility: An Update</w:t>
      </w:r>
      <w:r w:rsidR="00AD5870">
        <w:t>, Working Paper n</w:t>
      </w:r>
      <w:r w:rsidRPr="00830560">
        <w:t xml:space="preserve">o. 17405, National Bureau of Economic Research, Cambridge, </w:t>
      </w:r>
      <w:r w:rsidR="001C6BCB">
        <w:t>Massachusetts,</w:t>
      </w:r>
      <w:r w:rsidR="001C6BCB" w:rsidRPr="00830560">
        <w:t xml:space="preserve"> </w:t>
      </w:r>
      <w:r w:rsidRPr="00830560">
        <w:t xml:space="preserve">September, </w:t>
      </w:r>
      <w:r w:rsidR="00C228B1" w:rsidRPr="00C228B1">
        <w:t>http://www.nber.org/papers/</w:t>
      </w:r>
      <w:r w:rsidR="00C228B1">
        <w:t xml:space="preserve"> </w:t>
      </w:r>
      <w:r w:rsidRPr="007C6042">
        <w:t>w17405</w:t>
      </w:r>
      <w:r w:rsidR="008831A0" w:rsidRPr="008831A0">
        <w:t> </w:t>
      </w:r>
      <w:r w:rsidRPr="00830560">
        <w:rPr>
          <w:rFonts w:eastAsiaTheme="minorEastAsia"/>
        </w:rPr>
        <w:t>(accessed 18 October 2012).</w:t>
      </w:r>
    </w:p>
    <w:p w:rsidR="00FB4B0C" w:rsidRPr="00830560" w:rsidRDefault="00FB4B0C" w:rsidP="009E34A5">
      <w:pPr>
        <w:pStyle w:val="Reference"/>
      </w:pPr>
      <w:r>
        <w:t xml:space="preserve">Fisher, B. and Schnittger, S. 2012, </w:t>
      </w:r>
      <w:r w:rsidRPr="00182FE3">
        <w:rPr>
          <w:i/>
        </w:rPr>
        <w:t>Autonomous and remote operation technologies in the mining industry: Benefits and costs</w:t>
      </w:r>
      <w:r>
        <w:t xml:space="preserve">, BAE Research Report </w:t>
      </w:r>
      <w:r w:rsidR="005B2AAD">
        <w:t xml:space="preserve">no. </w:t>
      </w:r>
      <w:r>
        <w:t>12.1, Canberra, February.</w:t>
      </w:r>
    </w:p>
    <w:p w:rsidR="00AF4DB2" w:rsidRPr="008B4617" w:rsidRDefault="0071303D" w:rsidP="002F73CF">
      <w:pPr>
        <w:pStyle w:val="Reference"/>
      </w:pPr>
      <w:r>
        <w:t>FMG (</w:t>
      </w:r>
      <w:r w:rsidR="002F73CF">
        <w:t>Fortescue Metals Group</w:t>
      </w:r>
      <w:r>
        <w:t>)</w:t>
      </w:r>
      <w:r w:rsidR="002F73CF">
        <w:t xml:space="preserve"> nd</w:t>
      </w:r>
      <w:r w:rsidR="00AF4DB2">
        <w:t xml:space="preserve">, </w:t>
      </w:r>
      <w:r w:rsidR="00AF4DB2">
        <w:rPr>
          <w:i/>
        </w:rPr>
        <w:t>Fortescue and the Pilbara: Our Commitment to the Community</w:t>
      </w:r>
      <w:r w:rsidR="00AF4DB2">
        <w:t xml:space="preserve">, </w:t>
      </w:r>
      <w:r w:rsidR="00AF4DB2" w:rsidRPr="00D20D39">
        <w:t>http://www.fmgl.com.au/UserDir/FMGResources/</w:t>
      </w:r>
      <w:r w:rsidR="002F73CF">
        <w:t xml:space="preserve"> </w:t>
      </w:r>
      <w:r w:rsidR="00AF4DB2" w:rsidRPr="00D20D39">
        <w:t>Download/</w:t>
      </w:r>
      <w:r w:rsidR="005B2AAD">
        <w:br/>
      </w:r>
      <w:r w:rsidR="00AF4DB2" w:rsidRPr="00D20D39">
        <w:t>en/Fort</w:t>
      </w:r>
      <w:r w:rsidR="002F73CF">
        <w:t>escue</w:t>
      </w:r>
      <w:r w:rsidR="00AF4DB2" w:rsidRPr="00D20D39">
        <w:t>and Pilbara Cities Brochure8.</w:t>
      </w:r>
      <w:r w:rsidR="00211C0A">
        <w:t>pdf</w:t>
      </w:r>
      <w:r w:rsidR="00AF4DB2">
        <w:t xml:space="preserve"> (accessed 3 January 2013).</w:t>
      </w:r>
    </w:p>
    <w:p w:rsidR="0009454F" w:rsidRDefault="0009454F" w:rsidP="0009454F">
      <w:pPr>
        <w:pStyle w:val="Reference"/>
      </w:pPr>
      <w:r>
        <w:t xml:space="preserve">Geoscience Australia 2012, </w:t>
      </w:r>
      <w:r w:rsidRPr="003B2E92">
        <w:rPr>
          <w:i/>
        </w:rPr>
        <w:t>Australia’s Identified Mineral Resources 2011</w:t>
      </w:r>
      <w:r>
        <w:t>, Canberra.</w:t>
      </w:r>
    </w:p>
    <w:p w:rsidR="003D4272" w:rsidRPr="00384916" w:rsidRDefault="003D4272" w:rsidP="003D4272">
      <w:pPr>
        <w:pStyle w:val="Reference"/>
      </w:pPr>
      <w:r>
        <w:t xml:space="preserve">Giesecke, J. 2004, </w:t>
      </w:r>
      <w:r w:rsidRPr="005B2AAD">
        <w:rPr>
          <w:i/>
        </w:rPr>
        <w:t>The Extent and Consequences of Recent Structural Changes in the Australian Economy, 1997</w:t>
      </w:r>
      <w:r w:rsidR="003F2DD6" w:rsidRPr="005B2AAD">
        <w:rPr>
          <w:i/>
        </w:rPr>
        <w:t>–</w:t>
      </w:r>
      <w:r w:rsidRPr="005B2AAD">
        <w:rPr>
          <w:i/>
        </w:rPr>
        <w:t>2002: Results from Historical/Decomposition Simulations with Monash</w:t>
      </w:r>
      <w:r>
        <w:t>, General Working Paper no. G-151, Policy Studies and the Impact Project, December.</w:t>
      </w:r>
    </w:p>
    <w:p w:rsidR="003D4272" w:rsidRDefault="003D4272" w:rsidP="003D4272">
      <w:pPr>
        <w:pStyle w:val="Reference"/>
      </w:pPr>
      <w:r>
        <w:t xml:space="preserve">—— 2008, </w:t>
      </w:r>
      <w:r w:rsidR="005B2AAD">
        <w:t>‘</w:t>
      </w:r>
      <w:r w:rsidRPr="00DF22AA">
        <w:t>The Effects of Recent Structural, Policy and External Shocks to the Australian Economy</w:t>
      </w:r>
      <w:r w:rsidRPr="005B2AAD">
        <w:rPr>
          <w:i/>
        </w:rPr>
        <w:t xml:space="preserve">, </w:t>
      </w:r>
      <w:r w:rsidRPr="00DF22AA">
        <w:t>1996</w:t>
      </w:r>
      <w:r w:rsidR="00C228B1" w:rsidRPr="00DF22AA">
        <w:t>-</w:t>
      </w:r>
      <w:r w:rsidRPr="00DF22AA">
        <w:t>97–2001</w:t>
      </w:r>
      <w:r w:rsidR="00C228B1" w:rsidRPr="00DF22AA">
        <w:t>-</w:t>
      </w:r>
      <w:r w:rsidRPr="00DF22AA">
        <w:t>02</w:t>
      </w:r>
      <w:r w:rsidR="005B2AAD" w:rsidRPr="00DF22AA">
        <w:t>’</w:t>
      </w:r>
      <w:r>
        <w:t>, Australian Economic Papers,</w:t>
      </w:r>
      <w:r w:rsidR="00DF22AA">
        <w:t xml:space="preserve"> March, pp. 15–37</w:t>
      </w:r>
      <w:r>
        <w:t>.</w:t>
      </w:r>
    </w:p>
    <w:p w:rsidR="00727AEF" w:rsidRDefault="00727AEF" w:rsidP="003D4272">
      <w:pPr>
        <w:pStyle w:val="Reference"/>
      </w:pPr>
      <w:r>
        <w:t>Gilfillan, G. and</w:t>
      </w:r>
      <w:r w:rsidRPr="00727AEF">
        <w:t xml:space="preserve"> Andrews, L. 2010</w:t>
      </w:r>
      <w:r w:rsidRPr="00727AEF">
        <w:rPr>
          <w:i/>
        </w:rPr>
        <w:t>, Labour Force Participation of Women Over 45</w:t>
      </w:r>
      <w:r w:rsidRPr="00727AEF">
        <w:t>, Staff Working Paper, Productivity Commission, Canberra.</w:t>
      </w:r>
    </w:p>
    <w:p w:rsidR="00FF49EE" w:rsidRPr="00FF49EE" w:rsidRDefault="00FF49EE" w:rsidP="00C518D9">
      <w:pPr>
        <w:pStyle w:val="Reference"/>
      </w:pPr>
      <w:r>
        <w:t xml:space="preserve">Grady, P. and Macmillan, K. 2007, </w:t>
      </w:r>
      <w:r>
        <w:rPr>
          <w:i/>
        </w:rPr>
        <w:t>Inter-Provincial Barriers to Labour Mobility in Canada: Policy, Knowledge Gaps and Research Issues</w:t>
      </w:r>
      <w:r>
        <w:t>, Industry Canada, Working Paper no. 2007-10.</w:t>
      </w:r>
    </w:p>
    <w:p w:rsidR="00BF6447" w:rsidRDefault="00BF6447" w:rsidP="00BF6447">
      <w:pPr>
        <w:pStyle w:val="Reference"/>
      </w:pPr>
      <w:r>
        <w:lastRenderedPageBreak/>
        <w:t>Gregory, R. 2012, ‘Dar</w:t>
      </w:r>
      <w:r w:rsidR="00E54452">
        <w:t>k corners in a bright economy: t</w:t>
      </w:r>
      <w:r>
        <w:t>he lack of jobs for unskilled men’</w:t>
      </w:r>
      <w:r w:rsidR="00677C24">
        <w:t>,</w:t>
      </w:r>
      <w:r>
        <w:t xml:space="preserve"> </w:t>
      </w:r>
      <w:r>
        <w:rPr>
          <w:i/>
        </w:rPr>
        <w:t>Australian Bulletin of Labour</w:t>
      </w:r>
      <w:r w:rsidRPr="00C332BD">
        <w:t xml:space="preserve">, </w:t>
      </w:r>
      <w:r>
        <w:t>vol. 38, no. 1, pp. 2–25.</w:t>
      </w:r>
    </w:p>
    <w:p w:rsidR="00C94893" w:rsidRPr="00887B1F" w:rsidRDefault="00C94893" w:rsidP="00C94893">
      <w:pPr>
        <w:pStyle w:val="Reference"/>
      </w:pPr>
      <w:r w:rsidRPr="00887B1F">
        <w:t xml:space="preserve">—— and Sheehan, P. 2011, </w:t>
      </w:r>
      <w:r w:rsidRPr="00BB5060">
        <w:rPr>
          <w:i/>
        </w:rPr>
        <w:t xml:space="preserve">The </w:t>
      </w:r>
      <w:r w:rsidR="00677C24">
        <w:rPr>
          <w:i/>
        </w:rPr>
        <w:t>R</w:t>
      </w:r>
      <w:r w:rsidRPr="00BB5060">
        <w:rPr>
          <w:i/>
        </w:rPr>
        <w:t xml:space="preserve">esources </w:t>
      </w:r>
      <w:r w:rsidR="00677C24">
        <w:rPr>
          <w:i/>
        </w:rPr>
        <w:t>B</w:t>
      </w:r>
      <w:r w:rsidRPr="00BB5060">
        <w:rPr>
          <w:i/>
        </w:rPr>
        <w:t xml:space="preserve">oom and </w:t>
      </w:r>
      <w:r w:rsidR="00677C24">
        <w:rPr>
          <w:i/>
        </w:rPr>
        <w:t>M</w:t>
      </w:r>
      <w:r w:rsidRPr="00BB5060">
        <w:rPr>
          <w:i/>
        </w:rPr>
        <w:t xml:space="preserve">acroeconomic </w:t>
      </w:r>
      <w:r w:rsidR="00677C24">
        <w:rPr>
          <w:i/>
        </w:rPr>
        <w:t>P</w:t>
      </w:r>
      <w:r w:rsidRPr="00BB5060">
        <w:rPr>
          <w:i/>
        </w:rPr>
        <w:t>olicy in Australia</w:t>
      </w:r>
      <w:r w:rsidRPr="00887B1F">
        <w:t xml:space="preserve">, </w:t>
      </w:r>
      <w:r w:rsidRPr="00BB5060">
        <w:t>Australian Economic Report</w:t>
      </w:r>
      <w:r w:rsidRPr="00887B1F">
        <w:t xml:space="preserve"> no. 1, Centre for Strategic Economic Studies, Victoria University, Melbourne, November.</w:t>
      </w:r>
    </w:p>
    <w:p w:rsidR="00C518D9" w:rsidRDefault="00C518D9" w:rsidP="00C518D9">
      <w:pPr>
        <w:pStyle w:val="Reference"/>
      </w:pPr>
      <w:r>
        <w:t xml:space="preserve">Gruen, D. 2001, ‘Some possible long-term trends in the Australian dollar’, </w:t>
      </w:r>
      <w:r>
        <w:rPr>
          <w:i/>
          <w:iCs/>
        </w:rPr>
        <w:t>Bulletin</w:t>
      </w:r>
      <w:r>
        <w:t xml:space="preserve">, </w:t>
      </w:r>
      <w:r w:rsidR="00677C24">
        <w:t xml:space="preserve">Reserve Bank of Australia, </w:t>
      </w:r>
      <w:r>
        <w:t>December, pp. 30–41.</w:t>
      </w:r>
    </w:p>
    <w:p w:rsidR="00F41772" w:rsidRDefault="00F41772" w:rsidP="00F41772">
      <w:pPr>
        <w:pStyle w:val="Reference"/>
      </w:pPr>
      <w:r w:rsidRPr="004B6165">
        <w:t>Haslam McKenzie, F. 2010, ‘Fly-</w:t>
      </w:r>
      <w:r w:rsidR="00860360">
        <w:t>i</w:t>
      </w:r>
      <w:r w:rsidRPr="004B6165">
        <w:t xml:space="preserve">n </w:t>
      </w:r>
      <w:r w:rsidR="00860360">
        <w:t>f</w:t>
      </w:r>
      <w:r w:rsidRPr="004B6165">
        <w:t>ly-</w:t>
      </w:r>
      <w:r w:rsidR="00860360">
        <w:t>o</w:t>
      </w:r>
      <w:r w:rsidRPr="004B6165">
        <w:t xml:space="preserve">ut: </w:t>
      </w:r>
      <w:r w:rsidR="00860360">
        <w:t>t</w:t>
      </w:r>
      <w:r w:rsidRPr="004B6165">
        <w:t xml:space="preserve">he </w:t>
      </w:r>
      <w:r w:rsidR="00860360">
        <w:t>c</w:t>
      </w:r>
      <w:r w:rsidRPr="004B6165">
        <w:t xml:space="preserve">hallenges of </w:t>
      </w:r>
      <w:r w:rsidR="00860360">
        <w:t>t</w:t>
      </w:r>
      <w:r w:rsidRPr="004B6165">
        <w:t xml:space="preserve">ransient </w:t>
      </w:r>
      <w:r w:rsidR="00860360">
        <w:t>p</w:t>
      </w:r>
      <w:r w:rsidRPr="004B6165">
        <w:t xml:space="preserve">opulation in </w:t>
      </w:r>
      <w:r w:rsidR="00860360">
        <w:t>r</w:t>
      </w:r>
      <w:r w:rsidRPr="004B6165">
        <w:t xml:space="preserve">ural </w:t>
      </w:r>
      <w:r w:rsidR="00860360">
        <w:t>l</w:t>
      </w:r>
      <w:r w:rsidRPr="004B6165">
        <w:t>andscapes’, in Luck, G.W., Race, D. and Black, R. (eds.)</w:t>
      </w:r>
      <w:r w:rsidR="003F2DD6">
        <w:t>,</w:t>
      </w:r>
      <w:r w:rsidRPr="004B6165">
        <w:t xml:space="preserve"> </w:t>
      </w:r>
      <w:r w:rsidRPr="00F41772">
        <w:rPr>
          <w:i/>
        </w:rPr>
        <w:t>Demographic Change in Australia’s Rural Landscapes</w:t>
      </w:r>
      <w:r w:rsidRPr="004B6165">
        <w:t>, Landscape Series, vol.</w:t>
      </w:r>
      <w:r>
        <w:t> 12, pp. 353–</w:t>
      </w:r>
      <w:r w:rsidRPr="004B6165">
        <w:t>74.</w:t>
      </w:r>
    </w:p>
    <w:p w:rsidR="00F41772" w:rsidRDefault="00F41772" w:rsidP="00F41772">
      <w:pPr>
        <w:pStyle w:val="Reference"/>
      </w:pPr>
      <w:r>
        <w:t xml:space="preserve">Henry, K. 2012, </w:t>
      </w:r>
      <w:r w:rsidR="00C228B1">
        <w:t>‘</w:t>
      </w:r>
      <w:r w:rsidRPr="00C228B1">
        <w:t>Presentation to the Australian Industry Group National Forum</w:t>
      </w:r>
      <w:r w:rsidR="00C228B1">
        <w:t>’</w:t>
      </w:r>
      <w:r>
        <w:t xml:space="preserve">, Transcript, </w:t>
      </w:r>
      <w:r w:rsidRPr="007C6042">
        <w:t>http://www.aigroup.com.au/policy/speeches/</w:t>
      </w:r>
      <w:r>
        <w:t xml:space="preserve"> (accessed 3</w:t>
      </w:r>
      <w:r w:rsidR="00355D14">
        <w:t> </w:t>
      </w:r>
      <w:r>
        <w:t>September 2012).</w:t>
      </w:r>
    </w:p>
    <w:p w:rsidR="0009454F" w:rsidRPr="004C7CF2" w:rsidRDefault="0009454F" w:rsidP="0009454F">
      <w:pPr>
        <w:pStyle w:val="Reference"/>
      </w:pPr>
      <w:r w:rsidRPr="004C7CF2">
        <w:t>Herrendorf, B., Roger</w:t>
      </w:r>
      <w:r w:rsidR="007B2E0D" w:rsidRPr="004C7CF2">
        <w:t xml:space="preserve">son, R. and Valentinyi, A. 2011, </w:t>
      </w:r>
      <w:r w:rsidR="00C228B1" w:rsidRPr="004C7CF2">
        <w:t>‘</w:t>
      </w:r>
      <w:r w:rsidR="00F41772" w:rsidRPr="004C7CF2">
        <w:t xml:space="preserve">Growth and </w:t>
      </w:r>
      <w:r w:rsidR="007B2E0D" w:rsidRPr="004C7CF2">
        <w:t>S</w:t>
      </w:r>
      <w:r w:rsidR="00F41772" w:rsidRPr="004C7CF2">
        <w:t xml:space="preserve">tructural </w:t>
      </w:r>
      <w:r w:rsidR="007B2E0D" w:rsidRPr="004C7CF2">
        <w:t>T</w:t>
      </w:r>
      <w:r w:rsidRPr="004C7CF2">
        <w:t>ransformation, Handbook of Economic Growth</w:t>
      </w:r>
      <w:r w:rsidR="00C228B1" w:rsidRPr="004C7CF2">
        <w:t>’</w:t>
      </w:r>
      <w:r w:rsidR="00F41772" w:rsidRPr="004C7CF2">
        <w:t>, Draft S</w:t>
      </w:r>
      <w:r w:rsidRPr="004C7CF2">
        <w:t xml:space="preserve">ubmission, </w:t>
      </w:r>
      <w:r w:rsidR="00F41772" w:rsidRPr="004C7CF2">
        <w:t>https://netfiles.uiuc.edu/parente/Econ562/Handbook_First_Submission.</w:t>
      </w:r>
      <w:r w:rsidR="00211C0A">
        <w:t>pdf</w:t>
      </w:r>
      <w:r w:rsidR="00F41772" w:rsidRPr="004C7CF2">
        <w:t xml:space="preserve"> (</w:t>
      </w:r>
      <w:r w:rsidR="00CD43E3" w:rsidRPr="004C7CF2">
        <w:t>accessed 15 June 2012</w:t>
      </w:r>
      <w:r w:rsidR="00F41772" w:rsidRPr="004C7CF2">
        <w:t>)</w:t>
      </w:r>
      <w:r w:rsidRPr="004C7CF2">
        <w:t>.</w:t>
      </w:r>
    </w:p>
    <w:p w:rsidR="006F2314" w:rsidRDefault="006F2314" w:rsidP="0009454F">
      <w:pPr>
        <w:pStyle w:val="Reference"/>
      </w:pPr>
      <w:r>
        <w:t xml:space="preserve">Hogan, L. and Berry, P. </w:t>
      </w:r>
      <w:r w:rsidR="0071303D">
        <w:t xml:space="preserve">2000, </w:t>
      </w:r>
      <w:r>
        <w:t xml:space="preserve">‘Mining and regional Australia: Some implications of long distance commuting’, </w:t>
      </w:r>
      <w:r>
        <w:rPr>
          <w:i/>
        </w:rPr>
        <w:t>Australian Commodities</w:t>
      </w:r>
      <w:r>
        <w:t>, vol. 7, no. 4, pp. 648–659.</w:t>
      </w:r>
    </w:p>
    <w:p w:rsidR="00AF4DB2" w:rsidRPr="000E08B5" w:rsidRDefault="00AF4DB2" w:rsidP="00AF4DB2">
      <w:pPr>
        <w:pStyle w:val="Reference"/>
      </w:pPr>
      <w:r>
        <w:t xml:space="preserve">House of Representatives Standing Committee on Regional Australia 2013, </w:t>
      </w:r>
      <w:r>
        <w:rPr>
          <w:i/>
        </w:rPr>
        <w:t>Cancer of the Bush or Salvation for Our Cities? Fly-in, fly-out and drive-in, drive-out workforce practices in Regional Australia</w:t>
      </w:r>
      <w:r>
        <w:t xml:space="preserve">, Parliament of Australia, Canberra. </w:t>
      </w:r>
    </w:p>
    <w:p w:rsidR="0009454F" w:rsidRPr="008B4617" w:rsidRDefault="00FF53DE" w:rsidP="002F73CF">
      <w:pPr>
        <w:pStyle w:val="Reference"/>
      </w:pPr>
      <w:r>
        <w:t>IAC (</w:t>
      </w:r>
      <w:r w:rsidR="0009454F">
        <w:t>I</w:t>
      </w:r>
      <w:r>
        <w:t xml:space="preserve">ndustries Assistance Commission) </w:t>
      </w:r>
      <w:r w:rsidR="0009454F">
        <w:t xml:space="preserve">1977, </w:t>
      </w:r>
      <w:r w:rsidR="0009454F" w:rsidRPr="00B73AE9">
        <w:rPr>
          <w:i/>
        </w:rPr>
        <w:t>Structural Change in Australia</w:t>
      </w:r>
      <w:r w:rsidR="00AD7D4E">
        <w:t>, Canberra</w:t>
      </w:r>
      <w:r w:rsidR="0009454F">
        <w:t>.</w:t>
      </w:r>
    </w:p>
    <w:p w:rsidR="00B41A87" w:rsidRPr="008B4617" w:rsidRDefault="00AD7D4E" w:rsidP="00B41A87">
      <w:pPr>
        <w:pStyle w:val="Reference"/>
      </w:pPr>
      <w:r>
        <w:t xml:space="preserve">Isakson, H. 2011, </w:t>
      </w:r>
      <w:r w:rsidRPr="00AD7D4E">
        <w:rPr>
          <w:i/>
        </w:rPr>
        <w:t>Value added trade statistics provides new insights on role of imports, exports, services and more</w:t>
      </w:r>
      <w:r>
        <w:t>, Background Paper, World Trade Organization, Geneva</w:t>
      </w:r>
      <w:r w:rsidR="00677C24">
        <w:t xml:space="preserve">, </w:t>
      </w:r>
      <w:r w:rsidRPr="006C1C76">
        <w:t>http://www.wto.org/english/res_e/statis_e/miwi_e/</w:t>
      </w:r>
      <w:r w:rsidRPr="006C1C76">
        <w:br/>
        <w:t>paper_june11_e.htm</w:t>
      </w:r>
      <w:r w:rsidR="002C492B">
        <w:t xml:space="preserve"> (</w:t>
      </w:r>
      <w:r>
        <w:t>accessed 19 December 2012).</w:t>
      </w:r>
    </w:p>
    <w:p w:rsidR="008B4617" w:rsidRDefault="008B4617" w:rsidP="00B41A87">
      <w:pPr>
        <w:pStyle w:val="Reference"/>
      </w:pPr>
      <w:r>
        <w:t>ITU (International Telecommunications Union)</w:t>
      </w:r>
      <w:r w:rsidR="002C38E2">
        <w:t xml:space="preserve"> 2013, </w:t>
      </w:r>
      <w:r w:rsidR="002C38E2" w:rsidRPr="002C38E2">
        <w:rPr>
          <w:i/>
        </w:rPr>
        <w:t>ICT Facts and Figures</w:t>
      </w:r>
      <w:r w:rsidR="002C38E2">
        <w:t>, February, Geneva.</w:t>
      </w:r>
    </w:p>
    <w:p w:rsidR="0009454F" w:rsidRDefault="0009454F" w:rsidP="0009454F">
      <w:pPr>
        <w:pStyle w:val="Reference"/>
      </w:pPr>
      <w:r>
        <w:t>Jorgenson, D.</w:t>
      </w:r>
      <w:r w:rsidR="00F24F15">
        <w:t> </w:t>
      </w:r>
      <w:r>
        <w:t>W. and Timmer, M.</w:t>
      </w:r>
      <w:r w:rsidR="00F24F15">
        <w:t> </w:t>
      </w:r>
      <w:r>
        <w:t xml:space="preserve">P. 2011, ‘Structural change in advanced nations: </w:t>
      </w:r>
      <w:r w:rsidR="004C1D1F">
        <w:t>a</w:t>
      </w:r>
      <w:r>
        <w:t xml:space="preserve"> new set of stylised facts’, </w:t>
      </w:r>
      <w:r w:rsidRPr="0031754C">
        <w:rPr>
          <w:i/>
        </w:rPr>
        <w:t>Scandinavian Journal of Economics</w:t>
      </w:r>
      <w:r w:rsidR="0031754C">
        <w:t>, vol. 113, no. </w:t>
      </w:r>
      <w:r>
        <w:t>1, pp. 1</w:t>
      </w:r>
      <w:r w:rsidR="00E54452">
        <w:t>–</w:t>
      </w:r>
      <w:r>
        <w:t>29.</w:t>
      </w:r>
    </w:p>
    <w:p w:rsidR="00CF72C9" w:rsidRDefault="00CF72C9" w:rsidP="00CF72C9">
      <w:pPr>
        <w:pStyle w:val="Reference"/>
      </w:pPr>
      <w:r>
        <w:t xml:space="preserve">Kent, C., Smith, K. and Holloway, J. 2005, </w:t>
      </w:r>
      <w:r w:rsidRPr="00BB5060">
        <w:rPr>
          <w:i/>
        </w:rPr>
        <w:t>Declining Output Volatility: What Role for Structural Change?</w:t>
      </w:r>
      <w:r>
        <w:t xml:space="preserve">, Research Discussion Paper </w:t>
      </w:r>
      <w:r w:rsidR="00677C24">
        <w:t xml:space="preserve">no. </w:t>
      </w:r>
      <w:r>
        <w:t>2005</w:t>
      </w:r>
      <w:r w:rsidR="003F2DD6">
        <w:t>–</w:t>
      </w:r>
      <w:r>
        <w:t>08, Reserve Bank of Australia.</w:t>
      </w:r>
    </w:p>
    <w:p w:rsidR="00677E27" w:rsidRPr="00677E27" w:rsidRDefault="00677E27" w:rsidP="00CF72C9">
      <w:pPr>
        <w:pStyle w:val="Reference"/>
      </w:pPr>
      <w:r>
        <w:lastRenderedPageBreak/>
        <w:t xml:space="preserve">Knox, R. 2010, ‘Who can work where: </w:t>
      </w:r>
      <w:r w:rsidR="00677C24">
        <w:t xml:space="preserve">reducing barriers </w:t>
      </w:r>
      <w:r>
        <w:t xml:space="preserve">to </w:t>
      </w:r>
      <w:r w:rsidR="00677C24">
        <w:t xml:space="preserve">labour mobility </w:t>
      </w:r>
      <w:r>
        <w:t xml:space="preserve">in Canada’, </w:t>
      </w:r>
      <w:r>
        <w:rPr>
          <w:i/>
        </w:rPr>
        <w:t>Backgrounder</w:t>
      </w:r>
      <w:r>
        <w:t xml:space="preserve">, C.D. Howe Institute, </w:t>
      </w:r>
      <w:r w:rsidR="00677C24">
        <w:t>no</w:t>
      </w:r>
      <w:r>
        <w:t>. 131.</w:t>
      </w:r>
    </w:p>
    <w:p w:rsidR="008F50E8" w:rsidRPr="008F50E8" w:rsidRDefault="008F50E8" w:rsidP="00CF72C9">
      <w:pPr>
        <w:pStyle w:val="Reference"/>
      </w:pPr>
      <w:r>
        <w:t xml:space="preserve">KPMG 2013, </w:t>
      </w:r>
      <w:r>
        <w:rPr>
          <w:i/>
        </w:rPr>
        <w:t>Ana</w:t>
      </w:r>
      <w:r w:rsidR="00F24F15">
        <w:rPr>
          <w:i/>
        </w:rPr>
        <w:t>lysis of the Long Distance Comm</w:t>
      </w:r>
      <w:r>
        <w:rPr>
          <w:i/>
        </w:rPr>
        <w:t>uter Workforce Across Australia</w:t>
      </w:r>
      <w:r>
        <w:t xml:space="preserve">, Report commissioned by </w:t>
      </w:r>
      <w:r w:rsidR="00677C24">
        <w:t>the Minerals Council of Australia</w:t>
      </w:r>
      <w:r w:rsidR="00C726D1">
        <w:t>,</w:t>
      </w:r>
      <w:r>
        <w:t xml:space="preserve"> </w:t>
      </w:r>
      <w:r w:rsidRPr="008F50E8">
        <w:t>http://www.minerals.org.au/file_upload/files/reports/MCA-13LDCWorkforce</w:t>
      </w:r>
      <w:r w:rsidR="00677C24">
        <w:br/>
      </w:r>
      <w:r w:rsidRPr="008F50E8">
        <w:t>Study0308-MYR_%282%29.</w:t>
      </w:r>
      <w:r>
        <w:t xml:space="preserve"> </w:t>
      </w:r>
      <w:r w:rsidRPr="008F50E8">
        <w:t>pdf</w:t>
      </w:r>
      <w:r>
        <w:t xml:space="preserve"> (accessed 13 March 2013). </w:t>
      </w:r>
    </w:p>
    <w:p w:rsidR="00036E1D" w:rsidRDefault="00AD7D4E" w:rsidP="00AD7D4E">
      <w:pPr>
        <w:pStyle w:val="Reference"/>
      </w:pPr>
      <w:r w:rsidRPr="00BB2D48">
        <w:t xml:space="preserve">Lamy, P. 2012, </w:t>
      </w:r>
      <w:r w:rsidR="00036E1D">
        <w:t>‘</w:t>
      </w:r>
      <w:r w:rsidRPr="00036E1D">
        <w:t>The Future of the Multilateral Trading System</w:t>
      </w:r>
      <w:r w:rsidR="00036E1D">
        <w:t>’</w:t>
      </w:r>
      <w:r w:rsidRPr="00BB2D48">
        <w:t>, Richard Snape Lecture, Melbourne, 26 November, Productivity Commission, Canberra</w:t>
      </w:r>
      <w:r>
        <w:t>.</w:t>
      </w:r>
    </w:p>
    <w:p w:rsidR="00AD7D4E" w:rsidRPr="00BB2D48" w:rsidRDefault="00AD7D4E" w:rsidP="00AD7D4E">
      <w:pPr>
        <w:pStyle w:val="Reference"/>
      </w:pPr>
      <w:r>
        <w:t xml:space="preserve">Langhorne, R. 2001, </w:t>
      </w:r>
      <w:r w:rsidRPr="00B90939">
        <w:rPr>
          <w:i/>
        </w:rPr>
        <w:t>The Coming of Globalization: Its Evolution and Contemporary Consequences</w:t>
      </w:r>
      <w:r>
        <w:t>, Palgrave, New York.</w:t>
      </w:r>
    </w:p>
    <w:p w:rsidR="009E0B79" w:rsidRDefault="00C90AAD" w:rsidP="009E0B79">
      <w:pPr>
        <w:pStyle w:val="Reference"/>
      </w:pPr>
      <w:r>
        <w:t xml:space="preserve">Lowe, P. 2012, </w:t>
      </w:r>
      <w:r w:rsidR="009E0B79" w:rsidRPr="00C90AAD">
        <w:rPr>
          <w:i/>
        </w:rPr>
        <w:t>The Labour Market, Structural Change and Recent Economic Developments</w:t>
      </w:r>
      <w:r w:rsidR="009E0B79">
        <w:t>, Speech to the Financial Services Institute of Australasia (FINSIA) Lead</w:t>
      </w:r>
      <w:r w:rsidR="00A50800">
        <w:t>ership Event, Hobart, 9 October,</w:t>
      </w:r>
      <w:r w:rsidR="009E0B79">
        <w:t xml:space="preserve"> </w:t>
      </w:r>
      <w:r w:rsidR="009E0B79" w:rsidRPr="00447F77">
        <w:t>http://www.rba.gov.au/</w:t>
      </w:r>
      <w:r w:rsidR="009E0B79">
        <w:t xml:space="preserve"> </w:t>
      </w:r>
      <w:r w:rsidR="009E0B79" w:rsidRPr="00447F77">
        <w:t>speeches/2012/sp-dg-091012.html</w:t>
      </w:r>
      <w:r w:rsidR="009E0B79">
        <w:t xml:space="preserve"> (accessed 10 October 2012).</w:t>
      </w:r>
    </w:p>
    <w:p w:rsidR="00C90AAD" w:rsidRDefault="00C90AAD" w:rsidP="00C90AAD">
      <w:pPr>
        <w:pStyle w:val="Reference"/>
      </w:pPr>
      <w:r>
        <w:t xml:space="preserve">Manyika, J. and Roxburgh, C. 2011, </w:t>
      </w:r>
      <w:r>
        <w:rPr>
          <w:i/>
        </w:rPr>
        <w:t>The Great Transformer: The Impact of the Internet on Economic Growth and Prosperity</w:t>
      </w:r>
      <w:r>
        <w:t xml:space="preserve">, McKinsey Global Institute, </w:t>
      </w:r>
      <w:r w:rsidRPr="007C6042">
        <w:t>http://www.mckinsey.com/insights/mgi/research/technology_and_innovation/</w:t>
      </w:r>
      <w:r w:rsidRPr="007C6042">
        <w:br/>
        <w:t>the_great_transformer</w:t>
      </w:r>
      <w:r>
        <w:t xml:space="preserve"> (accessed 1 November 2012).</w:t>
      </w:r>
    </w:p>
    <w:p w:rsidR="00E176EF" w:rsidRPr="00FD5877" w:rsidRDefault="00E176EF" w:rsidP="00C90AAD">
      <w:pPr>
        <w:pStyle w:val="Reference"/>
      </w:pPr>
      <w:r>
        <w:t xml:space="preserve">Markusen, J. R. and Melvin, J. R. 1988, </w:t>
      </w:r>
      <w:r w:rsidRPr="00E176EF">
        <w:rPr>
          <w:i/>
        </w:rPr>
        <w:t>The Theory of International Trade</w:t>
      </w:r>
      <w:r w:rsidRPr="00E176EF">
        <w:t>, Harper and Row,</w:t>
      </w:r>
      <w:r>
        <w:t xml:space="preserve"> New York.</w:t>
      </w:r>
    </w:p>
    <w:p w:rsidR="002F73CF" w:rsidRDefault="003F2DD6" w:rsidP="002F73CF">
      <w:pPr>
        <w:pStyle w:val="Reference"/>
      </w:pPr>
      <w:r w:rsidRPr="00D82C82">
        <w:t xml:space="preserve">MCA (Minerals Council of Australia) 2011, </w:t>
      </w:r>
      <w:r w:rsidR="00551DAE">
        <w:t>‘</w:t>
      </w:r>
      <w:r w:rsidR="00551DAE" w:rsidRPr="002C3F01">
        <w:t>Inquiry into the use of Fly-</w:t>
      </w:r>
      <w:r w:rsidR="00551DAE">
        <w:t>i</w:t>
      </w:r>
      <w:r w:rsidR="00551DAE" w:rsidRPr="002C3F01">
        <w:t>n Fly-</w:t>
      </w:r>
      <w:r w:rsidR="00551DAE">
        <w:t>o</w:t>
      </w:r>
      <w:r w:rsidR="00551DAE" w:rsidRPr="002C3F01">
        <w:t>ut (FIFO) and Drive-</w:t>
      </w:r>
      <w:r w:rsidR="00551DAE">
        <w:t>i</w:t>
      </w:r>
      <w:r w:rsidR="00551DAE" w:rsidRPr="002C3F01">
        <w:t>n Drive-</w:t>
      </w:r>
      <w:r w:rsidR="00551DAE">
        <w:t>o</w:t>
      </w:r>
      <w:r w:rsidR="00551DAE" w:rsidRPr="002C3F01">
        <w:t>ut (DIDO) Work Practices in Regional Australia</w:t>
      </w:r>
      <w:r w:rsidR="00551DAE">
        <w:t xml:space="preserve">’, </w:t>
      </w:r>
      <w:r w:rsidR="00551DAE" w:rsidRPr="00A72240">
        <w:t xml:space="preserve">Submission to the House </w:t>
      </w:r>
      <w:r w:rsidR="00551DAE">
        <w:t xml:space="preserve">of Representatives </w:t>
      </w:r>
      <w:r w:rsidR="00551DAE" w:rsidRPr="00A72240">
        <w:t>Standing Committee on Regional Australia</w:t>
      </w:r>
      <w:r w:rsidR="00551DAE">
        <w:t>,</w:t>
      </w:r>
      <w:r w:rsidR="00551DAE">
        <w:rPr>
          <w:i/>
        </w:rPr>
        <w:t xml:space="preserve"> </w:t>
      </w:r>
      <w:r w:rsidR="001E07C7">
        <w:t>sub.</w:t>
      </w:r>
      <w:r w:rsidR="00551DAE">
        <w:t xml:space="preserve"> no. 118.</w:t>
      </w:r>
    </w:p>
    <w:p w:rsidR="00AF4DB2" w:rsidRDefault="00AF4DB2" w:rsidP="00AF4DB2">
      <w:pPr>
        <w:pStyle w:val="Reference"/>
      </w:pPr>
      <w:r>
        <w:t xml:space="preserve">—— , CMEWA (Chamber of Minerals and Energy Western Australia) and </w:t>
      </w:r>
      <w:r w:rsidR="002F1036">
        <w:t>QRC (</w:t>
      </w:r>
      <w:r>
        <w:t xml:space="preserve">Queensland Resources Council) </w:t>
      </w:r>
      <w:r w:rsidR="00AE34DC">
        <w:t xml:space="preserve">2010, </w:t>
      </w:r>
      <w:r w:rsidR="00DC25CE">
        <w:t>‘</w:t>
      </w:r>
      <w:r w:rsidRPr="00DC25CE">
        <w:t>Submission to the National Resource Sector Employment Taskforce on the Discussion Paper: Resourcing the Future</w:t>
      </w:r>
      <w:r w:rsidR="00DC25CE">
        <w:t>’</w:t>
      </w:r>
      <w:r>
        <w:t xml:space="preserve">. </w:t>
      </w:r>
    </w:p>
    <w:p w:rsidR="00C90AAD" w:rsidRDefault="00C90AAD" w:rsidP="00C90AAD">
      <w:pPr>
        <w:pStyle w:val="Reference"/>
      </w:pPr>
      <w:r w:rsidRPr="007C4799">
        <w:t>McKissack</w:t>
      </w:r>
      <w:r>
        <w:t>,</w:t>
      </w:r>
      <w:r w:rsidRPr="007C4799">
        <w:t xml:space="preserve"> A</w:t>
      </w:r>
      <w:r>
        <w:t>.</w:t>
      </w:r>
      <w:r w:rsidRPr="007C4799">
        <w:t>, Chang</w:t>
      </w:r>
      <w:r>
        <w:t>,</w:t>
      </w:r>
      <w:r w:rsidRPr="007C4799">
        <w:t xml:space="preserve"> J</w:t>
      </w:r>
      <w:r>
        <w:t>.</w:t>
      </w:r>
      <w:r w:rsidRPr="007C4799">
        <w:t>, Ewing</w:t>
      </w:r>
      <w:r>
        <w:t>,</w:t>
      </w:r>
      <w:r w:rsidRPr="007C4799">
        <w:t xml:space="preserve"> R</w:t>
      </w:r>
      <w:r>
        <w:t>.</w:t>
      </w:r>
      <w:r w:rsidRPr="007C4799">
        <w:t xml:space="preserve"> and Rahman</w:t>
      </w:r>
      <w:r>
        <w:t>,</w:t>
      </w:r>
      <w:r w:rsidRPr="007C4799">
        <w:t xml:space="preserve"> J</w:t>
      </w:r>
      <w:r>
        <w:t>.</w:t>
      </w:r>
      <w:r w:rsidRPr="007C4799">
        <w:t xml:space="preserve"> 2008, </w:t>
      </w:r>
      <w:r w:rsidRPr="00BB5060">
        <w:rPr>
          <w:i/>
        </w:rPr>
        <w:t>Structural Effects of a Sustained Rise in the Terms of Trade</w:t>
      </w:r>
      <w:r w:rsidRPr="007C4799">
        <w:t>, Treasury Working Paper no. 2008-01.</w:t>
      </w:r>
    </w:p>
    <w:p w:rsidR="00533678" w:rsidRDefault="00533678" w:rsidP="00533678">
      <w:pPr>
        <w:pStyle w:val="Reference"/>
      </w:pPr>
      <w:r>
        <w:t xml:space="preserve">McLachlan, R., Clark, C. and Monday, I. 2002, </w:t>
      </w:r>
      <w:r w:rsidRPr="00396DE4">
        <w:rPr>
          <w:i/>
        </w:rPr>
        <w:t>Australia’s Service Sector: A Study in Diversity</w:t>
      </w:r>
      <w:r>
        <w:t>, Productivity Commission, Staff Research Paper, Canberra.</w:t>
      </w:r>
    </w:p>
    <w:p w:rsidR="000B077B" w:rsidRPr="000B077B" w:rsidRDefault="000B077B" w:rsidP="000B077B">
      <w:pPr>
        <w:pStyle w:val="Reference"/>
      </w:pPr>
      <w:r>
        <w:t>Morris, R. 2012,</w:t>
      </w:r>
      <w:r w:rsidRPr="000B077B">
        <w:t xml:space="preserve"> </w:t>
      </w:r>
      <w:r w:rsidRPr="000B077B">
        <w:rPr>
          <w:i/>
        </w:rPr>
        <w:t>Scoping Study: Impact of Fly-in Fly-out/Drive-in Drive-out Work Practices on Local Government</w:t>
      </w:r>
      <w:r w:rsidRPr="000B077B">
        <w:t>, Australian Centre of Excellence for Local Government, University of Technology, Sydney.</w:t>
      </w:r>
    </w:p>
    <w:p w:rsidR="00AF74F9" w:rsidRDefault="00AF74F9" w:rsidP="00AF74F9">
      <w:pPr>
        <w:pStyle w:val="Reference"/>
      </w:pPr>
      <w:r>
        <w:t xml:space="preserve">Mount Isa Chamber of Commerce 2012, </w:t>
      </w:r>
      <w:r w:rsidR="00551DAE">
        <w:t>‘</w:t>
      </w:r>
      <w:r w:rsidR="00551DAE" w:rsidRPr="002C3F01">
        <w:t>Inquiry into the use of Fly-</w:t>
      </w:r>
      <w:r w:rsidR="00551DAE">
        <w:t>i</w:t>
      </w:r>
      <w:r w:rsidR="00551DAE" w:rsidRPr="002C3F01">
        <w:t>n Fly-</w:t>
      </w:r>
      <w:r w:rsidR="00551DAE">
        <w:t>o</w:t>
      </w:r>
      <w:r w:rsidR="00551DAE" w:rsidRPr="002C3F01">
        <w:t>ut (FIFO) and Drive-</w:t>
      </w:r>
      <w:r w:rsidR="00551DAE">
        <w:t>i</w:t>
      </w:r>
      <w:r w:rsidR="00551DAE" w:rsidRPr="002C3F01">
        <w:t>n Drive-</w:t>
      </w:r>
      <w:r w:rsidR="00551DAE">
        <w:t>o</w:t>
      </w:r>
      <w:r w:rsidR="00551DAE" w:rsidRPr="002C3F01">
        <w:t>ut (DIDO) Work Practices in Regional Australia</w:t>
      </w:r>
      <w:r w:rsidR="00551DAE">
        <w:t xml:space="preserve">’, </w:t>
      </w:r>
      <w:r w:rsidR="00551DAE" w:rsidRPr="00A72240">
        <w:lastRenderedPageBreak/>
        <w:t xml:space="preserve">Submission to the House </w:t>
      </w:r>
      <w:r w:rsidR="00551DAE">
        <w:t xml:space="preserve">of Representatives </w:t>
      </w:r>
      <w:r w:rsidR="00551DAE" w:rsidRPr="00A72240">
        <w:t>Standing Committee on Regional Australia</w:t>
      </w:r>
      <w:r w:rsidR="00551DAE">
        <w:t>,</w:t>
      </w:r>
      <w:r w:rsidR="00551DAE">
        <w:rPr>
          <w:i/>
        </w:rPr>
        <w:t xml:space="preserve"> </w:t>
      </w:r>
      <w:r w:rsidR="001E07C7">
        <w:t>sub.</w:t>
      </w:r>
      <w:r w:rsidR="00551DAE">
        <w:t xml:space="preserve"> no. 162</w:t>
      </w:r>
      <w:r>
        <w:t>.</w:t>
      </w:r>
    </w:p>
    <w:p w:rsidR="00B26B54" w:rsidRPr="00B76B86" w:rsidRDefault="00B26B54" w:rsidP="00B26B54">
      <w:pPr>
        <w:pStyle w:val="Reference"/>
        <w:rPr>
          <w:color w:val="000000" w:themeColor="text1"/>
        </w:rPr>
      </w:pPr>
      <w:r w:rsidRPr="00B76B86">
        <w:rPr>
          <w:color w:val="000000" w:themeColor="text1"/>
        </w:rPr>
        <w:t xml:space="preserve">NAB (National Australia Bank) 2012, </w:t>
      </w:r>
      <w:r w:rsidRPr="00B76B86">
        <w:rPr>
          <w:i/>
          <w:iCs/>
          <w:color w:val="000000" w:themeColor="text1"/>
        </w:rPr>
        <w:t>NAB Online Retail Sales Index: Indepth report — October 2012</w:t>
      </w:r>
      <w:r w:rsidRPr="00B76B86">
        <w:rPr>
          <w:color w:val="000000" w:themeColor="text1"/>
        </w:rPr>
        <w:t>, http://business.nab.com.au/wp-content/uploads/2012</w:t>
      </w:r>
      <w:r w:rsidRPr="00B76B86">
        <w:rPr>
          <w:color w:val="000000" w:themeColor="text1"/>
        </w:rPr>
        <w:br/>
        <w:t>/11/nab-online-retail-sales-index-oct-2012.</w:t>
      </w:r>
      <w:r w:rsidR="008831A0" w:rsidRPr="00B76B86">
        <w:rPr>
          <w:color w:val="000000" w:themeColor="text1"/>
        </w:rPr>
        <w:t>pdf</w:t>
      </w:r>
      <w:r w:rsidRPr="00B76B86">
        <w:rPr>
          <w:color w:val="000000" w:themeColor="text1"/>
        </w:rPr>
        <w:t xml:space="preserve"> (accessed 18 September 2012).</w:t>
      </w:r>
    </w:p>
    <w:p w:rsidR="00C25D5D" w:rsidRDefault="00550B8D" w:rsidP="00C25D5D">
      <w:pPr>
        <w:pStyle w:val="Reference"/>
      </w:pPr>
      <w:r>
        <w:t>—— </w:t>
      </w:r>
      <w:r w:rsidR="00C25D5D">
        <w:t xml:space="preserve">2013, </w:t>
      </w:r>
      <w:r w:rsidR="00C25D5D" w:rsidRPr="00C25D5D">
        <w:rPr>
          <w:i/>
        </w:rPr>
        <w:t>NAB Onli</w:t>
      </w:r>
      <w:r w:rsidR="00C25D5D">
        <w:rPr>
          <w:i/>
        </w:rPr>
        <w:t>ne Retail Sales Index: Monthly U</w:t>
      </w:r>
      <w:r w:rsidR="00C25D5D" w:rsidRPr="00C25D5D">
        <w:rPr>
          <w:i/>
        </w:rPr>
        <w:t>pdate</w:t>
      </w:r>
      <w:r w:rsidR="00C25D5D">
        <w:t xml:space="preserve">, </w:t>
      </w:r>
      <w:r w:rsidR="00C25D5D" w:rsidRPr="006F3878">
        <w:rPr>
          <w:i/>
        </w:rPr>
        <w:t>December 2012</w:t>
      </w:r>
      <w:r w:rsidR="00211C0A">
        <w:t xml:space="preserve">, </w:t>
      </w:r>
      <w:r w:rsidR="008831A0">
        <w:t>http</w:t>
      </w:r>
      <w:r w:rsidR="00C25D5D" w:rsidRPr="00C25D5D">
        <w:t>://business.nab.com.au/wp-content/uploads/2013/02/2012-12-nab-online-retail-sales-index.</w:t>
      </w:r>
      <w:r w:rsidR="00211C0A">
        <w:t>pdf</w:t>
      </w:r>
      <w:r w:rsidR="00C25D5D">
        <w:t xml:space="preserve"> (accessed 5 February 2013).</w:t>
      </w:r>
    </w:p>
    <w:p w:rsidR="002F73CF" w:rsidRDefault="00D90351" w:rsidP="001414D7">
      <w:pPr>
        <w:pStyle w:val="Reference"/>
      </w:pPr>
      <w:r>
        <w:t xml:space="preserve">National Retail Association 2012, </w:t>
      </w:r>
      <w:r>
        <w:rPr>
          <w:i/>
        </w:rPr>
        <w:t>The Threshold Question: Economic Impact of the Low Value Threshold on the Retail Industry</w:t>
      </w:r>
      <w:r>
        <w:t>, Report by Ernst &amp; Young.</w:t>
      </w:r>
    </w:p>
    <w:p w:rsidR="00796C46" w:rsidRDefault="00796C46" w:rsidP="00796C46">
      <w:pPr>
        <w:pStyle w:val="Reference"/>
      </w:pPr>
      <w:r>
        <w:t>NRSET (National Resources Sector Employment Taskforce) 2010a,</w:t>
      </w:r>
      <w:r w:rsidRPr="00BB5060">
        <w:rPr>
          <w:i/>
        </w:rPr>
        <w:t xml:space="preserve"> Resourcing the Future</w:t>
      </w:r>
      <w:r>
        <w:t>, Discussion Paper, March, Australian Government.</w:t>
      </w:r>
    </w:p>
    <w:p w:rsidR="00796C46" w:rsidRDefault="00550B8D" w:rsidP="00796C46">
      <w:pPr>
        <w:pStyle w:val="Reference"/>
      </w:pPr>
      <w:r>
        <w:t>—— </w:t>
      </w:r>
      <w:r w:rsidR="00796C46">
        <w:t xml:space="preserve">2010b, </w:t>
      </w:r>
      <w:r w:rsidR="00796C46">
        <w:rPr>
          <w:i/>
        </w:rPr>
        <w:t>Resourcing the Future</w:t>
      </w:r>
      <w:r w:rsidR="00796C46">
        <w:t>, Final Report, July, Australian Government.</w:t>
      </w:r>
    </w:p>
    <w:p w:rsidR="00AF74F9" w:rsidRPr="006B6C94" w:rsidRDefault="008D3B49" w:rsidP="00AF74F9">
      <w:pPr>
        <w:pStyle w:val="Reference"/>
      </w:pPr>
      <w:r w:rsidRPr="008D3B49">
        <w:t xml:space="preserve">OECD (Organisation for Economic Co-operation and Development) </w:t>
      </w:r>
      <w:r w:rsidR="00AF74F9" w:rsidRPr="008D3B49">
        <w:t xml:space="preserve">2008, ‘Ageing </w:t>
      </w:r>
      <w:r w:rsidR="00AF74F9" w:rsidRPr="006B6C94">
        <w:t xml:space="preserve">OECD </w:t>
      </w:r>
      <w:r w:rsidR="006B6C94">
        <w:t>s</w:t>
      </w:r>
      <w:r w:rsidR="00AF74F9" w:rsidRPr="006B6C94">
        <w:t xml:space="preserve">ocieties’, Chapter 1 in </w:t>
      </w:r>
      <w:r w:rsidR="00AF74F9" w:rsidRPr="006B6C94">
        <w:rPr>
          <w:i/>
        </w:rPr>
        <w:t>Trends Shaping Education</w:t>
      </w:r>
      <w:r w:rsidR="00AF74F9" w:rsidRPr="006B6C94">
        <w:t xml:space="preserve">, OECD Publishing, Paris. </w:t>
      </w:r>
    </w:p>
    <w:p w:rsidR="005B45CC" w:rsidRDefault="00550B8D" w:rsidP="005B45CC">
      <w:pPr>
        <w:pStyle w:val="Reference"/>
      </w:pPr>
      <w:r>
        <w:t>—— </w:t>
      </w:r>
      <w:r w:rsidR="008D3B49">
        <w:t>2012a</w:t>
      </w:r>
      <w:r w:rsidR="00C1784D">
        <w:t>,</w:t>
      </w:r>
      <w:r w:rsidR="00477F68">
        <w:rPr>
          <w:color w:val="FF0000"/>
        </w:rPr>
        <w:t xml:space="preserve"> </w:t>
      </w:r>
      <w:r w:rsidR="00064F62" w:rsidRPr="00477F68">
        <w:rPr>
          <w:i/>
        </w:rPr>
        <w:t xml:space="preserve">Structural </w:t>
      </w:r>
      <w:r w:rsidR="00FF1930">
        <w:rPr>
          <w:i/>
        </w:rPr>
        <w:t>C</w:t>
      </w:r>
      <w:r w:rsidR="00064F62" w:rsidRPr="00477F68">
        <w:rPr>
          <w:i/>
        </w:rPr>
        <w:t xml:space="preserve">hange and </w:t>
      </w:r>
      <w:r w:rsidR="00FF1930">
        <w:rPr>
          <w:i/>
        </w:rPr>
        <w:t>G</w:t>
      </w:r>
      <w:r w:rsidR="00064F62" w:rsidRPr="00477F68">
        <w:rPr>
          <w:i/>
        </w:rPr>
        <w:t xml:space="preserve">rowth: Trends and </w:t>
      </w:r>
      <w:r w:rsidR="00FF1930">
        <w:rPr>
          <w:i/>
        </w:rPr>
        <w:t>P</w:t>
      </w:r>
      <w:r w:rsidR="00064F62" w:rsidRPr="00477F68">
        <w:rPr>
          <w:i/>
        </w:rPr>
        <w:t xml:space="preserve">olicy </w:t>
      </w:r>
      <w:r w:rsidR="00FF1930">
        <w:rPr>
          <w:i/>
        </w:rPr>
        <w:t>I</w:t>
      </w:r>
      <w:r w:rsidR="00064F62" w:rsidRPr="00477F68">
        <w:rPr>
          <w:i/>
        </w:rPr>
        <w:t xml:space="preserve">mplications, </w:t>
      </w:r>
      <w:r w:rsidR="00064F62" w:rsidRPr="00477F68">
        <w:t xml:space="preserve">Directorate for Science, Technology and </w:t>
      </w:r>
      <w:r w:rsidR="005B45CC">
        <w:t>Industry.</w:t>
      </w:r>
    </w:p>
    <w:p w:rsidR="002F73CF" w:rsidRPr="00A76350" w:rsidRDefault="005B45CC" w:rsidP="00DA4C72">
      <w:pPr>
        <w:pStyle w:val="Reference"/>
        <w:rPr>
          <w:i/>
          <w:iCs/>
          <w:color w:val="000000" w:themeColor="text1"/>
        </w:rPr>
      </w:pPr>
      <w:r w:rsidRPr="00A76350">
        <w:rPr>
          <w:color w:val="000000" w:themeColor="text1"/>
        </w:rPr>
        <w:t>—— </w:t>
      </w:r>
      <w:r w:rsidR="008D3B49">
        <w:rPr>
          <w:color w:val="000000" w:themeColor="text1"/>
        </w:rPr>
        <w:t>2012b</w:t>
      </w:r>
      <w:r w:rsidRPr="00A76350">
        <w:rPr>
          <w:color w:val="000000" w:themeColor="text1"/>
        </w:rPr>
        <w:t xml:space="preserve">, </w:t>
      </w:r>
      <w:r w:rsidRPr="00A76350">
        <w:rPr>
          <w:i/>
          <w:iCs/>
          <w:color w:val="000000" w:themeColor="text1"/>
        </w:rPr>
        <w:t>STAN Database for Structural Analysis.</w:t>
      </w:r>
    </w:p>
    <w:p w:rsidR="0090238D" w:rsidRDefault="0090238D" w:rsidP="00DA4C72">
      <w:pPr>
        <w:pStyle w:val="Reference"/>
      </w:pPr>
      <w:r>
        <w:t xml:space="preserve">OPEC (Organization of the Petroleum Exporting Countries) 2013, ‘OPEC Basket Price’, </w:t>
      </w:r>
      <w:r w:rsidRPr="0090238D">
        <w:t>www.opec.org/opec_web/en/data_graphs/40.htm</w:t>
      </w:r>
      <w:r w:rsidR="002C492B">
        <w:t xml:space="preserve"> (</w:t>
      </w:r>
      <w:r w:rsidR="002F73CF">
        <w:t>accessed 19 February 2013</w:t>
      </w:r>
      <w:r w:rsidR="002C492B">
        <w:t>)</w:t>
      </w:r>
      <w:r w:rsidR="002F73CF">
        <w:t>.</w:t>
      </w:r>
    </w:p>
    <w:p w:rsidR="002F73CF" w:rsidRDefault="00BE693A" w:rsidP="00667A47">
      <w:pPr>
        <w:pStyle w:val="Reference"/>
      </w:pPr>
      <w:r>
        <w:t xml:space="preserve">Parham, D. </w:t>
      </w:r>
      <w:r w:rsidR="00D90351">
        <w:t xml:space="preserve">2012, </w:t>
      </w:r>
      <w:r w:rsidR="00D90351">
        <w:rPr>
          <w:i/>
        </w:rPr>
        <w:t>Australia’s Productivity Growth Slump: Signs of Crisis, Adjustment or Both?</w:t>
      </w:r>
      <w:r w:rsidR="00D90351">
        <w:t>, Visiting Researcher Paper, Productivity Commission, Canberra.</w:t>
      </w:r>
    </w:p>
    <w:p w:rsidR="00667A47" w:rsidRDefault="00550B8D" w:rsidP="00667A47">
      <w:pPr>
        <w:pStyle w:val="Reference"/>
      </w:pPr>
      <w:r>
        <w:t>—— </w:t>
      </w:r>
      <w:r w:rsidR="00667A47" w:rsidRPr="005F20E6">
        <w:t xml:space="preserve">Roberts, P. and Sun, H. 2001, </w:t>
      </w:r>
      <w:r w:rsidR="00667A47" w:rsidRPr="005F20E6">
        <w:rPr>
          <w:i/>
        </w:rPr>
        <w:t>Information Technology and Australia’s Productivity Surge</w:t>
      </w:r>
      <w:r w:rsidR="00667A47" w:rsidRPr="005F20E6">
        <w:t>, Staff Research Paper,</w:t>
      </w:r>
      <w:r w:rsidR="003F2DD6">
        <w:t xml:space="preserve"> </w:t>
      </w:r>
      <w:r w:rsidR="003F2DD6" w:rsidRPr="005F20E6">
        <w:t>Productivity Commission</w:t>
      </w:r>
      <w:r w:rsidR="003F2DD6">
        <w:t>,</w:t>
      </w:r>
      <w:r w:rsidR="00667A47" w:rsidRPr="005F20E6">
        <w:t xml:space="preserve"> Canberra.</w:t>
      </w:r>
    </w:p>
    <w:p w:rsidR="004674BF" w:rsidRDefault="00FB6280" w:rsidP="00FB6280">
      <w:pPr>
        <w:pStyle w:val="Reference"/>
      </w:pPr>
      <w:r>
        <w:t xml:space="preserve">Parkinson, M. 2012, </w:t>
      </w:r>
      <w:r w:rsidRPr="007639AB">
        <w:t xml:space="preserve">Challenges and </w:t>
      </w:r>
      <w:r w:rsidR="007A21E5">
        <w:t>o</w:t>
      </w:r>
      <w:r w:rsidR="007A21E5" w:rsidRPr="007639AB">
        <w:t xml:space="preserve">pportunities </w:t>
      </w:r>
      <w:r w:rsidRPr="007639AB">
        <w:t xml:space="preserve">for the Australian </w:t>
      </w:r>
      <w:r w:rsidR="007A21E5">
        <w:t>e</w:t>
      </w:r>
      <w:r w:rsidR="007A21E5" w:rsidRPr="007639AB">
        <w:t>conomy</w:t>
      </w:r>
      <w:r>
        <w:t xml:space="preserve">, Speech to the John Curtin Institute of Public Policy, Breakfast Forum, </w:t>
      </w:r>
      <w:r w:rsidR="00AD7D4E">
        <w:t xml:space="preserve">Perth, </w:t>
      </w:r>
      <w:r>
        <w:t>5 October.</w:t>
      </w:r>
    </w:p>
    <w:p w:rsidR="00FB6280" w:rsidRDefault="00FB6280" w:rsidP="00FB6280">
      <w:pPr>
        <w:pStyle w:val="Reference"/>
      </w:pPr>
      <w:r>
        <w:t>PC (</w:t>
      </w:r>
      <w:r w:rsidRPr="000C7E7F">
        <w:t>Productivity Commission</w:t>
      </w:r>
      <w:r>
        <w:t>)</w:t>
      </w:r>
      <w:r w:rsidRPr="000C7E7F">
        <w:t xml:space="preserve"> 1998, </w:t>
      </w:r>
      <w:r w:rsidRPr="00211D85">
        <w:rPr>
          <w:i/>
        </w:rPr>
        <w:t>Aspects of Structural Change in Australia</w:t>
      </w:r>
      <w:r w:rsidRPr="000C7E7F">
        <w:t>,</w:t>
      </w:r>
      <w:r>
        <w:t xml:space="preserve"> </w:t>
      </w:r>
      <w:r w:rsidRPr="000C7E7F">
        <w:t>Research Report, Canberra.</w:t>
      </w:r>
    </w:p>
    <w:p w:rsidR="004674BF" w:rsidRPr="00E152F8" w:rsidRDefault="004674BF" w:rsidP="004674BF">
      <w:pPr>
        <w:pStyle w:val="Reference"/>
      </w:pPr>
      <w:r>
        <w:t>——</w:t>
      </w:r>
      <w:r w:rsidR="00A57F1B">
        <w:t> </w:t>
      </w:r>
      <w:r w:rsidRPr="00E152F8">
        <w:t xml:space="preserve">2001, </w:t>
      </w:r>
      <w:r w:rsidRPr="00E152F8">
        <w:rPr>
          <w:i/>
        </w:rPr>
        <w:t>Structural Adjustment — Key Policy Issues</w:t>
      </w:r>
      <w:r w:rsidRPr="00E152F8">
        <w:t>, Commission Research Paper, Canberra.</w:t>
      </w:r>
    </w:p>
    <w:p w:rsidR="002F73CF" w:rsidRDefault="00550B8D" w:rsidP="00AF74F9">
      <w:pPr>
        <w:pStyle w:val="Reference"/>
      </w:pPr>
      <w:r>
        <w:t>—— </w:t>
      </w:r>
      <w:r w:rsidR="008D3B49">
        <w:t>2004</w:t>
      </w:r>
      <w:r w:rsidR="00375463">
        <w:t xml:space="preserve">, </w:t>
      </w:r>
      <w:r w:rsidR="00375463">
        <w:rPr>
          <w:i/>
        </w:rPr>
        <w:t>First Home Ownership</w:t>
      </w:r>
      <w:r w:rsidR="00375463">
        <w:t xml:space="preserve">, </w:t>
      </w:r>
      <w:r w:rsidR="003F2DD6">
        <w:t xml:space="preserve">Final Inquiry </w:t>
      </w:r>
      <w:r w:rsidR="00375463">
        <w:t>Report</w:t>
      </w:r>
      <w:r w:rsidR="00E92E5B">
        <w:t xml:space="preserve"> no. 28, Melbourne</w:t>
      </w:r>
      <w:r w:rsidR="00375463">
        <w:t>.</w:t>
      </w:r>
    </w:p>
    <w:p w:rsidR="00FB6280" w:rsidRDefault="00550B8D" w:rsidP="00FB6280">
      <w:pPr>
        <w:pStyle w:val="Reference"/>
      </w:pPr>
      <w:r>
        <w:lastRenderedPageBreak/>
        <w:t>——</w:t>
      </w:r>
      <w:r w:rsidR="00A57F1B">
        <w:t> </w:t>
      </w:r>
      <w:r w:rsidR="00FB6280" w:rsidRPr="00CB6E26">
        <w:t>2005</w:t>
      </w:r>
      <w:r w:rsidR="00FB6280">
        <w:t>a</w:t>
      </w:r>
      <w:r w:rsidR="00FB6280" w:rsidRPr="00CB6E26">
        <w:t xml:space="preserve">, </w:t>
      </w:r>
      <w:r w:rsidR="00FB6280" w:rsidRPr="00CB6E26">
        <w:rPr>
          <w:i/>
        </w:rPr>
        <w:t>Economic Implications of an Ageing Australia</w:t>
      </w:r>
      <w:r w:rsidR="00FB6280" w:rsidRPr="00CB6E26">
        <w:t>, Research</w:t>
      </w:r>
      <w:r w:rsidR="00FB6280">
        <w:t xml:space="preserve"> </w:t>
      </w:r>
      <w:r w:rsidR="00FB6280" w:rsidRPr="00CB6E26">
        <w:t>Report, Canberra.</w:t>
      </w:r>
    </w:p>
    <w:p w:rsidR="00FB6280" w:rsidRDefault="00FB6280" w:rsidP="00FB6280">
      <w:pPr>
        <w:pStyle w:val="Reference"/>
      </w:pPr>
      <w:r w:rsidRPr="006C4DC4">
        <w:t>—— 2005</w:t>
      </w:r>
      <w:r>
        <w:t>b</w:t>
      </w:r>
      <w:r w:rsidRPr="006C4DC4">
        <w:t xml:space="preserve">, </w:t>
      </w:r>
      <w:r w:rsidRPr="006C4DC4">
        <w:rPr>
          <w:i/>
        </w:rPr>
        <w:t>Impacts of Advances in Medical Technology in Australia</w:t>
      </w:r>
      <w:r w:rsidRPr="006C4DC4">
        <w:t>,</w:t>
      </w:r>
      <w:r>
        <w:t xml:space="preserve"> </w:t>
      </w:r>
      <w:r w:rsidRPr="006C4DC4">
        <w:t>Research Report, Melbourne.</w:t>
      </w:r>
    </w:p>
    <w:p w:rsidR="00A01874" w:rsidRDefault="00550B8D" w:rsidP="00A01874">
      <w:pPr>
        <w:pStyle w:val="Reference"/>
      </w:pPr>
      <w:r>
        <w:t>—— </w:t>
      </w:r>
      <w:r w:rsidR="00A01874">
        <w:t xml:space="preserve">2005c, </w:t>
      </w:r>
      <w:r w:rsidR="00A01874">
        <w:rPr>
          <w:i/>
          <w:iCs/>
        </w:rPr>
        <w:t>Review of National Competition Policy Reforms</w:t>
      </w:r>
      <w:r w:rsidR="00A01874">
        <w:t xml:space="preserve">, </w:t>
      </w:r>
      <w:r w:rsidR="003F2DD6">
        <w:t xml:space="preserve">Final Inquiry </w:t>
      </w:r>
      <w:r w:rsidR="00A01874">
        <w:t>Report no. 33, Canberra.</w:t>
      </w:r>
    </w:p>
    <w:p w:rsidR="002F73CF" w:rsidRDefault="00FB6280" w:rsidP="002F73CF">
      <w:pPr>
        <w:pStyle w:val="Reference"/>
      </w:pPr>
      <w:r w:rsidRPr="00930C07">
        <w:t>—— 2005</w:t>
      </w:r>
      <w:r w:rsidR="00A01874">
        <w:t>d</w:t>
      </w:r>
      <w:r w:rsidRPr="00930C07">
        <w:t xml:space="preserve">, </w:t>
      </w:r>
      <w:r w:rsidRPr="00930C07">
        <w:rPr>
          <w:i/>
        </w:rPr>
        <w:t>Trends in Australian Agriculture</w:t>
      </w:r>
      <w:r w:rsidRPr="00930C07">
        <w:t>, Research Paper,</w:t>
      </w:r>
      <w:r>
        <w:t xml:space="preserve"> </w:t>
      </w:r>
      <w:r w:rsidRPr="00930C07">
        <w:t>Canberra.</w:t>
      </w:r>
    </w:p>
    <w:p w:rsidR="002F73CF" w:rsidRDefault="00427F21" w:rsidP="002F73CF">
      <w:pPr>
        <w:pStyle w:val="Reference"/>
      </w:pPr>
      <w:r w:rsidRPr="006C4DC4">
        <w:t>—— </w:t>
      </w:r>
      <w:r w:rsidRPr="00B91459">
        <w:t>2006</w:t>
      </w:r>
      <w:r>
        <w:t>a</w:t>
      </w:r>
      <w:r w:rsidRPr="00B91459">
        <w:t xml:space="preserve">, </w:t>
      </w:r>
      <w:r w:rsidRPr="006B1EA1">
        <w:rPr>
          <w:i/>
        </w:rPr>
        <w:t>Economic Impacts of Migration and Population Growth</w:t>
      </w:r>
      <w:r w:rsidRPr="00B91459">
        <w:t>,</w:t>
      </w:r>
      <w:r>
        <w:t xml:space="preserve"> </w:t>
      </w:r>
      <w:r w:rsidR="00882D8D">
        <w:t>Research Report</w:t>
      </w:r>
      <w:r w:rsidR="0031657C">
        <w:t>, Canberra</w:t>
      </w:r>
      <w:r w:rsidRPr="00B91459">
        <w:t>.</w:t>
      </w:r>
    </w:p>
    <w:p w:rsidR="002F73CF" w:rsidRDefault="00550B8D" w:rsidP="00C17F9A">
      <w:pPr>
        <w:pStyle w:val="Reference"/>
      </w:pPr>
      <w:r>
        <w:t>—— </w:t>
      </w:r>
      <w:r w:rsidR="00FB6280" w:rsidRPr="003C41E5">
        <w:t>2006</w:t>
      </w:r>
      <w:r w:rsidR="00427F21">
        <w:t>b</w:t>
      </w:r>
      <w:r w:rsidR="00FB6280" w:rsidRPr="003C41E5">
        <w:t xml:space="preserve">, </w:t>
      </w:r>
      <w:r w:rsidR="00FB6280" w:rsidRPr="0020234B">
        <w:rPr>
          <w:i/>
        </w:rPr>
        <w:t>Road and Rail Freight Infrastructure Pricing</w:t>
      </w:r>
      <w:r w:rsidR="00FB6280" w:rsidRPr="003C41E5">
        <w:t xml:space="preserve">, </w:t>
      </w:r>
      <w:r w:rsidR="00882D8D">
        <w:t xml:space="preserve">Final Inquiry </w:t>
      </w:r>
      <w:r w:rsidR="00FB6280" w:rsidRPr="003C41E5">
        <w:t>Report</w:t>
      </w:r>
      <w:r w:rsidR="00882D8D">
        <w:t> </w:t>
      </w:r>
      <w:r w:rsidR="00FB6280" w:rsidRPr="003C41E5">
        <w:t>no.</w:t>
      </w:r>
      <w:r w:rsidR="00882D8D">
        <w:t> </w:t>
      </w:r>
      <w:r w:rsidR="00FB6280" w:rsidRPr="003C41E5">
        <w:t>41, Canberra.</w:t>
      </w:r>
    </w:p>
    <w:p w:rsidR="002F73CF" w:rsidRDefault="00550B8D" w:rsidP="00611C03">
      <w:pPr>
        <w:pStyle w:val="Reference"/>
      </w:pPr>
      <w:r>
        <w:t>—— </w:t>
      </w:r>
      <w:r w:rsidR="008D3B49">
        <w:t>2009</w:t>
      </w:r>
      <w:r w:rsidR="00FB6280">
        <w:t xml:space="preserve">, </w:t>
      </w:r>
      <w:r w:rsidR="00FB6280">
        <w:rPr>
          <w:i/>
        </w:rPr>
        <w:t>Review of Mutual Recognition Schemes</w:t>
      </w:r>
      <w:r w:rsidR="00FB6280">
        <w:t>, Research Report, Canberra.</w:t>
      </w:r>
    </w:p>
    <w:p w:rsidR="00611C03" w:rsidRPr="00512854" w:rsidRDefault="00550B8D" w:rsidP="00611C03">
      <w:pPr>
        <w:pStyle w:val="Reference"/>
      </w:pPr>
      <w:r>
        <w:t>—— </w:t>
      </w:r>
      <w:r w:rsidR="00611C03">
        <w:t xml:space="preserve">2010a, </w:t>
      </w:r>
      <w:r w:rsidR="00611C03" w:rsidRPr="00611C03">
        <w:rPr>
          <w:i/>
        </w:rPr>
        <w:t>Bilateral and Regional Trade Agreements</w:t>
      </w:r>
      <w:r w:rsidR="00611C03">
        <w:t>, Research Report, Canberra.</w:t>
      </w:r>
      <w:r w:rsidR="009214EB">
        <w:t xml:space="preserve"> </w:t>
      </w:r>
    </w:p>
    <w:p w:rsidR="002F73CF" w:rsidRPr="00E85129" w:rsidRDefault="00E43B99" w:rsidP="00491BBA">
      <w:pPr>
        <w:pStyle w:val="Reference"/>
        <w:rPr>
          <w:color w:val="000000" w:themeColor="text1"/>
        </w:rPr>
      </w:pPr>
      <w:r w:rsidRPr="00E85129">
        <w:rPr>
          <w:color w:val="000000" w:themeColor="text1"/>
        </w:rPr>
        <w:t>—— 2010</w:t>
      </w:r>
      <w:r w:rsidR="00095E46" w:rsidRPr="00E85129">
        <w:rPr>
          <w:color w:val="000000" w:themeColor="text1"/>
        </w:rPr>
        <w:t>b</w:t>
      </w:r>
      <w:r w:rsidRPr="00E85129">
        <w:rPr>
          <w:color w:val="000000" w:themeColor="text1"/>
        </w:rPr>
        <w:t xml:space="preserve">, </w:t>
      </w:r>
      <w:r w:rsidRPr="00E85129">
        <w:rPr>
          <w:i/>
          <w:color w:val="000000" w:themeColor="text1"/>
        </w:rPr>
        <w:t>Population and Migration: Understanding the Numbers</w:t>
      </w:r>
      <w:r w:rsidRPr="00E85129">
        <w:rPr>
          <w:color w:val="000000" w:themeColor="text1"/>
        </w:rPr>
        <w:t>, Research Paper</w:t>
      </w:r>
      <w:r w:rsidR="0031657C">
        <w:rPr>
          <w:color w:val="000000" w:themeColor="text1"/>
        </w:rPr>
        <w:t>, Canberra</w:t>
      </w:r>
      <w:r w:rsidRPr="00E85129">
        <w:rPr>
          <w:color w:val="000000" w:themeColor="text1"/>
        </w:rPr>
        <w:t>.</w:t>
      </w:r>
    </w:p>
    <w:p w:rsidR="00491BBA" w:rsidRDefault="00FC1D13" w:rsidP="00491BBA">
      <w:pPr>
        <w:pStyle w:val="Reference"/>
        <w:rPr>
          <w:rFonts w:ascii="TimesNewRomanPSMT" w:hAnsi="TimesNewRomanPSMT" w:cs="TimesNewRomanPSMT"/>
        </w:rPr>
      </w:pPr>
      <w:r w:rsidRPr="00E43B99">
        <w:t>—— </w:t>
      </w:r>
      <w:r>
        <w:t xml:space="preserve">2011a, </w:t>
      </w:r>
      <w:r>
        <w:rPr>
          <w:i/>
        </w:rPr>
        <w:t>Carbon Emission Policies in Key Economies</w:t>
      </w:r>
      <w:r>
        <w:rPr>
          <w:rFonts w:ascii="TimesNewRomanPSMT" w:hAnsi="TimesNewRomanPSMT" w:cs="TimesNewRomanPSMT"/>
        </w:rPr>
        <w:t>, Research Report, Canberra.</w:t>
      </w:r>
    </w:p>
    <w:p w:rsidR="00E43B99" w:rsidRPr="00E43B99" w:rsidRDefault="00E43B99" w:rsidP="00E43B99">
      <w:pPr>
        <w:pStyle w:val="Reference"/>
      </w:pPr>
      <w:r w:rsidRPr="00E43B99">
        <w:t>—— </w:t>
      </w:r>
      <w:r w:rsidR="008D3B49">
        <w:t>2011b</w:t>
      </w:r>
      <w:r w:rsidRPr="00E43B99">
        <w:t xml:space="preserve">, </w:t>
      </w:r>
      <w:r w:rsidRPr="00E43B99">
        <w:rPr>
          <w:i/>
        </w:rPr>
        <w:t>Economic Structure and Performance of the Australian Retail Industry</w:t>
      </w:r>
      <w:r w:rsidRPr="00E43B99">
        <w:t xml:space="preserve">, </w:t>
      </w:r>
      <w:r w:rsidR="00882D8D">
        <w:t xml:space="preserve">Final Inquiry </w:t>
      </w:r>
      <w:r w:rsidRPr="00882D8D">
        <w:t>Report no. 56</w:t>
      </w:r>
      <w:r w:rsidRPr="00E43B99">
        <w:t>, Canberra.</w:t>
      </w:r>
    </w:p>
    <w:p w:rsidR="005B2CFC" w:rsidRDefault="005B2CFC" w:rsidP="00FB6280">
      <w:pPr>
        <w:pStyle w:val="Reference"/>
      </w:pPr>
      <w:r>
        <w:t>——</w:t>
      </w:r>
      <w:r w:rsidR="00A57F1B">
        <w:t> </w:t>
      </w:r>
      <w:r>
        <w:t>2011</w:t>
      </w:r>
      <w:r w:rsidR="00845BD5">
        <w:t>c</w:t>
      </w:r>
      <w:r>
        <w:t xml:space="preserve">, </w:t>
      </w:r>
      <w:r w:rsidRPr="005B2CFC">
        <w:rPr>
          <w:i/>
        </w:rPr>
        <w:t>Performance Benchmarking of Australian Business Regulation: Planning, Zoning and Development Assessment</w:t>
      </w:r>
      <w:r>
        <w:t>, Research Report, Canberra.</w:t>
      </w:r>
    </w:p>
    <w:p w:rsidR="002F73CF" w:rsidRDefault="00A63E5C" w:rsidP="002F73CF">
      <w:pPr>
        <w:pStyle w:val="Reference"/>
      </w:pPr>
      <w:r>
        <w:t>—— </w:t>
      </w:r>
      <w:r w:rsidR="00C17F9A" w:rsidRPr="00B93F91">
        <w:t>2012</w:t>
      </w:r>
      <w:r>
        <w:t>a</w:t>
      </w:r>
      <w:r w:rsidR="00C17F9A" w:rsidRPr="00B93F91">
        <w:t xml:space="preserve">, </w:t>
      </w:r>
      <w:r w:rsidR="00C17F9A" w:rsidRPr="00B93F91">
        <w:rPr>
          <w:i/>
        </w:rPr>
        <w:t>Annual Report 2011-12</w:t>
      </w:r>
      <w:r w:rsidR="00C17F9A" w:rsidRPr="00B93F91">
        <w:t xml:space="preserve">, </w:t>
      </w:r>
      <w:r w:rsidR="00C17F9A">
        <w:t xml:space="preserve">Annual Report Series, Productivity Commission, </w:t>
      </w:r>
      <w:r w:rsidR="00C17F9A" w:rsidRPr="00B93F91">
        <w:t>Canberra.</w:t>
      </w:r>
    </w:p>
    <w:p w:rsidR="002F73CF" w:rsidRDefault="00FB6280" w:rsidP="002F73CF">
      <w:pPr>
        <w:pStyle w:val="Reference"/>
      </w:pPr>
      <w:r>
        <w:t>—— </w:t>
      </w:r>
      <w:r w:rsidRPr="00CF58F8">
        <w:t>2012</w:t>
      </w:r>
      <w:r w:rsidR="00F431F8">
        <w:t>b</w:t>
      </w:r>
      <w:r>
        <w:t xml:space="preserve">, </w:t>
      </w:r>
      <w:r w:rsidRPr="005F6498">
        <w:rPr>
          <w:i/>
        </w:rPr>
        <w:t xml:space="preserve">Default </w:t>
      </w:r>
      <w:r w:rsidR="0020234B" w:rsidRPr="005F6498">
        <w:rPr>
          <w:i/>
        </w:rPr>
        <w:t>S</w:t>
      </w:r>
      <w:r w:rsidRPr="005F6498">
        <w:rPr>
          <w:i/>
        </w:rPr>
        <w:t xml:space="preserve">uperannuation </w:t>
      </w:r>
      <w:r w:rsidR="0020234B" w:rsidRPr="005F6498">
        <w:rPr>
          <w:i/>
        </w:rPr>
        <w:t>F</w:t>
      </w:r>
      <w:r w:rsidRPr="005F6498">
        <w:rPr>
          <w:i/>
        </w:rPr>
        <w:t xml:space="preserve">unds in </w:t>
      </w:r>
      <w:r w:rsidR="0020234B" w:rsidRPr="005F6498">
        <w:rPr>
          <w:i/>
        </w:rPr>
        <w:t>M</w:t>
      </w:r>
      <w:r w:rsidRPr="005F6498">
        <w:rPr>
          <w:i/>
        </w:rPr>
        <w:t xml:space="preserve">odern </w:t>
      </w:r>
      <w:r w:rsidR="0020234B" w:rsidRPr="005F6498">
        <w:rPr>
          <w:i/>
        </w:rPr>
        <w:t>A</w:t>
      </w:r>
      <w:r w:rsidRPr="005F6498">
        <w:rPr>
          <w:i/>
        </w:rPr>
        <w:t>ward</w:t>
      </w:r>
      <w:r w:rsidR="005F6498" w:rsidRPr="005F6498">
        <w:rPr>
          <w:i/>
        </w:rPr>
        <w:t>s</w:t>
      </w:r>
      <w:r w:rsidRPr="00593103">
        <w:t xml:space="preserve">, </w:t>
      </w:r>
      <w:r w:rsidR="0031657C">
        <w:t>Final Inquiry Report n</w:t>
      </w:r>
      <w:r w:rsidR="005F6498">
        <w:t>o. 60</w:t>
      </w:r>
      <w:r w:rsidRPr="00593103">
        <w:t>,</w:t>
      </w:r>
      <w:r w:rsidR="005F6498">
        <w:t xml:space="preserve"> </w:t>
      </w:r>
      <w:r w:rsidRPr="00593103">
        <w:t>Canberra.</w:t>
      </w:r>
    </w:p>
    <w:p w:rsidR="002F73CF" w:rsidRDefault="00F431F8" w:rsidP="002F73CF">
      <w:pPr>
        <w:pStyle w:val="Reference"/>
      </w:pPr>
      <w:r>
        <w:t>—— 2012c</w:t>
      </w:r>
      <w:r w:rsidR="00E43B99" w:rsidRPr="00E43B99">
        <w:t xml:space="preserve">, ‘Economy-wide modelling of impacts of COAG reforms’, Supplement to </w:t>
      </w:r>
      <w:r w:rsidR="00E43B99" w:rsidRPr="00E43B99">
        <w:rPr>
          <w:i/>
        </w:rPr>
        <w:t>Impacts of COAG Reforms: Business Regulation and VET</w:t>
      </w:r>
      <w:r w:rsidR="00882D8D">
        <w:t>, Canberra</w:t>
      </w:r>
      <w:r w:rsidR="00E43B99" w:rsidRPr="00E43B99">
        <w:t>.</w:t>
      </w:r>
    </w:p>
    <w:p w:rsidR="002F73CF" w:rsidRDefault="00F431F8" w:rsidP="00FC1D13">
      <w:pPr>
        <w:pStyle w:val="Reference"/>
      </w:pPr>
      <w:r>
        <w:t>—— 2012d</w:t>
      </w:r>
      <w:r w:rsidR="00FB6280">
        <w:t xml:space="preserve">, </w:t>
      </w:r>
      <w:r w:rsidR="00FB6280" w:rsidRPr="00146288">
        <w:rPr>
          <w:i/>
        </w:rPr>
        <w:t>Impacts of COAG Reforms: Business Regulation and VET</w:t>
      </w:r>
      <w:r w:rsidR="00FB6280" w:rsidRPr="00146288">
        <w:t>, Research Report, Volume 1 – Overview, Canberra.</w:t>
      </w:r>
    </w:p>
    <w:p w:rsidR="00FC1D13" w:rsidRDefault="00FC1D13" w:rsidP="00FC1D13">
      <w:pPr>
        <w:pStyle w:val="Reference"/>
      </w:pPr>
      <w:r>
        <w:t>—— 2012</w:t>
      </w:r>
      <w:r w:rsidR="00F431F8">
        <w:t>e</w:t>
      </w:r>
      <w:r>
        <w:t xml:space="preserve">, </w:t>
      </w:r>
      <w:r>
        <w:rPr>
          <w:i/>
        </w:rPr>
        <w:t>Reviews of Carbon Price Impacts on Industries: The Commission’s Approach</w:t>
      </w:r>
      <w:r>
        <w:t>, Consultation Paper, Canberra.</w:t>
      </w:r>
    </w:p>
    <w:p w:rsidR="002F73CF" w:rsidRDefault="00FB6280" w:rsidP="002F73CF">
      <w:pPr>
        <w:pStyle w:val="Reference"/>
      </w:pPr>
      <w:r w:rsidRPr="00CB50A1">
        <w:t>—— 2012</w:t>
      </w:r>
      <w:r w:rsidR="00F431F8">
        <w:t>f</w:t>
      </w:r>
      <w:r w:rsidRPr="00CB50A1">
        <w:t xml:space="preserve">, </w:t>
      </w:r>
      <w:r w:rsidR="00095E46">
        <w:rPr>
          <w:i/>
        </w:rPr>
        <w:t>Trade and</w:t>
      </w:r>
      <w:r w:rsidRPr="00CB50A1">
        <w:rPr>
          <w:i/>
        </w:rPr>
        <w:t xml:space="preserve"> Assistance Review 2010-11</w:t>
      </w:r>
      <w:r w:rsidRPr="00CB50A1">
        <w:t>, Annual Report Series, Pr</w:t>
      </w:r>
      <w:r w:rsidR="00882D8D">
        <w:t>oductivity Commission, Canberra</w:t>
      </w:r>
      <w:r w:rsidRPr="00CB50A1">
        <w:t>.</w:t>
      </w:r>
    </w:p>
    <w:p w:rsidR="002F73CF" w:rsidRDefault="00095E46" w:rsidP="002F73CF">
      <w:pPr>
        <w:pStyle w:val="Reference"/>
      </w:pPr>
      <w:r>
        <w:lastRenderedPageBreak/>
        <w:t>—— 2013</w:t>
      </w:r>
      <w:r w:rsidR="0085499B">
        <w:t xml:space="preserve">, </w:t>
      </w:r>
      <w:r w:rsidR="0085499B">
        <w:rPr>
          <w:i/>
        </w:rPr>
        <w:t>Barriers to Effective Climate Change</w:t>
      </w:r>
      <w:r w:rsidR="00565030">
        <w:rPr>
          <w:i/>
        </w:rPr>
        <w:t xml:space="preserve"> Adaptation</w:t>
      </w:r>
      <w:r w:rsidR="0085499B">
        <w:t xml:space="preserve">, Final Report, </w:t>
      </w:r>
      <w:r w:rsidR="00CB6A49">
        <w:t xml:space="preserve">Inquiry Report no. 59, </w:t>
      </w:r>
      <w:r w:rsidR="0085499B">
        <w:t>Canberra.</w:t>
      </w:r>
    </w:p>
    <w:p w:rsidR="002F73CF" w:rsidRDefault="00D90351" w:rsidP="00AF74F9">
      <w:pPr>
        <w:pStyle w:val="Reference"/>
      </w:pPr>
      <w:r>
        <w:t xml:space="preserve">—— and NZPC (New Zealand Productivity Commission) 2012, </w:t>
      </w:r>
      <w:r>
        <w:rPr>
          <w:i/>
        </w:rPr>
        <w:t>Strengthening trans-Tasman economic relations</w:t>
      </w:r>
      <w:r>
        <w:t>, Joint Study, Final Report.</w:t>
      </w:r>
    </w:p>
    <w:p w:rsidR="00AF74F9" w:rsidRDefault="00AF74F9" w:rsidP="00AF74F9">
      <w:pPr>
        <w:pStyle w:val="Reference"/>
      </w:pPr>
      <w:r>
        <w:t>Plumb, M.</w:t>
      </w:r>
      <w:r w:rsidR="006B6C94">
        <w:t>,</w:t>
      </w:r>
      <w:r>
        <w:t xml:space="preserve"> Kent, C. and Bishop, </w:t>
      </w:r>
      <w:r w:rsidR="0020234B">
        <w:t xml:space="preserve">J. 2012, </w:t>
      </w:r>
      <w:r w:rsidRPr="00882D8D">
        <w:t xml:space="preserve">Implications for the Australian </w:t>
      </w:r>
      <w:r w:rsidR="00882D8D">
        <w:t>e</w:t>
      </w:r>
      <w:r w:rsidRPr="00882D8D">
        <w:t xml:space="preserve">conomy of </w:t>
      </w:r>
      <w:r w:rsidR="00882D8D">
        <w:t>s</w:t>
      </w:r>
      <w:r w:rsidRPr="00882D8D">
        <w:t xml:space="preserve">trong </w:t>
      </w:r>
      <w:r w:rsidR="00882D8D">
        <w:t>g</w:t>
      </w:r>
      <w:r w:rsidRPr="00882D8D">
        <w:t>rowth in Asia</w:t>
      </w:r>
      <w:r>
        <w:t xml:space="preserve">, Paper presented for the Structural Change and the Rise of Asia </w:t>
      </w:r>
      <w:r w:rsidR="00A24FEA">
        <w:t>C</w:t>
      </w:r>
      <w:r>
        <w:t>onference, hosted by the International Moneta</w:t>
      </w:r>
      <w:r w:rsidR="0020234B">
        <w:t>ry Fund, the Australia Treasury</w:t>
      </w:r>
      <w:r>
        <w:t xml:space="preserve"> and the Reserve Bank of Australia, Canberra, 19</w:t>
      </w:r>
      <w:r w:rsidR="0020234B">
        <w:t> </w:t>
      </w:r>
      <w:r>
        <w:t>September.</w:t>
      </w:r>
    </w:p>
    <w:p w:rsidR="00AD7D4E" w:rsidRDefault="00AD7D4E" w:rsidP="00AD7D4E">
      <w:pPr>
        <w:pStyle w:val="Reference"/>
      </w:pPr>
      <w:r>
        <w:t>Prescott, E.</w:t>
      </w:r>
      <w:r w:rsidR="00F24F15">
        <w:t> </w:t>
      </w:r>
      <w:r>
        <w:t xml:space="preserve">C. 2006, ‘Nobel lecture: the transformation of macroeconomic policy and research’, </w:t>
      </w:r>
      <w:r w:rsidRPr="006C1959">
        <w:rPr>
          <w:i/>
        </w:rPr>
        <w:t>Journal of Political Economy</w:t>
      </w:r>
      <w:r>
        <w:t>, vol. 114, no. 2, pp. 203–35.</w:t>
      </w:r>
    </w:p>
    <w:p w:rsidR="00732713" w:rsidRPr="00CF5BD5" w:rsidRDefault="0075335E" w:rsidP="00732713">
      <w:pPr>
        <w:pStyle w:val="Reference"/>
      </w:pPr>
      <w:r w:rsidRPr="0075335E">
        <w:t xml:space="preserve">RBA (Reserve Bank of Australia) </w:t>
      </w:r>
      <w:r w:rsidR="00732713" w:rsidRPr="0075335E">
        <w:t xml:space="preserve">2011, The Cautious Consumer, Address by </w:t>
      </w:r>
      <w:r w:rsidR="00732713">
        <w:t>Reserve Bank Governor Glenn Stevens to The Anika Foundation Luncheon, Sydney, 26 July.</w:t>
      </w:r>
    </w:p>
    <w:p w:rsidR="00AF74F9" w:rsidRPr="002F73CF" w:rsidRDefault="00550B8D" w:rsidP="002F73CF">
      <w:pPr>
        <w:pStyle w:val="Reference"/>
        <w:rPr>
          <w:rStyle w:val="DraftingNote"/>
          <w:color w:val="auto"/>
        </w:rPr>
      </w:pPr>
      <w:r>
        <w:t>—— </w:t>
      </w:r>
      <w:r w:rsidR="0075335E">
        <w:t>2012</w:t>
      </w:r>
      <w:r w:rsidR="00732713">
        <w:t>,</w:t>
      </w:r>
      <w:r w:rsidR="00AF74F9">
        <w:t xml:space="preserve"> </w:t>
      </w:r>
      <w:r w:rsidR="00AF74F9" w:rsidRPr="00EB40DA">
        <w:rPr>
          <w:i/>
        </w:rPr>
        <w:t>Exchange Rate Data</w:t>
      </w:r>
      <w:r w:rsidR="00AF74F9">
        <w:t xml:space="preserve">, </w:t>
      </w:r>
      <w:r w:rsidR="00AF74F9" w:rsidRPr="00EB40DA">
        <w:t>http://www.rba.gov.au/statistics/hist-exchange-rates/index.html</w:t>
      </w:r>
      <w:r w:rsidR="00732713">
        <w:t xml:space="preserve"> (</w:t>
      </w:r>
      <w:r w:rsidR="00AF74F9">
        <w:t xml:space="preserve">accessed </w:t>
      </w:r>
      <w:r w:rsidR="00B70862">
        <w:t>14 November</w:t>
      </w:r>
      <w:r w:rsidR="00732713">
        <w:t> 2012)</w:t>
      </w:r>
      <w:r w:rsidR="00AF74F9">
        <w:t>.</w:t>
      </w:r>
    </w:p>
    <w:p w:rsidR="00AF74F9" w:rsidRPr="00D947EA" w:rsidRDefault="00AF74F9" w:rsidP="00AF74F9">
      <w:pPr>
        <w:pStyle w:val="Reference"/>
      </w:pPr>
      <w:r>
        <w:t>Rio Tinto 2011</w:t>
      </w:r>
      <w:r w:rsidR="00AF4DB2">
        <w:t>a</w:t>
      </w:r>
      <w:r>
        <w:t xml:space="preserve">, </w:t>
      </w:r>
      <w:r w:rsidR="00551DAE">
        <w:t>‘</w:t>
      </w:r>
      <w:r w:rsidR="00551DAE" w:rsidRPr="002C3F01">
        <w:t>Inquiry into the use of Fly-</w:t>
      </w:r>
      <w:r w:rsidR="00551DAE">
        <w:t>i</w:t>
      </w:r>
      <w:r w:rsidR="00551DAE" w:rsidRPr="002C3F01">
        <w:t>n Fly-</w:t>
      </w:r>
      <w:r w:rsidR="00551DAE">
        <w:t>o</w:t>
      </w:r>
      <w:r w:rsidR="00551DAE" w:rsidRPr="002C3F01">
        <w:t>ut (FIFO) and Drive-</w:t>
      </w:r>
      <w:r w:rsidR="00551DAE">
        <w:t>i</w:t>
      </w:r>
      <w:r w:rsidR="00551DAE" w:rsidRPr="002C3F01">
        <w:t>n Drive-</w:t>
      </w:r>
      <w:r w:rsidR="00551DAE">
        <w:t>o</w:t>
      </w:r>
      <w:r w:rsidR="00551DAE" w:rsidRPr="002C3F01">
        <w:t>ut (DIDO) Work Practices in Regional Australia</w:t>
      </w:r>
      <w:r w:rsidR="00551DAE">
        <w:t xml:space="preserve">’, </w:t>
      </w:r>
      <w:r w:rsidR="00551DAE" w:rsidRPr="00A72240">
        <w:t xml:space="preserve">Submission to the House </w:t>
      </w:r>
      <w:r w:rsidR="00551DAE">
        <w:t xml:space="preserve">of Representatives </w:t>
      </w:r>
      <w:r w:rsidR="00551DAE" w:rsidRPr="00A72240">
        <w:t>Standing Committee on Regional Australia</w:t>
      </w:r>
      <w:r w:rsidR="00551DAE">
        <w:t>,</w:t>
      </w:r>
      <w:r w:rsidR="00551DAE">
        <w:rPr>
          <w:i/>
        </w:rPr>
        <w:t xml:space="preserve"> </w:t>
      </w:r>
      <w:r w:rsidR="001E07C7">
        <w:t>sub.</w:t>
      </w:r>
      <w:r w:rsidRPr="00D947EA">
        <w:t xml:space="preserve"> no. 149</w:t>
      </w:r>
      <w:r w:rsidR="00551DAE">
        <w:t>.</w:t>
      </w:r>
    </w:p>
    <w:p w:rsidR="00181F63" w:rsidRDefault="00AF4DB2" w:rsidP="00AF4DB2">
      <w:pPr>
        <w:pStyle w:val="Reference"/>
      </w:pPr>
      <w:r>
        <w:t xml:space="preserve">—— 2011b, </w:t>
      </w:r>
      <w:r w:rsidRPr="00D20D39">
        <w:rPr>
          <w:i/>
        </w:rPr>
        <w:t>Reconciliation Action Plan</w:t>
      </w:r>
      <w:r w:rsidR="00CB6A49">
        <w:t xml:space="preserve">, </w:t>
      </w:r>
      <w:r w:rsidR="008831A0">
        <w:t>http</w:t>
      </w:r>
      <w:r w:rsidRPr="002439D8">
        <w:t>://www.riotinto.com/documents/</w:t>
      </w:r>
      <w:r>
        <w:t xml:space="preserve"> </w:t>
      </w:r>
      <w:r w:rsidRPr="002439D8">
        <w:t>Rio_Tinto_Reconciliation_Action_Plan.</w:t>
      </w:r>
      <w:r w:rsidR="00211C0A">
        <w:t>pdf</w:t>
      </w:r>
      <w:r>
        <w:t xml:space="preserve"> (accessed 2 January 2013).</w:t>
      </w:r>
    </w:p>
    <w:p w:rsidR="008C3888" w:rsidRPr="00006E65" w:rsidRDefault="00C2152A" w:rsidP="008C3888">
      <w:pPr>
        <w:pStyle w:val="Reference"/>
      </w:pPr>
      <w:r>
        <w:t>——</w:t>
      </w:r>
      <w:r w:rsidR="008C3888">
        <w:t xml:space="preserve"> </w:t>
      </w:r>
      <w:r w:rsidR="008C3888" w:rsidRPr="00006E65">
        <w:t xml:space="preserve">2013, ‘Technology and innovation’, Fact sheet, http:// </w:t>
      </w:r>
      <w:r w:rsidR="008C3888" w:rsidRPr="009865CA">
        <w:t>www.riotinto.com/</w:t>
      </w:r>
      <w:r w:rsidR="00B71F67">
        <w:br/>
      </w:r>
      <w:r w:rsidR="008C3888" w:rsidRPr="009865CA">
        <w:t>library/3608_corporate_fact_sheets.asp</w:t>
      </w:r>
      <w:r w:rsidR="008C3888">
        <w:t xml:space="preserve"> (</w:t>
      </w:r>
      <w:r w:rsidR="008C3888" w:rsidRPr="00006E65">
        <w:t>accessed 13 February 2013</w:t>
      </w:r>
      <w:r w:rsidR="008C3888">
        <w:t>)</w:t>
      </w:r>
      <w:r w:rsidR="008C3888" w:rsidRPr="00006E65">
        <w:t>.</w:t>
      </w:r>
    </w:p>
    <w:p w:rsidR="00AF74F9" w:rsidRPr="00C2152A" w:rsidRDefault="00AF74F9" w:rsidP="00AF74F9">
      <w:pPr>
        <w:pStyle w:val="Reference"/>
      </w:pPr>
      <w:r w:rsidRPr="00C2152A">
        <w:t>Salma, U., Li, J., Lin, M., Kendall, J.</w:t>
      </w:r>
      <w:r w:rsidR="00F24F15">
        <w:t> </w:t>
      </w:r>
      <w:r w:rsidRPr="00C2152A">
        <w:t xml:space="preserve">D. and Michalas, G. 2008, </w:t>
      </w:r>
      <w:r w:rsidRPr="00BB5060">
        <w:rPr>
          <w:i/>
        </w:rPr>
        <w:t>Understanding the Role of Key Socio-Demographic Characteristics in Labour Force and Industry Employment Outcomes</w:t>
      </w:r>
      <w:r w:rsidRPr="00C2152A">
        <w:t xml:space="preserve">, Working Paper, Department of Innovation, </w:t>
      </w:r>
      <w:r w:rsidR="00E92E5B" w:rsidRPr="00C2152A">
        <w:t>Industry, Science and Research</w:t>
      </w:r>
      <w:r w:rsidRPr="00C2152A">
        <w:t>.</w:t>
      </w:r>
    </w:p>
    <w:p w:rsidR="00C2152A" w:rsidRPr="000C240A" w:rsidRDefault="00C2152A" w:rsidP="00C2152A">
      <w:pPr>
        <w:pStyle w:val="Reference"/>
      </w:pPr>
      <w:r w:rsidRPr="000C240A">
        <w:t>Shann, E. 2012</w:t>
      </w:r>
      <w:r>
        <w:t xml:space="preserve">, </w:t>
      </w:r>
      <w:r w:rsidRPr="007D6087">
        <w:rPr>
          <w:i/>
        </w:rPr>
        <w:t>Maximising Growth in a Mining Boom</w:t>
      </w:r>
      <w:r>
        <w:t>, Minerals Council of Australia, Canberra, March.</w:t>
      </w:r>
    </w:p>
    <w:p w:rsidR="00C94893" w:rsidRDefault="00C94893" w:rsidP="00C94893">
      <w:pPr>
        <w:pStyle w:val="Reference"/>
      </w:pPr>
      <w:r>
        <w:t xml:space="preserve">Sheehan, P. and Gregory, R. 2012, The </w:t>
      </w:r>
      <w:r w:rsidR="00BB73BB">
        <w:t>r</w:t>
      </w:r>
      <w:r>
        <w:t xml:space="preserve">esources </w:t>
      </w:r>
      <w:r w:rsidR="00BB73BB">
        <w:t>b</w:t>
      </w:r>
      <w:r>
        <w:t xml:space="preserve">oom and </w:t>
      </w:r>
      <w:r w:rsidR="00BB73BB">
        <w:t>e</w:t>
      </w:r>
      <w:r>
        <w:t xml:space="preserve">conomic </w:t>
      </w:r>
      <w:r w:rsidR="00BB73BB">
        <w:t>p</w:t>
      </w:r>
      <w:r>
        <w:t xml:space="preserve">olicy in the </w:t>
      </w:r>
      <w:r w:rsidR="00BB73BB">
        <w:t>l</w:t>
      </w:r>
      <w:r>
        <w:t xml:space="preserve">onger </w:t>
      </w:r>
      <w:r w:rsidR="00BB73BB">
        <w:t>r</w:t>
      </w:r>
      <w:r>
        <w:t xml:space="preserve">un, Paper presented at the Structural Change and the Rise of Asia </w:t>
      </w:r>
      <w:r w:rsidR="00A02EAE">
        <w:t>C</w:t>
      </w:r>
      <w:r>
        <w:t>onference, Canberra, 19 September.</w:t>
      </w:r>
    </w:p>
    <w:p w:rsidR="009A2D59" w:rsidRDefault="009A2D59" w:rsidP="009A2D59">
      <w:pPr>
        <w:pStyle w:val="Reference"/>
      </w:pPr>
      <w:r>
        <w:t xml:space="preserve">Shomos, A., Turner, E. and Will, L. </w:t>
      </w:r>
      <w:r w:rsidR="002D04CD">
        <w:t>2013</w:t>
      </w:r>
      <w:r w:rsidR="009233C7">
        <w:t>,</w:t>
      </w:r>
      <w:r>
        <w:t xml:space="preserve"> </w:t>
      </w:r>
      <w:r>
        <w:rPr>
          <w:i/>
          <w:iCs/>
        </w:rPr>
        <w:t>Forms of Work in Australia</w:t>
      </w:r>
      <w:r>
        <w:t>, Productivity Commission</w:t>
      </w:r>
      <w:r w:rsidR="00A4497F">
        <w:t xml:space="preserve"> Staff Working Paper</w:t>
      </w:r>
      <w:r>
        <w:t>, Canberra.</w:t>
      </w:r>
    </w:p>
    <w:p w:rsidR="00F20EE3" w:rsidRDefault="00F20EE3" w:rsidP="00F20EE3">
      <w:pPr>
        <w:pStyle w:val="Reference"/>
      </w:pPr>
      <w:r>
        <w:t>Stevens, G. 2011, Economic conditions and prospects, Address to the Economic Society of Australia (Queensland) 2011 Business Lunch, Brisbane, 15 June.</w:t>
      </w:r>
    </w:p>
    <w:p w:rsidR="00BC3C73" w:rsidRDefault="00BC3C73" w:rsidP="00BC3C73">
      <w:pPr>
        <w:pStyle w:val="Reference"/>
      </w:pPr>
      <w:r>
        <w:lastRenderedPageBreak/>
        <w:t>—— 2012, The glass half full, Address to the American Chamber of Commerce (SA) AMCHAM Internode Business Lunch, Adelaide, 8 June.</w:t>
      </w:r>
    </w:p>
    <w:p w:rsidR="00E45B30" w:rsidRPr="00E45B30" w:rsidRDefault="00E45B30" w:rsidP="00E45B30">
      <w:pPr>
        <w:pStyle w:val="Reference"/>
      </w:pPr>
      <w:r>
        <w:t>Storey, K. 2001, ‘Fly-in/fly-out and fly-over: m</w:t>
      </w:r>
      <w:r w:rsidRPr="00E45B30">
        <w:t xml:space="preserve">ining and regional development in Western Australia’, </w:t>
      </w:r>
      <w:r w:rsidRPr="00E45B30">
        <w:rPr>
          <w:i/>
        </w:rPr>
        <w:t>Australian Geographer</w:t>
      </w:r>
      <w:r w:rsidRPr="00E45B30">
        <w:t>, vol. 32, no. 2, pp. 133</w:t>
      </w:r>
      <w:r w:rsidR="007510BF">
        <w:t>–</w:t>
      </w:r>
      <w:r w:rsidRPr="00E45B30">
        <w:t>48.</w:t>
      </w:r>
    </w:p>
    <w:p w:rsidR="00AF74F9" w:rsidRDefault="00AF74F9" w:rsidP="00AF74F9">
      <w:pPr>
        <w:pStyle w:val="Reference"/>
      </w:pPr>
      <w:r>
        <w:t xml:space="preserve">Swanson, E. 2012, </w:t>
      </w:r>
      <w:r w:rsidRPr="00D70DF5">
        <w:rPr>
          <w:i/>
        </w:rPr>
        <w:t>Structural and Cyclical Economic Factors</w:t>
      </w:r>
      <w:r>
        <w:t xml:space="preserve">, Federal Reserve Bank of San Francisco, FRBSF Economic Letter, </w:t>
      </w:r>
      <w:r w:rsidR="0079473D" w:rsidRPr="007C6042">
        <w:t>http://www.frbsf.org/</w:t>
      </w:r>
      <w:r w:rsidR="002149C8">
        <w:t>pub</w:t>
      </w:r>
      <w:r w:rsidR="00A417CE">
        <w:t>-</w:t>
      </w:r>
      <w:r w:rsidR="002149C8">
        <w:br/>
      </w:r>
      <w:r w:rsidR="0079473D" w:rsidRPr="007C6042">
        <w:t>lications/economics/letter/2012/el2012-18.html</w:t>
      </w:r>
      <w:r>
        <w:t xml:space="preserve"> </w:t>
      </w:r>
      <w:r w:rsidRPr="0039694A">
        <w:t>(accessed 30 August 2012).</w:t>
      </w:r>
    </w:p>
    <w:p w:rsidR="001C6BCB" w:rsidRPr="00771F8D" w:rsidRDefault="001C6BCB" w:rsidP="002F73CF">
      <w:pPr>
        <w:pStyle w:val="Reference"/>
      </w:pPr>
      <w:r>
        <w:t xml:space="preserve">Thompson, G., Murray, T. and Jomini, P. 2012, </w:t>
      </w:r>
      <w:r w:rsidRPr="00BB5060">
        <w:rPr>
          <w:i/>
        </w:rPr>
        <w:t>Trade, Employment and Structural Change: The Australian Experience</w:t>
      </w:r>
      <w:r>
        <w:t>, OECD Trade Policy Working Paper, no. 137, OECD Publishing.</w:t>
      </w:r>
    </w:p>
    <w:p w:rsidR="00AF74F9" w:rsidRDefault="00AF74F9" w:rsidP="00AF74F9">
      <w:pPr>
        <w:pStyle w:val="Reference"/>
      </w:pPr>
      <w:r w:rsidRPr="003168DF">
        <w:t xml:space="preserve">Topp, V., Soames, L., Parham, D. and Bloch, </w:t>
      </w:r>
      <w:r>
        <w:t xml:space="preserve">H. </w:t>
      </w:r>
      <w:r w:rsidRPr="003168DF">
        <w:t>2008</w:t>
      </w:r>
      <w:r>
        <w:t xml:space="preserve">, </w:t>
      </w:r>
      <w:r w:rsidRPr="00BB5060">
        <w:rPr>
          <w:i/>
        </w:rPr>
        <w:t>Productivity in the Mining Industry: Measurement and Interpretation</w:t>
      </w:r>
      <w:r w:rsidRPr="003168DF">
        <w:t>, Staff Working Paper,</w:t>
      </w:r>
      <w:r w:rsidR="00882D8D">
        <w:t xml:space="preserve"> </w:t>
      </w:r>
      <w:r w:rsidR="00882D8D" w:rsidRPr="003168DF">
        <w:t>Productivity Commission</w:t>
      </w:r>
      <w:r>
        <w:t>.</w:t>
      </w:r>
    </w:p>
    <w:p w:rsidR="00AF74F9" w:rsidRPr="00771F8D" w:rsidRDefault="00A54B7D" w:rsidP="002F73CF">
      <w:pPr>
        <w:pStyle w:val="Reference"/>
      </w:pPr>
      <w:r w:rsidRPr="00B41A87">
        <w:t>Treasury</w:t>
      </w:r>
      <w:r w:rsidR="00550B8D">
        <w:t> </w:t>
      </w:r>
      <w:r w:rsidR="00AF74F9" w:rsidRPr="0039694A">
        <w:t xml:space="preserve">2010, </w:t>
      </w:r>
      <w:r w:rsidR="00AF74F9" w:rsidRPr="0039694A">
        <w:rPr>
          <w:i/>
        </w:rPr>
        <w:t>Intergenerational Report 2010</w:t>
      </w:r>
      <w:r w:rsidR="00AF74F9" w:rsidRPr="0039694A">
        <w:t>, Commonwealth of Australia, Canberra</w:t>
      </w:r>
      <w:r w:rsidR="00AF74F9">
        <w:t>.</w:t>
      </w:r>
    </w:p>
    <w:p w:rsidR="00F20EE3" w:rsidRPr="002D4B95" w:rsidRDefault="00F20EE3" w:rsidP="00F20EE3">
      <w:pPr>
        <w:pStyle w:val="Reference"/>
      </w:pPr>
      <w:r>
        <w:t xml:space="preserve">van Wijnbergen, S. 1984, ‘The “Dutch Disease”: A Disease After All?’, </w:t>
      </w:r>
      <w:r w:rsidRPr="005A1262">
        <w:rPr>
          <w:i/>
        </w:rPr>
        <w:t>The Economic Journal</w:t>
      </w:r>
      <w:r>
        <w:t>, vol. 94, no. 373, pp. 41–55.</w:t>
      </w:r>
    </w:p>
    <w:p w:rsidR="002164CA" w:rsidRDefault="002164CA" w:rsidP="00D0524B">
      <w:pPr>
        <w:pStyle w:val="Reference"/>
      </w:pPr>
      <w:r>
        <w:t>WALGA (Western Australian Local Government Association) 2012, ‘</w:t>
      </w:r>
      <w:r w:rsidRPr="002C3F01">
        <w:t>Inquiry into the use of Fly-</w:t>
      </w:r>
      <w:r>
        <w:t>i</w:t>
      </w:r>
      <w:r w:rsidRPr="002C3F01">
        <w:t>n Fly-</w:t>
      </w:r>
      <w:r>
        <w:t>o</w:t>
      </w:r>
      <w:r w:rsidRPr="002C3F01">
        <w:t>ut (FIFO) and Drive-</w:t>
      </w:r>
      <w:r>
        <w:t>i</w:t>
      </w:r>
      <w:r w:rsidRPr="002C3F01">
        <w:t>n Drive-</w:t>
      </w:r>
      <w:r>
        <w:t>o</w:t>
      </w:r>
      <w:r w:rsidRPr="002C3F01">
        <w:t>ut (DIDO) Work Practices in Regional Australia</w:t>
      </w:r>
      <w:r>
        <w:t xml:space="preserve">’, </w:t>
      </w:r>
      <w:r w:rsidRPr="00A72240">
        <w:t xml:space="preserve">Submission to the House </w:t>
      </w:r>
      <w:r>
        <w:t xml:space="preserve">of Representatives </w:t>
      </w:r>
      <w:r w:rsidRPr="00A72240">
        <w:t>Standing Committee on Regional Australia</w:t>
      </w:r>
      <w:r>
        <w:t>,</w:t>
      </w:r>
      <w:r>
        <w:rPr>
          <w:i/>
        </w:rPr>
        <w:t xml:space="preserve"> </w:t>
      </w:r>
      <w:r w:rsidR="001E07C7">
        <w:t>sub.</w:t>
      </w:r>
      <w:r>
        <w:t xml:space="preserve"> no. 156.</w:t>
      </w:r>
    </w:p>
    <w:p w:rsidR="00D0524B" w:rsidRPr="00ED5ABB" w:rsidRDefault="00D0524B" w:rsidP="00D0524B">
      <w:pPr>
        <w:pStyle w:val="Reference"/>
      </w:pPr>
      <w:r w:rsidRPr="00ED5ABB">
        <w:t>Western Australian Regional Cities Alliance</w:t>
      </w:r>
      <w:r>
        <w:t xml:space="preserve"> 2011</w:t>
      </w:r>
      <w:r w:rsidRPr="00ED5ABB">
        <w:t xml:space="preserve">, </w:t>
      </w:r>
      <w:r w:rsidR="00551DAE">
        <w:t>‘</w:t>
      </w:r>
      <w:r w:rsidR="00551DAE" w:rsidRPr="002C3F01">
        <w:t>Inquiry into the use of Fly-</w:t>
      </w:r>
      <w:r w:rsidR="00551DAE">
        <w:t>i</w:t>
      </w:r>
      <w:r w:rsidR="00551DAE" w:rsidRPr="002C3F01">
        <w:t>n Fly-</w:t>
      </w:r>
      <w:r w:rsidR="00551DAE">
        <w:t>o</w:t>
      </w:r>
      <w:r w:rsidR="00551DAE" w:rsidRPr="002C3F01">
        <w:t>ut (FIFO) and Drive-</w:t>
      </w:r>
      <w:r w:rsidR="00551DAE">
        <w:t>i</w:t>
      </w:r>
      <w:r w:rsidR="00551DAE" w:rsidRPr="002C3F01">
        <w:t>n Drive-</w:t>
      </w:r>
      <w:r w:rsidR="00551DAE">
        <w:t>o</w:t>
      </w:r>
      <w:r w:rsidR="00551DAE" w:rsidRPr="002C3F01">
        <w:t>ut (DIDO) Work Practices in Regional Australia</w:t>
      </w:r>
      <w:r w:rsidR="00551DAE">
        <w:t xml:space="preserve">’, </w:t>
      </w:r>
      <w:r w:rsidR="00551DAE" w:rsidRPr="00A72240">
        <w:t xml:space="preserve">Submission to the House </w:t>
      </w:r>
      <w:r w:rsidR="00551DAE">
        <w:t xml:space="preserve">of Representatives </w:t>
      </w:r>
      <w:r w:rsidR="00551DAE" w:rsidRPr="00A72240">
        <w:t>Standing Committee on Regional Australia</w:t>
      </w:r>
      <w:r w:rsidR="00551DAE">
        <w:t>,</w:t>
      </w:r>
      <w:r w:rsidR="00551DAE">
        <w:rPr>
          <w:i/>
        </w:rPr>
        <w:t xml:space="preserve"> </w:t>
      </w:r>
      <w:r w:rsidR="001E07C7">
        <w:t>sub.</w:t>
      </w:r>
      <w:r w:rsidR="00551DAE">
        <w:t xml:space="preserve"> no. 89.</w:t>
      </w:r>
    </w:p>
    <w:p w:rsidR="00C073B2" w:rsidRPr="00311E37" w:rsidRDefault="00C073B2" w:rsidP="00C073B2">
      <w:pPr>
        <w:pStyle w:val="Reference"/>
      </w:pPr>
      <w:r>
        <w:t>Wilkins, R. and Warren D.</w:t>
      </w:r>
      <w:r w:rsidRPr="004773CF">
        <w:t xml:space="preserve"> </w:t>
      </w:r>
      <w:r>
        <w:t xml:space="preserve">2012, </w:t>
      </w:r>
      <w:r>
        <w:rPr>
          <w:i/>
        </w:rPr>
        <w:t>Families, Income and Jobs, Volume 7: A Statistical Report on Waves 1 to 9 of the Household, Income and Labour Dynamics in Australia Survey</w:t>
      </w:r>
      <w:r>
        <w:t>, Melbourne Institute of Applied Economic and Social Research, The University of Melbourne.</w:t>
      </w:r>
    </w:p>
    <w:p w:rsidR="007639AB" w:rsidRDefault="004F0111" w:rsidP="007639AB">
      <w:pPr>
        <w:pStyle w:val="Reference"/>
      </w:pPr>
      <w:r>
        <w:t>——</w:t>
      </w:r>
      <w:r w:rsidR="007639AB">
        <w:t xml:space="preserve">, </w:t>
      </w:r>
      <w:r>
        <w:t>——</w:t>
      </w:r>
      <w:r w:rsidR="007639AB">
        <w:t xml:space="preserve">, </w:t>
      </w:r>
      <w:r w:rsidR="007639AB" w:rsidRPr="004773CF">
        <w:t xml:space="preserve">Hahn, M. and Houng, B. 2011, </w:t>
      </w:r>
      <w:r w:rsidR="007639AB" w:rsidRPr="004773CF">
        <w:rPr>
          <w:i/>
        </w:rPr>
        <w:t>Families, Income and Jobs, Volume 6</w:t>
      </w:r>
      <w:r w:rsidR="007639AB" w:rsidRPr="002149C8">
        <w:rPr>
          <w:i/>
        </w:rPr>
        <w:t>:</w:t>
      </w:r>
      <w:r w:rsidR="007639AB" w:rsidRPr="004773CF">
        <w:t xml:space="preserve"> </w:t>
      </w:r>
      <w:r w:rsidR="007639AB" w:rsidRPr="004773CF">
        <w:rPr>
          <w:i/>
        </w:rPr>
        <w:t>A Statistical Report on Waves 1 to 8 of the Household, Income and Labour Dynamics in Australia Survey</w:t>
      </w:r>
      <w:r w:rsidR="007639AB" w:rsidRPr="004773CF">
        <w:t>, Melbourne Institute of Applied Economics</w:t>
      </w:r>
      <w:r w:rsidR="007639AB">
        <w:t xml:space="preserve"> and Social Research, The University of Melbourne</w:t>
      </w:r>
      <w:r w:rsidR="007639AB" w:rsidRPr="004773CF">
        <w:t>.</w:t>
      </w:r>
    </w:p>
    <w:p w:rsidR="00D0524B" w:rsidRDefault="00D0524B" w:rsidP="00D0524B">
      <w:pPr>
        <w:pStyle w:val="Reference"/>
      </w:pPr>
      <w:r w:rsidRPr="008323A7">
        <w:t>Withers</w:t>
      </w:r>
      <w:r>
        <w:t xml:space="preserve">, G., Endres, T. and Perry, L. 1985, </w:t>
      </w:r>
      <w:r w:rsidRPr="00BB5060">
        <w:rPr>
          <w:i/>
        </w:rPr>
        <w:t>Australian Historical Statistics: Labour Statistics</w:t>
      </w:r>
      <w:r>
        <w:rPr>
          <w:i/>
        </w:rPr>
        <w:t xml:space="preserve">, </w:t>
      </w:r>
      <w:r w:rsidR="00AA0EE4">
        <w:t xml:space="preserve">Source Paper no. 7, Australian National University, Canberra, </w:t>
      </w:r>
      <w:r w:rsidR="00AA0EE4" w:rsidRPr="00AA0EE4">
        <w:t>http://cbe.anu.edu.au/research/papers/cehspapers/SP07_001.pdf</w:t>
      </w:r>
      <w:r w:rsidR="004C24F2">
        <w:t xml:space="preserve"> </w:t>
      </w:r>
      <w:r w:rsidR="00586CCA">
        <w:t>(</w:t>
      </w:r>
      <w:r w:rsidR="00AA0EE4">
        <w:t>accessed 12 December 2012</w:t>
      </w:r>
      <w:r w:rsidR="00586CCA">
        <w:t>)</w:t>
      </w:r>
      <w:r w:rsidR="00AA0EE4">
        <w:t>.</w:t>
      </w:r>
    </w:p>
    <w:p w:rsidR="00782F7C" w:rsidRDefault="00782F7C" w:rsidP="00D0524B">
      <w:pPr>
        <w:pStyle w:val="Reference"/>
      </w:pPr>
      <w:r>
        <w:lastRenderedPageBreak/>
        <w:t xml:space="preserve">Woodland, A.D. 1982, </w:t>
      </w:r>
      <w:r w:rsidRPr="00782F7C">
        <w:rPr>
          <w:i/>
        </w:rPr>
        <w:t>International Trade and Resource Allocation</w:t>
      </w:r>
      <w:r>
        <w:t>, North</w:t>
      </w:r>
      <w:r>
        <w:noBreakHyphen/>
        <w:t>Holland, Amsterdam – New York – Oxford.</w:t>
      </w:r>
    </w:p>
    <w:p w:rsidR="00107D52" w:rsidRDefault="00107D52" w:rsidP="000F547E">
      <w:pPr>
        <w:pStyle w:val="Reference"/>
      </w:pPr>
      <w:r>
        <w:t xml:space="preserve">Zhao, S. 2012, An overview of Australia’s productivity performance, </w:t>
      </w:r>
      <w:r w:rsidR="004F0111">
        <w:t>Paper presented at the</w:t>
      </w:r>
      <w:r w:rsidR="004F0111" w:rsidRPr="00991EF6">
        <w:t xml:space="preserve"> </w:t>
      </w:r>
      <w:r w:rsidRPr="00991EF6">
        <w:t>PC–ABS Productivity Perspectives Conference 2012</w:t>
      </w:r>
      <w:r>
        <w:t>, Canberra, 20</w:t>
      </w:r>
      <w:r w:rsidRPr="00107D52">
        <w:rPr>
          <w:vertAlign w:val="superscript"/>
        </w:rPr>
        <w:t>th</w:t>
      </w:r>
      <w:r>
        <w:t xml:space="preserve"> November. </w:t>
      </w:r>
    </w:p>
    <w:sectPr w:rsidR="00107D52" w:rsidSect="00EC08E7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169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F15" w:rsidRDefault="00F24F15">
      <w:r>
        <w:separator/>
      </w:r>
    </w:p>
  </w:endnote>
  <w:endnote w:type="continuationSeparator" w:id="0">
    <w:p w:rsidR="00F24F15" w:rsidRDefault="00F2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F24F15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F24F15" w:rsidRDefault="00F24F15" w:rsidP="00D80A5E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 \* MERGEFORMAT </w:instrText>
          </w:r>
          <w:r>
            <w:rPr>
              <w:rStyle w:val="PageNumber"/>
            </w:rPr>
            <w:fldChar w:fldCharType="separate"/>
          </w:r>
          <w:r w:rsidR="00A43780">
            <w:rPr>
              <w:rStyle w:val="PageNumber"/>
              <w:noProof/>
            </w:rPr>
            <w:t>180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F24F15" w:rsidRDefault="00EB1BFE" w:rsidP="0019293B">
          <w:pPr>
            <w:pStyle w:val="Footer"/>
          </w:pPr>
          <w:r>
            <w:t>looking back on structural change</w:t>
          </w:r>
        </w:p>
      </w:tc>
      <w:tc>
        <w:tcPr>
          <w:tcW w:w="6634" w:type="dxa"/>
        </w:tcPr>
        <w:p w:rsidR="00F24F15" w:rsidRDefault="00F24F15" w:rsidP="0019293B">
          <w:pPr>
            <w:pStyle w:val="Footer"/>
          </w:pPr>
        </w:p>
      </w:tc>
    </w:tr>
  </w:tbl>
  <w:p w:rsidR="00F24F15" w:rsidRDefault="00F24F15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F24F15">
      <w:trPr>
        <w:trHeight w:hRule="exact" w:val="740"/>
      </w:trPr>
      <w:tc>
        <w:tcPr>
          <w:tcW w:w="6634" w:type="dxa"/>
        </w:tcPr>
        <w:p w:rsidR="00F24F15" w:rsidRDefault="00F24F15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F24F15" w:rsidRDefault="00A43780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F24F15">
            <w:t>References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F24F15" w:rsidRDefault="00F24F15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A43780">
            <w:rPr>
              <w:rStyle w:val="PageNumber"/>
              <w:noProof/>
            </w:rPr>
            <w:t>169</w:t>
          </w:r>
          <w:r>
            <w:rPr>
              <w:rStyle w:val="PageNumber"/>
            </w:rPr>
            <w:fldChar w:fldCharType="end"/>
          </w:r>
        </w:p>
      </w:tc>
    </w:tr>
  </w:tbl>
  <w:p w:rsidR="00F24F15" w:rsidRDefault="00F24F15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F15" w:rsidRDefault="00F24F15">
      <w:r>
        <w:separator/>
      </w:r>
    </w:p>
  </w:footnote>
  <w:footnote w:type="continuationSeparator" w:id="0">
    <w:p w:rsidR="00F24F15" w:rsidRDefault="00F24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F24F15">
      <w:tc>
        <w:tcPr>
          <w:tcW w:w="2155" w:type="dxa"/>
          <w:tcBorders>
            <w:top w:val="single" w:sz="24" w:space="0" w:color="auto"/>
          </w:tcBorders>
        </w:tcPr>
        <w:p w:rsidR="00F24F15" w:rsidRDefault="00F24F15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F24F15" w:rsidRDefault="00F24F15" w:rsidP="0019293B">
          <w:pPr>
            <w:pStyle w:val="HeaderEven"/>
          </w:pPr>
        </w:p>
      </w:tc>
    </w:tr>
  </w:tbl>
  <w:p w:rsidR="00F24F15" w:rsidRDefault="00F24F15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F24F15">
      <w:tc>
        <w:tcPr>
          <w:tcW w:w="6634" w:type="dxa"/>
          <w:tcBorders>
            <w:top w:val="single" w:sz="6" w:space="0" w:color="auto"/>
          </w:tcBorders>
        </w:tcPr>
        <w:p w:rsidR="00F24F15" w:rsidRDefault="00F24F15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F24F15" w:rsidRDefault="00F24F15" w:rsidP="00E669E2">
          <w:pPr>
            <w:pStyle w:val="HeaderOdd"/>
          </w:pPr>
        </w:p>
      </w:tc>
    </w:tr>
  </w:tbl>
  <w:p w:rsidR="00F24F15" w:rsidRDefault="00F24F15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2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3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6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7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9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1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2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3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15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6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10"/>
  </w:num>
  <w:num w:numId="5">
    <w:abstractNumId w:val="1"/>
  </w:num>
  <w:num w:numId="6">
    <w:abstractNumId w:val="14"/>
  </w:num>
  <w:num w:numId="7">
    <w:abstractNumId w:val="12"/>
  </w:num>
  <w:num w:numId="8">
    <w:abstractNumId w:val="16"/>
  </w:num>
  <w:num w:numId="9">
    <w:abstractNumId w:val="5"/>
  </w:num>
  <w:num w:numId="10">
    <w:abstractNumId w:val="11"/>
  </w:num>
  <w:num w:numId="11">
    <w:abstractNumId w:val="4"/>
  </w:num>
  <w:num w:numId="12">
    <w:abstractNumId w:val="3"/>
  </w:num>
  <w:num w:numId="13">
    <w:abstractNumId w:val="6"/>
  </w:num>
  <w:num w:numId="14">
    <w:abstractNumId w:val="7"/>
  </w:num>
  <w:num w:numId="15">
    <w:abstractNumId w:val="9"/>
  </w:num>
  <w:num w:numId="16">
    <w:abstractNumId w:val="2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mirrorMargins/>
  <w:hideSpellingErrors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321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Aspects of structural change"/>
  </w:docVars>
  <w:rsids>
    <w:rsidRoot w:val="00285B6E"/>
    <w:rsid w:val="00002536"/>
    <w:rsid w:val="0000302B"/>
    <w:rsid w:val="00005DC1"/>
    <w:rsid w:val="00006E65"/>
    <w:rsid w:val="00014A7D"/>
    <w:rsid w:val="0001715A"/>
    <w:rsid w:val="0002150B"/>
    <w:rsid w:val="000227D5"/>
    <w:rsid w:val="000245AA"/>
    <w:rsid w:val="000254E8"/>
    <w:rsid w:val="000328EF"/>
    <w:rsid w:val="0003664B"/>
    <w:rsid w:val="00036E1D"/>
    <w:rsid w:val="0004111F"/>
    <w:rsid w:val="0004332A"/>
    <w:rsid w:val="00043575"/>
    <w:rsid w:val="00045EA1"/>
    <w:rsid w:val="00053614"/>
    <w:rsid w:val="000565B3"/>
    <w:rsid w:val="00056E01"/>
    <w:rsid w:val="00064F62"/>
    <w:rsid w:val="00067BBC"/>
    <w:rsid w:val="0007150B"/>
    <w:rsid w:val="00072C5E"/>
    <w:rsid w:val="000938F5"/>
    <w:rsid w:val="0009454F"/>
    <w:rsid w:val="00095BE2"/>
    <w:rsid w:val="00095E46"/>
    <w:rsid w:val="00096E55"/>
    <w:rsid w:val="0009783A"/>
    <w:rsid w:val="000A5887"/>
    <w:rsid w:val="000B077B"/>
    <w:rsid w:val="000B601B"/>
    <w:rsid w:val="000B7810"/>
    <w:rsid w:val="000C0165"/>
    <w:rsid w:val="000C207E"/>
    <w:rsid w:val="000C2388"/>
    <w:rsid w:val="000C30CA"/>
    <w:rsid w:val="000C6822"/>
    <w:rsid w:val="000E16BE"/>
    <w:rsid w:val="000F0035"/>
    <w:rsid w:val="000F1B91"/>
    <w:rsid w:val="000F420B"/>
    <w:rsid w:val="000F547E"/>
    <w:rsid w:val="00102E62"/>
    <w:rsid w:val="00105B70"/>
    <w:rsid w:val="00107D52"/>
    <w:rsid w:val="00110116"/>
    <w:rsid w:val="00112FD2"/>
    <w:rsid w:val="001131E5"/>
    <w:rsid w:val="00120072"/>
    <w:rsid w:val="00123ED2"/>
    <w:rsid w:val="00124C2E"/>
    <w:rsid w:val="00126EB8"/>
    <w:rsid w:val="001274D4"/>
    <w:rsid w:val="001363AA"/>
    <w:rsid w:val="00136E91"/>
    <w:rsid w:val="001414D7"/>
    <w:rsid w:val="00142C3F"/>
    <w:rsid w:val="0014636E"/>
    <w:rsid w:val="001502A7"/>
    <w:rsid w:val="0016062B"/>
    <w:rsid w:val="00160808"/>
    <w:rsid w:val="00160D48"/>
    <w:rsid w:val="00160FF5"/>
    <w:rsid w:val="00181F63"/>
    <w:rsid w:val="00182FE3"/>
    <w:rsid w:val="00183E82"/>
    <w:rsid w:val="001859CE"/>
    <w:rsid w:val="001878BB"/>
    <w:rsid w:val="00191AE0"/>
    <w:rsid w:val="0019293B"/>
    <w:rsid w:val="00195494"/>
    <w:rsid w:val="001A00D8"/>
    <w:rsid w:val="001B646E"/>
    <w:rsid w:val="001C0865"/>
    <w:rsid w:val="001C1AAD"/>
    <w:rsid w:val="001C3ABA"/>
    <w:rsid w:val="001C647A"/>
    <w:rsid w:val="001C6BCB"/>
    <w:rsid w:val="001C7FCE"/>
    <w:rsid w:val="001E07C7"/>
    <w:rsid w:val="001E6859"/>
    <w:rsid w:val="001E7BE8"/>
    <w:rsid w:val="001F0248"/>
    <w:rsid w:val="001F3EB3"/>
    <w:rsid w:val="001F4F86"/>
    <w:rsid w:val="0020234B"/>
    <w:rsid w:val="00202C2C"/>
    <w:rsid w:val="00205391"/>
    <w:rsid w:val="00206AFB"/>
    <w:rsid w:val="002073DB"/>
    <w:rsid w:val="00211C0A"/>
    <w:rsid w:val="002135AB"/>
    <w:rsid w:val="002144BE"/>
    <w:rsid w:val="002149C8"/>
    <w:rsid w:val="002164CA"/>
    <w:rsid w:val="0021709E"/>
    <w:rsid w:val="00242279"/>
    <w:rsid w:val="0024470F"/>
    <w:rsid w:val="00245C82"/>
    <w:rsid w:val="00245E6B"/>
    <w:rsid w:val="00251AFF"/>
    <w:rsid w:val="00252545"/>
    <w:rsid w:val="0026391A"/>
    <w:rsid w:val="00264793"/>
    <w:rsid w:val="002729F1"/>
    <w:rsid w:val="00275842"/>
    <w:rsid w:val="00277A7A"/>
    <w:rsid w:val="00285B6E"/>
    <w:rsid w:val="002863FF"/>
    <w:rsid w:val="002865D9"/>
    <w:rsid w:val="00291B40"/>
    <w:rsid w:val="0029261A"/>
    <w:rsid w:val="00296D5E"/>
    <w:rsid w:val="002A0AE5"/>
    <w:rsid w:val="002A4640"/>
    <w:rsid w:val="002A6303"/>
    <w:rsid w:val="002B145A"/>
    <w:rsid w:val="002B35B1"/>
    <w:rsid w:val="002B39EB"/>
    <w:rsid w:val="002B4008"/>
    <w:rsid w:val="002B561F"/>
    <w:rsid w:val="002B6B61"/>
    <w:rsid w:val="002C091F"/>
    <w:rsid w:val="002C2D02"/>
    <w:rsid w:val="002C38E2"/>
    <w:rsid w:val="002C3F01"/>
    <w:rsid w:val="002C492B"/>
    <w:rsid w:val="002D04CD"/>
    <w:rsid w:val="002D0E8E"/>
    <w:rsid w:val="002D24B0"/>
    <w:rsid w:val="002E14BA"/>
    <w:rsid w:val="002E1979"/>
    <w:rsid w:val="002E71E6"/>
    <w:rsid w:val="002F0111"/>
    <w:rsid w:val="002F1036"/>
    <w:rsid w:val="002F133A"/>
    <w:rsid w:val="002F73CF"/>
    <w:rsid w:val="002F7B98"/>
    <w:rsid w:val="00301189"/>
    <w:rsid w:val="003040DA"/>
    <w:rsid w:val="003076E9"/>
    <w:rsid w:val="00310707"/>
    <w:rsid w:val="0031657C"/>
    <w:rsid w:val="0031754C"/>
    <w:rsid w:val="00320CF6"/>
    <w:rsid w:val="003224CF"/>
    <w:rsid w:val="003227D1"/>
    <w:rsid w:val="00323E09"/>
    <w:rsid w:val="00332FEF"/>
    <w:rsid w:val="00333932"/>
    <w:rsid w:val="003342B0"/>
    <w:rsid w:val="003373F3"/>
    <w:rsid w:val="003402D0"/>
    <w:rsid w:val="003452C5"/>
    <w:rsid w:val="00347401"/>
    <w:rsid w:val="003518AA"/>
    <w:rsid w:val="00352165"/>
    <w:rsid w:val="00353182"/>
    <w:rsid w:val="00355D14"/>
    <w:rsid w:val="003565D9"/>
    <w:rsid w:val="003569A0"/>
    <w:rsid w:val="003602E1"/>
    <w:rsid w:val="0036167C"/>
    <w:rsid w:val="0036277B"/>
    <w:rsid w:val="00367C55"/>
    <w:rsid w:val="0037026F"/>
    <w:rsid w:val="00371240"/>
    <w:rsid w:val="00374731"/>
    <w:rsid w:val="00375463"/>
    <w:rsid w:val="00376E59"/>
    <w:rsid w:val="00380262"/>
    <w:rsid w:val="00386434"/>
    <w:rsid w:val="003866B9"/>
    <w:rsid w:val="00387EB5"/>
    <w:rsid w:val="003919F9"/>
    <w:rsid w:val="00396E88"/>
    <w:rsid w:val="003B1A14"/>
    <w:rsid w:val="003B6AD9"/>
    <w:rsid w:val="003C212C"/>
    <w:rsid w:val="003C38B5"/>
    <w:rsid w:val="003C4442"/>
    <w:rsid w:val="003C5D99"/>
    <w:rsid w:val="003D1043"/>
    <w:rsid w:val="003D14F5"/>
    <w:rsid w:val="003D2406"/>
    <w:rsid w:val="003D4272"/>
    <w:rsid w:val="003E2F59"/>
    <w:rsid w:val="003E4D6C"/>
    <w:rsid w:val="003F0789"/>
    <w:rsid w:val="003F157E"/>
    <w:rsid w:val="003F2DD6"/>
    <w:rsid w:val="00401882"/>
    <w:rsid w:val="00403F5B"/>
    <w:rsid w:val="00404418"/>
    <w:rsid w:val="00406FD9"/>
    <w:rsid w:val="00407221"/>
    <w:rsid w:val="004100C8"/>
    <w:rsid w:val="00411B08"/>
    <w:rsid w:val="00411DBD"/>
    <w:rsid w:val="00412ACE"/>
    <w:rsid w:val="00427840"/>
    <w:rsid w:val="00427F21"/>
    <w:rsid w:val="00431249"/>
    <w:rsid w:val="00434C19"/>
    <w:rsid w:val="0044307A"/>
    <w:rsid w:val="00443D19"/>
    <w:rsid w:val="00450810"/>
    <w:rsid w:val="00456FBD"/>
    <w:rsid w:val="004616A4"/>
    <w:rsid w:val="004630CD"/>
    <w:rsid w:val="004674BF"/>
    <w:rsid w:val="00467782"/>
    <w:rsid w:val="004760E8"/>
    <w:rsid w:val="00477144"/>
    <w:rsid w:val="004773CF"/>
    <w:rsid w:val="00477F68"/>
    <w:rsid w:val="004844B8"/>
    <w:rsid w:val="00490BBC"/>
    <w:rsid w:val="00491380"/>
    <w:rsid w:val="00491BBA"/>
    <w:rsid w:val="00492540"/>
    <w:rsid w:val="00492FC2"/>
    <w:rsid w:val="0049459F"/>
    <w:rsid w:val="004946A8"/>
    <w:rsid w:val="004A134B"/>
    <w:rsid w:val="004A3196"/>
    <w:rsid w:val="004A38DD"/>
    <w:rsid w:val="004A730E"/>
    <w:rsid w:val="004B43AE"/>
    <w:rsid w:val="004B4659"/>
    <w:rsid w:val="004B47CE"/>
    <w:rsid w:val="004C15D6"/>
    <w:rsid w:val="004C1CF9"/>
    <w:rsid w:val="004C1D1F"/>
    <w:rsid w:val="004C21B7"/>
    <w:rsid w:val="004C24F2"/>
    <w:rsid w:val="004C30ED"/>
    <w:rsid w:val="004C7CF2"/>
    <w:rsid w:val="004D04E2"/>
    <w:rsid w:val="004D2B93"/>
    <w:rsid w:val="004D4CC2"/>
    <w:rsid w:val="004D5675"/>
    <w:rsid w:val="004E323D"/>
    <w:rsid w:val="004E4DD1"/>
    <w:rsid w:val="004F0111"/>
    <w:rsid w:val="005072FD"/>
    <w:rsid w:val="00514200"/>
    <w:rsid w:val="00523639"/>
    <w:rsid w:val="00524BC7"/>
    <w:rsid w:val="00525287"/>
    <w:rsid w:val="0053066D"/>
    <w:rsid w:val="00531FE5"/>
    <w:rsid w:val="00533678"/>
    <w:rsid w:val="00533D5F"/>
    <w:rsid w:val="005402FA"/>
    <w:rsid w:val="005429C4"/>
    <w:rsid w:val="00550B8D"/>
    <w:rsid w:val="00551DAE"/>
    <w:rsid w:val="0056232B"/>
    <w:rsid w:val="00565030"/>
    <w:rsid w:val="005657C6"/>
    <w:rsid w:val="00573933"/>
    <w:rsid w:val="00573C72"/>
    <w:rsid w:val="005805D3"/>
    <w:rsid w:val="00583C39"/>
    <w:rsid w:val="00586CCA"/>
    <w:rsid w:val="00587F28"/>
    <w:rsid w:val="005909CF"/>
    <w:rsid w:val="00591E71"/>
    <w:rsid w:val="005A0964"/>
    <w:rsid w:val="005A0D41"/>
    <w:rsid w:val="005A2218"/>
    <w:rsid w:val="005A7C9F"/>
    <w:rsid w:val="005B2AAD"/>
    <w:rsid w:val="005B2CFC"/>
    <w:rsid w:val="005B45CC"/>
    <w:rsid w:val="005B54A0"/>
    <w:rsid w:val="005B6D5B"/>
    <w:rsid w:val="005D5867"/>
    <w:rsid w:val="005E13B6"/>
    <w:rsid w:val="005E63BE"/>
    <w:rsid w:val="005F32EE"/>
    <w:rsid w:val="005F3F4C"/>
    <w:rsid w:val="005F5979"/>
    <w:rsid w:val="005F6498"/>
    <w:rsid w:val="005F77A0"/>
    <w:rsid w:val="00600629"/>
    <w:rsid w:val="00607BF1"/>
    <w:rsid w:val="00611C03"/>
    <w:rsid w:val="00623DE6"/>
    <w:rsid w:val="0062711E"/>
    <w:rsid w:val="0062718C"/>
    <w:rsid w:val="00630D4D"/>
    <w:rsid w:val="00632A74"/>
    <w:rsid w:val="00633434"/>
    <w:rsid w:val="00633B82"/>
    <w:rsid w:val="006347B0"/>
    <w:rsid w:val="00635059"/>
    <w:rsid w:val="00641101"/>
    <w:rsid w:val="00643683"/>
    <w:rsid w:val="00646E0F"/>
    <w:rsid w:val="006628D6"/>
    <w:rsid w:val="00667A47"/>
    <w:rsid w:val="00670774"/>
    <w:rsid w:val="00671959"/>
    <w:rsid w:val="006741D8"/>
    <w:rsid w:val="00677AEF"/>
    <w:rsid w:val="00677C24"/>
    <w:rsid w:val="00677E27"/>
    <w:rsid w:val="00686B35"/>
    <w:rsid w:val="006A02DC"/>
    <w:rsid w:val="006A4655"/>
    <w:rsid w:val="006A517B"/>
    <w:rsid w:val="006B2B3C"/>
    <w:rsid w:val="006B5D78"/>
    <w:rsid w:val="006B6C94"/>
    <w:rsid w:val="006C1D81"/>
    <w:rsid w:val="006C7038"/>
    <w:rsid w:val="006C71C8"/>
    <w:rsid w:val="006D0E25"/>
    <w:rsid w:val="006D1096"/>
    <w:rsid w:val="006E134F"/>
    <w:rsid w:val="006E73EF"/>
    <w:rsid w:val="006F2314"/>
    <w:rsid w:val="006F3878"/>
    <w:rsid w:val="006F3ADB"/>
    <w:rsid w:val="006F42DC"/>
    <w:rsid w:val="006F758E"/>
    <w:rsid w:val="006F7FC4"/>
    <w:rsid w:val="0071303D"/>
    <w:rsid w:val="00714D4D"/>
    <w:rsid w:val="00715585"/>
    <w:rsid w:val="007166B2"/>
    <w:rsid w:val="00723B58"/>
    <w:rsid w:val="00723BF3"/>
    <w:rsid w:val="00727AEF"/>
    <w:rsid w:val="00732713"/>
    <w:rsid w:val="007447CA"/>
    <w:rsid w:val="0074613C"/>
    <w:rsid w:val="007510BF"/>
    <w:rsid w:val="007524EB"/>
    <w:rsid w:val="00752FD2"/>
    <w:rsid w:val="0075335E"/>
    <w:rsid w:val="00756D97"/>
    <w:rsid w:val="007604BB"/>
    <w:rsid w:val="00762128"/>
    <w:rsid w:val="007639AB"/>
    <w:rsid w:val="00771F8D"/>
    <w:rsid w:val="007759C2"/>
    <w:rsid w:val="00782F7C"/>
    <w:rsid w:val="00785232"/>
    <w:rsid w:val="00786554"/>
    <w:rsid w:val="00790106"/>
    <w:rsid w:val="0079047B"/>
    <w:rsid w:val="0079473D"/>
    <w:rsid w:val="00796C46"/>
    <w:rsid w:val="007A1D54"/>
    <w:rsid w:val="007A21E5"/>
    <w:rsid w:val="007A21EB"/>
    <w:rsid w:val="007A4BD9"/>
    <w:rsid w:val="007B1A93"/>
    <w:rsid w:val="007B2E0D"/>
    <w:rsid w:val="007C2F1A"/>
    <w:rsid w:val="007C36C9"/>
    <w:rsid w:val="007C4F9A"/>
    <w:rsid w:val="007C6042"/>
    <w:rsid w:val="007D27EA"/>
    <w:rsid w:val="007D59CE"/>
    <w:rsid w:val="007D6401"/>
    <w:rsid w:val="007E01E4"/>
    <w:rsid w:val="007E6952"/>
    <w:rsid w:val="007E6977"/>
    <w:rsid w:val="007F5634"/>
    <w:rsid w:val="007F5BBC"/>
    <w:rsid w:val="007F7107"/>
    <w:rsid w:val="00800D4C"/>
    <w:rsid w:val="0081030F"/>
    <w:rsid w:val="0082087D"/>
    <w:rsid w:val="00823ADB"/>
    <w:rsid w:val="00823DD5"/>
    <w:rsid w:val="008250DE"/>
    <w:rsid w:val="00825317"/>
    <w:rsid w:val="00831029"/>
    <w:rsid w:val="00833177"/>
    <w:rsid w:val="0083499A"/>
    <w:rsid w:val="00835771"/>
    <w:rsid w:val="00836E4D"/>
    <w:rsid w:val="00842070"/>
    <w:rsid w:val="00842933"/>
    <w:rsid w:val="008437FD"/>
    <w:rsid w:val="00845BD5"/>
    <w:rsid w:val="00852905"/>
    <w:rsid w:val="0085398B"/>
    <w:rsid w:val="0085499B"/>
    <w:rsid w:val="008568C2"/>
    <w:rsid w:val="0085728F"/>
    <w:rsid w:val="008579D6"/>
    <w:rsid w:val="00860360"/>
    <w:rsid w:val="0086082C"/>
    <w:rsid w:val="00864ADC"/>
    <w:rsid w:val="00866E96"/>
    <w:rsid w:val="00880153"/>
    <w:rsid w:val="008801FB"/>
    <w:rsid w:val="00880F97"/>
    <w:rsid w:val="0088133A"/>
    <w:rsid w:val="00882861"/>
    <w:rsid w:val="00882D8D"/>
    <w:rsid w:val="008830C0"/>
    <w:rsid w:val="008831A0"/>
    <w:rsid w:val="00887B1F"/>
    <w:rsid w:val="0089285E"/>
    <w:rsid w:val="0089436C"/>
    <w:rsid w:val="00895F19"/>
    <w:rsid w:val="008A55BD"/>
    <w:rsid w:val="008B3C80"/>
    <w:rsid w:val="008B3D55"/>
    <w:rsid w:val="008B4617"/>
    <w:rsid w:val="008C04B5"/>
    <w:rsid w:val="008C3888"/>
    <w:rsid w:val="008C651A"/>
    <w:rsid w:val="008D27B6"/>
    <w:rsid w:val="008D365C"/>
    <w:rsid w:val="008D3B49"/>
    <w:rsid w:val="008D3CA6"/>
    <w:rsid w:val="008D74FC"/>
    <w:rsid w:val="008F50E8"/>
    <w:rsid w:val="008F5A71"/>
    <w:rsid w:val="00900B0A"/>
    <w:rsid w:val="0090238D"/>
    <w:rsid w:val="009030BF"/>
    <w:rsid w:val="009063B6"/>
    <w:rsid w:val="0091032F"/>
    <w:rsid w:val="00910411"/>
    <w:rsid w:val="00912935"/>
    <w:rsid w:val="00912E44"/>
    <w:rsid w:val="00914368"/>
    <w:rsid w:val="00916F78"/>
    <w:rsid w:val="00917250"/>
    <w:rsid w:val="009214EB"/>
    <w:rsid w:val="009233C7"/>
    <w:rsid w:val="00924138"/>
    <w:rsid w:val="00926FAA"/>
    <w:rsid w:val="00931076"/>
    <w:rsid w:val="009345D9"/>
    <w:rsid w:val="00934B15"/>
    <w:rsid w:val="00940C87"/>
    <w:rsid w:val="00942B62"/>
    <w:rsid w:val="00944543"/>
    <w:rsid w:val="0095257A"/>
    <w:rsid w:val="0095323B"/>
    <w:rsid w:val="00956A0C"/>
    <w:rsid w:val="00956BD9"/>
    <w:rsid w:val="00962489"/>
    <w:rsid w:val="0096342B"/>
    <w:rsid w:val="00973D6F"/>
    <w:rsid w:val="009865CA"/>
    <w:rsid w:val="00990C2C"/>
    <w:rsid w:val="009911D1"/>
    <w:rsid w:val="00991B8F"/>
    <w:rsid w:val="00991EF6"/>
    <w:rsid w:val="009926E6"/>
    <w:rsid w:val="00994E9E"/>
    <w:rsid w:val="009A2D59"/>
    <w:rsid w:val="009B17DE"/>
    <w:rsid w:val="009B3977"/>
    <w:rsid w:val="009B3E75"/>
    <w:rsid w:val="009B48E2"/>
    <w:rsid w:val="009B57F7"/>
    <w:rsid w:val="009B64B0"/>
    <w:rsid w:val="009B6A5B"/>
    <w:rsid w:val="009C0196"/>
    <w:rsid w:val="009C080A"/>
    <w:rsid w:val="009D3C3E"/>
    <w:rsid w:val="009D653B"/>
    <w:rsid w:val="009E0B79"/>
    <w:rsid w:val="009E1844"/>
    <w:rsid w:val="009E34A5"/>
    <w:rsid w:val="009F0D1B"/>
    <w:rsid w:val="009F17A8"/>
    <w:rsid w:val="009F1D8E"/>
    <w:rsid w:val="009F696D"/>
    <w:rsid w:val="009F6BC6"/>
    <w:rsid w:val="009F7CFB"/>
    <w:rsid w:val="00A01874"/>
    <w:rsid w:val="00A02EAE"/>
    <w:rsid w:val="00A070EA"/>
    <w:rsid w:val="00A106FC"/>
    <w:rsid w:val="00A147FC"/>
    <w:rsid w:val="00A15C17"/>
    <w:rsid w:val="00A17328"/>
    <w:rsid w:val="00A17E0B"/>
    <w:rsid w:val="00A23A20"/>
    <w:rsid w:val="00A24FEA"/>
    <w:rsid w:val="00A268B9"/>
    <w:rsid w:val="00A26EBC"/>
    <w:rsid w:val="00A2703A"/>
    <w:rsid w:val="00A306B5"/>
    <w:rsid w:val="00A33DFF"/>
    <w:rsid w:val="00A35115"/>
    <w:rsid w:val="00A3584B"/>
    <w:rsid w:val="00A36D9A"/>
    <w:rsid w:val="00A417CE"/>
    <w:rsid w:val="00A43780"/>
    <w:rsid w:val="00A4497F"/>
    <w:rsid w:val="00A44A8E"/>
    <w:rsid w:val="00A50800"/>
    <w:rsid w:val="00A53A67"/>
    <w:rsid w:val="00A54B7D"/>
    <w:rsid w:val="00A5541F"/>
    <w:rsid w:val="00A554AB"/>
    <w:rsid w:val="00A57062"/>
    <w:rsid w:val="00A57F1B"/>
    <w:rsid w:val="00A61FE1"/>
    <w:rsid w:val="00A63E5C"/>
    <w:rsid w:val="00A72240"/>
    <w:rsid w:val="00A76350"/>
    <w:rsid w:val="00A81A62"/>
    <w:rsid w:val="00A82C3C"/>
    <w:rsid w:val="00A92B53"/>
    <w:rsid w:val="00A94FA6"/>
    <w:rsid w:val="00A95E13"/>
    <w:rsid w:val="00AA0EE4"/>
    <w:rsid w:val="00AA49A0"/>
    <w:rsid w:val="00AA6710"/>
    <w:rsid w:val="00AB0681"/>
    <w:rsid w:val="00AB0EF3"/>
    <w:rsid w:val="00AB46EE"/>
    <w:rsid w:val="00AB66A7"/>
    <w:rsid w:val="00AB7759"/>
    <w:rsid w:val="00AC2873"/>
    <w:rsid w:val="00AC32BA"/>
    <w:rsid w:val="00AD05B3"/>
    <w:rsid w:val="00AD2544"/>
    <w:rsid w:val="00AD3515"/>
    <w:rsid w:val="00AD520B"/>
    <w:rsid w:val="00AD5870"/>
    <w:rsid w:val="00AD7D4E"/>
    <w:rsid w:val="00AE34DC"/>
    <w:rsid w:val="00AE5600"/>
    <w:rsid w:val="00AE6F51"/>
    <w:rsid w:val="00AE71D7"/>
    <w:rsid w:val="00AF1DE9"/>
    <w:rsid w:val="00AF4DB2"/>
    <w:rsid w:val="00AF74F9"/>
    <w:rsid w:val="00B000EA"/>
    <w:rsid w:val="00B05427"/>
    <w:rsid w:val="00B0611D"/>
    <w:rsid w:val="00B06815"/>
    <w:rsid w:val="00B26B54"/>
    <w:rsid w:val="00B41A87"/>
    <w:rsid w:val="00B425C3"/>
    <w:rsid w:val="00B43072"/>
    <w:rsid w:val="00B4388B"/>
    <w:rsid w:val="00B440AD"/>
    <w:rsid w:val="00B538B3"/>
    <w:rsid w:val="00B53E7E"/>
    <w:rsid w:val="00B5709F"/>
    <w:rsid w:val="00B6342E"/>
    <w:rsid w:val="00B70862"/>
    <w:rsid w:val="00B7113F"/>
    <w:rsid w:val="00B717F4"/>
    <w:rsid w:val="00B71F67"/>
    <w:rsid w:val="00B76B86"/>
    <w:rsid w:val="00BA3A8D"/>
    <w:rsid w:val="00BA4690"/>
    <w:rsid w:val="00BA5A71"/>
    <w:rsid w:val="00BA73B6"/>
    <w:rsid w:val="00BA7E27"/>
    <w:rsid w:val="00BB1391"/>
    <w:rsid w:val="00BB2603"/>
    <w:rsid w:val="00BB4FCD"/>
    <w:rsid w:val="00BB5060"/>
    <w:rsid w:val="00BB73BB"/>
    <w:rsid w:val="00BC04E9"/>
    <w:rsid w:val="00BC3C73"/>
    <w:rsid w:val="00BC3DB1"/>
    <w:rsid w:val="00BC453B"/>
    <w:rsid w:val="00BD13EA"/>
    <w:rsid w:val="00BD65EE"/>
    <w:rsid w:val="00BE3808"/>
    <w:rsid w:val="00BE693A"/>
    <w:rsid w:val="00BE7ED6"/>
    <w:rsid w:val="00BF6447"/>
    <w:rsid w:val="00C00472"/>
    <w:rsid w:val="00C01602"/>
    <w:rsid w:val="00C062E9"/>
    <w:rsid w:val="00C073B2"/>
    <w:rsid w:val="00C07B64"/>
    <w:rsid w:val="00C13721"/>
    <w:rsid w:val="00C14C24"/>
    <w:rsid w:val="00C14FE4"/>
    <w:rsid w:val="00C1784D"/>
    <w:rsid w:val="00C17F9A"/>
    <w:rsid w:val="00C2152A"/>
    <w:rsid w:val="00C228B1"/>
    <w:rsid w:val="00C25479"/>
    <w:rsid w:val="00C25D5D"/>
    <w:rsid w:val="00C3066D"/>
    <w:rsid w:val="00C323C9"/>
    <w:rsid w:val="00C33B57"/>
    <w:rsid w:val="00C3561E"/>
    <w:rsid w:val="00C518D9"/>
    <w:rsid w:val="00C52416"/>
    <w:rsid w:val="00C543F4"/>
    <w:rsid w:val="00C60456"/>
    <w:rsid w:val="00C60682"/>
    <w:rsid w:val="00C6291C"/>
    <w:rsid w:val="00C633CB"/>
    <w:rsid w:val="00C65C02"/>
    <w:rsid w:val="00C726D1"/>
    <w:rsid w:val="00C736B7"/>
    <w:rsid w:val="00C77009"/>
    <w:rsid w:val="00C807F0"/>
    <w:rsid w:val="00C81D4A"/>
    <w:rsid w:val="00C8762C"/>
    <w:rsid w:val="00C90AAD"/>
    <w:rsid w:val="00C93D5B"/>
    <w:rsid w:val="00C94893"/>
    <w:rsid w:val="00C94B74"/>
    <w:rsid w:val="00C9589F"/>
    <w:rsid w:val="00CA00F9"/>
    <w:rsid w:val="00CA2725"/>
    <w:rsid w:val="00CA2961"/>
    <w:rsid w:val="00CA305D"/>
    <w:rsid w:val="00CA70BF"/>
    <w:rsid w:val="00CB4E10"/>
    <w:rsid w:val="00CB50D7"/>
    <w:rsid w:val="00CB6A49"/>
    <w:rsid w:val="00CB7177"/>
    <w:rsid w:val="00CC1998"/>
    <w:rsid w:val="00CC4946"/>
    <w:rsid w:val="00CC6C63"/>
    <w:rsid w:val="00CD43E3"/>
    <w:rsid w:val="00CD4921"/>
    <w:rsid w:val="00CE0E4B"/>
    <w:rsid w:val="00CE26DF"/>
    <w:rsid w:val="00CE6183"/>
    <w:rsid w:val="00CF2E63"/>
    <w:rsid w:val="00CF6D66"/>
    <w:rsid w:val="00CF72C9"/>
    <w:rsid w:val="00D03811"/>
    <w:rsid w:val="00D0524B"/>
    <w:rsid w:val="00D164D2"/>
    <w:rsid w:val="00D207B8"/>
    <w:rsid w:val="00D23202"/>
    <w:rsid w:val="00D270A4"/>
    <w:rsid w:val="00D3053D"/>
    <w:rsid w:val="00D31EBD"/>
    <w:rsid w:val="00D31FE9"/>
    <w:rsid w:val="00D33857"/>
    <w:rsid w:val="00D344C8"/>
    <w:rsid w:val="00D34B8C"/>
    <w:rsid w:val="00D34E1B"/>
    <w:rsid w:val="00D35CFF"/>
    <w:rsid w:val="00D376BA"/>
    <w:rsid w:val="00D417A2"/>
    <w:rsid w:val="00D45634"/>
    <w:rsid w:val="00D47D1E"/>
    <w:rsid w:val="00D54951"/>
    <w:rsid w:val="00D5568A"/>
    <w:rsid w:val="00D63D73"/>
    <w:rsid w:val="00D64452"/>
    <w:rsid w:val="00D66E1E"/>
    <w:rsid w:val="00D75722"/>
    <w:rsid w:val="00D75B40"/>
    <w:rsid w:val="00D80094"/>
    <w:rsid w:val="00D80A5E"/>
    <w:rsid w:val="00D80CF5"/>
    <w:rsid w:val="00D82C82"/>
    <w:rsid w:val="00D90351"/>
    <w:rsid w:val="00D947EA"/>
    <w:rsid w:val="00DA4C72"/>
    <w:rsid w:val="00DA5BBA"/>
    <w:rsid w:val="00DB26D2"/>
    <w:rsid w:val="00DB5E45"/>
    <w:rsid w:val="00DB67C9"/>
    <w:rsid w:val="00DC0C95"/>
    <w:rsid w:val="00DC25CE"/>
    <w:rsid w:val="00DC39C6"/>
    <w:rsid w:val="00DC4946"/>
    <w:rsid w:val="00DC5A70"/>
    <w:rsid w:val="00DC5EA5"/>
    <w:rsid w:val="00DD14C2"/>
    <w:rsid w:val="00DD6580"/>
    <w:rsid w:val="00DE18CE"/>
    <w:rsid w:val="00DE2AD3"/>
    <w:rsid w:val="00DE7E59"/>
    <w:rsid w:val="00DF1F24"/>
    <w:rsid w:val="00DF22AA"/>
    <w:rsid w:val="00DF60F6"/>
    <w:rsid w:val="00E03B1A"/>
    <w:rsid w:val="00E169EB"/>
    <w:rsid w:val="00E176EF"/>
    <w:rsid w:val="00E17C72"/>
    <w:rsid w:val="00E21FC6"/>
    <w:rsid w:val="00E23094"/>
    <w:rsid w:val="00E431A9"/>
    <w:rsid w:val="00E43B99"/>
    <w:rsid w:val="00E459DF"/>
    <w:rsid w:val="00E45B30"/>
    <w:rsid w:val="00E51C40"/>
    <w:rsid w:val="00E5379E"/>
    <w:rsid w:val="00E54452"/>
    <w:rsid w:val="00E605B6"/>
    <w:rsid w:val="00E61ECD"/>
    <w:rsid w:val="00E669E2"/>
    <w:rsid w:val="00E7320A"/>
    <w:rsid w:val="00E76135"/>
    <w:rsid w:val="00E82F4F"/>
    <w:rsid w:val="00E83E96"/>
    <w:rsid w:val="00E85129"/>
    <w:rsid w:val="00E92E5B"/>
    <w:rsid w:val="00E936C1"/>
    <w:rsid w:val="00EA0E5D"/>
    <w:rsid w:val="00EB14BC"/>
    <w:rsid w:val="00EB1BFE"/>
    <w:rsid w:val="00EB38E9"/>
    <w:rsid w:val="00EC08E7"/>
    <w:rsid w:val="00EC1350"/>
    <w:rsid w:val="00EC2844"/>
    <w:rsid w:val="00EC5500"/>
    <w:rsid w:val="00EC5737"/>
    <w:rsid w:val="00ED2A4E"/>
    <w:rsid w:val="00EE7A1F"/>
    <w:rsid w:val="00EF6C6C"/>
    <w:rsid w:val="00F0357E"/>
    <w:rsid w:val="00F056FC"/>
    <w:rsid w:val="00F10476"/>
    <w:rsid w:val="00F12925"/>
    <w:rsid w:val="00F135D8"/>
    <w:rsid w:val="00F1647F"/>
    <w:rsid w:val="00F20EE3"/>
    <w:rsid w:val="00F24F15"/>
    <w:rsid w:val="00F2502D"/>
    <w:rsid w:val="00F26442"/>
    <w:rsid w:val="00F31299"/>
    <w:rsid w:val="00F328C1"/>
    <w:rsid w:val="00F34794"/>
    <w:rsid w:val="00F3534A"/>
    <w:rsid w:val="00F41772"/>
    <w:rsid w:val="00F431F8"/>
    <w:rsid w:val="00F449B6"/>
    <w:rsid w:val="00F51609"/>
    <w:rsid w:val="00F530F4"/>
    <w:rsid w:val="00F5350C"/>
    <w:rsid w:val="00F6232A"/>
    <w:rsid w:val="00F668FE"/>
    <w:rsid w:val="00F81006"/>
    <w:rsid w:val="00F81B2E"/>
    <w:rsid w:val="00F85325"/>
    <w:rsid w:val="00FA54EC"/>
    <w:rsid w:val="00FA6185"/>
    <w:rsid w:val="00FB4B0C"/>
    <w:rsid w:val="00FB4E92"/>
    <w:rsid w:val="00FB6280"/>
    <w:rsid w:val="00FC1D13"/>
    <w:rsid w:val="00FC2DFC"/>
    <w:rsid w:val="00FC6150"/>
    <w:rsid w:val="00FC6DAD"/>
    <w:rsid w:val="00FC73F5"/>
    <w:rsid w:val="00FD1DE8"/>
    <w:rsid w:val="00FD22B1"/>
    <w:rsid w:val="00FD40E7"/>
    <w:rsid w:val="00FD611B"/>
    <w:rsid w:val="00FD7545"/>
    <w:rsid w:val="00FE5397"/>
    <w:rsid w:val="00FF1930"/>
    <w:rsid w:val="00FF2EA7"/>
    <w:rsid w:val="00FF476E"/>
    <w:rsid w:val="00FF49EE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1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uiPriority="99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66D"/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link w:val="Heading2Char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link w:val="Heading3Char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uiPriority w:val="99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16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1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  <w:sz w:val="26"/>
      <w:szCs w:val="24"/>
      <w:lang w:eastAsia="en-AU"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rFonts w:ascii="Times New Roman" w:hAnsi="Times New Roman"/>
      <w:sz w:val="20"/>
      <w:szCs w:val="24"/>
      <w:lang w:eastAsia="en-AU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2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3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4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5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6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11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7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8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3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uiPriority w:val="99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9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rFonts w:ascii="Times New Roman" w:hAnsi="Times New Roman"/>
      <w:b/>
      <w:caps/>
      <w:sz w:val="26"/>
      <w:szCs w:val="24"/>
      <w:lang w:eastAsia="en-AU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17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14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15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Heading3Char">
    <w:name w:val="Heading 3 Char"/>
    <w:basedOn w:val="DefaultParagraphFont"/>
    <w:link w:val="Heading3"/>
    <w:rsid w:val="00DC5A70"/>
    <w:rPr>
      <w:rFonts w:ascii="Arial" w:hAnsi="Arial"/>
      <w:b/>
      <w:sz w:val="26"/>
    </w:rPr>
  </w:style>
  <w:style w:type="character" w:customStyle="1" w:styleId="Heading2Char">
    <w:name w:val="Heading 2 Char"/>
    <w:basedOn w:val="DefaultParagraphFont"/>
    <w:link w:val="Heading2"/>
    <w:rsid w:val="00DC5A70"/>
    <w:rPr>
      <w:rFonts w:ascii="Arial" w:hAnsi="Arial"/>
      <w:b/>
      <w:sz w:val="32"/>
    </w:rPr>
  </w:style>
  <w:style w:type="character" w:styleId="Hyperlink">
    <w:name w:val="Hyperlink"/>
    <w:basedOn w:val="DefaultParagraphFont"/>
    <w:unhideWhenUsed/>
    <w:rsid w:val="00DC5A70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DC5A70"/>
  </w:style>
  <w:style w:type="character" w:customStyle="1" w:styleId="BodyTextChar">
    <w:name w:val="Body Text Char"/>
    <w:basedOn w:val="DefaultParagraphFont"/>
    <w:link w:val="BodyText"/>
    <w:uiPriority w:val="99"/>
    <w:locked/>
    <w:rsid w:val="00DC5A70"/>
    <w:rPr>
      <w:sz w:val="26"/>
    </w:rPr>
  </w:style>
  <w:style w:type="character" w:customStyle="1" w:styleId="CommentTextChar">
    <w:name w:val="Comment Text Char"/>
    <w:basedOn w:val="DefaultParagraphFont"/>
    <w:link w:val="CommentText"/>
    <w:semiHidden/>
    <w:rsid w:val="00B000EA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C3F01"/>
    <w:pPr>
      <w:spacing w:before="0" w:line="240" w:lineRule="auto"/>
      <w:ind w:left="0" w:firstLine="0"/>
    </w:pPr>
    <w:rPr>
      <w:rFonts w:ascii="Calibri" w:hAnsi="Calibri"/>
      <w:b/>
      <w:bCs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2C3F01"/>
    <w:rPr>
      <w:rFonts w:ascii="Calibri" w:hAnsi="Calibri"/>
      <w:b/>
      <w:bCs/>
      <w:szCs w:val="24"/>
      <w:lang w:eastAsia="en-US"/>
    </w:rPr>
  </w:style>
  <w:style w:type="paragraph" w:customStyle="1" w:styleId="CM57">
    <w:name w:val="CM57"/>
    <w:basedOn w:val="Normal"/>
    <w:next w:val="Normal"/>
    <w:uiPriority w:val="99"/>
    <w:rsid w:val="0056232B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AU"/>
    </w:rPr>
  </w:style>
  <w:style w:type="paragraph" w:styleId="Revision">
    <w:name w:val="Revision"/>
    <w:hidden/>
    <w:uiPriority w:val="99"/>
    <w:semiHidden/>
    <w:rsid w:val="004D2B93"/>
    <w:rPr>
      <w:rFonts w:ascii="Calibri" w:hAnsi="Calibri"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A82C3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uiPriority="99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66D"/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link w:val="Heading2Char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link w:val="Heading3Char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uiPriority w:val="99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16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1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  <w:sz w:val="26"/>
      <w:szCs w:val="24"/>
      <w:lang w:eastAsia="en-AU"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rFonts w:ascii="Times New Roman" w:hAnsi="Times New Roman"/>
      <w:sz w:val="20"/>
      <w:szCs w:val="24"/>
      <w:lang w:eastAsia="en-AU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2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3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4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5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6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11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7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8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3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uiPriority w:val="99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9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rFonts w:ascii="Times New Roman" w:hAnsi="Times New Roman"/>
      <w:b/>
      <w:caps/>
      <w:sz w:val="26"/>
      <w:szCs w:val="24"/>
      <w:lang w:eastAsia="en-AU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17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14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15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Heading3Char">
    <w:name w:val="Heading 3 Char"/>
    <w:basedOn w:val="DefaultParagraphFont"/>
    <w:link w:val="Heading3"/>
    <w:rsid w:val="00DC5A70"/>
    <w:rPr>
      <w:rFonts w:ascii="Arial" w:hAnsi="Arial"/>
      <w:b/>
      <w:sz w:val="26"/>
    </w:rPr>
  </w:style>
  <w:style w:type="character" w:customStyle="1" w:styleId="Heading2Char">
    <w:name w:val="Heading 2 Char"/>
    <w:basedOn w:val="DefaultParagraphFont"/>
    <w:link w:val="Heading2"/>
    <w:rsid w:val="00DC5A70"/>
    <w:rPr>
      <w:rFonts w:ascii="Arial" w:hAnsi="Arial"/>
      <w:b/>
      <w:sz w:val="32"/>
    </w:rPr>
  </w:style>
  <w:style w:type="character" w:styleId="Hyperlink">
    <w:name w:val="Hyperlink"/>
    <w:basedOn w:val="DefaultParagraphFont"/>
    <w:unhideWhenUsed/>
    <w:rsid w:val="00DC5A70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DC5A70"/>
  </w:style>
  <w:style w:type="character" w:customStyle="1" w:styleId="BodyTextChar">
    <w:name w:val="Body Text Char"/>
    <w:basedOn w:val="DefaultParagraphFont"/>
    <w:link w:val="BodyText"/>
    <w:uiPriority w:val="99"/>
    <w:locked/>
    <w:rsid w:val="00DC5A70"/>
    <w:rPr>
      <w:sz w:val="26"/>
    </w:rPr>
  </w:style>
  <w:style w:type="character" w:customStyle="1" w:styleId="CommentTextChar">
    <w:name w:val="Comment Text Char"/>
    <w:basedOn w:val="DefaultParagraphFont"/>
    <w:link w:val="CommentText"/>
    <w:semiHidden/>
    <w:rsid w:val="00B000EA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C3F01"/>
    <w:pPr>
      <w:spacing w:before="0" w:line="240" w:lineRule="auto"/>
      <w:ind w:left="0" w:firstLine="0"/>
    </w:pPr>
    <w:rPr>
      <w:rFonts w:ascii="Calibri" w:hAnsi="Calibri"/>
      <w:b/>
      <w:bCs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2C3F01"/>
    <w:rPr>
      <w:rFonts w:ascii="Calibri" w:hAnsi="Calibri"/>
      <w:b/>
      <w:bCs/>
      <w:szCs w:val="24"/>
      <w:lang w:eastAsia="en-US"/>
    </w:rPr>
  </w:style>
  <w:style w:type="paragraph" w:customStyle="1" w:styleId="CM57">
    <w:name w:val="CM57"/>
    <w:basedOn w:val="Normal"/>
    <w:next w:val="Normal"/>
    <w:uiPriority w:val="99"/>
    <w:rsid w:val="0056232B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AU"/>
    </w:rPr>
  </w:style>
  <w:style w:type="paragraph" w:styleId="Revision">
    <w:name w:val="Revision"/>
    <w:hidden/>
    <w:uiPriority w:val="99"/>
    <w:semiHidden/>
    <w:rsid w:val="004D2B93"/>
    <w:rPr>
      <w:rFonts w:ascii="Calibri" w:hAnsi="Calibri"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A82C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1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57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6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69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52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4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92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123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219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821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126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424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008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289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86499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92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524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7359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694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697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1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7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9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0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1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56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98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95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E30F7-CF05-4418-80C9-387A958CB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0</TotalTime>
  <Pages>13</Pages>
  <Words>3453</Words>
  <Characters>22870</Characters>
  <Application>Microsoft Office Word</Application>
  <DocSecurity>0</DocSecurity>
  <Lines>190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26271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Aspects of structural change</dc:subject>
  <dc:creator>Productivity Commission</dc:creator>
  <dc:description>1.</dc:description>
  <cp:lastModifiedBy>Productivity Commission</cp:lastModifiedBy>
  <cp:revision>2</cp:revision>
  <cp:lastPrinted>2013-07-16T04:41:00Z</cp:lastPrinted>
  <dcterms:created xsi:type="dcterms:W3CDTF">2013-10-09T00:03:00Z</dcterms:created>
  <dcterms:modified xsi:type="dcterms:W3CDTF">2013-10-09T00:03:00Z</dcterms:modified>
</cp:coreProperties>
</file>