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91" w:rsidRPr="00361F87" w:rsidRDefault="00A15D06" w:rsidP="00E02C79">
      <w:pPr>
        <w:pStyle w:val="Chapter"/>
        <w:spacing w:after="1320"/>
        <w:ind w:left="907" w:hanging="907"/>
      </w:pPr>
      <w:bookmarkStart w:id="0" w:name="_References"/>
      <w:bookmarkStart w:id="1" w:name="ChapterTitle"/>
      <w:bookmarkStart w:id="2" w:name="_GoBack"/>
      <w:bookmarkEnd w:id="0"/>
      <w:bookmarkEnd w:id="2"/>
      <w:r>
        <w:t>References</w:t>
      </w:r>
      <w:bookmarkEnd w:id="1"/>
    </w:p>
    <w:p w:rsidR="00AC2B50" w:rsidRPr="00210587" w:rsidRDefault="00AC2B50" w:rsidP="00210587">
      <w:pPr>
        <w:pStyle w:val="Reference"/>
      </w:pPr>
      <w:r w:rsidRPr="00210587">
        <w:t xml:space="preserve">Abbott, T. (Prime Minister) 2013, Transcript of Press Conference, Colombo, Sri Lanka, </w:t>
      </w:r>
      <w:r w:rsidR="002B1A8C" w:rsidRPr="00210587">
        <w:t xml:space="preserve">Media Release, </w:t>
      </w:r>
      <w:r w:rsidRPr="00210587">
        <w:t xml:space="preserve">17 November. </w:t>
      </w:r>
    </w:p>
    <w:p w:rsidR="00CC615E" w:rsidRPr="00210587" w:rsidRDefault="00CC615E" w:rsidP="00210587">
      <w:pPr>
        <w:pStyle w:val="Reference"/>
      </w:pPr>
      <w:r w:rsidRPr="00210587">
        <w:t xml:space="preserve">Abhayaratna, J. and Lattimore, R. 2006, Workforce Participation Rates — How Does Australia Compare?, Productivity Commission Staff Working Paper, Canberra. </w:t>
      </w:r>
    </w:p>
    <w:p w:rsidR="00CC615E" w:rsidRPr="00210587" w:rsidRDefault="00136889" w:rsidP="00210587">
      <w:pPr>
        <w:pStyle w:val="Reference"/>
      </w:pPr>
      <w:r w:rsidRPr="00210587">
        <w:t>——,</w:t>
      </w:r>
      <w:r w:rsidR="00CC615E" w:rsidRPr="00210587">
        <w:t xml:space="preserve"> </w:t>
      </w:r>
      <w:r w:rsidR="00361F87" w:rsidRPr="00210587">
        <w:t>——</w:t>
      </w:r>
      <w:r w:rsidR="00CC615E" w:rsidRPr="00210587">
        <w:t>, Andrews, L., Nuch, H. and Podbury, T. 2008, Part time Employment: the Australian Experience, Staff Working Paper, Productivity Commission.</w:t>
      </w:r>
    </w:p>
    <w:p w:rsidR="007F2129" w:rsidRPr="00B34FDF" w:rsidRDefault="007F2129" w:rsidP="00B34FDF">
      <w:pPr>
        <w:pStyle w:val="Reference"/>
      </w:pPr>
      <w:r w:rsidRPr="00B34FDF">
        <w:t xml:space="preserve">ACCC (Australian Competition and Consumer Commission) 2014, Reinvigorating Australia’s Competition Policy: Australian Competition &amp; Consumer Commission Submission to the Competition Policy Review, 25 June. </w:t>
      </w:r>
    </w:p>
    <w:p w:rsidR="0048085B" w:rsidRPr="00B34FDF" w:rsidRDefault="0048085B" w:rsidP="00B34FDF">
      <w:pPr>
        <w:pStyle w:val="Reference"/>
      </w:pPr>
      <w:r w:rsidRPr="00B34FDF">
        <w:t xml:space="preserve">ACCI (Australian Chamber of Commerce and Industry) 2014, ACCI Submission to Energy White Paper Issues Paper, February. </w:t>
      </w:r>
    </w:p>
    <w:p w:rsidR="003B18B2" w:rsidRPr="00B34FDF" w:rsidRDefault="003B18B2" w:rsidP="00B34FDF">
      <w:pPr>
        <w:pStyle w:val="Reference"/>
      </w:pPr>
      <w:r w:rsidRPr="00B34FDF">
        <w:t xml:space="preserve">ACER (Australian Council for Educational Research) 2012, Review of the Overcoming Indigenous Disadvantage: Key Indicators report for the Steering Committee for the Review of Government Service Provision, June. </w:t>
      </w:r>
    </w:p>
    <w:p w:rsidR="0059216A" w:rsidRPr="00B34FDF" w:rsidRDefault="00496F08" w:rsidP="00B34FDF">
      <w:pPr>
        <w:pStyle w:val="Reference"/>
      </w:pPr>
      <w:r w:rsidRPr="00B34FDF">
        <w:t xml:space="preserve">AGCNCO (Australian Government Competitive Neutrality Complaints Office) </w:t>
      </w:r>
      <w:r w:rsidR="0059216A" w:rsidRPr="00B34FDF">
        <w:t xml:space="preserve"> 2011, NBN Co, Investigation No. 14, Canberra, November. </w:t>
      </w:r>
    </w:p>
    <w:p w:rsidR="00496F08" w:rsidRPr="00B34FDF" w:rsidRDefault="0059216A" w:rsidP="00B34FDF">
      <w:pPr>
        <w:pStyle w:val="Reference"/>
      </w:pPr>
      <w:r w:rsidRPr="00B34FDF">
        <w:t>—— </w:t>
      </w:r>
      <w:r w:rsidR="00496F08" w:rsidRPr="00B34FDF">
        <w:t>2012, PETNET Australia, Investigation No. 15, Canberra, March.</w:t>
      </w:r>
    </w:p>
    <w:p w:rsidR="00A90CBE" w:rsidRPr="00B34FDF" w:rsidRDefault="00A90CBE" w:rsidP="00B34FDF">
      <w:pPr>
        <w:pStyle w:val="Reference"/>
      </w:pPr>
      <w:r w:rsidRPr="00B34FDF">
        <w:t xml:space="preserve">ANAO (Australian National Audit Office) 2013, Determination and Collection of Financial Industry Levies, Audit Report No. 9, 2013-14, 7 November.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Appels, D., Douglas, R. and Dwyer, G. 2004, </w:t>
      </w:r>
      <w:r w:rsidRPr="0059216A">
        <w:rPr>
          <w:i/>
          <w:szCs w:val="24"/>
        </w:rPr>
        <w:t>Responsiveness of Water Demand: A focus on the southern Murray-Darling Basin</w:t>
      </w:r>
      <w:r w:rsidRPr="0059216A">
        <w:rPr>
          <w:szCs w:val="24"/>
        </w:rPr>
        <w:t>, Productivity Commission Staff Working Paper, Melbourne, August.</w:t>
      </w:r>
    </w:p>
    <w:p w:rsidR="00E513D2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t xml:space="preserve">Australian Government </w:t>
      </w:r>
      <w:r w:rsidR="00E513D2">
        <w:rPr>
          <w:szCs w:val="24"/>
        </w:rPr>
        <w:t xml:space="preserve"> 2014a, </w:t>
      </w:r>
      <w:r w:rsidR="00E513D2" w:rsidRPr="006B2DC3">
        <w:rPr>
          <w:i/>
          <w:szCs w:val="24"/>
        </w:rPr>
        <w:t>The Australian Government’s interim response to the productivity commission inquiry report into mineral and energy resource exploration</w:t>
      </w:r>
      <w:r w:rsidR="00E513D2">
        <w:rPr>
          <w:szCs w:val="24"/>
        </w:rPr>
        <w:t xml:space="preserve">, 28 May 2014. </w:t>
      </w:r>
      <w:r w:rsidR="00E513D2" w:rsidRPr="00916312">
        <w:rPr>
          <w:szCs w:val="24"/>
        </w:rPr>
        <w:t>http://www.industry.gov.au/resource/Mining/Pages/PCInquiry.aspx</w:t>
      </w:r>
      <w:r w:rsidR="00E513D2">
        <w:rPr>
          <w:szCs w:val="24"/>
        </w:rPr>
        <w:t xml:space="preserve"> (accessed 1 July 2014)</w:t>
      </w:r>
    </w:p>
    <w:p w:rsidR="00DE43E6" w:rsidRDefault="00DE43E6" w:rsidP="00E94EB0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 xml:space="preserve">—— 2014b, </w:t>
      </w:r>
      <w:r w:rsidR="002E345C" w:rsidRPr="003B18B2">
        <w:rPr>
          <w:i/>
          <w:szCs w:val="24"/>
        </w:rPr>
        <w:t>Green Paper on Developing Northern Australia</w:t>
      </w:r>
      <w:r w:rsidR="002E345C">
        <w:rPr>
          <w:szCs w:val="24"/>
        </w:rPr>
        <w:t xml:space="preserve">, 10 June. </w:t>
      </w:r>
    </w:p>
    <w:p w:rsidR="003156B4" w:rsidRDefault="003156B4" w:rsidP="00E94EB0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 xml:space="preserve">—— and New Zealand Government 2014, </w:t>
      </w:r>
      <w:r w:rsidRPr="006B2DC3">
        <w:rPr>
          <w:i/>
          <w:szCs w:val="24"/>
        </w:rPr>
        <w:t>Australian and New Zealand government response to the joint Productivity Commission’s report on economic integration</w:t>
      </w:r>
      <w:r w:rsidR="00916312">
        <w:rPr>
          <w:szCs w:val="24"/>
        </w:rPr>
        <w:t>, 9 May. </w:t>
      </w:r>
      <w:r w:rsidRPr="00916312">
        <w:rPr>
          <w:szCs w:val="24"/>
        </w:rPr>
        <w:t>http://jbh.ministers.treasury.gov.au/files/2014/05/Aus-NZ-Joint-Response-Productivity-Report.pdf</w:t>
      </w:r>
      <w:r>
        <w:rPr>
          <w:szCs w:val="24"/>
        </w:rPr>
        <w:t xml:space="preserve"> (accessed 10 July 2014)</w:t>
      </w:r>
    </w:p>
    <w:p w:rsidR="00D338CA" w:rsidRDefault="00D338CA" w:rsidP="00E94EB0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 xml:space="preserve">AWPA (Australian Workforce and Productivity Agency) 2014, </w:t>
      </w:r>
      <w:r w:rsidRPr="003B18B2">
        <w:rPr>
          <w:i/>
          <w:szCs w:val="24"/>
        </w:rPr>
        <w:t>Manufacturing Workforce Study</w:t>
      </w:r>
      <w:r>
        <w:rPr>
          <w:szCs w:val="24"/>
        </w:rPr>
        <w:t xml:space="preserve">, April. </w:t>
      </w:r>
    </w:p>
    <w:p w:rsidR="00CC615E" w:rsidRPr="0059216A" w:rsidRDefault="00CC615E" w:rsidP="00E94EB0">
      <w:pPr>
        <w:pStyle w:val="Reference"/>
        <w:spacing w:before="100" w:line="260" w:lineRule="atLeast"/>
        <w:rPr>
          <w:rStyle w:val="ReferenceChar"/>
          <w:szCs w:val="24"/>
        </w:rPr>
      </w:pPr>
      <w:r w:rsidRPr="0059216A">
        <w:rPr>
          <w:rStyle w:val="ReferenceChar"/>
          <w:szCs w:val="24"/>
        </w:rPr>
        <w:lastRenderedPageBreak/>
        <w:t xml:space="preserve">Barnes, P. 2011, </w:t>
      </w:r>
      <w:r w:rsidRPr="0059216A">
        <w:rPr>
          <w:rStyle w:val="ReferenceChar"/>
          <w:i/>
          <w:szCs w:val="24"/>
        </w:rPr>
        <w:t>Multifactor Productivity Growth Cycles at the Industry Level</w:t>
      </w:r>
      <w:r w:rsidRPr="0059216A">
        <w:rPr>
          <w:rStyle w:val="ReferenceChar"/>
          <w:szCs w:val="24"/>
        </w:rPr>
        <w:t>, Productivity Commission Staff Working Paper,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and Kennard, S. 2002, </w:t>
      </w:r>
      <w:r w:rsidR="00CC615E" w:rsidRPr="0059216A">
        <w:rPr>
          <w:i/>
          <w:szCs w:val="24"/>
        </w:rPr>
        <w:t>Skill and Australia’s Productivity Surge</w:t>
      </w:r>
      <w:r w:rsidR="00CC615E" w:rsidRPr="0059216A">
        <w:rPr>
          <w:szCs w:val="24"/>
        </w:rPr>
        <w:t xml:space="preserve">, Productivity Commission Staff Research Paper, Canberra. </w:t>
      </w:r>
    </w:p>
    <w:p w:rsidR="00CC615E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and McClure, A. 2009, </w:t>
      </w:r>
      <w:r w:rsidR="00CC615E" w:rsidRPr="0059216A">
        <w:rPr>
          <w:i/>
          <w:szCs w:val="24"/>
        </w:rPr>
        <w:t>Investment in Intangible Assets and Australia’s Productivity Growth</w:t>
      </w:r>
      <w:r w:rsidR="00CC615E" w:rsidRPr="0059216A">
        <w:rPr>
          <w:szCs w:val="24"/>
        </w:rPr>
        <w:t xml:space="preserve">, Productivity Commission Staff Working Paper, March. </w:t>
      </w:r>
    </w:p>
    <w:p w:rsidR="002D0970" w:rsidRPr="0059216A" w:rsidRDefault="002D0970" w:rsidP="00E94EB0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>—— </w:t>
      </w:r>
      <w:r w:rsidRPr="002D0970">
        <w:rPr>
          <w:szCs w:val="24"/>
        </w:rPr>
        <w:t xml:space="preserve">, Soames, L., Li, C. and Munoz, M. 2013, </w:t>
      </w:r>
      <w:r w:rsidRPr="003B18B2">
        <w:rPr>
          <w:i/>
          <w:szCs w:val="24"/>
        </w:rPr>
        <w:t>Productivity in Manufacturing: Measurement and Interpretation</w:t>
      </w:r>
      <w:r w:rsidRPr="002D0970">
        <w:rPr>
          <w:szCs w:val="24"/>
        </w:rPr>
        <w:t>, Productivity Commission Staff Working Paper, Canberra.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Bickerdyke, I., Lattimore R. and Madge, A. 2000, </w:t>
      </w:r>
      <w:r w:rsidRPr="0059216A">
        <w:rPr>
          <w:i/>
          <w:szCs w:val="24"/>
        </w:rPr>
        <w:t>Business Failure and Change: An Australian Perspective</w:t>
      </w:r>
      <w:r w:rsidRPr="0059216A">
        <w:rPr>
          <w:szCs w:val="24"/>
        </w:rPr>
        <w:t>, Productivity Commission Staff Research Paper, AusInfo, Canberra.</w:t>
      </w:r>
    </w:p>
    <w:p w:rsidR="002B1A8C" w:rsidRDefault="002B1A8C" w:rsidP="002B1A8C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 xml:space="preserve">Billson, B. (Minister for Small Business) 2013, </w:t>
      </w:r>
      <w:r w:rsidRPr="006B2DC3">
        <w:rPr>
          <w:i/>
          <w:szCs w:val="24"/>
        </w:rPr>
        <w:t>Productivity Commission report on regulator engagement with small business</w:t>
      </w:r>
      <w:r>
        <w:rPr>
          <w:szCs w:val="24"/>
        </w:rPr>
        <w:t xml:space="preserve">, Media Release, 9 October.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Binder, M. 2002, </w:t>
      </w:r>
      <w:r w:rsidRPr="0059216A">
        <w:rPr>
          <w:i/>
          <w:szCs w:val="24"/>
        </w:rPr>
        <w:t>The Role of Risk and Cost–Benefit Analysis in Determining Quarantine Measures</w:t>
      </w:r>
      <w:r w:rsidRPr="0059216A">
        <w:rPr>
          <w:szCs w:val="24"/>
        </w:rPr>
        <w:t>, Productivity Commission Staff Research Paper, AusInfo, Canberra.</w:t>
      </w:r>
    </w:p>
    <w:p w:rsidR="007B085E" w:rsidRPr="00826672" w:rsidRDefault="007B085E" w:rsidP="00C66755">
      <w:pPr>
        <w:pStyle w:val="Reference"/>
        <w:rPr>
          <w:rStyle w:val="ReferenceChar"/>
          <w:szCs w:val="24"/>
        </w:rPr>
      </w:pPr>
      <w:r w:rsidRPr="00826672">
        <w:rPr>
          <w:rStyle w:val="ReferenceChar"/>
          <w:szCs w:val="24"/>
        </w:rPr>
        <w:t xml:space="preserve">Boxall, A., Tobin, P. and Gillespie, J. 2014, </w:t>
      </w:r>
      <w:r w:rsidRPr="00826672">
        <w:rPr>
          <w:i/>
          <w:szCs w:val="24"/>
        </w:rPr>
        <w:t>Public problems: Private solutions? Short-term contracting of inpatient hospital care</w:t>
      </w:r>
      <w:r w:rsidRPr="00826672">
        <w:rPr>
          <w:szCs w:val="24"/>
        </w:rPr>
        <w:t xml:space="preserve">, Australian Healthcare and Hospitals Association, April. </w:t>
      </w:r>
    </w:p>
    <w:p w:rsidR="001A1042" w:rsidRDefault="001A1042" w:rsidP="00C66755">
      <w:pPr>
        <w:pStyle w:val="Reference"/>
        <w:rPr>
          <w:rStyle w:val="ReferenceChar"/>
          <w:szCs w:val="24"/>
        </w:rPr>
      </w:pPr>
      <w:r>
        <w:rPr>
          <w:rStyle w:val="ReferenceChar"/>
          <w:szCs w:val="24"/>
        </w:rPr>
        <w:t xml:space="preserve">Business Council of Australia 2014, </w:t>
      </w:r>
      <w:r w:rsidRPr="003B18B2">
        <w:rPr>
          <w:rStyle w:val="ReferenceChar"/>
          <w:i/>
          <w:szCs w:val="24"/>
        </w:rPr>
        <w:t>Budget Submission 2014-15</w:t>
      </w:r>
      <w:r>
        <w:rPr>
          <w:rStyle w:val="ReferenceChar"/>
          <w:szCs w:val="24"/>
        </w:rPr>
        <w:t xml:space="preserve">, February. </w:t>
      </w:r>
    </w:p>
    <w:p w:rsidR="00D40DF9" w:rsidRPr="0059216A" w:rsidRDefault="00D40DF9" w:rsidP="00C66755">
      <w:pPr>
        <w:pStyle w:val="Reference"/>
        <w:rPr>
          <w:szCs w:val="24"/>
        </w:rPr>
      </w:pPr>
      <w:r w:rsidRPr="0059216A">
        <w:rPr>
          <w:szCs w:val="24"/>
        </w:rPr>
        <w:t xml:space="preserve">Byron, N, Holland, P &amp; Schuele, M 2001, ‘Constraints on private conservation: some challenges in managing Australia's tropical rainforest’, </w:t>
      </w:r>
      <w:r w:rsidRPr="0059216A">
        <w:rPr>
          <w:i/>
          <w:szCs w:val="24"/>
        </w:rPr>
        <w:t>Productivity Commission, Annual Conference of the Rainforest Cooperative Research</w:t>
      </w:r>
      <w:r w:rsidRPr="0059216A">
        <w:rPr>
          <w:szCs w:val="24"/>
        </w:rPr>
        <w:t>, 14–15 November, Cairns.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Chan, C., Forwood, D., Roper, H., and Sayers, C. 2009, </w:t>
      </w:r>
      <w:r w:rsidRPr="0059216A">
        <w:rPr>
          <w:i/>
          <w:szCs w:val="24"/>
        </w:rPr>
        <w:t>Public Infrastructure Financing</w:t>
      </w:r>
      <w:r w:rsidR="00E54CDE" w:rsidRPr="0059216A">
        <w:rPr>
          <w:i/>
          <w:szCs w:val="24"/>
        </w:rPr>
        <w:t> </w:t>
      </w:r>
      <w:r w:rsidRPr="0059216A">
        <w:rPr>
          <w:i/>
          <w:szCs w:val="24"/>
        </w:rPr>
        <w:t xml:space="preserve">— </w:t>
      </w:r>
      <w:r w:rsidR="00E54CDE" w:rsidRPr="0059216A">
        <w:rPr>
          <w:i/>
          <w:szCs w:val="24"/>
        </w:rPr>
        <w:t> </w:t>
      </w:r>
      <w:r w:rsidRPr="0059216A">
        <w:rPr>
          <w:i/>
          <w:szCs w:val="24"/>
        </w:rPr>
        <w:t>An International Perspective</w:t>
      </w:r>
      <w:r w:rsidRPr="0059216A">
        <w:rPr>
          <w:szCs w:val="24"/>
        </w:rPr>
        <w:t>, Productivity Commission Staff Working Paper, March.</w:t>
      </w:r>
    </w:p>
    <w:p w:rsidR="00CC615E" w:rsidRPr="0059216A" w:rsidRDefault="0078762B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——, </w:t>
      </w:r>
      <w:r w:rsidR="00CC615E" w:rsidRPr="0059216A">
        <w:rPr>
          <w:szCs w:val="24"/>
        </w:rPr>
        <w:t xml:space="preserve">Laplagne, P. and Appels, D. 2003, </w:t>
      </w:r>
      <w:r w:rsidR="00CC615E" w:rsidRPr="0059216A">
        <w:rPr>
          <w:i/>
          <w:szCs w:val="24"/>
        </w:rPr>
        <w:t>The Role of Auctions in Allocating Public Resources</w:t>
      </w:r>
      <w:r w:rsidR="00CC615E" w:rsidRPr="0059216A">
        <w:rPr>
          <w:szCs w:val="24"/>
        </w:rPr>
        <w:t>, Productivity Commission Staff Research Paper, Productivity Commission, Melbourne.</w:t>
      </w:r>
    </w:p>
    <w:p w:rsidR="00622EF7" w:rsidRDefault="00622EF7" w:rsidP="00622EF7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 xml:space="preserve">CIE (Centre for International Economics) 2014, </w:t>
      </w:r>
      <w:r w:rsidRPr="003B18B2">
        <w:rPr>
          <w:i/>
          <w:szCs w:val="24"/>
        </w:rPr>
        <w:t>The economic impacts of mobile broadband on the Australian economy, from 2006 to 2013</w:t>
      </w:r>
      <w:r>
        <w:rPr>
          <w:szCs w:val="24"/>
        </w:rPr>
        <w:t xml:space="preserve">, </w:t>
      </w:r>
      <w:r w:rsidRPr="00622EF7">
        <w:rPr>
          <w:szCs w:val="24"/>
        </w:rPr>
        <w:t>Research report prepared for</w:t>
      </w:r>
      <w:r>
        <w:rPr>
          <w:szCs w:val="24"/>
        </w:rPr>
        <w:t xml:space="preserve"> </w:t>
      </w:r>
      <w:r w:rsidRPr="00622EF7">
        <w:rPr>
          <w:szCs w:val="24"/>
        </w:rPr>
        <w:t>the ACMA by The Centre for</w:t>
      </w:r>
      <w:r>
        <w:rPr>
          <w:szCs w:val="24"/>
        </w:rPr>
        <w:t xml:space="preserve"> </w:t>
      </w:r>
      <w:r w:rsidRPr="00622EF7">
        <w:rPr>
          <w:szCs w:val="24"/>
        </w:rPr>
        <w:t>International Economics</w:t>
      </w:r>
      <w:r>
        <w:rPr>
          <w:szCs w:val="24"/>
        </w:rPr>
        <w:t xml:space="preserve">, April.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COAG (Council of Australian Governments) 2002, </w:t>
      </w:r>
      <w:r w:rsidRPr="0059216A">
        <w:rPr>
          <w:i/>
          <w:szCs w:val="24"/>
        </w:rPr>
        <w:t>Communiqué</w:t>
      </w:r>
      <w:r w:rsidRPr="0059216A">
        <w:rPr>
          <w:szCs w:val="24"/>
        </w:rPr>
        <w:t xml:space="preserve">, 5 April.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2006a, </w:t>
      </w:r>
      <w:r w:rsidR="00CC615E" w:rsidRPr="0059216A">
        <w:rPr>
          <w:i/>
          <w:szCs w:val="24"/>
        </w:rPr>
        <w:t>Communiqué</w:t>
      </w:r>
      <w:r w:rsidR="00CC615E" w:rsidRPr="0059216A">
        <w:rPr>
          <w:szCs w:val="24"/>
        </w:rPr>
        <w:t xml:space="preserve">, 10 February.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2006b, </w:t>
      </w:r>
      <w:r w:rsidR="00CC615E" w:rsidRPr="0059216A">
        <w:rPr>
          <w:i/>
          <w:szCs w:val="24"/>
        </w:rPr>
        <w:t>Communiqué</w:t>
      </w:r>
      <w:r w:rsidR="00CC615E" w:rsidRPr="0059216A">
        <w:rPr>
          <w:szCs w:val="24"/>
        </w:rPr>
        <w:t xml:space="preserve">, 14 July.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2007a, </w:t>
      </w:r>
      <w:r w:rsidR="00CC615E" w:rsidRPr="0059216A">
        <w:rPr>
          <w:i/>
          <w:szCs w:val="24"/>
        </w:rPr>
        <w:t>Communiqué</w:t>
      </w:r>
      <w:r w:rsidR="00CC615E" w:rsidRPr="0059216A">
        <w:rPr>
          <w:szCs w:val="24"/>
        </w:rPr>
        <w:t xml:space="preserve">, 13 April.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2007b, </w:t>
      </w:r>
      <w:r w:rsidR="00CC615E" w:rsidRPr="0059216A">
        <w:rPr>
          <w:i/>
          <w:szCs w:val="24"/>
        </w:rPr>
        <w:t>COAG Regulatory Reform Plan</w:t>
      </w:r>
      <w:r w:rsidR="00CC615E" w:rsidRPr="0059216A">
        <w:rPr>
          <w:szCs w:val="24"/>
        </w:rPr>
        <w:t>, April, http://www.coag.gov.au</w:t>
      </w:r>
      <w:r w:rsidR="00CC615E" w:rsidRPr="0059216A">
        <w:rPr>
          <w:szCs w:val="24"/>
        </w:rPr>
        <w:br/>
        <w:t xml:space="preserve">/coag_meeting_outcomes/2007-04-13/docs/coag_nra_regulatory_reform.pdf (accessed 24 September 2009).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2008a, </w:t>
      </w:r>
      <w:r w:rsidR="00CC615E" w:rsidRPr="0059216A">
        <w:rPr>
          <w:i/>
          <w:szCs w:val="24"/>
        </w:rPr>
        <w:t>Communiqué</w:t>
      </w:r>
      <w:r w:rsidR="00CC615E" w:rsidRPr="0059216A">
        <w:rPr>
          <w:szCs w:val="24"/>
        </w:rPr>
        <w:t>, 26 March.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2008b, </w:t>
      </w:r>
      <w:r w:rsidR="00CC615E" w:rsidRPr="0059216A">
        <w:rPr>
          <w:i/>
          <w:szCs w:val="24"/>
        </w:rPr>
        <w:t>Communiqué</w:t>
      </w:r>
      <w:r w:rsidR="00CC615E" w:rsidRPr="0059216A">
        <w:rPr>
          <w:szCs w:val="24"/>
        </w:rPr>
        <w:t xml:space="preserve">, 3 July.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lastRenderedPageBreak/>
        <w:t>—— </w:t>
      </w:r>
      <w:r w:rsidR="00CC615E" w:rsidRPr="0059216A">
        <w:rPr>
          <w:szCs w:val="24"/>
        </w:rPr>
        <w:t xml:space="preserve">2008c, </w:t>
      </w:r>
      <w:r w:rsidR="00CC615E" w:rsidRPr="0059216A">
        <w:rPr>
          <w:i/>
          <w:szCs w:val="24"/>
        </w:rPr>
        <w:t>National Education Agreement</w:t>
      </w:r>
      <w:r w:rsidR="00CC615E" w:rsidRPr="0059216A">
        <w:rPr>
          <w:szCs w:val="24"/>
        </w:rPr>
        <w:t>, Schedule F of the Intergovernmental Agreement on Federal Financial Relations http://www.coag.gov.au</w:t>
      </w:r>
      <w:r w:rsidR="00CC615E" w:rsidRPr="0059216A">
        <w:rPr>
          <w:szCs w:val="24"/>
        </w:rPr>
        <w:br/>
        <w:t>intergov_agreements/federal_financial_relations/docs/IGA_ScheduleF_national_education_agreement.doc, (accessed 13 July 2010. )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  <w:lang w:val="fr-FR"/>
        </w:rPr>
      </w:pPr>
      <w:r w:rsidRPr="0059216A">
        <w:rPr>
          <w:szCs w:val="24"/>
          <w:lang w:val="fr-FR"/>
        </w:rPr>
        <w:t>—— </w:t>
      </w:r>
      <w:r w:rsidR="00CC615E" w:rsidRPr="0059216A">
        <w:rPr>
          <w:szCs w:val="24"/>
          <w:lang w:val="fr-FR"/>
        </w:rPr>
        <w:t xml:space="preserve">2008d, </w:t>
      </w:r>
      <w:r w:rsidR="00CC615E" w:rsidRPr="0059216A">
        <w:rPr>
          <w:i/>
          <w:szCs w:val="24"/>
          <w:lang w:val="fr-FR"/>
        </w:rPr>
        <w:t>Communiqué</w:t>
      </w:r>
      <w:r w:rsidR="00CC615E" w:rsidRPr="0059216A">
        <w:rPr>
          <w:szCs w:val="24"/>
          <w:lang w:val="fr-FR"/>
        </w:rPr>
        <w:t>, 2 October.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  <w:lang w:val="fr-FR"/>
        </w:rPr>
      </w:pPr>
      <w:r w:rsidRPr="0059216A">
        <w:rPr>
          <w:szCs w:val="24"/>
          <w:lang w:val="fr-FR"/>
        </w:rPr>
        <w:t>—— </w:t>
      </w:r>
      <w:r w:rsidR="00CC615E" w:rsidRPr="0059216A">
        <w:rPr>
          <w:szCs w:val="24"/>
          <w:lang w:val="fr-FR"/>
        </w:rPr>
        <w:t xml:space="preserve">2008e, </w:t>
      </w:r>
      <w:r w:rsidR="00CC615E" w:rsidRPr="0059216A">
        <w:rPr>
          <w:i/>
          <w:szCs w:val="24"/>
          <w:lang w:val="fr-FR"/>
        </w:rPr>
        <w:t>Communiqué</w:t>
      </w:r>
      <w:r w:rsidR="00CC615E" w:rsidRPr="0059216A">
        <w:rPr>
          <w:szCs w:val="24"/>
          <w:lang w:val="fr-FR"/>
        </w:rPr>
        <w:t>, 29 November.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2008f, </w:t>
      </w:r>
      <w:r w:rsidR="00CC615E" w:rsidRPr="0059216A">
        <w:rPr>
          <w:i/>
          <w:szCs w:val="24"/>
        </w:rPr>
        <w:t xml:space="preserve">COAG Response to the Productivity Commission’s Recommendations for Chemicals and Plastics Regulatory Reform from its Report of July 2008, </w:t>
      </w:r>
      <w:r w:rsidR="00CC615E" w:rsidRPr="0059216A">
        <w:rPr>
          <w:szCs w:val="24"/>
        </w:rPr>
        <w:t xml:space="preserve">29 November, </w:t>
      </w:r>
      <w:r w:rsidR="00CC615E" w:rsidRPr="008844D0">
        <w:rPr>
          <w:i/>
          <w:szCs w:val="24"/>
        </w:rPr>
        <w:t>http://www.coag.gov.au/coag_meeting_outcomes/2008-11-29/docs/Business_</w:t>
      </w:r>
      <w:r w:rsidR="00CC615E" w:rsidRPr="008844D0">
        <w:rPr>
          <w:i/>
          <w:szCs w:val="24"/>
        </w:rPr>
        <w:br/>
        <w:t>Regulation_and_Competition_Working_Group-Attachment_B.pdf</w:t>
      </w:r>
      <w:r w:rsidR="00CC615E" w:rsidRPr="0059216A">
        <w:rPr>
          <w:i/>
          <w:szCs w:val="24"/>
        </w:rPr>
        <w:t xml:space="preserve"> </w:t>
      </w:r>
      <w:r w:rsidR="00CC615E" w:rsidRPr="0059216A">
        <w:rPr>
          <w:szCs w:val="24"/>
        </w:rPr>
        <w:t>(accessed 27 July 2009).</w:t>
      </w:r>
    </w:p>
    <w:p w:rsidR="00CC615E" w:rsidRPr="0059216A" w:rsidRDefault="00E94EB0" w:rsidP="00E94EB0">
      <w:pPr>
        <w:pStyle w:val="Reference"/>
        <w:spacing w:before="100" w:line="260" w:lineRule="atLeast"/>
        <w:rPr>
          <w:i/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2008g, </w:t>
      </w:r>
      <w:r w:rsidR="00CC615E" w:rsidRPr="0059216A">
        <w:rPr>
          <w:i/>
          <w:szCs w:val="24"/>
        </w:rPr>
        <w:t>Intergovernmental Agreement on Federal Financial Relations</w:t>
      </w:r>
      <w:r w:rsidR="00CC615E" w:rsidRPr="0059216A">
        <w:rPr>
          <w:szCs w:val="24"/>
        </w:rPr>
        <w:t>, December.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2009a, </w:t>
      </w:r>
      <w:r w:rsidR="00CC615E" w:rsidRPr="0059216A">
        <w:rPr>
          <w:i/>
          <w:szCs w:val="24"/>
        </w:rPr>
        <w:t>Communiqué</w:t>
      </w:r>
      <w:r w:rsidR="00CC615E" w:rsidRPr="0059216A">
        <w:rPr>
          <w:szCs w:val="24"/>
        </w:rPr>
        <w:t xml:space="preserve">, 2 July.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2009b, </w:t>
      </w:r>
      <w:r w:rsidR="00CC615E" w:rsidRPr="0059216A">
        <w:rPr>
          <w:i/>
          <w:szCs w:val="24"/>
        </w:rPr>
        <w:t>Towards a Seamless National Economy — Annual Report Card: March 2009.</w:t>
      </w:r>
      <w:r w:rsidR="00CC615E" w:rsidRPr="0059216A">
        <w:rPr>
          <w:szCs w:val="24"/>
        </w:rPr>
        <w:t xml:space="preserve">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2009c, </w:t>
      </w:r>
      <w:r w:rsidR="00CC615E" w:rsidRPr="0059216A">
        <w:rPr>
          <w:i/>
          <w:szCs w:val="24"/>
        </w:rPr>
        <w:t xml:space="preserve">Regulation Impact Statement for Early Childhood Education and Care Quality Reforms, </w:t>
      </w:r>
      <w:r w:rsidR="00CC615E" w:rsidRPr="0059216A">
        <w:rPr>
          <w:szCs w:val="24"/>
        </w:rPr>
        <w:t xml:space="preserve">December.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2009d, </w:t>
      </w:r>
      <w:r w:rsidR="00CC615E" w:rsidRPr="0059216A">
        <w:rPr>
          <w:i/>
          <w:szCs w:val="24"/>
        </w:rPr>
        <w:t>Communiqué</w:t>
      </w:r>
      <w:r w:rsidR="00CC615E" w:rsidRPr="0059216A">
        <w:rPr>
          <w:szCs w:val="24"/>
        </w:rPr>
        <w:t>, 7 December.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2009e, </w:t>
      </w:r>
      <w:r w:rsidR="00CC615E" w:rsidRPr="0059216A">
        <w:rPr>
          <w:i/>
          <w:szCs w:val="24"/>
        </w:rPr>
        <w:t>National Partnership Agreement on Remote Indigenous Housing</w:t>
      </w:r>
      <w:r w:rsidR="00CC615E" w:rsidRPr="0059216A">
        <w:rPr>
          <w:szCs w:val="24"/>
        </w:rPr>
        <w:t>, http://www.coag.gov.au/intergov_agreements/federal_financial_relations/docs/national_partnership/national_partnership_on_remote_indigenous_housing.rtf, (accessed 16 July 2010).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2010a, </w:t>
      </w:r>
      <w:r w:rsidR="00CC615E" w:rsidRPr="0059216A">
        <w:rPr>
          <w:i/>
          <w:szCs w:val="24"/>
        </w:rPr>
        <w:t>Regulatory reform of the not-for-profit sector – fundraising regulation: Implementation plan</w:t>
      </w:r>
      <w:r w:rsidR="00CC615E" w:rsidRPr="0059216A">
        <w:rPr>
          <w:szCs w:val="24"/>
        </w:rPr>
        <w:t>, 19 April. http://www.coag.gov.au/coag_meeting_outcomes/2010-04-19/docs/Regulatory_reform_fundraising_regulat_implement_plan.pdf (accessed 30 August 2010)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2010b, </w:t>
      </w:r>
      <w:r w:rsidR="00CC615E" w:rsidRPr="0059216A">
        <w:rPr>
          <w:i/>
          <w:szCs w:val="24"/>
        </w:rPr>
        <w:t>National Agreements: framework for highlighting examples of good practice and performance</w:t>
      </w:r>
      <w:r w:rsidR="00CC615E" w:rsidRPr="0059216A">
        <w:rPr>
          <w:szCs w:val="24"/>
        </w:rPr>
        <w:t>, April.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2011, </w:t>
      </w:r>
      <w:r w:rsidR="00CC615E" w:rsidRPr="0059216A">
        <w:rPr>
          <w:i/>
          <w:szCs w:val="24"/>
        </w:rPr>
        <w:t>Public Report to COAG on Competition Reforms Under the Seamless National Economy Reforms,</w:t>
      </w:r>
      <w:r w:rsidR="00CC615E" w:rsidRPr="0059216A">
        <w:rPr>
          <w:szCs w:val="24"/>
        </w:rPr>
        <w:t xml:space="preserve"> 19 August. </w:t>
      </w:r>
      <w:r w:rsidR="004E355A" w:rsidRPr="0059216A">
        <w:rPr>
          <w:szCs w:val="24"/>
        </w:rPr>
        <w:t>http://www.coag.gov.au/coag_meeting_outcomes/2011-08-19/docs/Report_to_COAG_on_Competition_Reforms_under_the_Seamless_</w:t>
      </w:r>
      <w:r w:rsidR="004E355A" w:rsidRPr="0059216A">
        <w:rPr>
          <w:szCs w:val="24"/>
        </w:rPr>
        <w:br/>
        <w:t>National_Economy_Reforms_(June2011).pdf</w:t>
      </w:r>
      <w:r w:rsidR="00CC615E" w:rsidRPr="0059216A">
        <w:rPr>
          <w:szCs w:val="24"/>
        </w:rPr>
        <w:t xml:space="preserve"> (accessed 31 August 2011)</w:t>
      </w:r>
    </w:p>
    <w:p w:rsidR="00480809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480809" w:rsidRPr="0059216A">
        <w:rPr>
          <w:szCs w:val="24"/>
        </w:rPr>
        <w:t xml:space="preserve">2012, </w:t>
      </w:r>
      <w:r w:rsidR="00480809" w:rsidRPr="0059216A">
        <w:rPr>
          <w:i/>
          <w:szCs w:val="24"/>
        </w:rPr>
        <w:t>Communiqué</w:t>
      </w:r>
      <w:r w:rsidR="00480809" w:rsidRPr="0059216A">
        <w:rPr>
          <w:szCs w:val="24"/>
        </w:rPr>
        <w:t>, 25 July.</w:t>
      </w:r>
    </w:p>
    <w:p w:rsidR="00CC615E" w:rsidRPr="0059216A" w:rsidRDefault="00E94EB0" w:rsidP="00E94EB0">
      <w:pPr>
        <w:pStyle w:val="Reference"/>
        <w:spacing w:before="100" w:line="260" w:lineRule="atLeast"/>
        <w:rPr>
          <w:i/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and BRCWG (Business Regulation and Competition Working Group) 2009a, </w:t>
      </w:r>
      <w:r w:rsidR="00CC615E" w:rsidRPr="0059216A">
        <w:rPr>
          <w:i/>
          <w:szCs w:val="24"/>
        </w:rPr>
        <w:t xml:space="preserve">Towards a Seamless National Economy — Progress Report Card: July 2008– July 2009, </w:t>
      </w:r>
      <w:r w:rsidR="00CC615E" w:rsidRPr="008844D0">
        <w:rPr>
          <w:i/>
          <w:szCs w:val="24"/>
        </w:rPr>
        <w:t>http://www.finance.gov.au/deregulation/docs/2009_annual_report_card_July.pdf</w:t>
      </w:r>
      <w:r w:rsidR="00CC615E" w:rsidRPr="0059216A">
        <w:rPr>
          <w:i/>
          <w:szCs w:val="24"/>
        </w:rPr>
        <w:t xml:space="preserve"> (accessed 27 July 2009). </w:t>
      </w:r>
    </w:p>
    <w:p w:rsidR="00480809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and </w:t>
      </w:r>
      <w:r w:rsidRPr="0059216A">
        <w:rPr>
          <w:szCs w:val="24"/>
        </w:rPr>
        <w:t>—— </w:t>
      </w:r>
      <w:r w:rsidR="00C42A75" w:rsidRPr="0059216A">
        <w:rPr>
          <w:szCs w:val="24"/>
        </w:rPr>
        <w:t>2</w:t>
      </w:r>
      <w:r w:rsidR="00CC615E" w:rsidRPr="0059216A">
        <w:rPr>
          <w:szCs w:val="24"/>
        </w:rPr>
        <w:t xml:space="preserve">011, </w:t>
      </w:r>
      <w:r w:rsidR="00CC615E" w:rsidRPr="0059216A">
        <w:rPr>
          <w:i/>
          <w:szCs w:val="24"/>
        </w:rPr>
        <w:t>BRCWG Report Card on Progress of Deregulation Priorities</w:t>
      </w:r>
      <w:r w:rsidR="00CC615E" w:rsidRPr="0059216A">
        <w:rPr>
          <w:szCs w:val="24"/>
        </w:rPr>
        <w:t xml:space="preserve">, 19 August. </w:t>
      </w:r>
      <w:r w:rsidR="00CC615E" w:rsidRPr="008844D0">
        <w:rPr>
          <w:szCs w:val="24"/>
        </w:rPr>
        <w:t>http://www.coag.gov.au/coag_meeting_outcomes/2011-08-19/docs/Business_</w:t>
      </w:r>
      <w:r w:rsidR="004E355A" w:rsidRPr="008844D0">
        <w:rPr>
          <w:szCs w:val="24"/>
        </w:rPr>
        <w:br/>
      </w:r>
      <w:r w:rsidR="00CC615E" w:rsidRPr="008844D0">
        <w:rPr>
          <w:szCs w:val="24"/>
        </w:rPr>
        <w:t>Regulation_and_Competition_Working_Group_Report_Card_on_Progress_of_Deregulation_Priorities.pdf</w:t>
      </w:r>
      <w:r w:rsidR="00CC615E" w:rsidRPr="0059216A">
        <w:rPr>
          <w:szCs w:val="24"/>
        </w:rPr>
        <w:t xml:space="preserve"> (accessed 31 August 2011)</w:t>
      </w:r>
    </w:p>
    <w:p w:rsidR="00000BDB" w:rsidRDefault="00000BDB" w:rsidP="00E94EB0">
      <w:pPr>
        <w:pStyle w:val="Reference"/>
        <w:spacing w:before="100" w:line="260" w:lineRule="atLeast"/>
      </w:pPr>
      <w:r>
        <w:t xml:space="preserve">Consumer Action Law Centre 2014, </w:t>
      </w:r>
      <w:r w:rsidRPr="003B18B2">
        <w:rPr>
          <w:i/>
        </w:rPr>
        <w:t>Submission to the Financial System Inquiry</w:t>
      </w:r>
      <w:r>
        <w:t xml:space="preserve">, 31 March. </w:t>
      </w:r>
    </w:p>
    <w:p w:rsidR="00900397" w:rsidRPr="0059216A" w:rsidRDefault="00900397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lastRenderedPageBreak/>
        <w:t xml:space="preserve">Di Natale, R. 2013, </w:t>
      </w:r>
      <w:r w:rsidRPr="0059216A">
        <w:rPr>
          <w:i/>
          <w:szCs w:val="24"/>
        </w:rPr>
        <w:t xml:space="preserve">Greens call for evidence-based approach to drugs – Renewed call for a Productivity Commission inquiry into the issue of illicit drugs, </w:t>
      </w:r>
      <w:r w:rsidRPr="0059216A">
        <w:rPr>
          <w:szCs w:val="24"/>
        </w:rPr>
        <w:t xml:space="preserve">Media Release, 22 June. </w:t>
      </w:r>
    </w:p>
    <w:p w:rsidR="005F531B" w:rsidRDefault="005F531B" w:rsidP="00E94EB0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 xml:space="preserve">DIT (Department of Infrastructure and Transport) 2013, </w:t>
      </w:r>
      <w:r w:rsidRPr="003B18B2">
        <w:rPr>
          <w:i/>
          <w:szCs w:val="24"/>
        </w:rPr>
        <w:t>State and Australian Cities 2013</w:t>
      </w:r>
      <w:r>
        <w:rPr>
          <w:szCs w:val="24"/>
        </w:rPr>
        <w:t xml:space="preserve">, July. </w:t>
      </w:r>
    </w:p>
    <w:p w:rsidR="00726A66" w:rsidRDefault="00726A66" w:rsidP="00E94EB0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 xml:space="preserve">Donoughue, P. 2014, ‘Cover story: why are books so expensive in Australia?’, </w:t>
      </w:r>
      <w:r w:rsidRPr="003B18B2">
        <w:rPr>
          <w:i/>
          <w:szCs w:val="24"/>
        </w:rPr>
        <w:t>The Conversation</w:t>
      </w:r>
      <w:r>
        <w:rPr>
          <w:szCs w:val="24"/>
        </w:rPr>
        <w:t xml:space="preserve">, 17 June. </w:t>
      </w:r>
    </w:p>
    <w:p w:rsidR="00D315BB" w:rsidRPr="00A15D06" w:rsidRDefault="00D315BB" w:rsidP="00E94EB0">
      <w:pPr>
        <w:pStyle w:val="Reference"/>
        <w:spacing w:before="100" w:line="260" w:lineRule="atLeast"/>
        <w:rPr>
          <w:szCs w:val="24"/>
        </w:rPr>
      </w:pPr>
      <w:r w:rsidRPr="00A15D06">
        <w:rPr>
          <w:szCs w:val="24"/>
        </w:rPr>
        <w:t xml:space="preserve">Douglas, B., Friel, S., Denniss, R. and Morawetz, D. 2014, </w:t>
      </w:r>
      <w:r w:rsidRPr="00A15D06">
        <w:rPr>
          <w:i/>
          <w:szCs w:val="24"/>
        </w:rPr>
        <w:t>Advance Australia Fair? What to do about growing inequality in Australia</w:t>
      </w:r>
      <w:r w:rsidRPr="00A15D06">
        <w:rPr>
          <w:szCs w:val="24"/>
        </w:rPr>
        <w:t xml:space="preserve">, May. </w:t>
      </w:r>
      <w:hyperlink r:id="rId9" w:history="1">
        <w:r w:rsidRPr="00A15D06">
          <w:rPr>
            <w:rStyle w:val="Hyperlink"/>
            <w:color w:val="auto"/>
            <w:szCs w:val="24"/>
            <w:u w:val="none"/>
          </w:rPr>
          <w:t>http://www.australia21.org.au/wp-content/uploads/2014/06/Final-InequalityinAustraliaRepor-2.pdf</w:t>
        </w:r>
      </w:hyperlink>
      <w:r w:rsidRPr="00A15D06">
        <w:rPr>
          <w:szCs w:val="24"/>
        </w:rPr>
        <w:t xml:space="preserve"> (accessed 25 July 2014)</w:t>
      </w:r>
    </w:p>
    <w:p w:rsidR="004C2BAA" w:rsidRPr="00A15D06" w:rsidRDefault="004C2BAA" w:rsidP="00A06724">
      <w:pPr>
        <w:pStyle w:val="Reference"/>
        <w:rPr>
          <w:szCs w:val="24"/>
        </w:rPr>
      </w:pPr>
      <w:r w:rsidRPr="00A15D06">
        <w:rPr>
          <w:szCs w:val="24"/>
        </w:rPr>
        <w:t xml:space="preserve">Ernst and Young 2014, </w:t>
      </w:r>
      <w:r w:rsidRPr="00A15D06">
        <w:rPr>
          <w:i/>
          <w:szCs w:val="24"/>
        </w:rPr>
        <w:t>Tax Reform: A Better Way – The Case for an Australian Tax Reform Commission</w:t>
      </w:r>
      <w:r w:rsidRPr="00A15D06">
        <w:rPr>
          <w:szCs w:val="24"/>
        </w:rPr>
        <w:t>, June. http://www.ey.com/mwg-internal/de5fs23hu73ds/</w:t>
      </w:r>
      <w:r w:rsidR="00916312">
        <w:rPr>
          <w:szCs w:val="24"/>
        </w:rPr>
        <w:br/>
      </w:r>
      <w:r w:rsidRPr="00A15D06">
        <w:rPr>
          <w:szCs w:val="24"/>
        </w:rPr>
        <w:t>progress?id=wvjMaOLxm4 (accessed 30 July 2014)</w:t>
      </w:r>
    </w:p>
    <w:p w:rsidR="005B77FE" w:rsidRPr="00A15D06" w:rsidRDefault="005B77FE" w:rsidP="00E94EB0">
      <w:pPr>
        <w:pStyle w:val="Reference"/>
        <w:spacing w:before="100" w:line="260" w:lineRule="atLeast"/>
        <w:rPr>
          <w:szCs w:val="24"/>
        </w:rPr>
      </w:pPr>
      <w:r w:rsidRPr="00A15D06">
        <w:rPr>
          <w:szCs w:val="24"/>
        </w:rPr>
        <w:t xml:space="preserve">Fair Work Commission 2014, </w:t>
      </w:r>
      <w:r w:rsidRPr="00A15D06">
        <w:rPr>
          <w:i/>
          <w:szCs w:val="24"/>
        </w:rPr>
        <w:t>Annual Wage Review 2013-14</w:t>
      </w:r>
      <w:r w:rsidRPr="00A15D06">
        <w:rPr>
          <w:szCs w:val="24"/>
        </w:rPr>
        <w:t>, June. https://www.fwc.gov.au/documents/decisionssigned/html/2014FWCFB3500.htm (accessed 18 August 2014)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A15D06">
        <w:rPr>
          <w:szCs w:val="24"/>
        </w:rPr>
        <w:t xml:space="preserve">Forbes, M., Barker, </w:t>
      </w:r>
      <w:r w:rsidRPr="0059216A">
        <w:rPr>
          <w:szCs w:val="24"/>
        </w:rPr>
        <w:t xml:space="preserve">A. and Turner, S. 2010, </w:t>
      </w:r>
      <w:r w:rsidRPr="0059216A">
        <w:rPr>
          <w:i/>
          <w:szCs w:val="24"/>
        </w:rPr>
        <w:t>The Effects of Education and Health on Wages and Productivity</w:t>
      </w:r>
      <w:r w:rsidRPr="0059216A">
        <w:rPr>
          <w:szCs w:val="24"/>
        </w:rPr>
        <w:t>, Productivity Commission Staff Working Paper, Melbourne, March.</w:t>
      </w:r>
    </w:p>
    <w:p w:rsidR="00EC004E" w:rsidRPr="0059216A" w:rsidRDefault="00EC004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Gabbitas, O. and Gretton, P. 2003, </w:t>
      </w:r>
      <w:r w:rsidRPr="0059216A">
        <w:rPr>
          <w:i/>
          <w:szCs w:val="24"/>
        </w:rPr>
        <w:t>Firm Size and Export Performance: Some Empirical Evidence</w:t>
      </w:r>
      <w:r w:rsidRPr="0059216A">
        <w:rPr>
          <w:szCs w:val="24"/>
        </w:rPr>
        <w:t>, Productivity Commission Staff Research Paper, Canberra, April.</w:t>
      </w:r>
    </w:p>
    <w:p w:rsidR="00CC615E" w:rsidRPr="0059216A" w:rsidRDefault="00CC615E" w:rsidP="00E94EB0">
      <w:pPr>
        <w:pStyle w:val="Reference"/>
        <w:spacing w:before="100" w:line="260" w:lineRule="atLeast"/>
        <w:rPr>
          <w:bCs/>
          <w:szCs w:val="24"/>
        </w:rPr>
      </w:pPr>
      <w:r w:rsidRPr="0059216A">
        <w:rPr>
          <w:bCs/>
          <w:szCs w:val="24"/>
        </w:rPr>
        <w:t xml:space="preserve">Gilfillan, G. and Andrews, L. 2010, </w:t>
      </w:r>
      <w:r w:rsidRPr="0059216A">
        <w:rPr>
          <w:bCs/>
          <w:i/>
          <w:szCs w:val="24"/>
        </w:rPr>
        <w:t>Labour Force Participation of Women Over 45</w:t>
      </w:r>
      <w:r w:rsidRPr="0059216A">
        <w:rPr>
          <w:bCs/>
          <w:szCs w:val="24"/>
        </w:rPr>
        <w:t xml:space="preserve">, </w:t>
      </w:r>
      <w:r w:rsidRPr="0059216A">
        <w:rPr>
          <w:szCs w:val="24"/>
        </w:rPr>
        <w:t>Productivity Commission Staff Working Paper, Canberra, December.</w:t>
      </w:r>
    </w:p>
    <w:p w:rsidR="00881B15" w:rsidRPr="0059216A" w:rsidRDefault="00881B15" w:rsidP="00881B15">
      <w:pPr>
        <w:pStyle w:val="Reference"/>
        <w:rPr>
          <w:szCs w:val="24"/>
        </w:rPr>
      </w:pPr>
      <w:r w:rsidRPr="0059216A">
        <w:rPr>
          <w:szCs w:val="24"/>
        </w:rPr>
        <w:t xml:space="preserve">Greenville, J., Pobke, C. and Rogers, N. 2013, </w:t>
      </w:r>
      <w:r w:rsidRPr="0059216A">
        <w:rPr>
          <w:i/>
          <w:szCs w:val="24"/>
        </w:rPr>
        <w:t>Trends in the Distribution of Income in Australia</w:t>
      </w:r>
      <w:r w:rsidRPr="0059216A">
        <w:rPr>
          <w:szCs w:val="24"/>
        </w:rPr>
        <w:t>, Productivity Commission Staff Working Paper, Canberra.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Gretton, P., Gali, J. and Parham, D. 2002, </w:t>
      </w:r>
      <w:r w:rsidRPr="0059216A">
        <w:rPr>
          <w:i/>
          <w:szCs w:val="24"/>
        </w:rPr>
        <w:t>Uptake and impacts of ICTs in the Australian economy: Evidence from aggregate, sectoral and firm levels</w:t>
      </w:r>
      <w:r w:rsidRPr="0059216A">
        <w:rPr>
          <w:szCs w:val="24"/>
        </w:rPr>
        <w:t xml:space="preserve">, Productivity Commission, Canberra. </w:t>
      </w:r>
    </w:p>
    <w:p w:rsidR="00482143" w:rsidRPr="0059216A" w:rsidRDefault="00E20915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Hanson-Young, S. 201</w:t>
      </w:r>
      <w:r w:rsidR="00482143" w:rsidRPr="0059216A">
        <w:rPr>
          <w:szCs w:val="24"/>
        </w:rPr>
        <w:t>3</w:t>
      </w:r>
      <w:r w:rsidRPr="0059216A">
        <w:rPr>
          <w:szCs w:val="24"/>
        </w:rPr>
        <w:t xml:space="preserve">, </w:t>
      </w:r>
      <w:r w:rsidRPr="0059216A">
        <w:rPr>
          <w:i/>
          <w:szCs w:val="24"/>
        </w:rPr>
        <w:t xml:space="preserve">Greens move for </w:t>
      </w:r>
      <w:r w:rsidR="00482143" w:rsidRPr="0059216A">
        <w:rPr>
          <w:i/>
          <w:szCs w:val="24"/>
        </w:rPr>
        <w:t xml:space="preserve">long overdue inquiry into childcare funding, </w:t>
      </w:r>
      <w:r w:rsidRPr="0059216A">
        <w:rPr>
          <w:szCs w:val="24"/>
        </w:rPr>
        <w:t xml:space="preserve">Media Release, </w:t>
      </w:r>
      <w:r w:rsidR="00482143" w:rsidRPr="0059216A">
        <w:rPr>
          <w:szCs w:val="24"/>
        </w:rPr>
        <w:t>12 March</w:t>
      </w:r>
      <w:r w:rsidRPr="0059216A">
        <w:rPr>
          <w:szCs w:val="24"/>
        </w:rPr>
        <w:t xml:space="preserve">. </w:t>
      </w:r>
      <w:r w:rsidR="00482143" w:rsidRPr="008844D0">
        <w:rPr>
          <w:szCs w:val="24"/>
        </w:rPr>
        <w:t>http://sarah-hanson-young.greensmps.org.au/content/media-releases/greens-move-long-overdue-inquiry-childcare-funding</w:t>
      </w:r>
      <w:r w:rsidR="00482143" w:rsidRPr="0059216A">
        <w:rPr>
          <w:szCs w:val="24"/>
        </w:rPr>
        <w:t xml:space="preserve"> (accessed 19 June 2013)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IC (Industry Commission) 1991, </w:t>
      </w:r>
      <w:r w:rsidRPr="0059216A">
        <w:rPr>
          <w:i/>
          <w:szCs w:val="24"/>
        </w:rPr>
        <w:t>Construction Costs of Major Projects</w:t>
      </w:r>
      <w:r w:rsidRPr="0059216A">
        <w:rPr>
          <w:szCs w:val="24"/>
        </w:rPr>
        <w:t>, Industry Commission Inquiry Report (Report No. 8, 11 March 1991)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1995a, </w:t>
      </w:r>
      <w:r w:rsidR="00CC615E" w:rsidRPr="0059216A">
        <w:rPr>
          <w:i/>
          <w:iCs/>
          <w:szCs w:val="24"/>
        </w:rPr>
        <w:t xml:space="preserve">Growth and Revenue Implications of National Competition Policy Reforms, </w:t>
      </w:r>
      <w:r w:rsidR="00CC615E" w:rsidRPr="0059216A">
        <w:rPr>
          <w:szCs w:val="24"/>
        </w:rPr>
        <w:t>A Report by the Industry Commission to the Council of Australian Governments, AGPS,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1995b, </w:t>
      </w:r>
      <w:r w:rsidR="00CC615E" w:rsidRPr="0059216A">
        <w:rPr>
          <w:i/>
          <w:szCs w:val="24"/>
        </w:rPr>
        <w:t>Research and Development</w:t>
      </w:r>
      <w:r w:rsidR="00CC615E" w:rsidRPr="0059216A">
        <w:rPr>
          <w:szCs w:val="24"/>
        </w:rPr>
        <w:t xml:space="preserve">, AGPS, Canberra.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1996, </w:t>
      </w:r>
      <w:r w:rsidR="00CC615E" w:rsidRPr="0059216A">
        <w:rPr>
          <w:i/>
          <w:szCs w:val="24"/>
        </w:rPr>
        <w:t>Implications for Australia of Firms Locating Offshore</w:t>
      </w:r>
      <w:r w:rsidR="00CC615E" w:rsidRPr="0059216A">
        <w:rPr>
          <w:szCs w:val="24"/>
        </w:rPr>
        <w:t>, Report No. 53, AGPS, Canberra, August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1997, </w:t>
      </w:r>
      <w:r w:rsidR="00CC615E" w:rsidRPr="0059216A">
        <w:rPr>
          <w:i/>
          <w:szCs w:val="24"/>
        </w:rPr>
        <w:t>Private Health Insurance</w:t>
      </w:r>
      <w:r w:rsidR="00CC615E" w:rsidRPr="0059216A">
        <w:rPr>
          <w:szCs w:val="24"/>
        </w:rPr>
        <w:t xml:space="preserve">, Report No. 57, AGPS, Canberra. </w:t>
      </w:r>
    </w:p>
    <w:p w:rsidR="007F2129" w:rsidRPr="00826672" w:rsidRDefault="007F2129" w:rsidP="007F2129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lastRenderedPageBreak/>
        <w:t xml:space="preserve">ICAA (Institute of Chartered Accountants Australia) 2013, ‘To debate or not to debate? It’s not really the question, as long as Australians get some answers before the election’, </w:t>
      </w:r>
      <w:r w:rsidRPr="00826672">
        <w:rPr>
          <w:i/>
          <w:szCs w:val="24"/>
        </w:rPr>
        <w:t>Media Release</w:t>
      </w:r>
      <w:r w:rsidRPr="00826672">
        <w:rPr>
          <w:szCs w:val="24"/>
        </w:rPr>
        <w:t xml:space="preserve">, 11 July. </w:t>
      </w:r>
    </w:p>
    <w:p w:rsidR="000B6AD0" w:rsidRPr="00826672" w:rsidRDefault="000B6AD0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 xml:space="preserve">Industry Super Australia 2013, </w:t>
      </w:r>
      <w:r w:rsidR="00332A1F" w:rsidRPr="00826672">
        <w:rPr>
          <w:i/>
          <w:szCs w:val="24"/>
        </w:rPr>
        <w:t>Finance and Capital Formation in Australia</w:t>
      </w:r>
      <w:r w:rsidR="00332A1F" w:rsidRPr="00826672">
        <w:rPr>
          <w:szCs w:val="24"/>
        </w:rPr>
        <w:t xml:space="preserve">, November. </w:t>
      </w:r>
    </w:p>
    <w:p w:rsidR="00757269" w:rsidRPr="00826672" w:rsidRDefault="00757269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 xml:space="preserve">Infrastructure Partnerships Australia 2014, </w:t>
      </w:r>
      <w:r w:rsidRPr="00826672">
        <w:rPr>
          <w:i/>
          <w:szCs w:val="24"/>
        </w:rPr>
        <w:t>Road Pricing and Transport Infrastructure Funding: Reform Pathways for Australia</w:t>
      </w:r>
      <w:r w:rsidRPr="00826672">
        <w:rPr>
          <w:szCs w:val="24"/>
        </w:rPr>
        <w:t xml:space="preserve">, 25 March. </w:t>
      </w:r>
      <w:hyperlink r:id="rId10" w:history="1">
        <w:r w:rsidRPr="00826672">
          <w:rPr>
            <w:rStyle w:val="Hyperlink"/>
            <w:color w:val="auto"/>
            <w:szCs w:val="24"/>
          </w:rPr>
          <w:t>h</w:t>
        </w:r>
        <w:r w:rsidRPr="00A15D06">
          <w:rPr>
            <w:rStyle w:val="Hyperlink"/>
            <w:color w:val="auto"/>
            <w:szCs w:val="24"/>
            <w:u w:val="none"/>
          </w:rPr>
          <w:t>ttp://www.infrastructure.org.au/Content/RoadPricing.aspx</w:t>
        </w:r>
      </w:hyperlink>
      <w:r w:rsidRPr="00826672">
        <w:rPr>
          <w:szCs w:val="24"/>
        </w:rPr>
        <w:t xml:space="preserve"> (accessed 30 July 2014)</w:t>
      </w:r>
    </w:p>
    <w:p w:rsidR="008B452F" w:rsidRPr="00826672" w:rsidRDefault="008B452F" w:rsidP="00E57AF3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 xml:space="preserve">IPART (Independent Pricing and Regulatory Authority, New South Wales) 2014, </w:t>
      </w:r>
      <w:r w:rsidR="00E57AF3" w:rsidRPr="00826672">
        <w:rPr>
          <w:i/>
          <w:szCs w:val="24"/>
        </w:rPr>
        <w:t>Review of maximum taxi fares and review of annual Sydney taxi licences from July 2014 — Final Report and Recommendations</w:t>
      </w:r>
      <w:r w:rsidR="00E57AF3" w:rsidRPr="00826672">
        <w:rPr>
          <w:szCs w:val="24"/>
        </w:rPr>
        <w:t xml:space="preserve">, February.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Johnston, A., Porter, D., Cobbold, T. and Dolamore, R. 2000, </w:t>
      </w:r>
      <w:r w:rsidRPr="0059216A">
        <w:rPr>
          <w:i/>
          <w:szCs w:val="24"/>
        </w:rPr>
        <w:t>Productivity in Australia’s Wholesale and Retail Trade</w:t>
      </w:r>
      <w:r w:rsidRPr="0059216A">
        <w:rPr>
          <w:szCs w:val="24"/>
        </w:rPr>
        <w:t>, Productivity Commission Staff Research Paper, AusInfo, Canberra</w:t>
      </w:r>
    </w:p>
    <w:p w:rsidR="00854C9E" w:rsidRDefault="00854C9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Kalirajan, K. 2000, </w:t>
      </w:r>
      <w:r w:rsidRPr="0059216A">
        <w:rPr>
          <w:i/>
          <w:szCs w:val="24"/>
        </w:rPr>
        <w:t>Restrictions on Trade in Distribution Services</w:t>
      </w:r>
      <w:r w:rsidRPr="0059216A">
        <w:rPr>
          <w:szCs w:val="24"/>
        </w:rPr>
        <w:t>, Productivity Commission Staff Research Paper, AusInfo, Canberra, August.</w:t>
      </w:r>
    </w:p>
    <w:p w:rsidR="00D743CC" w:rsidRPr="0059216A" w:rsidRDefault="00D743CC" w:rsidP="00E94EB0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>Knight-Jones, T. and Rushton, J. 2013, ‘</w:t>
      </w:r>
      <w:r w:rsidRPr="00D743CC">
        <w:rPr>
          <w:szCs w:val="24"/>
        </w:rPr>
        <w:t>The economic impacts of foot and mouth disease – What are they, how big are they and where do they occur?</w:t>
      </w:r>
      <w:r>
        <w:rPr>
          <w:szCs w:val="24"/>
        </w:rPr>
        <w:t xml:space="preserve">’, </w:t>
      </w:r>
      <w:r w:rsidRPr="003B18B2">
        <w:rPr>
          <w:i/>
          <w:szCs w:val="24"/>
        </w:rPr>
        <w:t>Preventative Veterinary Medicine</w:t>
      </w:r>
      <w:r>
        <w:rPr>
          <w:szCs w:val="24"/>
        </w:rPr>
        <w:t xml:space="preserve">, </w:t>
      </w:r>
      <w:r w:rsidRPr="00D743CC">
        <w:rPr>
          <w:szCs w:val="24"/>
        </w:rPr>
        <w:t>Nov</w:t>
      </w:r>
      <w:r>
        <w:rPr>
          <w:szCs w:val="24"/>
        </w:rPr>
        <w:t>ember</w:t>
      </w:r>
      <w:r w:rsidRPr="00D743CC">
        <w:rPr>
          <w:szCs w:val="24"/>
        </w:rPr>
        <w:t xml:space="preserve">, </w:t>
      </w:r>
      <w:r>
        <w:rPr>
          <w:szCs w:val="24"/>
        </w:rPr>
        <w:t xml:space="preserve">Volume </w:t>
      </w:r>
      <w:r w:rsidRPr="00D743CC">
        <w:rPr>
          <w:szCs w:val="24"/>
        </w:rPr>
        <w:t>112</w:t>
      </w:r>
      <w:r>
        <w:rPr>
          <w:szCs w:val="24"/>
        </w:rPr>
        <w:t xml:space="preserve">, Numbers </w:t>
      </w:r>
      <w:r w:rsidRPr="00D743CC">
        <w:rPr>
          <w:szCs w:val="24"/>
        </w:rPr>
        <w:t>3-4</w:t>
      </w:r>
      <w:r>
        <w:rPr>
          <w:szCs w:val="24"/>
        </w:rPr>
        <w:t xml:space="preserve">, pp. </w:t>
      </w:r>
      <w:r w:rsidRPr="00D743CC">
        <w:rPr>
          <w:szCs w:val="24"/>
        </w:rPr>
        <w:t>161–173.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Laplagne, P. and Bensted, L. 1999, </w:t>
      </w:r>
      <w:r w:rsidRPr="0059216A">
        <w:rPr>
          <w:i/>
          <w:szCs w:val="24"/>
        </w:rPr>
        <w:t>The Role of Training and Innovation in Workplace Performance</w:t>
      </w:r>
      <w:r w:rsidRPr="0059216A">
        <w:rPr>
          <w:szCs w:val="24"/>
        </w:rPr>
        <w:t>, Productivity Commission Staff Research Paper, AusInfo,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42A75" w:rsidRPr="0059216A">
        <w:rPr>
          <w:szCs w:val="24"/>
        </w:rPr>
        <w:t xml:space="preserve">, </w:t>
      </w:r>
      <w:r w:rsidR="00CC615E" w:rsidRPr="0059216A">
        <w:rPr>
          <w:szCs w:val="24"/>
        </w:rPr>
        <w:t xml:space="preserve">Glover, M. and Shomos, A. 2007, </w:t>
      </w:r>
      <w:r w:rsidR="00CC615E" w:rsidRPr="0059216A">
        <w:rPr>
          <w:i/>
          <w:szCs w:val="24"/>
        </w:rPr>
        <w:t>Effects of Health and Education on Labour Force Participation</w:t>
      </w:r>
      <w:r w:rsidR="00CC615E" w:rsidRPr="0059216A">
        <w:rPr>
          <w:szCs w:val="24"/>
        </w:rPr>
        <w:t>, Productivity Commission Staff Working Paper, Canberra, May.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Lattimore, R. 2007, </w:t>
      </w:r>
      <w:r w:rsidRPr="0059216A">
        <w:rPr>
          <w:i/>
          <w:szCs w:val="24"/>
        </w:rPr>
        <w:t>Men Not at Work: An Analysis of Men Outside the Labour Force</w:t>
      </w:r>
      <w:r w:rsidRPr="0059216A">
        <w:rPr>
          <w:szCs w:val="24"/>
        </w:rPr>
        <w:t xml:space="preserve">, Productivity Commission Staff Working Paper, Canberra, January.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and Pobke, C. 2008, </w:t>
      </w:r>
      <w:r w:rsidR="00CC615E" w:rsidRPr="0059216A">
        <w:rPr>
          <w:i/>
          <w:szCs w:val="24"/>
        </w:rPr>
        <w:t>Recent Trends in Australian Fertility</w:t>
      </w:r>
      <w:r w:rsidR="00CC615E" w:rsidRPr="0059216A">
        <w:rPr>
          <w:szCs w:val="24"/>
        </w:rPr>
        <w:t xml:space="preserve">, Productivity Commission Staff Working Paper, Canberra. </w:t>
      </w:r>
    </w:p>
    <w:p w:rsidR="00CC615E" w:rsidRPr="0059216A" w:rsidRDefault="00C42A75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</w:t>
      </w:r>
      <w:r w:rsidR="00CC615E" w:rsidRPr="0059216A">
        <w:rPr>
          <w:szCs w:val="24"/>
        </w:rPr>
        <w:t xml:space="preserve">, Chapman, B., Higgins, T. and Gans, J. 2008, </w:t>
      </w:r>
      <w:r w:rsidR="00CC615E" w:rsidRPr="0059216A">
        <w:rPr>
          <w:i/>
          <w:szCs w:val="24"/>
        </w:rPr>
        <w:t>Policy Briefs:</w:t>
      </w:r>
      <w:r w:rsidR="00CC615E" w:rsidRPr="0059216A">
        <w:rPr>
          <w:szCs w:val="24"/>
        </w:rPr>
        <w:t xml:space="preserve"> </w:t>
      </w:r>
      <w:r w:rsidR="00CC615E" w:rsidRPr="0059216A">
        <w:rPr>
          <w:i/>
          <w:szCs w:val="24"/>
        </w:rPr>
        <w:t>Paid parental leave</w:t>
      </w:r>
      <w:r w:rsidR="00CC615E" w:rsidRPr="0059216A">
        <w:rPr>
          <w:szCs w:val="24"/>
        </w:rPr>
        <w:t xml:space="preserve">, Crawford School of Economics and Government, Australian National University, No. 7, August. </w:t>
      </w:r>
    </w:p>
    <w:p w:rsidR="002B1A8C" w:rsidRPr="00826672" w:rsidRDefault="002B1A8C" w:rsidP="002B1A8C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 xml:space="preserve">Ludlam, S. (Australian Greens housing spokesperson) 2013, </w:t>
      </w:r>
      <w:r w:rsidRPr="00826672">
        <w:rPr>
          <w:i/>
          <w:szCs w:val="24"/>
        </w:rPr>
        <w:t>Australian dream of home ownership now a nightmare – shame Abbott shot the messenger</w:t>
      </w:r>
      <w:r w:rsidRPr="00826672">
        <w:rPr>
          <w:szCs w:val="24"/>
        </w:rPr>
        <w:t xml:space="preserve">, Media Release, 25 November. </w:t>
      </w:r>
    </w:p>
    <w:p w:rsidR="006B2DC3" w:rsidRPr="00826672" w:rsidRDefault="006B2DC3" w:rsidP="00A06724">
      <w:pPr>
        <w:pStyle w:val="Reference"/>
        <w:rPr>
          <w:szCs w:val="24"/>
        </w:rPr>
      </w:pPr>
      <w:r w:rsidRPr="00826672">
        <w:rPr>
          <w:szCs w:val="24"/>
        </w:rPr>
        <w:t xml:space="preserve">Malcolm, S. 2014, ‘Grape growers push for inquiry’, </w:t>
      </w:r>
      <w:r w:rsidRPr="00826672">
        <w:rPr>
          <w:i/>
          <w:szCs w:val="24"/>
        </w:rPr>
        <w:t>ABC Victorian Country Hour</w:t>
      </w:r>
      <w:r w:rsidRPr="00826672">
        <w:rPr>
          <w:szCs w:val="24"/>
        </w:rPr>
        <w:t xml:space="preserve">, 21 February. </w:t>
      </w:r>
      <w:r w:rsidRPr="00A15D06">
        <w:rPr>
          <w:szCs w:val="24"/>
        </w:rPr>
        <w:t>http://www.abc.net.au/news/2014-02-21/grape-growers-push-for-inquiry/5274998</w:t>
      </w:r>
      <w:r w:rsidRPr="00826672">
        <w:rPr>
          <w:szCs w:val="24"/>
        </w:rPr>
        <w:t xml:space="preserve"> (accessed 30 July 2014)</w:t>
      </w:r>
    </w:p>
    <w:p w:rsidR="00235C12" w:rsidRPr="0059216A" w:rsidRDefault="00235C12" w:rsidP="00235C12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McLachlan, R., Clark, C. and Monday, I. 2002, </w:t>
      </w:r>
      <w:r w:rsidRPr="0059216A">
        <w:rPr>
          <w:i/>
          <w:szCs w:val="24"/>
        </w:rPr>
        <w:t>Australia’s Service Sector: A Study in Diversity</w:t>
      </w:r>
      <w:r w:rsidRPr="0059216A">
        <w:rPr>
          <w:szCs w:val="24"/>
        </w:rPr>
        <w:t>, Productivity Commission, Staff Research Paper, Canberra.</w:t>
      </w:r>
    </w:p>
    <w:p w:rsidR="00235C12" w:rsidRPr="0059216A" w:rsidRDefault="00235C12" w:rsidP="00235C12">
      <w:pPr>
        <w:pStyle w:val="Reference"/>
        <w:rPr>
          <w:szCs w:val="24"/>
        </w:rPr>
      </w:pPr>
      <w:r w:rsidRPr="0059216A">
        <w:rPr>
          <w:szCs w:val="24"/>
        </w:rPr>
        <w:t xml:space="preserve">—— ., Gilfillan, G. and Gordon, J. 2013, </w:t>
      </w:r>
      <w:r w:rsidRPr="0059216A">
        <w:rPr>
          <w:i/>
          <w:szCs w:val="24"/>
        </w:rPr>
        <w:t>Deep and Persistent Disadvantage in Australia</w:t>
      </w:r>
      <w:r w:rsidRPr="0059216A">
        <w:rPr>
          <w:szCs w:val="24"/>
        </w:rPr>
        <w:t xml:space="preserve">, Productivity Commission Staff Working Paper, Canberra. </w:t>
      </w:r>
    </w:p>
    <w:p w:rsidR="00827F65" w:rsidRPr="00826672" w:rsidRDefault="00827F65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 xml:space="preserve">Minerals Council of Australia </w:t>
      </w:r>
      <w:r w:rsidR="00194312" w:rsidRPr="00826672">
        <w:rPr>
          <w:szCs w:val="24"/>
        </w:rPr>
        <w:t xml:space="preserve">2014, </w:t>
      </w:r>
      <w:r w:rsidR="00194312" w:rsidRPr="00826672">
        <w:rPr>
          <w:i/>
          <w:szCs w:val="24"/>
        </w:rPr>
        <w:t>2014-15 Pre-Budget Submission</w:t>
      </w:r>
      <w:r w:rsidR="00194312" w:rsidRPr="00826672">
        <w:rPr>
          <w:szCs w:val="24"/>
        </w:rPr>
        <w:t xml:space="preserve">, 7 February. </w:t>
      </w:r>
    </w:p>
    <w:p w:rsidR="000C695F" w:rsidRDefault="000C695F" w:rsidP="000C695F">
      <w:pPr>
        <w:pStyle w:val="Reference"/>
        <w:spacing w:before="100" w:line="260" w:lineRule="atLeast"/>
        <w:rPr>
          <w:szCs w:val="24"/>
        </w:rPr>
      </w:pPr>
      <w:r w:rsidRPr="000C695F">
        <w:rPr>
          <w:szCs w:val="24"/>
        </w:rPr>
        <w:t>Moore, T.G. and Mc</w:t>
      </w:r>
      <w:r>
        <w:rPr>
          <w:szCs w:val="24"/>
        </w:rPr>
        <w:t xml:space="preserve"> </w:t>
      </w:r>
      <w:r w:rsidRPr="000C695F">
        <w:rPr>
          <w:szCs w:val="24"/>
        </w:rPr>
        <w:t>Donald, M. 2013</w:t>
      </w:r>
      <w:r>
        <w:rPr>
          <w:szCs w:val="24"/>
        </w:rPr>
        <w:t xml:space="preserve">, </w:t>
      </w:r>
      <w:r w:rsidRPr="003B18B2">
        <w:rPr>
          <w:i/>
          <w:szCs w:val="24"/>
        </w:rPr>
        <w:t>Acting Early, Changing Lives: How prevention and early action saves money and improves wellbeing</w:t>
      </w:r>
      <w:r w:rsidRPr="000C695F">
        <w:rPr>
          <w:szCs w:val="24"/>
        </w:rPr>
        <w:t>. Prepared for The Benevolent</w:t>
      </w:r>
      <w:r>
        <w:rPr>
          <w:szCs w:val="24"/>
        </w:rPr>
        <w:t xml:space="preserve"> </w:t>
      </w:r>
      <w:r w:rsidRPr="000C695F">
        <w:rPr>
          <w:szCs w:val="24"/>
        </w:rPr>
        <w:lastRenderedPageBreak/>
        <w:t>Society. Parkville, Victoria: Centre for Community Child Health at The Murdoch</w:t>
      </w:r>
      <w:r>
        <w:rPr>
          <w:szCs w:val="24"/>
        </w:rPr>
        <w:t xml:space="preserve"> </w:t>
      </w:r>
      <w:r w:rsidRPr="000C695F">
        <w:rPr>
          <w:szCs w:val="24"/>
        </w:rPr>
        <w:t>Children</w:t>
      </w:r>
      <w:r>
        <w:rPr>
          <w:szCs w:val="24"/>
        </w:rPr>
        <w:t>’</w:t>
      </w:r>
      <w:r w:rsidRPr="000C695F">
        <w:rPr>
          <w:szCs w:val="24"/>
        </w:rPr>
        <w:t>s Research Institute and The Royal Children’s Hospital.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Murtough, G. and Waite, M. 2000, </w:t>
      </w:r>
      <w:r w:rsidRPr="0059216A">
        <w:rPr>
          <w:i/>
          <w:szCs w:val="24"/>
        </w:rPr>
        <w:t>The Diversity of Casual Contract Employment</w:t>
      </w:r>
      <w:r w:rsidRPr="0059216A">
        <w:rPr>
          <w:szCs w:val="24"/>
        </w:rPr>
        <w:t xml:space="preserve">, Productivity Commission Staff Research Paper, Canberra. </w:t>
      </w:r>
    </w:p>
    <w:p w:rsidR="00CB5B5C" w:rsidRDefault="00CB5B5C" w:rsidP="00E94EB0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 xml:space="preserve">National Mental Health Commission 2013, </w:t>
      </w:r>
      <w:r w:rsidRPr="003B18B2">
        <w:rPr>
          <w:i/>
          <w:szCs w:val="24"/>
        </w:rPr>
        <w:t>A Contributing Life: the 2013 National Report Card on Mental Health and Suicide Prevention</w:t>
      </w:r>
      <w:r>
        <w:rPr>
          <w:szCs w:val="24"/>
        </w:rPr>
        <w:t xml:space="preserve">, Sydney: NHMC. </w:t>
      </w:r>
    </w:p>
    <w:p w:rsidR="002C5EA6" w:rsidRDefault="002C5EA6" w:rsidP="00E94EB0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 xml:space="preserve">New South Wales Government 2014, </w:t>
      </w:r>
      <w:r w:rsidRPr="003B18B2">
        <w:rPr>
          <w:i/>
          <w:szCs w:val="24"/>
        </w:rPr>
        <w:t>Competition Policy Review – NSW Government Submission</w:t>
      </w:r>
      <w:r>
        <w:rPr>
          <w:szCs w:val="24"/>
        </w:rPr>
        <w:t xml:space="preserve">, June. </w:t>
      </w:r>
    </w:p>
    <w:p w:rsidR="00CC615E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Nguyen-Hong, D. 2000, </w:t>
      </w:r>
      <w:r w:rsidRPr="0059216A">
        <w:rPr>
          <w:i/>
          <w:szCs w:val="24"/>
        </w:rPr>
        <w:t>Restrictions on Trade in Professional Services</w:t>
      </w:r>
      <w:r w:rsidRPr="0059216A">
        <w:rPr>
          <w:szCs w:val="24"/>
        </w:rPr>
        <w:t xml:space="preserve">, Productivity Commission Staff Research Paper, AusInfo, Canberra, August. </w:t>
      </w:r>
    </w:p>
    <w:p w:rsidR="00427E1E" w:rsidRPr="0059216A" w:rsidRDefault="00427E1E" w:rsidP="00E94EB0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 xml:space="preserve">Norwegian Ministry of Finance 2013, </w:t>
      </w:r>
      <w:r w:rsidRPr="00427E1E">
        <w:rPr>
          <w:i/>
          <w:szCs w:val="24"/>
        </w:rPr>
        <w:t>Amendment to the Budget 2014</w:t>
      </w:r>
      <w:r>
        <w:rPr>
          <w:szCs w:val="24"/>
        </w:rPr>
        <w:t xml:space="preserve">, November. </w:t>
      </w:r>
      <w:r w:rsidRPr="00A15D06">
        <w:rPr>
          <w:szCs w:val="24"/>
        </w:rPr>
        <w:t>http://www.statsbudsjettet.no/Tilleggsproposisjon-2014/English/?pid=61181</w:t>
      </w:r>
      <w:r>
        <w:rPr>
          <w:szCs w:val="24"/>
        </w:rPr>
        <w:t xml:space="preserve"> (accessed 22 September 2014)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OECD (Organisation for Economi</w:t>
      </w:r>
      <w:r w:rsidR="00E218AA" w:rsidRPr="0059216A">
        <w:rPr>
          <w:szCs w:val="24"/>
        </w:rPr>
        <w:t>c Co-operation and Development) </w:t>
      </w:r>
      <w:r w:rsidRPr="0059216A">
        <w:rPr>
          <w:szCs w:val="24"/>
        </w:rPr>
        <w:t xml:space="preserve">2004, </w:t>
      </w:r>
      <w:r w:rsidRPr="0059216A">
        <w:rPr>
          <w:i/>
          <w:szCs w:val="24"/>
        </w:rPr>
        <w:t>Economic Survey of Australia</w:t>
      </w:r>
      <w:r w:rsidRPr="0059216A">
        <w:rPr>
          <w:szCs w:val="24"/>
        </w:rPr>
        <w:t xml:space="preserve">, OECD, Paris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2005, </w:t>
      </w:r>
      <w:r w:rsidR="00CC615E" w:rsidRPr="0059216A">
        <w:rPr>
          <w:i/>
          <w:szCs w:val="24"/>
        </w:rPr>
        <w:t>OECD Economic Surveys 2004, Australia</w:t>
      </w:r>
      <w:r w:rsidR="00CC615E" w:rsidRPr="0059216A">
        <w:rPr>
          <w:szCs w:val="24"/>
        </w:rPr>
        <w:t xml:space="preserve">, vol. 2004/18, Paris, February.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2007, </w:t>
      </w:r>
      <w:r w:rsidR="00CC615E" w:rsidRPr="0059216A">
        <w:rPr>
          <w:i/>
          <w:szCs w:val="24"/>
        </w:rPr>
        <w:t>Economic Surveys: Euro Area 2007</w:t>
      </w:r>
      <w:r w:rsidR="00CC615E" w:rsidRPr="0059216A">
        <w:rPr>
          <w:szCs w:val="24"/>
        </w:rPr>
        <w:t>, vol. 2006/16, January.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2008a, </w:t>
      </w:r>
      <w:r w:rsidR="00CC615E" w:rsidRPr="0059216A">
        <w:rPr>
          <w:i/>
          <w:szCs w:val="24"/>
        </w:rPr>
        <w:t>2008 Economic review — Australia</w:t>
      </w:r>
      <w:r w:rsidR="00CC615E" w:rsidRPr="0059216A">
        <w:rPr>
          <w:szCs w:val="24"/>
        </w:rPr>
        <w:t xml:space="preserve">, 21 July.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2008b, </w:t>
      </w:r>
      <w:r w:rsidR="00CC615E" w:rsidRPr="0059216A">
        <w:rPr>
          <w:i/>
          <w:szCs w:val="24"/>
        </w:rPr>
        <w:t>Enhancing the Productivity of the Service Sector in Japan</w:t>
      </w:r>
      <w:r w:rsidR="00CC615E" w:rsidRPr="0059216A">
        <w:rPr>
          <w:szCs w:val="24"/>
        </w:rPr>
        <w:t xml:space="preserve">, Economics Working Papers No. 651, December.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2008c, </w:t>
      </w:r>
      <w:r w:rsidR="00CC615E" w:rsidRPr="0059216A">
        <w:rPr>
          <w:i/>
          <w:szCs w:val="24"/>
        </w:rPr>
        <w:t>Sustainable Management of Water Resources in Agriculture</w:t>
      </w:r>
      <w:r w:rsidR="00CC615E" w:rsidRPr="0059216A">
        <w:rPr>
          <w:szCs w:val="24"/>
        </w:rPr>
        <w:t xml:space="preserve">, Joint Working Party on Agriculture and the Environment, November.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2008d, </w:t>
      </w:r>
      <w:r w:rsidR="00CC615E" w:rsidRPr="0059216A">
        <w:rPr>
          <w:i/>
          <w:szCs w:val="24"/>
        </w:rPr>
        <w:t>Risk Management and Market Openness Policies</w:t>
      </w:r>
      <w:r w:rsidR="00CC615E" w:rsidRPr="0059216A">
        <w:rPr>
          <w:szCs w:val="24"/>
        </w:rPr>
        <w:t xml:space="preserve">, Group on Regulatory Policy, November.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2008e, </w:t>
      </w:r>
      <w:r w:rsidR="00CC615E" w:rsidRPr="0059216A">
        <w:rPr>
          <w:i/>
          <w:szCs w:val="24"/>
        </w:rPr>
        <w:t>OECD Strategic Response to the Financial and Economic Crisis: contributions to the global effort</w:t>
      </w:r>
      <w:r w:rsidR="00CC615E" w:rsidRPr="0059216A">
        <w:rPr>
          <w:szCs w:val="24"/>
        </w:rPr>
        <w:t>, Note by the Secretary-General, C(2008)191/FINAL, 23 December.</w:t>
      </w:r>
    </w:p>
    <w:p w:rsidR="00E218AA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E218AA" w:rsidRPr="0059216A">
        <w:rPr>
          <w:szCs w:val="24"/>
        </w:rPr>
        <w:t>2008</w:t>
      </w:r>
      <w:r w:rsidR="007E09BE" w:rsidRPr="0059216A">
        <w:rPr>
          <w:szCs w:val="24"/>
        </w:rPr>
        <w:t>f</w:t>
      </w:r>
      <w:r w:rsidR="00E218AA" w:rsidRPr="0059216A">
        <w:rPr>
          <w:szCs w:val="24"/>
        </w:rPr>
        <w:t xml:space="preserve">, </w:t>
      </w:r>
      <w:r w:rsidR="00E218AA" w:rsidRPr="0059216A">
        <w:rPr>
          <w:i/>
          <w:szCs w:val="24"/>
        </w:rPr>
        <w:t>Jobs for Immigrants: Labour Market Integration in Belgium, France, the Netherlands and Portugal</w:t>
      </w:r>
      <w:r w:rsidR="00E218AA" w:rsidRPr="0059216A">
        <w:rPr>
          <w:szCs w:val="24"/>
        </w:rPr>
        <w:t>, vol. 2, chapter 3, Paris.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2009a, </w:t>
      </w:r>
      <w:r w:rsidR="00CC615E" w:rsidRPr="0059216A">
        <w:rPr>
          <w:i/>
          <w:szCs w:val="24"/>
        </w:rPr>
        <w:t>Government Capacity to Assure High-Quality Regulation in Australia</w:t>
      </w:r>
      <w:r w:rsidR="00CC615E" w:rsidRPr="0059216A">
        <w:rPr>
          <w:szCs w:val="24"/>
        </w:rPr>
        <w:t xml:space="preserve">, Working Party on Regulatory Management and Reform, 30 April.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2009b, </w:t>
      </w:r>
      <w:r w:rsidR="00CC615E" w:rsidRPr="0059216A">
        <w:rPr>
          <w:i/>
          <w:szCs w:val="24"/>
        </w:rPr>
        <w:t>Regulatory Reform: In Depth Review of Australia</w:t>
      </w:r>
      <w:r w:rsidR="00CC615E" w:rsidRPr="0059216A">
        <w:rPr>
          <w:szCs w:val="24"/>
        </w:rPr>
        <w:t xml:space="preserve">, Directorate for Financial and Enterprise Affairs, Competition Committee, 29 May.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2009c, </w:t>
      </w:r>
      <w:r w:rsidR="00CC615E" w:rsidRPr="0059216A">
        <w:rPr>
          <w:i/>
          <w:szCs w:val="24"/>
        </w:rPr>
        <w:t>Legislation, Collective Bargaining and Enforcement: Updating the OECD Employment Protection Indicators</w:t>
      </w:r>
      <w:r w:rsidR="00CC615E" w:rsidRPr="0059216A">
        <w:rPr>
          <w:szCs w:val="24"/>
        </w:rPr>
        <w:t xml:space="preserve">, OECD Social, Employment and Migration Working Papers, No. 89, 22 June.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2009d, </w:t>
      </w:r>
      <w:r w:rsidR="00CC615E" w:rsidRPr="0059216A">
        <w:rPr>
          <w:i/>
          <w:szCs w:val="24"/>
        </w:rPr>
        <w:t>2009 Interim Report on the OECD Innovation Strategy: An Agenda for Policy Action on Innovation</w:t>
      </w:r>
      <w:r w:rsidR="00CC615E" w:rsidRPr="0059216A">
        <w:rPr>
          <w:szCs w:val="24"/>
        </w:rPr>
        <w:t xml:space="preserve">, Meeting of the Council at Ministerial Level, 24-25 June 2009.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2009e, </w:t>
      </w:r>
      <w:r w:rsidR="00CC615E" w:rsidRPr="0059216A">
        <w:rPr>
          <w:i/>
          <w:szCs w:val="24"/>
        </w:rPr>
        <w:t>Sustainable Management of Water Resources in Agriculture</w:t>
      </w:r>
      <w:r w:rsidR="00CC615E" w:rsidRPr="0059216A">
        <w:rPr>
          <w:szCs w:val="24"/>
        </w:rPr>
        <w:t xml:space="preserve">, Joint Working Party on Agriculture and the Environment, June.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lastRenderedPageBreak/>
        <w:t>—— </w:t>
      </w:r>
      <w:r w:rsidR="00CC615E" w:rsidRPr="0059216A">
        <w:rPr>
          <w:szCs w:val="24"/>
        </w:rPr>
        <w:t xml:space="preserve">2009f, </w:t>
      </w:r>
      <w:r w:rsidR="00CC615E" w:rsidRPr="0059216A">
        <w:rPr>
          <w:i/>
          <w:szCs w:val="24"/>
        </w:rPr>
        <w:t>Investment Policies and Economic Crises: lessons from the past</w:t>
      </w:r>
      <w:r w:rsidR="00CC615E" w:rsidRPr="0059216A">
        <w:rPr>
          <w:szCs w:val="24"/>
        </w:rPr>
        <w:t xml:space="preserve">, Investment Division, Directorate for Financial and Enterprise Affairs, April.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2009g, </w:t>
      </w:r>
      <w:r w:rsidR="00CC615E" w:rsidRPr="0059216A">
        <w:rPr>
          <w:i/>
          <w:szCs w:val="24"/>
        </w:rPr>
        <w:t>Keeping markets open at times of economic crisis</w:t>
      </w:r>
      <w:r w:rsidR="00CC615E" w:rsidRPr="0059216A">
        <w:rPr>
          <w:szCs w:val="24"/>
        </w:rPr>
        <w:t>, Policy Brief, April.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2009h, ‘Key short-term indicators’, </w:t>
      </w:r>
      <w:r w:rsidR="00CC615E" w:rsidRPr="0059216A">
        <w:rPr>
          <w:i/>
          <w:szCs w:val="24"/>
        </w:rPr>
        <w:t>OECD.Stat</w:t>
      </w:r>
      <w:r w:rsidR="00CC615E" w:rsidRPr="0059216A">
        <w:rPr>
          <w:szCs w:val="24"/>
        </w:rPr>
        <w:t xml:space="preserve">, http://stats.oecd.org (accessed 21 September 2009).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2009i, </w:t>
      </w:r>
      <w:r w:rsidR="00CC615E" w:rsidRPr="0059216A">
        <w:rPr>
          <w:i/>
          <w:szCs w:val="24"/>
        </w:rPr>
        <w:t xml:space="preserve">OECD Economic Outlook </w:t>
      </w:r>
      <w:r w:rsidR="00CC615E" w:rsidRPr="0059216A">
        <w:rPr>
          <w:szCs w:val="24"/>
        </w:rPr>
        <w:t>, vol. 2009/1, no. 85, June.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2009j, ‘Main Economic Indicators: international trade’, </w:t>
      </w:r>
      <w:r w:rsidR="00CC615E" w:rsidRPr="0059216A">
        <w:rPr>
          <w:i/>
          <w:szCs w:val="24"/>
        </w:rPr>
        <w:t>OECD.Stat</w:t>
      </w:r>
      <w:r w:rsidR="00CC615E" w:rsidRPr="0059216A">
        <w:rPr>
          <w:szCs w:val="24"/>
        </w:rPr>
        <w:t xml:space="preserve">, http://stats.oecd.org (accessed 21 September 2009).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2009k, </w:t>
      </w:r>
      <w:r w:rsidR="00CC615E" w:rsidRPr="0059216A">
        <w:rPr>
          <w:i/>
          <w:szCs w:val="24"/>
        </w:rPr>
        <w:t>Policy Responses to the Economic Crisis: investing in innovation for long-term growth</w:t>
      </w:r>
      <w:r w:rsidR="00CC615E" w:rsidRPr="0059216A">
        <w:rPr>
          <w:szCs w:val="24"/>
        </w:rPr>
        <w:t xml:space="preserve">, June.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2009l, </w:t>
      </w:r>
      <w:r w:rsidR="00CC615E" w:rsidRPr="0059216A">
        <w:rPr>
          <w:i/>
          <w:szCs w:val="24"/>
        </w:rPr>
        <w:t>OECD Economic Surveys: Denmark</w:t>
      </w:r>
      <w:r w:rsidR="00CC615E" w:rsidRPr="0059216A">
        <w:rPr>
          <w:szCs w:val="24"/>
        </w:rPr>
        <w:t xml:space="preserve">, Supplement No. 1, November.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2009m, </w:t>
      </w:r>
      <w:r w:rsidR="00CC615E" w:rsidRPr="0059216A">
        <w:rPr>
          <w:i/>
          <w:szCs w:val="24"/>
        </w:rPr>
        <w:t>Extreme Poverty and Vulnerability in OECD Countries: Scoping Review</w:t>
      </w:r>
      <w:r w:rsidR="00CC615E" w:rsidRPr="0059216A">
        <w:rPr>
          <w:szCs w:val="24"/>
        </w:rPr>
        <w:t xml:space="preserve">, Working Party on Social Policy, October. </w:t>
      </w:r>
    </w:p>
    <w:p w:rsidR="001D7501" w:rsidRPr="0059216A" w:rsidRDefault="001D7501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Pr="0059216A">
        <w:t xml:space="preserve">2009n, </w:t>
      </w:r>
      <w:r w:rsidRPr="0059216A">
        <w:rPr>
          <w:i/>
          <w:iCs/>
        </w:rPr>
        <w:t>Submission to the House of Representatives Standing Committee on Economics, Inquiry into Raising the Level of Productivity Growth in the Australian Economy</w:t>
      </w:r>
      <w:r w:rsidRPr="0059216A">
        <w:t>, Productivity Commission Submission, September.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2010a, </w:t>
      </w:r>
      <w:r w:rsidR="00CC615E" w:rsidRPr="0059216A">
        <w:rPr>
          <w:i/>
          <w:szCs w:val="24"/>
        </w:rPr>
        <w:t>OECD Economic Surveys: Australia</w:t>
      </w:r>
      <w:r w:rsidR="00CC615E" w:rsidRPr="0059216A">
        <w:rPr>
          <w:szCs w:val="24"/>
        </w:rPr>
        <w:t xml:space="preserve">, Supplement No. 3, November. 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2010b, </w:t>
      </w:r>
      <w:r w:rsidR="00CC615E" w:rsidRPr="0059216A">
        <w:rPr>
          <w:i/>
          <w:szCs w:val="24"/>
        </w:rPr>
        <w:t>Looking Ahead – Preliminary Considerations on the CIIE PWB for 2011-12</w:t>
      </w:r>
      <w:r w:rsidR="00CC615E" w:rsidRPr="0059216A">
        <w:rPr>
          <w:szCs w:val="24"/>
        </w:rPr>
        <w:t xml:space="preserve">, 22 October.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2010c, </w:t>
      </w:r>
      <w:r w:rsidR="00CC615E" w:rsidRPr="0059216A">
        <w:rPr>
          <w:i/>
          <w:szCs w:val="24"/>
        </w:rPr>
        <w:t>Draft Report: Regulatory Policy and the Road to Sustainable Growth</w:t>
      </w:r>
      <w:r w:rsidR="00CC615E" w:rsidRPr="0059216A">
        <w:rPr>
          <w:szCs w:val="24"/>
        </w:rPr>
        <w:t xml:space="preserve">, 25 October.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2010d, </w:t>
      </w:r>
      <w:r w:rsidR="00CC615E" w:rsidRPr="0059216A">
        <w:rPr>
          <w:i/>
          <w:szCs w:val="24"/>
        </w:rPr>
        <w:t>OECD Economic Surveys: Indonesia</w:t>
      </w:r>
      <w:r w:rsidR="00CC615E" w:rsidRPr="0059216A">
        <w:rPr>
          <w:szCs w:val="24"/>
        </w:rPr>
        <w:t xml:space="preserve">, Volume 2010/18, November. </w:t>
      </w:r>
    </w:p>
    <w:p w:rsidR="00AB4542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AB4542" w:rsidRPr="0059216A">
        <w:rPr>
          <w:szCs w:val="24"/>
        </w:rPr>
        <w:t xml:space="preserve">2011a, </w:t>
      </w:r>
      <w:r w:rsidR="00AB4542" w:rsidRPr="0059216A">
        <w:rPr>
          <w:i/>
          <w:szCs w:val="24"/>
        </w:rPr>
        <w:t>Divided We Stand: Why Inequality Keeps Rising</w:t>
      </w:r>
      <w:r w:rsidR="00AB4542" w:rsidRPr="0059216A">
        <w:rPr>
          <w:szCs w:val="24"/>
        </w:rPr>
        <w:t>, OECD, Paris.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>2011</w:t>
      </w:r>
      <w:r w:rsidR="00AB4542" w:rsidRPr="0059216A">
        <w:rPr>
          <w:szCs w:val="24"/>
        </w:rPr>
        <w:t>b</w:t>
      </w:r>
      <w:r w:rsidR="00CC615E" w:rsidRPr="0059216A">
        <w:rPr>
          <w:szCs w:val="24"/>
        </w:rPr>
        <w:t xml:space="preserve">, </w:t>
      </w:r>
      <w:r w:rsidR="00CC615E" w:rsidRPr="0059216A">
        <w:rPr>
          <w:i/>
          <w:szCs w:val="24"/>
        </w:rPr>
        <w:t>Water Governance in the Murray-Darling Basin</w:t>
      </w:r>
      <w:r w:rsidR="00CC615E" w:rsidRPr="0059216A">
        <w:rPr>
          <w:szCs w:val="24"/>
        </w:rPr>
        <w:t xml:space="preserve">, Working Party on Global and Structural Politics, 21 January. </w:t>
      </w:r>
    </w:p>
    <w:p w:rsidR="00FB2CCC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AB4542" w:rsidRPr="0059216A">
        <w:rPr>
          <w:szCs w:val="24"/>
        </w:rPr>
        <w:t>2011c</w:t>
      </w:r>
      <w:r w:rsidR="00FB2CCC" w:rsidRPr="0059216A">
        <w:rPr>
          <w:szCs w:val="24"/>
        </w:rPr>
        <w:t xml:space="preserve">, </w:t>
      </w:r>
      <w:r w:rsidR="00FB2CCC" w:rsidRPr="0059216A">
        <w:rPr>
          <w:i/>
          <w:szCs w:val="24"/>
        </w:rPr>
        <w:t xml:space="preserve">Sustainability in Impact Assessment: A Review of Impact Assessment Systems in selected OECD countries and the European Commission, </w:t>
      </w:r>
      <w:r w:rsidR="00FB2CCC" w:rsidRPr="0059216A">
        <w:rPr>
          <w:szCs w:val="24"/>
        </w:rPr>
        <w:t xml:space="preserve">General Secretariat, 18 October. </w:t>
      </w:r>
    </w:p>
    <w:p w:rsidR="006512BD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AB4542" w:rsidRPr="0059216A">
        <w:rPr>
          <w:szCs w:val="24"/>
        </w:rPr>
        <w:t>2011d</w:t>
      </w:r>
      <w:r w:rsidR="006512BD" w:rsidRPr="0059216A">
        <w:rPr>
          <w:szCs w:val="24"/>
        </w:rPr>
        <w:t xml:space="preserve">, </w:t>
      </w:r>
      <w:r w:rsidR="006512BD" w:rsidRPr="0059216A">
        <w:rPr>
          <w:i/>
          <w:szCs w:val="24"/>
        </w:rPr>
        <w:t>Intangible Assets at the Sectoral Level</w:t>
      </w:r>
      <w:r w:rsidR="006512BD" w:rsidRPr="0059216A">
        <w:rPr>
          <w:szCs w:val="24"/>
        </w:rPr>
        <w:t xml:space="preserve">, Working Party on Industry Analysis, 3 November. </w:t>
      </w:r>
    </w:p>
    <w:p w:rsidR="00EC004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AB4542" w:rsidRPr="0059216A">
        <w:rPr>
          <w:szCs w:val="24"/>
        </w:rPr>
        <w:t>2011e</w:t>
      </w:r>
      <w:r w:rsidR="00EC004E" w:rsidRPr="0059216A">
        <w:rPr>
          <w:szCs w:val="24"/>
        </w:rPr>
        <w:t xml:space="preserve">, </w:t>
      </w:r>
      <w:r w:rsidR="00EC004E" w:rsidRPr="0059216A">
        <w:rPr>
          <w:i/>
          <w:szCs w:val="24"/>
        </w:rPr>
        <w:t xml:space="preserve">2011 Economic Review – Germany, </w:t>
      </w:r>
      <w:r w:rsidR="00EC004E" w:rsidRPr="0059216A">
        <w:rPr>
          <w:szCs w:val="24"/>
        </w:rPr>
        <w:t xml:space="preserve">Economic and Development Review Committee, 25 November. </w:t>
      </w:r>
    </w:p>
    <w:p w:rsidR="004C07BC" w:rsidRPr="0059216A" w:rsidRDefault="004C07BC" w:rsidP="004C07BC">
      <w:pPr>
        <w:pStyle w:val="Reference"/>
        <w:rPr>
          <w:szCs w:val="24"/>
        </w:rPr>
      </w:pPr>
      <w:r w:rsidRPr="0059216A">
        <w:rPr>
          <w:szCs w:val="24"/>
        </w:rPr>
        <w:t xml:space="preserve">—— 2012a, </w:t>
      </w:r>
      <w:r w:rsidRPr="0059216A">
        <w:rPr>
          <w:i/>
          <w:szCs w:val="24"/>
        </w:rPr>
        <w:t>Activating Jobseekers: How Australia Does It</w:t>
      </w:r>
      <w:r w:rsidRPr="0059216A">
        <w:rPr>
          <w:szCs w:val="24"/>
        </w:rPr>
        <w:t>, OECD Publishing</w:t>
      </w:r>
    </w:p>
    <w:p w:rsidR="00854C9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854C9E" w:rsidRPr="0059216A">
        <w:rPr>
          <w:szCs w:val="24"/>
        </w:rPr>
        <w:t>2012</w:t>
      </w:r>
      <w:r w:rsidR="004C07BC" w:rsidRPr="0059216A">
        <w:rPr>
          <w:szCs w:val="24"/>
        </w:rPr>
        <w:t>b</w:t>
      </w:r>
      <w:r w:rsidR="00854C9E" w:rsidRPr="0059216A">
        <w:rPr>
          <w:szCs w:val="24"/>
        </w:rPr>
        <w:t xml:space="preserve">, </w:t>
      </w:r>
      <w:r w:rsidR="00854C9E" w:rsidRPr="0059216A">
        <w:rPr>
          <w:i/>
          <w:szCs w:val="24"/>
        </w:rPr>
        <w:t>Distribution Services: Draft List of Measures</w:t>
      </w:r>
      <w:r w:rsidR="00854C9E" w:rsidRPr="0059216A">
        <w:rPr>
          <w:szCs w:val="24"/>
        </w:rPr>
        <w:t xml:space="preserve">, Working Party of the Trade Committee, 2 August. </w:t>
      </w:r>
    </w:p>
    <w:p w:rsidR="00EC004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EC004E" w:rsidRPr="0059216A">
        <w:rPr>
          <w:szCs w:val="24"/>
        </w:rPr>
        <w:t>2012</w:t>
      </w:r>
      <w:r w:rsidR="004C07BC" w:rsidRPr="0059216A">
        <w:rPr>
          <w:szCs w:val="24"/>
        </w:rPr>
        <w:t>c</w:t>
      </w:r>
      <w:r w:rsidR="00EC004E" w:rsidRPr="0059216A">
        <w:rPr>
          <w:szCs w:val="24"/>
        </w:rPr>
        <w:t xml:space="preserve">, </w:t>
      </w:r>
      <w:r w:rsidR="00EC004E" w:rsidRPr="0059216A">
        <w:rPr>
          <w:i/>
          <w:szCs w:val="24"/>
        </w:rPr>
        <w:t>Small and Medium-Sized Enterprises in Global Markets: A Differential Approach for Services?</w:t>
      </w:r>
      <w:r w:rsidR="00EC004E" w:rsidRPr="0059216A">
        <w:rPr>
          <w:szCs w:val="24"/>
        </w:rPr>
        <w:t xml:space="preserve">, Working Party of the Trade Committee, 24 February. </w:t>
      </w:r>
    </w:p>
    <w:p w:rsidR="00E318F9" w:rsidRPr="0059216A" w:rsidRDefault="00E318F9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2012</w:t>
      </w:r>
      <w:r w:rsidR="004C07BC" w:rsidRPr="0059216A">
        <w:rPr>
          <w:szCs w:val="24"/>
        </w:rPr>
        <w:t>d</w:t>
      </w:r>
      <w:r w:rsidRPr="0059216A">
        <w:rPr>
          <w:szCs w:val="24"/>
        </w:rPr>
        <w:t xml:space="preserve">, </w:t>
      </w:r>
      <w:r w:rsidRPr="0059216A">
        <w:rPr>
          <w:i/>
          <w:szCs w:val="24"/>
        </w:rPr>
        <w:t>Australian Manufacturing in the Global Economy</w:t>
      </w:r>
      <w:r w:rsidRPr="0059216A">
        <w:rPr>
          <w:szCs w:val="24"/>
        </w:rPr>
        <w:t xml:space="preserve">, Committee on Industry, Innovation and Entrepreneurship, 12 September. </w:t>
      </w:r>
    </w:p>
    <w:p w:rsidR="009E7206" w:rsidRPr="0059216A" w:rsidRDefault="009E7206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2013</w:t>
      </w:r>
      <w:r w:rsidR="0072636B" w:rsidRPr="0059216A">
        <w:rPr>
          <w:szCs w:val="24"/>
        </w:rPr>
        <w:t>a</w:t>
      </w:r>
      <w:r w:rsidRPr="0059216A">
        <w:rPr>
          <w:szCs w:val="24"/>
        </w:rPr>
        <w:t xml:space="preserve">, </w:t>
      </w:r>
      <w:r w:rsidRPr="0059216A">
        <w:rPr>
          <w:i/>
          <w:szCs w:val="24"/>
        </w:rPr>
        <w:t>OECD Economic Surveys: Mexico</w:t>
      </w:r>
      <w:r w:rsidRPr="0059216A">
        <w:rPr>
          <w:szCs w:val="24"/>
        </w:rPr>
        <w:t xml:space="preserve">, May. </w:t>
      </w:r>
    </w:p>
    <w:p w:rsidR="0072636B" w:rsidRPr="0059216A" w:rsidRDefault="0072636B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lastRenderedPageBreak/>
        <w:t xml:space="preserve">—— 2013b, </w:t>
      </w:r>
      <w:r w:rsidRPr="0059216A">
        <w:rPr>
          <w:i/>
          <w:szCs w:val="24"/>
        </w:rPr>
        <w:t>Water Security: Managing Risks and Tradeoffs</w:t>
      </w:r>
      <w:r w:rsidRPr="0059216A">
        <w:rPr>
          <w:szCs w:val="24"/>
        </w:rPr>
        <w:t xml:space="preserve">, Working Party on Biodiversity, Water and Ecosystems, </w:t>
      </w:r>
      <w:r w:rsidR="005729F4" w:rsidRPr="0059216A">
        <w:rPr>
          <w:szCs w:val="24"/>
        </w:rPr>
        <w:t xml:space="preserve">11 January. </w:t>
      </w:r>
    </w:p>
    <w:p w:rsidR="00BA360F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Parham, D. </w:t>
      </w:r>
      <w:r w:rsidR="00BA360F" w:rsidRPr="0059216A">
        <w:rPr>
          <w:szCs w:val="24"/>
        </w:rPr>
        <w:t xml:space="preserve">2012, </w:t>
      </w:r>
      <w:r w:rsidR="00BA360F" w:rsidRPr="0059216A">
        <w:rPr>
          <w:i/>
          <w:szCs w:val="24"/>
        </w:rPr>
        <w:t>Australia’s Productivity Growth Slump: Signs of Crisis, Adjustment or Both?</w:t>
      </w:r>
      <w:r w:rsidR="00BA360F" w:rsidRPr="0059216A">
        <w:rPr>
          <w:szCs w:val="24"/>
        </w:rPr>
        <w:t xml:space="preserve">, Productivity Commission Visiting Researcher Paper, April. </w:t>
      </w:r>
    </w:p>
    <w:p w:rsidR="00C30E4D" w:rsidRPr="0059216A" w:rsidRDefault="00C30E4D" w:rsidP="00E94EB0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>—— </w:t>
      </w:r>
      <w:r w:rsidRPr="00C30E4D">
        <w:rPr>
          <w:szCs w:val="24"/>
        </w:rPr>
        <w:t xml:space="preserve">2013, </w:t>
      </w:r>
      <w:r w:rsidRPr="003B18B2">
        <w:rPr>
          <w:i/>
          <w:szCs w:val="24"/>
        </w:rPr>
        <w:t>Labour's Share of Growth in Income and Prosperity</w:t>
      </w:r>
      <w:r w:rsidRPr="00C30E4D">
        <w:rPr>
          <w:szCs w:val="24"/>
        </w:rPr>
        <w:t>, Visiting Researcher Paper, Productivity Commission, Canberra.</w:t>
      </w:r>
    </w:p>
    <w:p w:rsidR="00CC615E" w:rsidRPr="0059216A" w:rsidRDefault="00BA360F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Roberts, P. and Sun, H. 2001, </w:t>
      </w:r>
      <w:r w:rsidR="00CC615E" w:rsidRPr="0059216A">
        <w:rPr>
          <w:i/>
          <w:iCs/>
          <w:szCs w:val="24"/>
        </w:rPr>
        <w:t xml:space="preserve">Information Technology and Australia’s Productivity Surge, </w:t>
      </w:r>
      <w:r w:rsidR="00CC615E" w:rsidRPr="0059216A">
        <w:rPr>
          <w:szCs w:val="24"/>
        </w:rPr>
        <w:t xml:space="preserve">Productivity Commission Staff Research Paper, AusInfo, Canberra. </w:t>
      </w:r>
    </w:p>
    <w:p w:rsidR="00224661" w:rsidRPr="0059216A" w:rsidRDefault="00224661" w:rsidP="00224661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Peterson, D., Dwyer, G., Appels, D. and Fry, J. 2004, </w:t>
      </w:r>
      <w:r w:rsidRPr="0059216A">
        <w:rPr>
          <w:i/>
          <w:szCs w:val="24"/>
        </w:rPr>
        <w:t>Modelling water trade in the southern Murray-Darling Basin</w:t>
      </w:r>
      <w:r w:rsidRPr="0059216A">
        <w:rPr>
          <w:szCs w:val="24"/>
        </w:rPr>
        <w:t>, Productivity Commission Staff Working Paper, Melbourne, November.</w:t>
      </w:r>
    </w:p>
    <w:p w:rsidR="00F25475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PC (Productivity Commission) </w:t>
      </w:r>
      <w:r w:rsidR="00F25475" w:rsidRPr="0059216A">
        <w:rPr>
          <w:szCs w:val="24"/>
        </w:rPr>
        <w:t xml:space="preserve"> 1997, </w:t>
      </w:r>
      <w:r w:rsidR="00F25475" w:rsidRPr="0059216A">
        <w:rPr>
          <w:i/>
          <w:szCs w:val="24"/>
        </w:rPr>
        <w:t>Private Health Insurance</w:t>
      </w:r>
      <w:r w:rsidR="00F25475" w:rsidRPr="0059216A">
        <w:rPr>
          <w:szCs w:val="24"/>
        </w:rPr>
        <w:t>, Report No. 57, AGPS, Canberra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1998a, </w:t>
      </w:r>
      <w:r w:rsidR="00F25475" w:rsidRPr="0059216A">
        <w:rPr>
          <w:i/>
          <w:szCs w:val="24"/>
        </w:rPr>
        <w:t>Annual Report 1997-98</w:t>
      </w:r>
      <w:r w:rsidR="00F25475" w:rsidRPr="0059216A">
        <w:rPr>
          <w:szCs w:val="24"/>
        </w:rPr>
        <w:t xml:space="preserve">, AusInfo,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1998b, </w:t>
      </w:r>
      <w:r w:rsidR="00F25475" w:rsidRPr="0059216A">
        <w:rPr>
          <w:i/>
          <w:szCs w:val="24"/>
        </w:rPr>
        <w:t>Aspects of Structural Change in Australia</w:t>
      </w:r>
      <w:r w:rsidR="00F25475" w:rsidRPr="0059216A">
        <w:rPr>
          <w:szCs w:val="24"/>
        </w:rPr>
        <w:t>, Research Report, AusInfo,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1998c, </w:t>
      </w:r>
      <w:r w:rsidR="00F25475" w:rsidRPr="0059216A">
        <w:rPr>
          <w:i/>
          <w:szCs w:val="24"/>
        </w:rPr>
        <w:t xml:space="preserve">Work Arrangements in Container Stevedoring, </w:t>
      </w:r>
      <w:r w:rsidR="00F25475" w:rsidRPr="0059216A">
        <w:rPr>
          <w:szCs w:val="24"/>
        </w:rPr>
        <w:t>Research Report, AusInfo,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1998d, </w:t>
      </w:r>
      <w:r w:rsidR="00F25475" w:rsidRPr="0059216A">
        <w:rPr>
          <w:i/>
          <w:szCs w:val="24"/>
        </w:rPr>
        <w:t>International Benchmarking of the Australian Waterfront</w:t>
      </w:r>
      <w:r w:rsidR="00F25475" w:rsidRPr="0059216A">
        <w:rPr>
          <w:szCs w:val="24"/>
        </w:rPr>
        <w:t>, Research Report, AusInfo,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1998e, </w:t>
      </w:r>
      <w:r w:rsidR="00F25475" w:rsidRPr="0059216A">
        <w:rPr>
          <w:i/>
          <w:szCs w:val="24"/>
        </w:rPr>
        <w:t>The Australian Black Coal Industry</w:t>
      </w:r>
      <w:r w:rsidR="00F25475" w:rsidRPr="0059216A">
        <w:rPr>
          <w:szCs w:val="24"/>
        </w:rPr>
        <w:t>, Inquiry Report, AusInfo, Canberra.</w:t>
      </w:r>
    </w:p>
    <w:p w:rsidR="00F25475" w:rsidRPr="0059216A" w:rsidRDefault="00F041A8" w:rsidP="004C07BC">
      <w:pPr>
        <w:pStyle w:val="Reference"/>
        <w:rPr>
          <w:szCs w:val="24"/>
        </w:rPr>
      </w:pPr>
      <w:r w:rsidRPr="0059216A">
        <w:rPr>
          <w:szCs w:val="24"/>
        </w:rPr>
        <w:t>——</w:t>
      </w:r>
      <w:r w:rsidR="00E94EB0" w:rsidRPr="0059216A">
        <w:rPr>
          <w:szCs w:val="24"/>
        </w:rPr>
        <w:t> </w:t>
      </w:r>
      <w:r w:rsidR="00F25475" w:rsidRPr="0059216A">
        <w:rPr>
          <w:szCs w:val="24"/>
        </w:rPr>
        <w:t xml:space="preserve">1999a, </w:t>
      </w:r>
      <w:r w:rsidR="00F25475" w:rsidRPr="0059216A">
        <w:rPr>
          <w:i/>
          <w:szCs w:val="24"/>
        </w:rPr>
        <w:t>Australia’s Gambling Industries</w:t>
      </w:r>
      <w:r w:rsidR="00F25475" w:rsidRPr="0059216A">
        <w:rPr>
          <w:szCs w:val="24"/>
        </w:rPr>
        <w:t>, Inquiry Report No. 10, AusInfo,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1999b, </w:t>
      </w:r>
      <w:r w:rsidR="00F25475" w:rsidRPr="0059216A">
        <w:rPr>
          <w:i/>
          <w:szCs w:val="24"/>
        </w:rPr>
        <w:t>Structural Adjustment — Exploring the Policy Issues</w:t>
      </w:r>
      <w:r w:rsidR="00F25475" w:rsidRPr="0059216A">
        <w:rPr>
          <w:szCs w:val="24"/>
        </w:rPr>
        <w:t>, Workshop Proceedings, AusInfo,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1999c, </w:t>
      </w:r>
      <w:r w:rsidR="00F25475" w:rsidRPr="0059216A">
        <w:rPr>
          <w:i/>
          <w:iCs/>
          <w:szCs w:val="24"/>
        </w:rPr>
        <w:t>Impacts of Competition Policy Reforms on Rural and Regional Australia</w:t>
      </w:r>
      <w:r w:rsidR="00F25475" w:rsidRPr="0059216A">
        <w:rPr>
          <w:szCs w:val="24"/>
        </w:rPr>
        <w:t>, Inquiry Report No. 8,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1999d, </w:t>
      </w:r>
      <w:r w:rsidR="00F25475" w:rsidRPr="0059216A">
        <w:rPr>
          <w:i/>
          <w:iCs/>
          <w:szCs w:val="24"/>
        </w:rPr>
        <w:t>Modelling the Regional Impacts of National Competition Policy Reforms</w:t>
      </w:r>
      <w:r w:rsidR="00F25475" w:rsidRPr="0059216A">
        <w:rPr>
          <w:szCs w:val="24"/>
        </w:rPr>
        <w:t xml:space="preserve">, Supplement to </w:t>
      </w:r>
      <w:r w:rsidR="00F25475" w:rsidRPr="0059216A">
        <w:rPr>
          <w:i/>
          <w:szCs w:val="24"/>
        </w:rPr>
        <w:t>Impacts of Competition Policy Reforms on Rural and Regional Australia</w:t>
      </w:r>
      <w:r w:rsidR="00F25475" w:rsidRPr="0059216A">
        <w:rPr>
          <w:szCs w:val="24"/>
        </w:rPr>
        <w:t>, Inquiry Report No. 8, Canberra..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1999e, </w:t>
      </w:r>
      <w:r w:rsidR="00F25475" w:rsidRPr="0059216A">
        <w:rPr>
          <w:i/>
          <w:szCs w:val="24"/>
        </w:rPr>
        <w:t>Work Arrangements on Large Capital City Building Projects</w:t>
      </w:r>
      <w:r w:rsidR="00F25475" w:rsidRPr="0059216A">
        <w:rPr>
          <w:szCs w:val="24"/>
        </w:rPr>
        <w:t>, Labour Market Research Report, AusInfo,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1999f, </w:t>
      </w:r>
      <w:r w:rsidR="00F25475" w:rsidRPr="0059216A">
        <w:rPr>
          <w:i/>
          <w:szCs w:val="24"/>
        </w:rPr>
        <w:t>Microeconomic Reform and Australian Productivity: Exploring the Links</w:t>
      </w:r>
      <w:r w:rsidR="00F25475" w:rsidRPr="0059216A">
        <w:rPr>
          <w:szCs w:val="24"/>
        </w:rPr>
        <w:t>, Research Paper, AusInfo, Canberra.</w:t>
      </w:r>
    </w:p>
    <w:p w:rsidR="00B149E9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B149E9" w:rsidRPr="0059216A">
        <w:rPr>
          <w:szCs w:val="24"/>
        </w:rPr>
        <w:t xml:space="preserve">2000, </w:t>
      </w:r>
      <w:r w:rsidR="00B149E9" w:rsidRPr="0059216A">
        <w:rPr>
          <w:i/>
          <w:szCs w:val="24"/>
        </w:rPr>
        <w:t>Broadcasting</w:t>
      </w:r>
      <w:r w:rsidR="00B149E9" w:rsidRPr="0059216A">
        <w:rPr>
          <w:szCs w:val="24"/>
        </w:rPr>
        <w:t>, Report no. 11, AusInfo,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2001, </w:t>
      </w:r>
      <w:r w:rsidR="00F25475" w:rsidRPr="0059216A">
        <w:rPr>
          <w:i/>
          <w:szCs w:val="24"/>
        </w:rPr>
        <w:t>Telecommunications Competition Regulation</w:t>
      </w:r>
      <w:r w:rsidR="00F25475" w:rsidRPr="0059216A">
        <w:rPr>
          <w:szCs w:val="24"/>
        </w:rPr>
        <w:t>, Inquiry Report No. 16, AusInfo,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2002a, </w:t>
      </w:r>
      <w:r w:rsidR="00F25475" w:rsidRPr="0059216A">
        <w:rPr>
          <w:i/>
          <w:szCs w:val="24"/>
        </w:rPr>
        <w:t>Review of Automotive Assistance</w:t>
      </w:r>
      <w:r w:rsidR="00F25475" w:rsidRPr="0059216A">
        <w:rPr>
          <w:szCs w:val="24"/>
        </w:rPr>
        <w:t>, Inquiry Report No. 25,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2002b, </w:t>
      </w:r>
      <w:r w:rsidR="00F25475" w:rsidRPr="0059216A">
        <w:rPr>
          <w:i/>
          <w:szCs w:val="24"/>
        </w:rPr>
        <w:t>University Resourcing: Australia in an International Context</w:t>
      </w:r>
      <w:r w:rsidR="00F25475" w:rsidRPr="0059216A">
        <w:rPr>
          <w:szCs w:val="24"/>
        </w:rPr>
        <w:t>, Research Report, December.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2002c, </w:t>
      </w:r>
      <w:r w:rsidR="00F25475" w:rsidRPr="0059216A">
        <w:rPr>
          <w:i/>
          <w:szCs w:val="24"/>
        </w:rPr>
        <w:t>Impact of a Foot and Mouth Disease Outbreak on Australia</w:t>
      </w:r>
      <w:r w:rsidR="00F25475" w:rsidRPr="0059216A">
        <w:rPr>
          <w:szCs w:val="24"/>
        </w:rPr>
        <w:t>, Research Report, AusInfo,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lastRenderedPageBreak/>
        <w:t>—— </w:t>
      </w:r>
      <w:r w:rsidR="00F25475" w:rsidRPr="0059216A">
        <w:rPr>
          <w:szCs w:val="24"/>
        </w:rPr>
        <w:t xml:space="preserve">2002d, </w:t>
      </w:r>
      <w:r w:rsidR="00F25475" w:rsidRPr="0059216A">
        <w:rPr>
          <w:i/>
          <w:szCs w:val="24"/>
        </w:rPr>
        <w:t>Radiocommunications</w:t>
      </w:r>
      <w:r w:rsidR="00F25475" w:rsidRPr="0059216A">
        <w:rPr>
          <w:szCs w:val="24"/>
        </w:rPr>
        <w:t xml:space="preserve">, Report No. 22, AusInfo,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2002e, </w:t>
      </w:r>
      <w:r w:rsidR="00F25475" w:rsidRPr="0059216A">
        <w:rPr>
          <w:i/>
          <w:szCs w:val="24"/>
        </w:rPr>
        <w:t>Independent Review of the Job Network</w:t>
      </w:r>
      <w:r w:rsidR="00F25475" w:rsidRPr="0059216A">
        <w:rPr>
          <w:szCs w:val="24"/>
        </w:rPr>
        <w:t>, Report No. 21, AusInfo, Canberra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2003a, </w:t>
      </w:r>
      <w:r w:rsidR="00F25475" w:rsidRPr="0059216A">
        <w:rPr>
          <w:i/>
          <w:szCs w:val="24"/>
        </w:rPr>
        <w:t>Review of TCF Assistance</w:t>
      </w:r>
      <w:r w:rsidR="00F25475" w:rsidRPr="0059216A">
        <w:rPr>
          <w:szCs w:val="24"/>
        </w:rPr>
        <w:t>, Inquiry Report No. 26,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2003b, </w:t>
      </w:r>
      <w:r w:rsidR="00F25475" w:rsidRPr="0059216A">
        <w:rPr>
          <w:i/>
          <w:szCs w:val="24"/>
        </w:rPr>
        <w:t>Evaluation of the Pharmaceutical Industry Investment Program</w:t>
      </w:r>
      <w:r w:rsidR="00F25475" w:rsidRPr="0059216A">
        <w:rPr>
          <w:szCs w:val="24"/>
        </w:rPr>
        <w:t>, Research Report, AusInfo,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2003c, </w:t>
      </w:r>
      <w:r w:rsidR="00F25475" w:rsidRPr="0059216A">
        <w:rPr>
          <w:i/>
          <w:szCs w:val="24"/>
        </w:rPr>
        <w:t>From industry assistance to productivity: 30 years of the Commission</w:t>
      </w:r>
      <w:r w:rsidR="00F25475" w:rsidRPr="0059216A">
        <w:rPr>
          <w:szCs w:val="24"/>
        </w:rPr>
        <w:t>, Canberra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2003d, </w:t>
      </w:r>
      <w:r w:rsidR="00F25475" w:rsidRPr="0059216A">
        <w:rPr>
          <w:i/>
          <w:szCs w:val="24"/>
        </w:rPr>
        <w:t>Trends in Australian Manufacturing</w:t>
      </w:r>
      <w:r w:rsidR="00F25475" w:rsidRPr="0059216A">
        <w:rPr>
          <w:szCs w:val="24"/>
        </w:rPr>
        <w:t>, Commission Research Paper, AusInfo,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2003e, </w:t>
      </w:r>
      <w:r w:rsidR="00F25475" w:rsidRPr="0059216A">
        <w:rPr>
          <w:i/>
          <w:szCs w:val="24"/>
        </w:rPr>
        <w:t>General Practice Administrative and Compliance Costs</w:t>
      </w:r>
      <w:r w:rsidR="00F25475" w:rsidRPr="0059216A">
        <w:rPr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2003f, </w:t>
      </w:r>
      <w:r w:rsidR="00F25475" w:rsidRPr="0059216A">
        <w:rPr>
          <w:i/>
          <w:szCs w:val="24"/>
        </w:rPr>
        <w:t>Social Capital: Reviewing the Concept and its Policy Implications</w:t>
      </w:r>
      <w:r w:rsidR="00F25475" w:rsidRPr="0059216A">
        <w:rPr>
          <w:szCs w:val="24"/>
        </w:rPr>
        <w:t>, Research Paper,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2004a, </w:t>
      </w:r>
      <w:r w:rsidR="00F25475" w:rsidRPr="0059216A">
        <w:rPr>
          <w:i/>
          <w:szCs w:val="24"/>
        </w:rPr>
        <w:t>Review of the Disability Discrimination Act 1992</w:t>
      </w:r>
      <w:r w:rsidR="00F25475" w:rsidRPr="0059216A">
        <w:rPr>
          <w:szCs w:val="24"/>
        </w:rPr>
        <w:t xml:space="preserve">, Inquiry Report No. 30, Melbourne.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2004b, </w:t>
      </w:r>
      <w:r w:rsidR="00F25475" w:rsidRPr="0059216A">
        <w:rPr>
          <w:i/>
          <w:szCs w:val="24"/>
        </w:rPr>
        <w:t>Financial Performance of Government Trading Enterprises, 1998-99 to 2002-03</w:t>
      </w:r>
      <w:r w:rsidR="00F25475" w:rsidRPr="0059216A">
        <w:rPr>
          <w:szCs w:val="24"/>
        </w:rPr>
        <w:t>, Commission Research Paper, Canberra, July.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2004c, </w:t>
      </w:r>
      <w:r w:rsidR="00F25475" w:rsidRPr="0059216A">
        <w:rPr>
          <w:i/>
          <w:szCs w:val="24"/>
        </w:rPr>
        <w:t>Impacts of Native Vegetation and Biodiversity Regulations</w:t>
      </w:r>
      <w:r w:rsidR="00F25475" w:rsidRPr="0059216A">
        <w:rPr>
          <w:szCs w:val="24"/>
        </w:rPr>
        <w:t>, Inquiry Report No. 29,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2004d, </w:t>
      </w:r>
      <w:r w:rsidR="00F25475" w:rsidRPr="0059216A">
        <w:rPr>
          <w:i/>
          <w:szCs w:val="24"/>
        </w:rPr>
        <w:t>First Home Ownership</w:t>
      </w:r>
      <w:r w:rsidR="00F25475" w:rsidRPr="0059216A">
        <w:rPr>
          <w:szCs w:val="24"/>
        </w:rPr>
        <w:t>, Report No. 28,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2004e, </w:t>
      </w:r>
      <w:r w:rsidR="00F25475" w:rsidRPr="0059216A">
        <w:rPr>
          <w:i/>
          <w:szCs w:val="24"/>
        </w:rPr>
        <w:t>National Workers’ Compensation and Occupational Health and Safety Frameworks</w:t>
      </w:r>
      <w:r w:rsidR="00F25475" w:rsidRPr="0059216A">
        <w:rPr>
          <w:szCs w:val="24"/>
        </w:rPr>
        <w:t>, Report No. 27, Canberra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2004f, </w:t>
      </w:r>
      <w:r w:rsidR="00F25475" w:rsidRPr="0059216A">
        <w:rPr>
          <w:i/>
          <w:szCs w:val="24"/>
        </w:rPr>
        <w:t>ICT Use and Productivity: A Synthesis from Studies of Australian Firms</w:t>
      </w:r>
      <w:r w:rsidR="00F25475" w:rsidRPr="0059216A">
        <w:rPr>
          <w:szCs w:val="24"/>
        </w:rPr>
        <w:t>, Commission Research Paper, Canberra.</w:t>
      </w:r>
    </w:p>
    <w:p w:rsidR="00A83170" w:rsidRPr="0059216A" w:rsidRDefault="00A83170" w:rsidP="00A8317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2004g, </w:t>
      </w:r>
      <w:r w:rsidRPr="0059216A">
        <w:rPr>
          <w:i/>
          <w:iCs/>
          <w:szCs w:val="24"/>
        </w:rPr>
        <w:t>Assessing Environmental Regulatory Arrangements for Aquaculture</w:t>
      </w:r>
      <w:r w:rsidRPr="0059216A">
        <w:rPr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2005a, </w:t>
      </w:r>
      <w:r w:rsidR="00F25475" w:rsidRPr="0059216A">
        <w:rPr>
          <w:i/>
          <w:szCs w:val="24"/>
        </w:rPr>
        <w:t>Review of National Competition Policy Reforms</w:t>
      </w:r>
      <w:r w:rsidR="00F25475" w:rsidRPr="0059216A">
        <w:rPr>
          <w:szCs w:val="24"/>
        </w:rPr>
        <w:t>, Inquiry Report No. 33,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2005b, </w:t>
      </w:r>
      <w:r w:rsidR="00F25475" w:rsidRPr="0059216A">
        <w:rPr>
          <w:i/>
          <w:szCs w:val="24"/>
        </w:rPr>
        <w:t>Economic Implications of an Ageing Australia</w:t>
      </w:r>
      <w:r w:rsidR="00F25475" w:rsidRPr="0059216A">
        <w:rPr>
          <w:szCs w:val="24"/>
        </w:rPr>
        <w:t xml:space="preserve">, Research Report, Canberra, April.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2005c, </w:t>
      </w:r>
      <w:r w:rsidR="00F25475" w:rsidRPr="0059216A">
        <w:rPr>
          <w:i/>
          <w:szCs w:val="24"/>
        </w:rPr>
        <w:t>Australia’s Health Workforce</w:t>
      </w:r>
      <w:r w:rsidR="00F25475" w:rsidRPr="0059216A">
        <w:rPr>
          <w:szCs w:val="24"/>
        </w:rPr>
        <w:t xml:space="preserve">, Research Report,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2005d, </w:t>
      </w:r>
      <w:r w:rsidR="00F25475" w:rsidRPr="0059216A">
        <w:rPr>
          <w:i/>
          <w:szCs w:val="24"/>
        </w:rPr>
        <w:t>The Private Cost Effectiveness of Improving Energy Efficiency</w:t>
      </w:r>
      <w:r w:rsidR="00F25475" w:rsidRPr="0059216A">
        <w:rPr>
          <w:szCs w:val="24"/>
        </w:rPr>
        <w:t xml:space="preserve">, Report No. 36,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2005e, </w:t>
      </w:r>
      <w:r w:rsidR="00F25475" w:rsidRPr="0059216A">
        <w:rPr>
          <w:i/>
          <w:szCs w:val="24"/>
        </w:rPr>
        <w:t>Trends in Australian Agriculture</w:t>
      </w:r>
      <w:r w:rsidR="00F25475" w:rsidRPr="0059216A">
        <w:rPr>
          <w:szCs w:val="24"/>
        </w:rPr>
        <w:t>, Research Paper,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2005f, </w:t>
      </w:r>
      <w:r w:rsidR="00F25475" w:rsidRPr="0059216A">
        <w:rPr>
          <w:i/>
          <w:szCs w:val="24"/>
        </w:rPr>
        <w:t>Impacts of Advances in Medical Technology in Australia</w:t>
      </w:r>
      <w:r w:rsidR="00F25475" w:rsidRPr="0059216A">
        <w:rPr>
          <w:szCs w:val="24"/>
        </w:rPr>
        <w:t>, Research Report, Melbourne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2005g, </w:t>
      </w:r>
      <w:r w:rsidR="00F25475" w:rsidRPr="0059216A">
        <w:rPr>
          <w:i/>
          <w:szCs w:val="24"/>
        </w:rPr>
        <w:t>Assistance to Tourism: Exploratory Estimates</w:t>
      </w:r>
      <w:r w:rsidR="00F25475" w:rsidRPr="0059216A">
        <w:rPr>
          <w:szCs w:val="24"/>
        </w:rPr>
        <w:t>, Commission Research Paper, Canberra, April.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2005h, </w:t>
      </w:r>
      <w:r w:rsidR="00F25475" w:rsidRPr="0059216A">
        <w:rPr>
          <w:i/>
          <w:szCs w:val="24"/>
        </w:rPr>
        <w:t>Modelling Impacts of Infrastructure Industry Change over the 1990s, Supplement to Review of National Competition Policy Reforms</w:t>
      </w:r>
      <w:r w:rsidR="00F25475" w:rsidRPr="0059216A">
        <w:rPr>
          <w:szCs w:val="24"/>
        </w:rPr>
        <w:t>, Inquiry Report No. 33,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lastRenderedPageBreak/>
        <w:t>—— </w:t>
      </w:r>
      <w:r w:rsidR="00F25475" w:rsidRPr="0059216A">
        <w:rPr>
          <w:szCs w:val="24"/>
        </w:rPr>
        <w:t xml:space="preserve">2006a, </w:t>
      </w:r>
      <w:r w:rsidR="00F25475" w:rsidRPr="0059216A">
        <w:rPr>
          <w:i/>
          <w:szCs w:val="24"/>
        </w:rPr>
        <w:t>Supporting Research Program</w:t>
      </w:r>
      <w:r w:rsidR="00F25475" w:rsidRPr="0059216A">
        <w:rPr>
          <w:szCs w:val="24"/>
        </w:rPr>
        <w:t>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2006b, </w:t>
      </w:r>
      <w:r w:rsidR="00F25475" w:rsidRPr="0059216A">
        <w:rPr>
          <w:i/>
          <w:szCs w:val="24"/>
        </w:rPr>
        <w:t>Potential Benefits of the National Reform Agenda</w:t>
      </w:r>
      <w:r w:rsidR="00F25475" w:rsidRPr="0059216A">
        <w:rPr>
          <w:szCs w:val="24"/>
        </w:rPr>
        <w:t xml:space="preserve">, Report to the Council of Australian Governments,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2006c, </w:t>
      </w:r>
      <w:r w:rsidR="00F25475" w:rsidRPr="0059216A">
        <w:rPr>
          <w:i/>
          <w:szCs w:val="24"/>
        </w:rPr>
        <w:t>Rural water use and the environment: The role of market mechanisms</w:t>
      </w:r>
      <w:r w:rsidR="00F25475" w:rsidRPr="0059216A">
        <w:rPr>
          <w:szCs w:val="24"/>
        </w:rPr>
        <w:t>, Research Report,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2006d, </w:t>
      </w:r>
      <w:r w:rsidR="00F25475" w:rsidRPr="0059216A">
        <w:rPr>
          <w:i/>
          <w:szCs w:val="24"/>
        </w:rPr>
        <w:t>Review of the Australian Consumer Product Safety System</w:t>
      </w:r>
      <w:r w:rsidR="00F25475" w:rsidRPr="0059216A">
        <w:rPr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2006e, </w:t>
      </w:r>
      <w:r w:rsidR="00F25475" w:rsidRPr="0059216A">
        <w:rPr>
          <w:i/>
          <w:szCs w:val="24"/>
        </w:rPr>
        <w:t>Waste Management</w:t>
      </w:r>
      <w:r w:rsidR="00F25475" w:rsidRPr="0059216A">
        <w:rPr>
          <w:szCs w:val="24"/>
        </w:rPr>
        <w:t xml:space="preserve">, Report No. 38,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2006f, </w:t>
      </w:r>
      <w:r w:rsidR="00F25475" w:rsidRPr="0059216A">
        <w:rPr>
          <w:i/>
          <w:szCs w:val="24"/>
        </w:rPr>
        <w:t>The Role of Non-Traditional Work in the Australian Labour Market</w:t>
      </w:r>
      <w:r w:rsidR="00F25475" w:rsidRPr="0059216A">
        <w:rPr>
          <w:szCs w:val="24"/>
        </w:rPr>
        <w:t>, Commission Research Paper, Melbourne, May.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2006g, </w:t>
      </w:r>
      <w:r w:rsidR="00F25475" w:rsidRPr="0059216A">
        <w:rPr>
          <w:i/>
          <w:szCs w:val="24"/>
        </w:rPr>
        <w:t>Review of Price Regulation of Airport Services</w:t>
      </w:r>
      <w:r w:rsidR="00F25475" w:rsidRPr="0059216A">
        <w:rPr>
          <w:szCs w:val="24"/>
        </w:rPr>
        <w:t>, Report No. 40,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2006h, </w:t>
      </w:r>
      <w:r w:rsidR="00F25475" w:rsidRPr="0059216A">
        <w:rPr>
          <w:i/>
          <w:szCs w:val="24"/>
        </w:rPr>
        <w:t>Road and Rail Freight Infrastructure Pricing</w:t>
      </w:r>
      <w:r w:rsidR="00F25475" w:rsidRPr="0059216A">
        <w:rPr>
          <w:szCs w:val="24"/>
        </w:rPr>
        <w:t>, Report No. 41,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25475" w:rsidRPr="0059216A">
        <w:rPr>
          <w:szCs w:val="24"/>
        </w:rPr>
        <w:t xml:space="preserve">2006i, </w:t>
      </w:r>
      <w:r w:rsidR="00F25475" w:rsidRPr="0059216A">
        <w:rPr>
          <w:i/>
          <w:szCs w:val="24"/>
        </w:rPr>
        <w:t>Economic Impacts of Migration and Population Growth</w:t>
      </w:r>
      <w:r w:rsidR="00F25475" w:rsidRPr="0059216A">
        <w:rPr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2007a, </w:t>
      </w:r>
      <w:r w:rsidR="00F25475" w:rsidRPr="0059216A">
        <w:rPr>
          <w:i/>
          <w:szCs w:val="24"/>
        </w:rPr>
        <w:t>Public Support for Science and Innovation</w:t>
      </w:r>
      <w:r w:rsidR="00F25475" w:rsidRPr="0059216A">
        <w:rPr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2007b, </w:t>
      </w:r>
      <w:r w:rsidR="00F25475" w:rsidRPr="0059216A">
        <w:rPr>
          <w:i/>
          <w:szCs w:val="24"/>
        </w:rPr>
        <w:t>Review of Price Regulation of Airport Services</w:t>
      </w:r>
      <w:r w:rsidR="00F25475" w:rsidRPr="0059216A">
        <w:rPr>
          <w:szCs w:val="24"/>
        </w:rPr>
        <w:t>, Inquiry Report No. 40, Productivity Commission,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2007c, </w:t>
      </w:r>
      <w:r w:rsidR="00F25475" w:rsidRPr="0059216A">
        <w:rPr>
          <w:i/>
          <w:szCs w:val="24"/>
        </w:rPr>
        <w:t>Road and Rail Freight Infrastructure pricing</w:t>
      </w:r>
      <w:r w:rsidR="00F25475" w:rsidRPr="0059216A">
        <w:rPr>
          <w:szCs w:val="24"/>
        </w:rPr>
        <w:t>, Inquiry Report No. 41, Productivity Commission,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2007d, </w:t>
      </w:r>
      <w:r w:rsidR="00F25475" w:rsidRPr="0059216A">
        <w:rPr>
          <w:i/>
          <w:szCs w:val="24"/>
        </w:rPr>
        <w:t>Trade and Assistance Review 2005-06</w:t>
      </w:r>
      <w:r w:rsidR="00F25475" w:rsidRPr="0059216A">
        <w:rPr>
          <w:szCs w:val="24"/>
        </w:rPr>
        <w:t xml:space="preserve">, Annual Report Series, Productivity Commission,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2008a, </w:t>
      </w:r>
      <w:r w:rsidR="00F25475" w:rsidRPr="0059216A">
        <w:rPr>
          <w:i/>
          <w:szCs w:val="24"/>
        </w:rPr>
        <w:t>Modelling Economy-wide Effects of Future Automotive Assistance</w:t>
      </w:r>
      <w:r w:rsidR="00F25475" w:rsidRPr="0059216A">
        <w:rPr>
          <w:szCs w:val="24"/>
        </w:rPr>
        <w:t>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2008b, </w:t>
      </w:r>
      <w:r w:rsidR="00F25475" w:rsidRPr="0059216A">
        <w:rPr>
          <w:i/>
          <w:szCs w:val="24"/>
        </w:rPr>
        <w:t>Modelling Economy-wide Effects of Future TCF Assistance</w:t>
      </w:r>
      <w:r w:rsidR="00F25475" w:rsidRPr="0059216A">
        <w:rPr>
          <w:szCs w:val="24"/>
        </w:rPr>
        <w:t>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2008c, </w:t>
      </w:r>
      <w:r w:rsidR="00F25475" w:rsidRPr="0059216A">
        <w:rPr>
          <w:i/>
          <w:szCs w:val="24"/>
        </w:rPr>
        <w:t>Towards Urban Water Reform: A Discussion Paper</w:t>
      </w:r>
      <w:r w:rsidR="00F25475" w:rsidRPr="0059216A">
        <w:rPr>
          <w:szCs w:val="24"/>
        </w:rPr>
        <w:t>, Productivity Commission Research Paper, Melbourne, March.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2008d, </w:t>
      </w:r>
      <w:r w:rsidR="00F25475" w:rsidRPr="0059216A">
        <w:rPr>
          <w:i/>
          <w:szCs w:val="24"/>
        </w:rPr>
        <w:t>What Role for Policies to Supplement an Emissions Trading Scheme?: Productivity Commission Submission to the Garnaut Climate Change Review</w:t>
      </w:r>
      <w:r w:rsidR="00F25475" w:rsidRPr="0059216A">
        <w:rPr>
          <w:szCs w:val="24"/>
        </w:rPr>
        <w:t>, May.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2008e, </w:t>
      </w:r>
      <w:r w:rsidR="00F25475" w:rsidRPr="0059216A">
        <w:rPr>
          <w:i/>
          <w:szCs w:val="24"/>
        </w:rPr>
        <w:t>Trade &amp; Assistance Review 2006-07</w:t>
      </w:r>
      <w:r w:rsidR="00F25475" w:rsidRPr="0059216A">
        <w:rPr>
          <w:szCs w:val="24"/>
        </w:rPr>
        <w:t>, Annual Report Series, Productivity Commission, Canberra, March.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2008f, </w:t>
      </w:r>
      <w:r w:rsidR="00F25475" w:rsidRPr="0059216A">
        <w:rPr>
          <w:i/>
          <w:szCs w:val="24"/>
        </w:rPr>
        <w:t>Annual Report 2007-08</w:t>
      </w:r>
      <w:r w:rsidR="00F25475" w:rsidRPr="0059216A">
        <w:rPr>
          <w:szCs w:val="24"/>
        </w:rPr>
        <w:t xml:space="preserve">, Annual Report Series, Productivity Commission,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2008g, </w:t>
      </w:r>
      <w:r w:rsidR="00F25475" w:rsidRPr="0059216A">
        <w:rPr>
          <w:i/>
          <w:szCs w:val="24"/>
        </w:rPr>
        <w:t>Trends in Aged Care Services: some implications</w:t>
      </w:r>
      <w:r w:rsidR="00F25475" w:rsidRPr="0059216A">
        <w:rPr>
          <w:szCs w:val="24"/>
        </w:rPr>
        <w:t>, Commission Research Paper,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2008h, </w:t>
      </w:r>
      <w:r w:rsidR="00F25475" w:rsidRPr="0059216A">
        <w:rPr>
          <w:i/>
          <w:szCs w:val="24"/>
        </w:rPr>
        <w:t>Review of Australia’s Consumer Policy Framework</w:t>
      </w:r>
      <w:r w:rsidR="00F25475" w:rsidRPr="0059216A">
        <w:rPr>
          <w:szCs w:val="24"/>
        </w:rPr>
        <w:t>, Inquiry Report No. 45,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2008i, </w:t>
      </w:r>
      <w:r w:rsidR="00F25475" w:rsidRPr="0059216A">
        <w:rPr>
          <w:i/>
          <w:szCs w:val="24"/>
        </w:rPr>
        <w:t>Submission to Infrastructure Australia’s National Infrastructure Audit</w:t>
      </w:r>
      <w:r w:rsidR="00F25475" w:rsidRPr="0059216A">
        <w:rPr>
          <w:szCs w:val="24"/>
        </w:rPr>
        <w:t>, September.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2008j, </w:t>
      </w:r>
      <w:r w:rsidR="00F25475" w:rsidRPr="0059216A">
        <w:rPr>
          <w:i/>
          <w:szCs w:val="24"/>
        </w:rPr>
        <w:t>The Market of Retail Tenancy Leases in Australia</w:t>
      </w:r>
      <w:r w:rsidR="00F25475" w:rsidRPr="0059216A">
        <w:rPr>
          <w:szCs w:val="24"/>
        </w:rPr>
        <w:t>, Inquiry Report No. 43,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lastRenderedPageBreak/>
        <w:t>—— </w:t>
      </w:r>
      <w:r w:rsidR="00F25475" w:rsidRPr="0059216A">
        <w:rPr>
          <w:szCs w:val="24"/>
        </w:rPr>
        <w:t xml:space="preserve">2008k, </w:t>
      </w:r>
      <w:r w:rsidR="00F25475" w:rsidRPr="0059216A">
        <w:rPr>
          <w:i/>
          <w:szCs w:val="24"/>
        </w:rPr>
        <w:t>Assessing Local Government Revenue Raising Capacity</w:t>
      </w:r>
      <w:r w:rsidR="00F25475" w:rsidRPr="0059216A">
        <w:rPr>
          <w:szCs w:val="24"/>
        </w:rPr>
        <w:t xml:space="preserve">, Research Report,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2008l, </w:t>
      </w:r>
      <w:r w:rsidR="00F25475" w:rsidRPr="0059216A">
        <w:rPr>
          <w:i/>
          <w:szCs w:val="24"/>
        </w:rPr>
        <w:t>Chemicals and Plastics Regulation</w:t>
      </w:r>
      <w:r w:rsidR="00F25475" w:rsidRPr="0059216A">
        <w:rPr>
          <w:szCs w:val="24"/>
        </w:rPr>
        <w:t>, Research Report,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2008m, </w:t>
      </w:r>
      <w:r w:rsidR="00F25475" w:rsidRPr="0059216A">
        <w:rPr>
          <w:i/>
          <w:szCs w:val="24"/>
        </w:rPr>
        <w:t>Performance Benchmarking of Australian Business Regulation: cost of business registrations</w:t>
      </w:r>
      <w:r w:rsidR="00F25475" w:rsidRPr="0059216A">
        <w:rPr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2008n, </w:t>
      </w:r>
      <w:r w:rsidR="00F25475" w:rsidRPr="0059216A">
        <w:rPr>
          <w:i/>
          <w:szCs w:val="24"/>
        </w:rPr>
        <w:t>Behavioural Economics and Public Policy, Roundtable Proceedings</w:t>
      </w:r>
      <w:r w:rsidR="00F25475" w:rsidRPr="0059216A">
        <w:rPr>
          <w:szCs w:val="24"/>
        </w:rPr>
        <w:t>, Productivity Commission, Canberra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>2008</w:t>
      </w:r>
      <w:r w:rsidR="00F25475" w:rsidRPr="0059216A">
        <w:rPr>
          <w:szCs w:val="24"/>
        </w:rPr>
        <w:t>o</w:t>
      </w:r>
      <w:r w:rsidR="00CC615E" w:rsidRPr="0059216A">
        <w:rPr>
          <w:szCs w:val="24"/>
        </w:rPr>
        <w:t xml:space="preserve">, </w:t>
      </w:r>
      <w:r w:rsidR="00CC615E" w:rsidRPr="0059216A">
        <w:rPr>
          <w:i/>
          <w:szCs w:val="24"/>
        </w:rPr>
        <w:t>Financial Performance of Government Trading Enterprises, 2004-05 to 2006-07</w:t>
      </w:r>
      <w:r w:rsidR="00CC615E" w:rsidRPr="0059216A">
        <w:rPr>
          <w:szCs w:val="24"/>
        </w:rPr>
        <w:t>, Commission Research Paper, Canberra, July.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2009a, </w:t>
      </w:r>
      <w:r w:rsidR="00F25475" w:rsidRPr="0059216A">
        <w:rPr>
          <w:i/>
          <w:szCs w:val="24"/>
        </w:rPr>
        <w:t>Review of Regulatory Burden on the Upstream Petroleum (Oil and Gas) Sector</w:t>
      </w:r>
      <w:r w:rsidR="00F25475" w:rsidRPr="0059216A">
        <w:rPr>
          <w:szCs w:val="24"/>
        </w:rPr>
        <w:t>, Research Report,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2009b, </w:t>
      </w:r>
      <w:r w:rsidR="00F25475" w:rsidRPr="0059216A">
        <w:rPr>
          <w:i/>
          <w:szCs w:val="24"/>
        </w:rPr>
        <w:t>Annual Review of Regulatory Burdens on Business: Social and Economic Infrastructure Services</w:t>
      </w:r>
      <w:r w:rsidR="00F25475" w:rsidRPr="0059216A">
        <w:rPr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bookmarkStart w:id="3" w:name="OLE_LINK1"/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2009c, </w:t>
      </w:r>
      <w:r w:rsidR="00F25475" w:rsidRPr="0059216A">
        <w:rPr>
          <w:i/>
          <w:szCs w:val="24"/>
        </w:rPr>
        <w:t>Government Drought Support</w:t>
      </w:r>
      <w:r w:rsidR="00F25475" w:rsidRPr="0059216A">
        <w:rPr>
          <w:szCs w:val="24"/>
        </w:rPr>
        <w:t>, Report No. 46, Final Inquiry Report, Melbourne.</w:t>
      </w:r>
    </w:p>
    <w:bookmarkEnd w:id="3"/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2009d, </w:t>
      </w:r>
      <w:r w:rsidR="00F25475" w:rsidRPr="0059216A">
        <w:rPr>
          <w:i/>
          <w:szCs w:val="24"/>
        </w:rPr>
        <w:t>Trade &amp; Assistance Review 2007-08</w:t>
      </w:r>
      <w:r w:rsidR="00F25475" w:rsidRPr="0059216A">
        <w:rPr>
          <w:szCs w:val="24"/>
        </w:rPr>
        <w:t>, Annual Report Series, Productivity Commission, Canberra, May.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2009e, </w:t>
      </w:r>
      <w:r w:rsidR="00F25475" w:rsidRPr="0059216A">
        <w:rPr>
          <w:i/>
          <w:iCs/>
          <w:szCs w:val="24"/>
        </w:rPr>
        <w:t>Submission to the House of Representatives Standing Committee on Economics, Inquiry into Raising the Level of Productivity Growth in the Australian Economy</w:t>
      </w:r>
      <w:r w:rsidR="00F25475" w:rsidRPr="0059216A">
        <w:rPr>
          <w:szCs w:val="24"/>
        </w:rPr>
        <w:t>, Productivity Commission Submission, September.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2009f, </w:t>
      </w:r>
      <w:r w:rsidR="00F25475" w:rsidRPr="0059216A">
        <w:rPr>
          <w:i/>
          <w:szCs w:val="24"/>
        </w:rPr>
        <w:t>Public and Private Hospitals</w:t>
      </w:r>
      <w:r w:rsidR="00F25475" w:rsidRPr="0059216A">
        <w:rPr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2009g, </w:t>
      </w:r>
      <w:r w:rsidR="00F25475" w:rsidRPr="0059216A">
        <w:rPr>
          <w:i/>
          <w:iCs/>
          <w:szCs w:val="24"/>
        </w:rPr>
        <w:t>Executive Remuneration in Australia,</w:t>
      </w:r>
      <w:r w:rsidR="00F25475" w:rsidRPr="0059216A">
        <w:rPr>
          <w:szCs w:val="24"/>
        </w:rPr>
        <w:t xml:space="preserve"> Inquiry Report No. 49,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2009h, </w:t>
      </w:r>
      <w:r w:rsidR="00F25475" w:rsidRPr="0059216A">
        <w:rPr>
          <w:i/>
          <w:iCs/>
          <w:szCs w:val="24"/>
        </w:rPr>
        <w:t>Paid Parental Leave: Support for Parents with Newborn Children,</w:t>
      </w:r>
      <w:r w:rsidR="00F25475" w:rsidRPr="0059216A">
        <w:rPr>
          <w:szCs w:val="24"/>
        </w:rPr>
        <w:t xml:space="preserve"> Inquiry Report No. 47, Canberra, February.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2009i, </w:t>
      </w:r>
      <w:r w:rsidR="00F25475" w:rsidRPr="0059216A">
        <w:rPr>
          <w:i/>
          <w:iCs/>
          <w:szCs w:val="24"/>
        </w:rPr>
        <w:t>Performance Benchmarking of Australian Business Regulation: Food Safety</w:t>
      </w:r>
      <w:r w:rsidR="00F25475" w:rsidRPr="0059216A">
        <w:rPr>
          <w:szCs w:val="24"/>
        </w:rPr>
        <w:t>, Research Report, Canberra, December.</w:t>
      </w:r>
    </w:p>
    <w:p w:rsidR="00A06724" w:rsidRPr="0059216A" w:rsidRDefault="00A06724" w:rsidP="00A06724">
      <w:pPr>
        <w:pStyle w:val="Reference"/>
        <w:rPr>
          <w:szCs w:val="24"/>
        </w:rPr>
      </w:pPr>
      <w:r w:rsidRPr="0059216A">
        <w:rPr>
          <w:szCs w:val="24"/>
        </w:rPr>
        <w:t xml:space="preserve">—— 2010a, </w:t>
      </w:r>
      <w:r w:rsidRPr="0059216A">
        <w:rPr>
          <w:i/>
          <w:szCs w:val="24"/>
        </w:rPr>
        <w:t>Strengthening Evidence Based Policy in the Australian Federation, Volume 1: Roundtable Proceedings</w:t>
      </w:r>
      <w:r w:rsidRPr="0059216A">
        <w:rPr>
          <w:szCs w:val="24"/>
        </w:rPr>
        <w:t>, 17-18 August 2009, Roundtable Proceedings, Canberra, March.</w:t>
      </w:r>
    </w:p>
    <w:p w:rsidR="00A06724" w:rsidRPr="0059216A" w:rsidRDefault="00A06724" w:rsidP="00A06724">
      <w:pPr>
        <w:pStyle w:val="Reference"/>
        <w:rPr>
          <w:szCs w:val="24"/>
        </w:rPr>
      </w:pPr>
      <w:r w:rsidRPr="0059216A">
        <w:rPr>
          <w:szCs w:val="24"/>
        </w:rPr>
        <w:t xml:space="preserve">—— 2010b, </w:t>
      </w:r>
      <w:r w:rsidRPr="0059216A">
        <w:rPr>
          <w:i/>
          <w:szCs w:val="24"/>
        </w:rPr>
        <w:t>Annual Report 2009-10</w:t>
      </w:r>
      <w:r w:rsidRPr="0059216A">
        <w:rPr>
          <w:szCs w:val="24"/>
        </w:rPr>
        <w:t xml:space="preserve">, Annual Report Series, Productivity Commission, Canberra. </w:t>
      </w:r>
    </w:p>
    <w:p w:rsidR="00A06724" w:rsidRPr="0059216A" w:rsidRDefault="00A06724" w:rsidP="00A06724">
      <w:pPr>
        <w:pStyle w:val="Reference"/>
        <w:rPr>
          <w:szCs w:val="24"/>
        </w:rPr>
      </w:pPr>
      <w:r w:rsidRPr="0059216A">
        <w:rPr>
          <w:szCs w:val="24"/>
        </w:rPr>
        <w:t xml:space="preserve">—— 2010c, </w:t>
      </w:r>
      <w:r w:rsidRPr="0059216A">
        <w:rPr>
          <w:i/>
          <w:szCs w:val="24"/>
        </w:rPr>
        <w:t>Contribution of the Not-for-Profit Sector</w:t>
      </w:r>
      <w:r w:rsidRPr="0059216A">
        <w:rPr>
          <w:szCs w:val="24"/>
        </w:rPr>
        <w:t>, Research Report, Canberra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>2010</w:t>
      </w:r>
      <w:r w:rsidR="004C07BC" w:rsidRPr="0059216A">
        <w:rPr>
          <w:szCs w:val="24"/>
        </w:rPr>
        <w:t>d</w:t>
      </w:r>
      <w:r w:rsidR="00F25475" w:rsidRPr="0059216A">
        <w:rPr>
          <w:szCs w:val="24"/>
        </w:rPr>
        <w:t xml:space="preserve">, </w:t>
      </w:r>
      <w:r w:rsidR="00F25475" w:rsidRPr="0059216A">
        <w:rPr>
          <w:i/>
          <w:szCs w:val="24"/>
        </w:rPr>
        <w:t>Market Mechanisms for Recovering Water in the Murray-Darling Basin</w:t>
      </w:r>
      <w:r w:rsidR="00F25475" w:rsidRPr="0059216A">
        <w:rPr>
          <w:szCs w:val="24"/>
        </w:rPr>
        <w:t>, Research Report, March.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>2010</w:t>
      </w:r>
      <w:r w:rsidR="004C07BC" w:rsidRPr="0059216A">
        <w:rPr>
          <w:szCs w:val="24"/>
        </w:rPr>
        <w:t>e</w:t>
      </w:r>
      <w:r w:rsidR="00F25475" w:rsidRPr="0059216A">
        <w:rPr>
          <w:szCs w:val="24"/>
        </w:rPr>
        <w:t xml:space="preserve"> </w:t>
      </w:r>
      <w:r w:rsidR="00F25475" w:rsidRPr="0059216A">
        <w:rPr>
          <w:i/>
          <w:iCs/>
          <w:szCs w:val="24"/>
        </w:rPr>
        <w:t>Gambling</w:t>
      </w:r>
      <w:r w:rsidR="00F25475" w:rsidRPr="0059216A">
        <w:rPr>
          <w:szCs w:val="24"/>
        </w:rPr>
        <w:t>, Inquiry Report No. 50, Volumes 1 and 2, Canberra, February.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>2010</w:t>
      </w:r>
      <w:r w:rsidR="004C07BC" w:rsidRPr="0059216A">
        <w:rPr>
          <w:szCs w:val="24"/>
        </w:rPr>
        <w:t>f</w:t>
      </w:r>
      <w:r w:rsidR="00F25475" w:rsidRPr="0059216A">
        <w:rPr>
          <w:szCs w:val="24"/>
        </w:rPr>
        <w:t xml:space="preserve">, </w:t>
      </w:r>
      <w:r w:rsidR="00F25475" w:rsidRPr="0059216A">
        <w:rPr>
          <w:i/>
          <w:iCs/>
          <w:szCs w:val="24"/>
        </w:rPr>
        <w:t xml:space="preserve">Annual Review of Regulatory Burdens on Business: Business and Consumer Services, </w:t>
      </w:r>
      <w:r w:rsidR="00F25475" w:rsidRPr="0059216A">
        <w:rPr>
          <w:iCs/>
          <w:szCs w:val="24"/>
        </w:rPr>
        <w:t>Draft Research Report,</w:t>
      </w:r>
      <w:r w:rsidR="00F25475" w:rsidRPr="0059216A">
        <w:rPr>
          <w:i/>
          <w:iCs/>
          <w:szCs w:val="24"/>
        </w:rPr>
        <w:t xml:space="preserve"> </w:t>
      </w:r>
      <w:r w:rsidR="00F25475" w:rsidRPr="0059216A">
        <w:rPr>
          <w:szCs w:val="24"/>
        </w:rPr>
        <w:t>Canberra, June.</w:t>
      </w:r>
    </w:p>
    <w:p w:rsidR="003D2A13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3D2A13" w:rsidRPr="0059216A">
        <w:rPr>
          <w:szCs w:val="24"/>
        </w:rPr>
        <w:t>2010</w:t>
      </w:r>
      <w:r w:rsidR="004C07BC" w:rsidRPr="0059216A">
        <w:rPr>
          <w:szCs w:val="24"/>
        </w:rPr>
        <w:t>g</w:t>
      </w:r>
      <w:r w:rsidR="003D2A13" w:rsidRPr="0059216A">
        <w:rPr>
          <w:rFonts w:ascii="TimesNewRomanPSMT" w:hAnsi="TimesNewRomanPSMT" w:cs="TimesNewRomanPSMT"/>
          <w:szCs w:val="24"/>
        </w:rPr>
        <w:t>,</w:t>
      </w:r>
      <w:r w:rsidR="003D2A13" w:rsidRPr="0059216A">
        <w:rPr>
          <w:szCs w:val="24"/>
        </w:rPr>
        <w:t xml:space="preserve"> </w:t>
      </w:r>
      <w:r w:rsidR="003D2A13" w:rsidRPr="0059216A">
        <w:rPr>
          <w:i/>
          <w:iCs/>
          <w:szCs w:val="24"/>
        </w:rPr>
        <w:t>Population and Migration: Understanding the Numbers</w:t>
      </w:r>
      <w:r w:rsidR="003D2A13" w:rsidRPr="0059216A">
        <w:rPr>
          <w:rFonts w:ascii="TimesNewRomanPSMT" w:hAnsi="TimesNewRomanPSMT" w:cs="TimesNewRomanPSMT"/>
          <w:szCs w:val="24"/>
        </w:rPr>
        <w:t xml:space="preserve">, </w:t>
      </w:r>
      <w:r w:rsidR="003D2A13" w:rsidRPr="0059216A">
        <w:rPr>
          <w:szCs w:val="24"/>
        </w:rPr>
        <w:t>Commission Research Paper, Melbourne, December.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lastRenderedPageBreak/>
        <w:t>—— </w:t>
      </w:r>
      <w:r w:rsidR="00F25475" w:rsidRPr="0059216A">
        <w:rPr>
          <w:szCs w:val="24"/>
        </w:rPr>
        <w:t>2010</w:t>
      </w:r>
      <w:r w:rsidR="004C07BC" w:rsidRPr="0059216A">
        <w:rPr>
          <w:szCs w:val="24"/>
        </w:rPr>
        <w:t>h</w:t>
      </w:r>
      <w:r w:rsidR="00F25475" w:rsidRPr="0059216A">
        <w:rPr>
          <w:szCs w:val="24"/>
        </w:rPr>
        <w:t xml:space="preserve">, </w:t>
      </w:r>
      <w:r w:rsidR="00F25475" w:rsidRPr="0059216A">
        <w:rPr>
          <w:i/>
          <w:iCs/>
          <w:szCs w:val="24"/>
        </w:rPr>
        <w:t>Performance Benchmarking of Australian Business Regulation: Occupational Health and Safety</w:t>
      </w:r>
      <w:r w:rsidR="00F25475" w:rsidRPr="0059216A">
        <w:rPr>
          <w:szCs w:val="24"/>
        </w:rPr>
        <w:t>, Research Report, Canberra, March.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>2010</w:t>
      </w:r>
      <w:r w:rsidR="004C07BC" w:rsidRPr="0059216A">
        <w:rPr>
          <w:szCs w:val="24"/>
        </w:rPr>
        <w:t>i</w:t>
      </w:r>
      <w:r w:rsidR="00F25475" w:rsidRPr="0059216A">
        <w:rPr>
          <w:szCs w:val="24"/>
        </w:rPr>
        <w:t xml:space="preserve">, </w:t>
      </w:r>
      <w:r w:rsidR="00F25475" w:rsidRPr="0059216A">
        <w:rPr>
          <w:i/>
          <w:szCs w:val="24"/>
        </w:rPr>
        <w:t>Public and Private Hospitals: Multivariate Analysis</w:t>
      </w:r>
      <w:r w:rsidR="00F25475" w:rsidRPr="0059216A">
        <w:rPr>
          <w:szCs w:val="24"/>
        </w:rPr>
        <w:t xml:space="preserve">, supplement to </w:t>
      </w:r>
      <w:r w:rsidR="00F25475" w:rsidRPr="0059216A">
        <w:rPr>
          <w:i/>
          <w:szCs w:val="24"/>
        </w:rPr>
        <w:t>Public and Private Hospitals</w:t>
      </w:r>
      <w:r w:rsidR="00F25475" w:rsidRPr="0059216A">
        <w:rPr>
          <w:szCs w:val="24"/>
        </w:rPr>
        <w:t xml:space="preserve"> Research Report, March.</w:t>
      </w:r>
    </w:p>
    <w:p w:rsidR="003D2A13" w:rsidRPr="0059216A" w:rsidRDefault="00E94EB0" w:rsidP="00E94EB0">
      <w:pPr>
        <w:pStyle w:val="Reference"/>
        <w:spacing w:before="100" w:line="260" w:lineRule="atLeast"/>
        <w:rPr>
          <w:rStyle w:val="ReferenceChar"/>
          <w:szCs w:val="24"/>
        </w:rPr>
      </w:pPr>
      <w:r w:rsidRPr="0059216A">
        <w:rPr>
          <w:rStyle w:val="ReferenceChar"/>
          <w:szCs w:val="24"/>
        </w:rPr>
        <w:t>—— </w:t>
      </w:r>
      <w:r w:rsidR="003D2A13" w:rsidRPr="0059216A">
        <w:rPr>
          <w:rStyle w:val="ReferenceChar"/>
          <w:szCs w:val="24"/>
        </w:rPr>
        <w:t>2010</w:t>
      </w:r>
      <w:r w:rsidR="004C07BC" w:rsidRPr="0059216A">
        <w:rPr>
          <w:rStyle w:val="ReferenceChar"/>
          <w:szCs w:val="24"/>
        </w:rPr>
        <w:t>j</w:t>
      </w:r>
      <w:r w:rsidR="003D2A13" w:rsidRPr="0059216A">
        <w:rPr>
          <w:rStyle w:val="ReferenceChar"/>
          <w:szCs w:val="24"/>
        </w:rPr>
        <w:t xml:space="preserve">, ‘Recent developments in Australia’s productivity’, </w:t>
      </w:r>
      <w:r w:rsidR="003D2A13" w:rsidRPr="0059216A">
        <w:rPr>
          <w:rStyle w:val="ReferenceChar"/>
          <w:i/>
          <w:szCs w:val="24"/>
        </w:rPr>
        <w:t>Annual Report 2010</w:t>
      </w:r>
      <w:r w:rsidR="003D2A13" w:rsidRPr="0059216A">
        <w:rPr>
          <w:rStyle w:val="ReferenceChar"/>
          <w:i/>
          <w:szCs w:val="24"/>
        </w:rPr>
        <w:noBreakHyphen/>
        <w:t>11</w:t>
      </w:r>
      <w:r w:rsidR="003D2A13" w:rsidRPr="0059216A">
        <w:rPr>
          <w:rStyle w:val="ReferenceChar"/>
          <w:szCs w:val="24"/>
        </w:rPr>
        <w:t>, Appendix A, Annual Report Series, Productivity Commission, Canberra 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2011a, </w:t>
      </w:r>
      <w:r w:rsidR="00F25475" w:rsidRPr="0059216A">
        <w:rPr>
          <w:i/>
          <w:szCs w:val="24"/>
        </w:rPr>
        <w:t>Caring for Older Australians</w:t>
      </w:r>
      <w:r w:rsidR="00F25475" w:rsidRPr="0059216A">
        <w:rPr>
          <w:szCs w:val="24"/>
        </w:rPr>
        <w:t xml:space="preserve">, </w:t>
      </w:r>
      <w:r w:rsidR="003D2A13" w:rsidRPr="0059216A">
        <w:rPr>
          <w:szCs w:val="24"/>
        </w:rPr>
        <w:t xml:space="preserve">Report No. 53, Final </w:t>
      </w:r>
      <w:r w:rsidR="00F25475" w:rsidRPr="0059216A">
        <w:rPr>
          <w:szCs w:val="24"/>
        </w:rPr>
        <w:t xml:space="preserve">Inquiry Report, </w:t>
      </w:r>
      <w:r w:rsidR="003D2A13" w:rsidRPr="0059216A">
        <w:rPr>
          <w:szCs w:val="24"/>
        </w:rPr>
        <w:t>Canberra</w:t>
      </w:r>
      <w:r w:rsidR="00F25475" w:rsidRPr="0059216A">
        <w:rPr>
          <w:szCs w:val="24"/>
        </w:rPr>
        <w:t>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 </w:t>
      </w:r>
      <w:r w:rsidR="00F25475" w:rsidRPr="0059216A">
        <w:rPr>
          <w:szCs w:val="24"/>
        </w:rPr>
        <w:t xml:space="preserve">2011b, </w:t>
      </w:r>
      <w:r w:rsidR="00F25475" w:rsidRPr="0059216A">
        <w:rPr>
          <w:i/>
          <w:szCs w:val="24"/>
        </w:rPr>
        <w:t>Disability Care and Support</w:t>
      </w:r>
      <w:r w:rsidR="00F25475" w:rsidRPr="0059216A">
        <w:rPr>
          <w:szCs w:val="24"/>
        </w:rPr>
        <w:t xml:space="preserve">, Report </w:t>
      </w:r>
      <w:r w:rsidR="003D2A13" w:rsidRPr="0059216A">
        <w:rPr>
          <w:szCs w:val="24"/>
        </w:rPr>
        <w:t>N</w:t>
      </w:r>
      <w:r w:rsidR="00F25475" w:rsidRPr="0059216A">
        <w:rPr>
          <w:szCs w:val="24"/>
        </w:rPr>
        <w:t xml:space="preserve">o. 54, </w:t>
      </w:r>
      <w:r w:rsidR="003D2A13" w:rsidRPr="0059216A">
        <w:rPr>
          <w:szCs w:val="24"/>
        </w:rPr>
        <w:t xml:space="preserve">Final Inquiry Report, </w:t>
      </w:r>
      <w:r w:rsidR="00F25475" w:rsidRPr="0059216A">
        <w:rPr>
          <w:szCs w:val="24"/>
        </w:rPr>
        <w:t xml:space="preserve">Canberra.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2011c, </w:t>
      </w:r>
      <w:r w:rsidR="00CC615E" w:rsidRPr="0059216A">
        <w:rPr>
          <w:i/>
          <w:szCs w:val="24"/>
        </w:rPr>
        <w:t>Australia’s Urban Water Sector</w:t>
      </w:r>
      <w:r w:rsidR="00CC615E" w:rsidRPr="0059216A">
        <w:rPr>
          <w:szCs w:val="24"/>
        </w:rPr>
        <w:t>, Draft Report, Melbourne.</w:t>
      </w:r>
    </w:p>
    <w:p w:rsidR="00CC615E" w:rsidRPr="0059216A" w:rsidRDefault="00E94EB0" w:rsidP="00E94EB0">
      <w:pPr>
        <w:pStyle w:val="Reference"/>
        <w:spacing w:before="100" w:line="260" w:lineRule="atLeast"/>
        <w:rPr>
          <w:bCs/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2011d, </w:t>
      </w:r>
      <w:r w:rsidR="00CC615E" w:rsidRPr="0059216A">
        <w:rPr>
          <w:i/>
          <w:szCs w:val="24"/>
        </w:rPr>
        <w:t>Performance Benchmarking of Australian Business Regulati</w:t>
      </w:r>
      <w:r w:rsidR="00EA201D" w:rsidRPr="0059216A">
        <w:rPr>
          <w:i/>
          <w:szCs w:val="24"/>
        </w:rPr>
        <w:t>on: Planning, Zoning, and</w:t>
      </w:r>
      <w:r w:rsidR="00CC615E" w:rsidRPr="0059216A">
        <w:rPr>
          <w:i/>
          <w:szCs w:val="24"/>
        </w:rPr>
        <w:t xml:space="preserve"> Development Assessment</w:t>
      </w:r>
      <w:r w:rsidRPr="0059216A">
        <w:rPr>
          <w:szCs w:val="24"/>
        </w:rPr>
        <w:t>, Research Report, v</w:t>
      </w:r>
      <w:r w:rsidR="00CC615E" w:rsidRPr="0059216A">
        <w:rPr>
          <w:szCs w:val="24"/>
        </w:rPr>
        <w:t>ol</w:t>
      </w:r>
      <w:r w:rsidR="002E3B2E" w:rsidRPr="0059216A">
        <w:rPr>
          <w:szCs w:val="24"/>
        </w:rPr>
        <w:t xml:space="preserve">. </w:t>
      </w:r>
      <w:r w:rsidR="00CC615E" w:rsidRPr="0059216A">
        <w:rPr>
          <w:szCs w:val="24"/>
        </w:rPr>
        <w:t>1,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rStyle w:val="ReferenceChar"/>
          <w:szCs w:val="24"/>
        </w:rPr>
      </w:pPr>
      <w:r w:rsidRPr="0059216A">
        <w:rPr>
          <w:rStyle w:val="ReferenceChar"/>
          <w:szCs w:val="24"/>
        </w:rPr>
        <w:t>—— </w:t>
      </w:r>
      <w:r w:rsidR="003D2A13" w:rsidRPr="0059216A">
        <w:rPr>
          <w:rStyle w:val="ReferenceChar"/>
          <w:szCs w:val="24"/>
        </w:rPr>
        <w:t>2011e</w:t>
      </w:r>
      <w:r w:rsidR="00CC615E" w:rsidRPr="0059216A">
        <w:rPr>
          <w:rStyle w:val="ReferenceChar"/>
          <w:szCs w:val="24"/>
        </w:rPr>
        <w:t xml:space="preserve">, ‘Australia’s recent productivity performance’, </w:t>
      </w:r>
      <w:r w:rsidR="00CC615E" w:rsidRPr="0059216A">
        <w:rPr>
          <w:rStyle w:val="ReferenceChar"/>
          <w:i/>
          <w:szCs w:val="24"/>
        </w:rPr>
        <w:t>PC Update, May 2011</w:t>
      </w:r>
      <w:r w:rsidR="00CC615E" w:rsidRPr="0059216A">
        <w:rPr>
          <w:rStyle w:val="ReferenceChar"/>
          <w:szCs w:val="24"/>
        </w:rPr>
        <w:t>, Productivity Commission, Melbourne.</w:t>
      </w:r>
    </w:p>
    <w:p w:rsidR="003D2A13" w:rsidRPr="0059216A" w:rsidRDefault="00E94EB0" w:rsidP="00E94EB0">
      <w:pPr>
        <w:pStyle w:val="Reference"/>
        <w:spacing w:before="100" w:line="260" w:lineRule="atLeast"/>
        <w:rPr>
          <w:bCs/>
          <w:szCs w:val="24"/>
        </w:rPr>
      </w:pPr>
      <w:r w:rsidRPr="0059216A">
        <w:rPr>
          <w:szCs w:val="24"/>
        </w:rPr>
        <w:t>—— </w:t>
      </w:r>
      <w:r w:rsidR="003D2A13" w:rsidRPr="0059216A">
        <w:rPr>
          <w:szCs w:val="24"/>
        </w:rPr>
        <w:t xml:space="preserve">2011f, </w:t>
      </w:r>
      <w:r w:rsidR="003D2A13" w:rsidRPr="0059216A">
        <w:rPr>
          <w:i/>
          <w:szCs w:val="24"/>
        </w:rPr>
        <w:t>A ‘Sustainable’ Population?</w:t>
      </w:r>
      <w:r w:rsidR="002E3B2E" w:rsidRPr="0059216A">
        <w:rPr>
          <w:i/>
          <w:szCs w:val="24"/>
        </w:rPr>
        <w:t> – </w:t>
      </w:r>
      <w:r w:rsidR="003D2A13" w:rsidRPr="0059216A">
        <w:rPr>
          <w:i/>
          <w:szCs w:val="24"/>
        </w:rPr>
        <w:t>Key Policy Issues</w:t>
      </w:r>
      <w:r w:rsidR="003D2A13" w:rsidRPr="0059216A">
        <w:rPr>
          <w:bCs/>
          <w:szCs w:val="24"/>
        </w:rPr>
        <w:t>, Roundtable Proceedings, Canberra, March.</w:t>
      </w:r>
    </w:p>
    <w:p w:rsidR="00FB2CCC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FB2CCC" w:rsidRPr="0059216A">
        <w:rPr>
          <w:szCs w:val="24"/>
        </w:rPr>
        <w:t xml:space="preserve">2011g, </w:t>
      </w:r>
      <w:r w:rsidR="00FB2CCC" w:rsidRPr="0059216A">
        <w:rPr>
          <w:i/>
          <w:szCs w:val="24"/>
        </w:rPr>
        <w:t>Annual Report 2010-11</w:t>
      </w:r>
      <w:r w:rsidR="00FB2CCC" w:rsidRPr="0059216A">
        <w:rPr>
          <w:szCs w:val="24"/>
        </w:rPr>
        <w:t>, Annual Report Series, Productivity Commission, Canberra</w:t>
      </w:r>
    </w:p>
    <w:p w:rsidR="00E94EB0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2011h, </w:t>
      </w:r>
      <w:r w:rsidRPr="0059216A">
        <w:rPr>
          <w:i/>
          <w:szCs w:val="24"/>
        </w:rPr>
        <w:t>Early Childhood Development Workforce</w:t>
      </w:r>
      <w:r w:rsidRPr="0059216A">
        <w:rPr>
          <w:szCs w:val="24"/>
        </w:rPr>
        <w:t>, Research Report, Melbourne.</w:t>
      </w:r>
    </w:p>
    <w:p w:rsidR="00E94EB0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2012</w:t>
      </w:r>
      <w:r w:rsidR="00B7411C" w:rsidRPr="0059216A">
        <w:rPr>
          <w:szCs w:val="24"/>
        </w:rPr>
        <w:t>a</w:t>
      </w:r>
      <w:r w:rsidRPr="0059216A">
        <w:rPr>
          <w:szCs w:val="24"/>
        </w:rPr>
        <w:t xml:space="preserve">, ‘Economy-wide modelling of impacts of COAG reforms’, </w:t>
      </w:r>
      <w:r w:rsidRPr="0059216A">
        <w:rPr>
          <w:i/>
          <w:szCs w:val="24"/>
        </w:rPr>
        <w:t>Supplement to Impacts of COAG Reforms: Business Regulation and VET</w:t>
      </w:r>
      <w:r w:rsidRPr="0059216A">
        <w:rPr>
          <w:szCs w:val="24"/>
        </w:rPr>
        <w:t>, Canberra, July.</w:t>
      </w:r>
    </w:p>
    <w:p w:rsidR="00E94EB0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2012</w:t>
      </w:r>
      <w:r w:rsidR="00B7411C" w:rsidRPr="0059216A">
        <w:rPr>
          <w:szCs w:val="24"/>
        </w:rPr>
        <w:t>b</w:t>
      </w:r>
      <w:r w:rsidRPr="0059216A">
        <w:rPr>
          <w:szCs w:val="24"/>
        </w:rPr>
        <w:t xml:space="preserve">, </w:t>
      </w:r>
      <w:r w:rsidRPr="0059216A">
        <w:rPr>
          <w:i/>
          <w:szCs w:val="24"/>
        </w:rPr>
        <w:t>Trade &amp; Assistance Review 2010-11</w:t>
      </w:r>
      <w:r w:rsidRPr="0059216A">
        <w:rPr>
          <w:szCs w:val="24"/>
        </w:rPr>
        <w:t>, Annual Report Series, Productivity Commission, Canberra, May.</w:t>
      </w:r>
    </w:p>
    <w:p w:rsidR="00B7411C" w:rsidRPr="0059216A" w:rsidRDefault="00B7411C" w:rsidP="00B7411C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2012c, </w:t>
      </w:r>
      <w:r w:rsidRPr="0059216A">
        <w:rPr>
          <w:i/>
          <w:szCs w:val="24"/>
        </w:rPr>
        <w:t>Structural Change in Australia: Drivers and Implications</w:t>
      </w:r>
      <w:r w:rsidRPr="0059216A">
        <w:rPr>
          <w:szCs w:val="24"/>
        </w:rPr>
        <w:t>, Commission Research Paper, Melbourne.</w:t>
      </w:r>
    </w:p>
    <w:p w:rsidR="007616D7" w:rsidRPr="0059216A" w:rsidRDefault="007616D7" w:rsidP="007616D7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2012d, </w:t>
      </w:r>
      <w:r w:rsidRPr="0059216A">
        <w:rPr>
          <w:rFonts w:ascii="TimesNewRomanPS-ItalicMT" w:hAnsi="TimesNewRomanPS-ItalicMT" w:cs="TimesNewRomanPS-ItalicMT"/>
          <w:i/>
          <w:iCs/>
        </w:rPr>
        <w:t>Australia’s Export Credit Arrangements</w:t>
      </w:r>
      <w:r w:rsidRPr="0059216A">
        <w:rPr>
          <w:rFonts w:ascii="TimesNewRomanPSMT" w:hAnsi="TimesNewRomanPSMT" w:cs="TimesNewRomanPSMT"/>
        </w:rPr>
        <w:t xml:space="preserve">, </w:t>
      </w:r>
      <w:r w:rsidRPr="0059216A">
        <w:rPr>
          <w:szCs w:val="24"/>
        </w:rPr>
        <w:t>Report No. 58, Final Inquiry Report, Canberra.</w:t>
      </w:r>
    </w:p>
    <w:p w:rsidR="007616D7" w:rsidRPr="0059216A" w:rsidRDefault="007616D7" w:rsidP="007616D7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2012e, </w:t>
      </w:r>
      <w:r w:rsidRPr="0059216A">
        <w:rPr>
          <w:i/>
          <w:szCs w:val="24"/>
        </w:rPr>
        <w:t>Barriers to Effective Climate Change Adaptation</w:t>
      </w:r>
      <w:r w:rsidRPr="0059216A">
        <w:rPr>
          <w:szCs w:val="24"/>
        </w:rPr>
        <w:t>, Report No. 59, Final Inquiry Report, Canberra.</w:t>
      </w:r>
    </w:p>
    <w:p w:rsidR="007616D7" w:rsidRPr="0059216A" w:rsidRDefault="007616D7" w:rsidP="007616D7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2012f, </w:t>
      </w:r>
      <w:r w:rsidRPr="0059216A">
        <w:rPr>
          <w:i/>
          <w:szCs w:val="24"/>
        </w:rPr>
        <w:t>Default Superannuation Funds in Modern Awards</w:t>
      </w:r>
      <w:r w:rsidRPr="0059216A">
        <w:rPr>
          <w:szCs w:val="24"/>
        </w:rPr>
        <w:t>, Report</w:t>
      </w:r>
      <w:r w:rsidR="00935159" w:rsidRPr="0059216A">
        <w:rPr>
          <w:szCs w:val="24"/>
        </w:rPr>
        <w:t xml:space="preserve"> </w:t>
      </w:r>
      <w:r w:rsidRPr="0059216A">
        <w:rPr>
          <w:szCs w:val="24"/>
        </w:rPr>
        <w:t>No. 60, Final Inquiry Report, Canberra.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2012g, </w:t>
      </w:r>
      <w:r w:rsidRPr="0059216A">
        <w:rPr>
          <w:i/>
          <w:szCs w:val="24"/>
        </w:rPr>
        <w:t>Compulsory Licensing of Patents</w:t>
      </w:r>
      <w:r w:rsidRPr="0059216A">
        <w:rPr>
          <w:szCs w:val="24"/>
        </w:rPr>
        <w:t>, Inquiry Report No. 61, Canberra.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2012h, </w:t>
      </w:r>
      <w:r w:rsidRPr="0059216A">
        <w:rPr>
          <w:i/>
          <w:szCs w:val="24"/>
        </w:rPr>
        <w:t>Electricity Network Regulatory Frameworks</w:t>
      </w:r>
      <w:r w:rsidRPr="0059216A">
        <w:rPr>
          <w:szCs w:val="24"/>
        </w:rPr>
        <w:t>, Report No. 62, Canberra.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2012i, </w:t>
      </w:r>
      <w:r w:rsidRPr="0059216A">
        <w:rPr>
          <w:i/>
          <w:szCs w:val="24"/>
        </w:rPr>
        <w:t>Economy-wide modelling of impacts of COAG reforms</w:t>
      </w:r>
      <w:r w:rsidRPr="0059216A">
        <w:rPr>
          <w:szCs w:val="24"/>
        </w:rPr>
        <w:t>, Supplement to Impacts of COAG Reforms: Business Regulation and VET, Canberra, July.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2012j, </w:t>
      </w:r>
      <w:r w:rsidRPr="0059216A">
        <w:rPr>
          <w:i/>
          <w:szCs w:val="24"/>
        </w:rPr>
        <w:t>Performance Benchmarking of Australian Business Regulation: The Role of Local Government as Regulator</w:t>
      </w:r>
      <w:r w:rsidRPr="0059216A">
        <w:rPr>
          <w:szCs w:val="24"/>
        </w:rPr>
        <w:t>, Research Report, Canberra.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2012k, </w:t>
      </w:r>
      <w:r w:rsidRPr="0059216A">
        <w:rPr>
          <w:i/>
          <w:szCs w:val="24"/>
        </w:rPr>
        <w:t>Regulatory Impact Analysis: Benchmarking</w:t>
      </w:r>
      <w:r w:rsidRPr="0059216A">
        <w:rPr>
          <w:szCs w:val="24"/>
        </w:rPr>
        <w:t>, Research Report, Canberra.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2013a, </w:t>
      </w:r>
      <w:r w:rsidRPr="0059216A">
        <w:rPr>
          <w:i/>
          <w:szCs w:val="24"/>
        </w:rPr>
        <w:t>The costs and benefits of demand management for households</w:t>
      </w:r>
      <w:r w:rsidRPr="0059216A">
        <w:rPr>
          <w:szCs w:val="24"/>
        </w:rPr>
        <w:t>, Supplement to inquiry report on Electricity Network Regulatory Frameworks, 9 April.</w:t>
      </w:r>
    </w:p>
    <w:p w:rsidR="009D2834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lastRenderedPageBreak/>
        <w:t>—— </w:t>
      </w:r>
      <w:r w:rsidR="009D2834" w:rsidRPr="0059216A">
        <w:rPr>
          <w:szCs w:val="24"/>
        </w:rPr>
        <w:t xml:space="preserve">and Melbourne Institute of Applied Economic and Social Research 1999, </w:t>
      </w:r>
      <w:r w:rsidR="009D2834" w:rsidRPr="0059216A">
        <w:rPr>
          <w:i/>
          <w:szCs w:val="24"/>
        </w:rPr>
        <w:t>Policy Implications of the Ageing of Australia’s Population</w:t>
      </w:r>
      <w:r w:rsidR="009D2834" w:rsidRPr="0059216A">
        <w:rPr>
          <w:szCs w:val="24"/>
        </w:rPr>
        <w:t>, Conference Proceedings, AusInfo, Canberra.</w:t>
      </w:r>
    </w:p>
    <w:p w:rsidR="00935159" w:rsidRPr="0059216A" w:rsidRDefault="00935159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and New Zealand Productivity Commission 2012, </w:t>
      </w:r>
      <w:r w:rsidRPr="0059216A">
        <w:rPr>
          <w:i/>
          <w:szCs w:val="24"/>
        </w:rPr>
        <w:t>Strengthening trans-Tasman economic relations</w:t>
      </w:r>
      <w:r w:rsidRPr="0059216A">
        <w:rPr>
          <w:szCs w:val="24"/>
        </w:rPr>
        <w:t>, Joint Study, Final Report.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Peterson, D., Dwyer, G., Appels, D. and Fry, J. 2004, </w:t>
      </w:r>
      <w:r w:rsidRPr="0059216A">
        <w:rPr>
          <w:i/>
          <w:szCs w:val="24"/>
        </w:rPr>
        <w:t>Modelling water trade in the southern Murray-Darling Basin</w:t>
      </w:r>
      <w:r w:rsidRPr="0059216A">
        <w:rPr>
          <w:szCs w:val="24"/>
        </w:rPr>
        <w:t>, Productivity Commission Staff Working Paper, Melbourne, November.</w:t>
      </w:r>
    </w:p>
    <w:p w:rsidR="00545BE5" w:rsidRPr="00826672" w:rsidRDefault="00545BE5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 xml:space="preserve">Raj, Y. 2014, ‘Indo-US study finds India’s growth model ‘flawed’’, </w:t>
      </w:r>
      <w:r w:rsidRPr="00826672">
        <w:rPr>
          <w:i/>
          <w:szCs w:val="24"/>
        </w:rPr>
        <w:t>Hindustan Times</w:t>
      </w:r>
      <w:r w:rsidRPr="00826672">
        <w:rPr>
          <w:szCs w:val="24"/>
        </w:rPr>
        <w:t xml:space="preserve">, January 15.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Roper, H., Sayers, C. and Smith, A. 2006, </w:t>
      </w:r>
      <w:r w:rsidRPr="0059216A">
        <w:rPr>
          <w:i/>
          <w:szCs w:val="24"/>
        </w:rPr>
        <w:t>Stranded Irrigation Assets</w:t>
      </w:r>
      <w:r w:rsidRPr="0059216A">
        <w:rPr>
          <w:szCs w:val="24"/>
        </w:rPr>
        <w:t>, Productivity Commission Staff Working Paper, Melbourne, June.</w:t>
      </w:r>
    </w:p>
    <w:p w:rsidR="00A743BA" w:rsidRPr="0059216A" w:rsidRDefault="00A743BA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Rudd, K. (Prime Minister of Australia) 2009. Letter to Productivity Commission re terms of reference for the Overcoming Indigenous Disadvantage (OID) Report, in SCRGSP 2009.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SCRGSP (Steering Committee for the Review of Government Service Provision) 2007, </w:t>
      </w:r>
      <w:r w:rsidRPr="0059216A">
        <w:rPr>
          <w:i/>
          <w:szCs w:val="24"/>
        </w:rPr>
        <w:t>Report on Government Services 2007</w:t>
      </w:r>
      <w:r w:rsidRPr="0059216A">
        <w:rPr>
          <w:szCs w:val="24"/>
        </w:rPr>
        <w:t xml:space="preserve">, Productivity Commission, Canberra.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2008, </w:t>
      </w:r>
      <w:r w:rsidR="00CC615E" w:rsidRPr="0059216A">
        <w:rPr>
          <w:i/>
          <w:szCs w:val="24"/>
        </w:rPr>
        <w:t>Report on Government Services 2008</w:t>
      </w:r>
      <w:r w:rsidR="00CC615E" w:rsidRPr="0059216A">
        <w:rPr>
          <w:szCs w:val="24"/>
        </w:rPr>
        <w:t xml:space="preserve">, Productivity Commission, Canberra.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2009, </w:t>
      </w:r>
      <w:r w:rsidR="00CC615E" w:rsidRPr="0059216A">
        <w:rPr>
          <w:i/>
          <w:szCs w:val="24"/>
        </w:rPr>
        <w:t>Overcoming Indigenous Disadvantage: Key Indicators, 2009</w:t>
      </w:r>
      <w:r w:rsidR="00CC615E" w:rsidRPr="0059216A">
        <w:rPr>
          <w:szCs w:val="24"/>
        </w:rPr>
        <w:t>, Productivity Commission,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2010, </w:t>
      </w:r>
      <w:r w:rsidR="00CC615E" w:rsidRPr="0059216A">
        <w:rPr>
          <w:i/>
          <w:szCs w:val="24"/>
        </w:rPr>
        <w:t>Report on Government Services 2010</w:t>
      </w:r>
      <w:r w:rsidR="00CC615E" w:rsidRPr="0059216A">
        <w:rPr>
          <w:szCs w:val="24"/>
        </w:rPr>
        <w:t>, volumes 1 and 2, Productivity Commission, Canberra</w:t>
      </w:r>
    </w:p>
    <w:p w:rsidR="00D24318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D24318" w:rsidRPr="0059216A">
        <w:rPr>
          <w:szCs w:val="24"/>
        </w:rPr>
        <w:t xml:space="preserve">2011a, </w:t>
      </w:r>
      <w:r w:rsidR="00D24318" w:rsidRPr="0059216A">
        <w:rPr>
          <w:i/>
          <w:szCs w:val="24"/>
        </w:rPr>
        <w:t>Report on Government Services 2011</w:t>
      </w:r>
      <w:r w:rsidR="00D24318" w:rsidRPr="0059216A">
        <w:rPr>
          <w:szCs w:val="24"/>
        </w:rPr>
        <w:t>, volumes 1 and 2, Productivity Commission, Canberra.</w:t>
      </w:r>
    </w:p>
    <w:p w:rsidR="00D24318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D24318" w:rsidRPr="0059216A">
        <w:rPr>
          <w:szCs w:val="24"/>
        </w:rPr>
        <w:t xml:space="preserve">2011b, </w:t>
      </w:r>
      <w:r w:rsidR="00D24318" w:rsidRPr="0059216A">
        <w:rPr>
          <w:i/>
          <w:szCs w:val="24"/>
        </w:rPr>
        <w:t>Overcoming Indigenous Disadvantage: Key Indicators 2011</w:t>
      </w:r>
      <w:r w:rsidR="00D24318" w:rsidRPr="0059216A">
        <w:rPr>
          <w:szCs w:val="24"/>
        </w:rPr>
        <w:t>, Productivity Commission, Canberra.</w:t>
      </w:r>
    </w:p>
    <w:p w:rsidR="005C7DC8" w:rsidRPr="00826672" w:rsidRDefault="005C7DC8" w:rsidP="00E94EB0">
      <w:pPr>
        <w:pStyle w:val="Reference"/>
        <w:spacing w:before="100" w:line="260" w:lineRule="atLeast"/>
        <w:rPr>
          <w:szCs w:val="24"/>
        </w:rPr>
      </w:pPr>
      <w:r w:rsidRPr="00826672">
        <w:t xml:space="preserve">Senate Select Committee into the Abbott Government’s Commission of Audit 2014, </w:t>
      </w:r>
      <w:r w:rsidRPr="00826672">
        <w:rPr>
          <w:i/>
        </w:rPr>
        <w:t>Interim Report</w:t>
      </w:r>
      <w:r w:rsidRPr="00826672">
        <w:t xml:space="preserve">, February.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Senate Standing Committee on Economics 2007, </w:t>
      </w:r>
      <w:r w:rsidRPr="0059216A">
        <w:rPr>
          <w:i/>
          <w:szCs w:val="24"/>
        </w:rPr>
        <w:t>Annual reports (No. 2 of 2007)</w:t>
      </w:r>
      <w:r w:rsidRPr="0059216A">
        <w:rPr>
          <w:szCs w:val="24"/>
        </w:rPr>
        <w:t>, September.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2008, </w:t>
      </w:r>
      <w:r w:rsidR="00CC615E" w:rsidRPr="0059216A">
        <w:rPr>
          <w:i/>
          <w:szCs w:val="24"/>
        </w:rPr>
        <w:t>Annual reports (No. 2 of 2008)</w:t>
      </w:r>
      <w:r w:rsidR="00CC615E" w:rsidRPr="0059216A">
        <w:rPr>
          <w:szCs w:val="24"/>
        </w:rPr>
        <w:t>, September.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2010, </w:t>
      </w:r>
      <w:r w:rsidR="00CC615E" w:rsidRPr="0059216A">
        <w:rPr>
          <w:i/>
          <w:szCs w:val="24"/>
        </w:rPr>
        <w:t>The regulation, registration and remuneration of insolvency practitioners in Australia: the case for a new framework</w:t>
      </w:r>
      <w:r w:rsidR="00CC615E" w:rsidRPr="0059216A">
        <w:rPr>
          <w:szCs w:val="24"/>
        </w:rPr>
        <w:t xml:space="preserve">, September. </w:t>
      </w:r>
    </w:p>
    <w:p w:rsidR="002A121A" w:rsidRPr="0059216A" w:rsidRDefault="002A121A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—— 2013, </w:t>
      </w:r>
      <w:r w:rsidRPr="0059216A">
        <w:rPr>
          <w:i/>
          <w:szCs w:val="24"/>
        </w:rPr>
        <w:t>Annual Reports (No. 1 of 2013)</w:t>
      </w:r>
      <w:r w:rsidRPr="0059216A">
        <w:rPr>
          <w:szCs w:val="24"/>
        </w:rPr>
        <w:t xml:space="preserve">, March. </w:t>
      </w:r>
    </w:p>
    <w:p w:rsidR="00042C72" w:rsidRPr="00826672" w:rsidRDefault="00CC615E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>Senate Standing Committee on Rural and Regional Affairs and Transport 20</w:t>
      </w:r>
      <w:r w:rsidR="00042C72" w:rsidRPr="00826672">
        <w:rPr>
          <w:szCs w:val="24"/>
        </w:rPr>
        <w:t xml:space="preserve">13, Beef Imports, First Report, July. </w:t>
      </w:r>
      <w:hyperlink r:id="rId11" w:history="1">
        <w:r w:rsidR="00042C72" w:rsidRPr="00A15D06">
          <w:rPr>
            <w:rStyle w:val="Hyperlink"/>
            <w:color w:val="auto"/>
            <w:szCs w:val="24"/>
            <w:u w:val="none"/>
          </w:rPr>
          <w:t>http://www.aph.gov.au/Parliamentary_Business/</w:t>
        </w:r>
        <w:r w:rsidR="00A15D06">
          <w:rPr>
            <w:rStyle w:val="Hyperlink"/>
            <w:color w:val="auto"/>
            <w:szCs w:val="24"/>
            <w:u w:val="none"/>
          </w:rPr>
          <w:br/>
        </w:r>
        <w:r w:rsidR="00042C72" w:rsidRPr="00A15D06">
          <w:rPr>
            <w:rStyle w:val="Hyperlink"/>
            <w:color w:val="auto"/>
            <w:szCs w:val="24"/>
            <w:u w:val="none"/>
          </w:rPr>
          <w:t>Committees/Senate/Rural_and_Regional_Affairs_and_Transport/Beef_Imports/~/media/Committees/Senate/committee/rrat_ctte/beef_imports/report01/report.ashx</w:t>
        </w:r>
      </w:hyperlink>
      <w:r w:rsidR="00042C72" w:rsidRPr="00826672">
        <w:rPr>
          <w:szCs w:val="24"/>
        </w:rPr>
        <w:t xml:space="preserve"> (accessed 4 August 2014)</w:t>
      </w:r>
    </w:p>
    <w:p w:rsidR="00CC615E" w:rsidRPr="00826672" w:rsidRDefault="00CC615E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 xml:space="preserve">Shanks, S. and Barnes, P. 2008, </w:t>
      </w:r>
      <w:r w:rsidRPr="00826672">
        <w:rPr>
          <w:i/>
          <w:szCs w:val="24"/>
        </w:rPr>
        <w:t>Econometric Modelling of Infrastructure and Australia’s Productivity</w:t>
      </w:r>
      <w:r w:rsidRPr="00826672">
        <w:rPr>
          <w:szCs w:val="24"/>
        </w:rPr>
        <w:t>, Internal Research Memorandum, Cat No. 08-01, Productivity Commission, Canberra, January, unpublished.</w:t>
      </w:r>
    </w:p>
    <w:p w:rsidR="00CC615E" w:rsidRPr="00826672" w:rsidRDefault="00CC615E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lastRenderedPageBreak/>
        <w:t xml:space="preserve">Shomos, A. 2010, </w:t>
      </w:r>
      <w:r w:rsidRPr="00826672">
        <w:rPr>
          <w:i/>
          <w:iCs/>
          <w:szCs w:val="24"/>
        </w:rPr>
        <w:t>Links Between Literacy and Numeracy Skills and Labour Market Outcomes</w:t>
      </w:r>
      <w:r w:rsidRPr="00826672">
        <w:rPr>
          <w:szCs w:val="24"/>
        </w:rPr>
        <w:t>, Productivity Commission Staff Working Paper, Melbourne, August.</w:t>
      </w:r>
    </w:p>
    <w:p w:rsidR="00215ABA" w:rsidRPr="00826672" w:rsidRDefault="00215ABA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 xml:space="preserve">Shorten, B. (Leader of the Opposition) 2014, ‘Transcript of Speech, Australian National University, Canberra’, </w:t>
      </w:r>
      <w:r w:rsidRPr="00826672">
        <w:rPr>
          <w:i/>
          <w:szCs w:val="24"/>
        </w:rPr>
        <w:t>Media Release</w:t>
      </w:r>
      <w:r w:rsidRPr="00826672">
        <w:rPr>
          <w:szCs w:val="24"/>
        </w:rPr>
        <w:t xml:space="preserve">, 1 July.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Stoeckel, A. and Fisher, H. 2008, </w:t>
      </w:r>
      <w:r w:rsidRPr="0059216A">
        <w:rPr>
          <w:i/>
          <w:szCs w:val="24"/>
        </w:rPr>
        <w:t>Policy Transparency: Why does it work? Who does it best?</w:t>
      </w:r>
      <w:r w:rsidRPr="0059216A">
        <w:rPr>
          <w:szCs w:val="24"/>
        </w:rPr>
        <w:t xml:space="preserve">, Rural Industries Research and Development Corporation and the Centre for International Economics, 4 July. </w:t>
      </w:r>
    </w:p>
    <w:p w:rsidR="00E94EB0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Thompson, G., Murray, T. and Jomini, P. 2012, </w:t>
      </w:r>
      <w:r w:rsidRPr="0059216A">
        <w:rPr>
          <w:i/>
          <w:szCs w:val="24"/>
        </w:rPr>
        <w:t>Trade, Employment and Structural Change: the Australian Experience</w:t>
      </w:r>
      <w:r w:rsidRPr="0059216A">
        <w:rPr>
          <w:szCs w:val="24"/>
        </w:rPr>
        <w:t>, OECD Trade Policy Working Papers, no. 137, Paris.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Topp, V. and Kulys, T. </w:t>
      </w:r>
      <w:r w:rsidR="008B5D28" w:rsidRPr="0059216A">
        <w:rPr>
          <w:szCs w:val="24"/>
        </w:rPr>
        <w:t>2012</w:t>
      </w:r>
      <w:r w:rsidRPr="0059216A">
        <w:rPr>
          <w:szCs w:val="24"/>
        </w:rPr>
        <w:t xml:space="preserve">, </w:t>
      </w:r>
      <w:r w:rsidRPr="0059216A">
        <w:rPr>
          <w:i/>
          <w:szCs w:val="24"/>
        </w:rPr>
        <w:t>Productivity in Electricity, Gas and Water: Measurement and Interpretation</w:t>
      </w:r>
      <w:r w:rsidRPr="0059216A">
        <w:rPr>
          <w:szCs w:val="24"/>
        </w:rPr>
        <w:t>, Productivity Commission Staff Working Paper, Canberra</w:t>
      </w:r>
      <w:r w:rsidR="008B5D28" w:rsidRPr="0059216A">
        <w:rPr>
          <w:szCs w:val="24"/>
        </w:rPr>
        <w:t>, March</w:t>
      </w:r>
      <w:r w:rsidRPr="0059216A">
        <w:rPr>
          <w:szCs w:val="24"/>
        </w:rPr>
        <w:t>.</w:t>
      </w:r>
    </w:p>
    <w:p w:rsidR="00CC615E" w:rsidRPr="0059216A" w:rsidRDefault="007E24DA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rStyle w:val="ReferenceChar"/>
          <w:szCs w:val="24"/>
        </w:rPr>
        <w:t>——</w:t>
      </w:r>
      <w:r w:rsidR="00CC615E" w:rsidRPr="0059216A">
        <w:rPr>
          <w:rStyle w:val="ReferenceChar"/>
          <w:szCs w:val="24"/>
        </w:rPr>
        <w:t xml:space="preserve">, Soames, L., Parham, D. and Bloch, H. 2008, </w:t>
      </w:r>
      <w:r w:rsidR="00CC615E" w:rsidRPr="0059216A">
        <w:rPr>
          <w:rStyle w:val="ReferenceChar"/>
          <w:i/>
          <w:szCs w:val="24"/>
        </w:rPr>
        <w:t>Productivity in the Mining</w:t>
      </w:r>
      <w:r w:rsidR="00CC615E" w:rsidRPr="0059216A">
        <w:rPr>
          <w:i/>
          <w:szCs w:val="24"/>
        </w:rPr>
        <w:t xml:space="preserve"> Industry: Measurement and Interpretation</w:t>
      </w:r>
      <w:r w:rsidR="00CC615E" w:rsidRPr="0059216A">
        <w:rPr>
          <w:szCs w:val="24"/>
        </w:rPr>
        <w:t>, Productivity Commission Staff Working Paper, Canberra.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 xml:space="preserve">Treasury 2002, </w:t>
      </w:r>
      <w:r w:rsidRPr="0059216A">
        <w:rPr>
          <w:i/>
          <w:szCs w:val="24"/>
        </w:rPr>
        <w:t>Intergenerational Report 2002-03</w:t>
      </w:r>
      <w:r w:rsidRPr="0059216A">
        <w:rPr>
          <w:szCs w:val="24"/>
        </w:rPr>
        <w:t xml:space="preserve">, 2002-03 Budget Paper no. 5, Circulated by The Honourable Peter Costello, MP Treasurer of the Commonwealth of Australia, May.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7E24DA" w:rsidRPr="0059216A">
        <w:rPr>
          <w:szCs w:val="24"/>
        </w:rPr>
        <w:t>2</w:t>
      </w:r>
      <w:r w:rsidR="00CC615E" w:rsidRPr="0059216A">
        <w:rPr>
          <w:szCs w:val="24"/>
        </w:rPr>
        <w:t xml:space="preserve">007, </w:t>
      </w:r>
      <w:r w:rsidR="00CC615E" w:rsidRPr="0059216A">
        <w:rPr>
          <w:i/>
          <w:szCs w:val="24"/>
        </w:rPr>
        <w:t>Intergenerational Report 2007</w:t>
      </w:r>
      <w:r w:rsidR="00CC615E" w:rsidRPr="0059216A">
        <w:rPr>
          <w:szCs w:val="24"/>
        </w:rPr>
        <w:t xml:space="preserve">, Circulated by The Honourable Peter Costello, MP, Treasurer of the Commonwealth of Australia, April, http://www.treasury.gov.au/igr/IGR2007.asp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2008a, </w:t>
      </w:r>
      <w:r w:rsidR="00CC615E" w:rsidRPr="0059216A">
        <w:rPr>
          <w:i/>
          <w:szCs w:val="24"/>
        </w:rPr>
        <w:t>Australia’s future tax system: Consultation paper</w:t>
      </w:r>
      <w:r w:rsidR="00CC615E" w:rsidRPr="0059216A">
        <w:rPr>
          <w:szCs w:val="24"/>
        </w:rPr>
        <w:t xml:space="preserve">, December.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2008b, </w:t>
      </w:r>
      <w:r w:rsidR="00CC615E" w:rsidRPr="0059216A">
        <w:rPr>
          <w:i/>
          <w:szCs w:val="24"/>
        </w:rPr>
        <w:t>Boosting Australia’s Productivity Capacity: the role of infrastructure and skills</w:t>
      </w:r>
      <w:r w:rsidR="00CC615E" w:rsidRPr="0059216A">
        <w:rPr>
          <w:szCs w:val="24"/>
        </w:rPr>
        <w:t xml:space="preserve">, Budget Paper no. 1 2008-09, http://www.budget.gov.au/2008-09/content/bp1/downloads/bp1_bst4.pdf (accessed 24 September 2009).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4E355A" w:rsidRPr="0059216A">
        <w:rPr>
          <w:szCs w:val="24"/>
        </w:rPr>
        <w:t>2</w:t>
      </w:r>
      <w:r w:rsidR="00CC615E" w:rsidRPr="0059216A">
        <w:rPr>
          <w:szCs w:val="24"/>
        </w:rPr>
        <w:t xml:space="preserve">009a, </w:t>
      </w:r>
      <w:r w:rsidR="00CC615E" w:rsidRPr="0059216A">
        <w:rPr>
          <w:i/>
          <w:szCs w:val="24"/>
        </w:rPr>
        <w:t>The retirement income system: Report on strategic issues</w:t>
      </w:r>
      <w:r w:rsidR="00CC615E" w:rsidRPr="0059216A">
        <w:rPr>
          <w:szCs w:val="24"/>
        </w:rPr>
        <w:t xml:space="preserve">, Australia’s future tax system, May, </w:t>
      </w:r>
      <w:r w:rsidR="00CC615E" w:rsidRPr="008844D0">
        <w:rPr>
          <w:szCs w:val="24"/>
        </w:rPr>
        <w:t>http://www.taxreview.treasury.gov.au/content/downloads/retirement</w:t>
      </w:r>
      <w:r w:rsidR="00CC615E" w:rsidRPr="008844D0">
        <w:rPr>
          <w:szCs w:val="24"/>
        </w:rPr>
        <w:br/>
        <w:t>_income_report_stategic_issues/retirement_income_report.pdf</w:t>
      </w:r>
      <w:r w:rsidR="00CC615E" w:rsidRPr="0059216A">
        <w:rPr>
          <w:szCs w:val="24"/>
        </w:rPr>
        <w:t xml:space="preserve"> (accessed 13 May 2009).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D37818" w:rsidRPr="0059216A">
        <w:rPr>
          <w:szCs w:val="24"/>
        </w:rPr>
        <w:t>2</w:t>
      </w:r>
      <w:r w:rsidR="00CC615E" w:rsidRPr="0059216A">
        <w:rPr>
          <w:szCs w:val="24"/>
        </w:rPr>
        <w:t xml:space="preserve">009b, </w:t>
      </w:r>
      <w:r w:rsidR="00CC615E" w:rsidRPr="0059216A">
        <w:rPr>
          <w:i/>
          <w:szCs w:val="24"/>
        </w:rPr>
        <w:t>Australia’s Federal Relations</w:t>
      </w:r>
      <w:r w:rsidR="00CC615E" w:rsidRPr="0059216A">
        <w:rPr>
          <w:szCs w:val="24"/>
        </w:rPr>
        <w:t xml:space="preserve">, Budget Paper no. 3 2009-10, http://www.budget.gov.au/2009-10/content/bp3/html/bp3_prelims.htm (accessed 24 September 2009).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>2010</w:t>
      </w:r>
      <w:r w:rsidR="003D2A13" w:rsidRPr="0059216A">
        <w:rPr>
          <w:szCs w:val="24"/>
        </w:rPr>
        <w:t>a</w:t>
      </w:r>
      <w:r w:rsidR="00CC615E" w:rsidRPr="0059216A">
        <w:rPr>
          <w:szCs w:val="24"/>
        </w:rPr>
        <w:t xml:space="preserve">, </w:t>
      </w:r>
      <w:r w:rsidR="00CC615E" w:rsidRPr="0059216A">
        <w:rPr>
          <w:i/>
          <w:szCs w:val="24"/>
        </w:rPr>
        <w:t>Australia to 2050: Future Challenges</w:t>
      </w:r>
      <w:r w:rsidR="00CC615E" w:rsidRPr="0059216A">
        <w:rPr>
          <w:szCs w:val="24"/>
        </w:rPr>
        <w:t>,</w:t>
      </w:r>
      <w:r w:rsidR="00CC615E" w:rsidRPr="0059216A">
        <w:rPr>
          <w:i/>
          <w:iCs/>
          <w:szCs w:val="24"/>
        </w:rPr>
        <w:t xml:space="preserve"> </w:t>
      </w:r>
      <w:r w:rsidR="00CC615E" w:rsidRPr="0059216A">
        <w:rPr>
          <w:rFonts w:ascii="TimesNewRomanPS-ItalicMT" w:hAnsi="TimesNewRomanPS-ItalicMT" w:cs="TimesNewRomanPS-ItalicMT"/>
          <w:iCs/>
          <w:szCs w:val="24"/>
        </w:rPr>
        <w:t>Intergenerational Report 2010</w:t>
      </w:r>
      <w:r w:rsidR="00CC615E" w:rsidRPr="0059216A">
        <w:rPr>
          <w:szCs w:val="24"/>
        </w:rPr>
        <w:t>, Commonwealth of Australia,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2010b, </w:t>
      </w:r>
      <w:r w:rsidR="00CC615E" w:rsidRPr="0059216A">
        <w:rPr>
          <w:i/>
          <w:szCs w:val="24"/>
        </w:rPr>
        <w:t>Tax Expenditure Statement 2009</w:t>
      </w:r>
      <w:r w:rsidR="00CC615E" w:rsidRPr="0059216A">
        <w:rPr>
          <w:szCs w:val="24"/>
        </w:rPr>
        <w:t xml:space="preserve">, 29 January.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2010c, </w:t>
      </w:r>
      <w:r w:rsidR="00CC615E" w:rsidRPr="0059216A">
        <w:rPr>
          <w:i/>
          <w:szCs w:val="24"/>
        </w:rPr>
        <w:t>Intergenerational Report 2010</w:t>
      </w:r>
      <w:r w:rsidR="00CC615E" w:rsidRPr="0059216A">
        <w:rPr>
          <w:szCs w:val="24"/>
        </w:rPr>
        <w:t xml:space="preserve">, Circulated by The Honourable Wayne Swan, MP, Treasurer of the Commonwealth of Australia, January.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2011a, </w:t>
      </w:r>
      <w:r w:rsidR="00CC615E" w:rsidRPr="0059216A">
        <w:rPr>
          <w:i/>
          <w:szCs w:val="24"/>
        </w:rPr>
        <w:t>Scoping Study for a National Not-For-Profit Regulator</w:t>
      </w:r>
      <w:r w:rsidR="00CC615E" w:rsidRPr="0059216A">
        <w:rPr>
          <w:szCs w:val="24"/>
        </w:rPr>
        <w:t xml:space="preserve">, Final Report, April. </w:t>
      </w:r>
      <w:r w:rsidR="00CC615E" w:rsidRPr="008844D0">
        <w:rPr>
          <w:szCs w:val="24"/>
        </w:rPr>
        <w:t>http://treasury.gov.au/documents/2054/PDF/20110706%20-%20Final%20Report%20-%20Scoping%20Study.pdf</w:t>
      </w:r>
      <w:r w:rsidR="00CC615E" w:rsidRPr="0059216A">
        <w:rPr>
          <w:szCs w:val="24"/>
        </w:rPr>
        <w:t xml:space="preserve"> (accessed 14 July 2011)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2011b, </w:t>
      </w:r>
      <w:r w:rsidR="00CC615E" w:rsidRPr="0059216A">
        <w:rPr>
          <w:i/>
          <w:szCs w:val="24"/>
        </w:rPr>
        <w:t>Treasury Incoming Government Brief</w:t>
      </w:r>
      <w:r w:rsidR="00CC615E" w:rsidRPr="0059216A">
        <w:rPr>
          <w:szCs w:val="24"/>
        </w:rPr>
        <w:t xml:space="preserve">, 25 March. </w:t>
      </w:r>
      <w:r w:rsidR="00CC615E" w:rsidRPr="008844D0">
        <w:rPr>
          <w:szCs w:val="24"/>
        </w:rPr>
        <w:t>http://www.treasury.gov.au/contentitem.asp?ContentID=1875&amp;NavID=035</w:t>
      </w:r>
      <w:r w:rsidR="00CC615E" w:rsidRPr="0059216A">
        <w:rPr>
          <w:szCs w:val="24"/>
        </w:rPr>
        <w:t xml:space="preserve"> (accessed 29 July 2011)</w:t>
      </w:r>
    </w:p>
    <w:p w:rsidR="00E94EB0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lastRenderedPageBreak/>
        <w:t xml:space="preserve">—— 2011c, </w:t>
      </w:r>
      <w:r w:rsidRPr="0059216A">
        <w:rPr>
          <w:i/>
          <w:szCs w:val="24"/>
        </w:rPr>
        <w:t>Statement 4: Opportunities and Challenges of an Economy in Transition</w:t>
      </w:r>
      <w:r w:rsidRPr="0059216A">
        <w:rPr>
          <w:szCs w:val="24"/>
        </w:rPr>
        <w:t>, Department of the Treasury, Canberra, http://www.budget.gov.au/</w:t>
      </w:r>
      <w:r w:rsidRPr="0059216A">
        <w:rPr>
          <w:szCs w:val="24"/>
        </w:rPr>
        <w:br/>
        <w:t>2011-12/content/bp1/html/bp1_bst4-02.htm (accessed 20 August 2012).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Cs w:val="24"/>
        </w:rPr>
      </w:pPr>
      <w:r w:rsidRPr="0059216A">
        <w:rPr>
          <w:szCs w:val="24"/>
        </w:rPr>
        <w:t>—— </w:t>
      </w:r>
      <w:r w:rsidR="00CC615E" w:rsidRPr="0059216A">
        <w:rPr>
          <w:szCs w:val="24"/>
        </w:rPr>
        <w:t xml:space="preserve">and Department of Innovation, Industry, Science and Research. 2010, </w:t>
      </w:r>
      <w:r w:rsidR="00CC615E" w:rsidRPr="0059216A">
        <w:rPr>
          <w:i/>
          <w:szCs w:val="24"/>
        </w:rPr>
        <w:t>Strengthening statutory unconscionable conduct and the Franchising Code of Conduct</w:t>
      </w:r>
      <w:r w:rsidR="00CC615E" w:rsidRPr="0059216A">
        <w:rPr>
          <w:szCs w:val="24"/>
        </w:rPr>
        <w:t xml:space="preserve">, Consultation Paper, February. </w:t>
      </w:r>
    </w:p>
    <w:p w:rsidR="001B24A3" w:rsidRPr="00826672" w:rsidRDefault="001B24A3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 xml:space="preserve">Uren, D. 2014, ‘Call for Tax Reform Panel’, The Australian, 18 June. </w:t>
      </w:r>
    </w:p>
    <w:p w:rsidR="00CC615E" w:rsidRPr="00826672" w:rsidRDefault="00CC615E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 xml:space="preserve">Waite, M. and Will, L. 2001, </w:t>
      </w:r>
      <w:r w:rsidRPr="00826672">
        <w:rPr>
          <w:i/>
          <w:szCs w:val="24"/>
        </w:rPr>
        <w:t>Self-employed Contractors in Australia: Incidence and Characteristics</w:t>
      </w:r>
      <w:r w:rsidRPr="00826672">
        <w:rPr>
          <w:szCs w:val="24"/>
        </w:rPr>
        <w:t>, Productivity Commission Staff Research Paper, AusInfo, Canberra.</w:t>
      </w:r>
    </w:p>
    <w:p w:rsidR="00CC615E" w:rsidRPr="00826672" w:rsidRDefault="00E94EB0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>—— </w:t>
      </w:r>
      <w:r w:rsidR="00CC615E" w:rsidRPr="00826672">
        <w:rPr>
          <w:szCs w:val="24"/>
        </w:rPr>
        <w:t xml:space="preserve">and </w:t>
      </w:r>
      <w:r w:rsidRPr="00826672">
        <w:rPr>
          <w:szCs w:val="24"/>
        </w:rPr>
        <w:t>—— </w:t>
      </w:r>
      <w:r w:rsidR="00CC615E" w:rsidRPr="00826672">
        <w:rPr>
          <w:szCs w:val="24"/>
        </w:rPr>
        <w:t xml:space="preserve">2002, </w:t>
      </w:r>
      <w:r w:rsidR="00CC615E" w:rsidRPr="00826672">
        <w:rPr>
          <w:i/>
          <w:szCs w:val="24"/>
        </w:rPr>
        <w:t>Fixed-term Employees in Australia: Incidence and Characteristics</w:t>
      </w:r>
      <w:r w:rsidR="00CC615E" w:rsidRPr="00826672">
        <w:rPr>
          <w:szCs w:val="24"/>
        </w:rPr>
        <w:t>, Productivity Commission Staff Research Paper, AusInfo.</w:t>
      </w:r>
    </w:p>
    <w:p w:rsidR="00E73235" w:rsidRPr="00826672" w:rsidRDefault="00E73235" w:rsidP="00E94EB0">
      <w:pPr>
        <w:pStyle w:val="Reference"/>
        <w:spacing w:before="100" w:line="260" w:lineRule="atLeast"/>
        <w:rPr>
          <w:szCs w:val="24"/>
        </w:rPr>
      </w:pPr>
      <w:r w:rsidRPr="00826672">
        <w:rPr>
          <w:szCs w:val="24"/>
        </w:rPr>
        <w:t xml:space="preserve">Wesfarmers 2014, </w:t>
      </w:r>
      <w:r w:rsidRPr="00826672">
        <w:rPr>
          <w:i/>
          <w:szCs w:val="24"/>
        </w:rPr>
        <w:t>Submission from Wesfarmers to Competition Policy Review Issues Paper</w:t>
      </w:r>
      <w:r w:rsidRPr="00826672">
        <w:rPr>
          <w:szCs w:val="24"/>
        </w:rPr>
        <w:t xml:space="preserve">, June. </w:t>
      </w:r>
      <w:hyperlink r:id="rId12" w:history="1">
        <w:r w:rsidRPr="00A15D06">
          <w:rPr>
            <w:rStyle w:val="Hyperlink"/>
            <w:color w:val="auto"/>
            <w:szCs w:val="24"/>
            <w:u w:val="none"/>
          </w:rPr>
          <w:t>http://competitionpolicyreview.gov.au/files/2014/06/Wesfarmers_</w:t>
        </w:r>
        <w:r w:rsidR="00A15D06">
          <w:rPr>
            <w:rStyle w:val="Hyperlink"/>
            <w:color w:val="auto"/>
            <w:szCs w:val="24"/>
            <w:u w:val="none"/>
          </w:rPr>
          <w:br/>
        </w:r>
        <w:r w:rsidRPr="00A15D06">
          <w:rPr>
            <w:rStyle w:val="Hyperlink"/>
            <w:color w:val="auto"/>
            <w:szCs w:val="24"/>
            <w:u w:val="none"/>
          </w:rPr>
          <w:t>Limited.pdf</w:t>
        </w:r>
      </w:hyperlink>
      <w:r w:rsidRPr="00826672">
        <w:rPr>
          <w:szCs w:val="24"/>
        </w:rPr>
        <w:t xml:space="preserve"> (accessed 30 July 2014)</w:t>
      </w:r>
    </w:p>
    <w:p w:rsidR="00E537E0" w:rsidRDefault="00E537E0" w:rsidP="00F26996">
      <w:pPr>
        <w:pStyle w:val="Reference"/>
        <w:spacing w:before="100" w:line="260" w:lineRule="atLeast"/>
        <w:rPr>
          <w:szCs w:val="24"/>
        </w:rPr>
      </w:pPr>
      <w:r>
        <w:rPr>
          <w:szCs w:val="24"/>
        </w:rPr>
        <w:t xml:space="preserve">Williamson, G. 2014, ‘Witten by the Stars’, </w:t>
      </w:r>
      <w:r w:rsidRPr="003B18B2">
        <w:rPr>
          <w:i/>
          <w:szCs w:val="24"/>
        </w:rPr>
        <w:t>The Weekend Australian</w:t>
      </w:r>
      <w:r>
        <w:rPr>
          <w:szCs w:val="24"/>
        </w:rPr>
        <w:t xml:space="preserve">, 28 June. </w:t>
      </w:r>
    </w:p>
    <w:p w:rsidR="003734D4" w:rsidRDefault="003734D4" w:rsidP="008B3F1C">
      <w:pPr>
        <w:pStyle w:val="Reference"/>
        <w:rPr>
          <w:szCs w:val="24"/>
        </w:rPr>
      </w:pPr>
    </w:p>
    <w:p w:rsidR="00916312" w:rsidRDefault="00916312" w:rsidP="008B3F1C">
      <w:pPr>
        <w:pStyle w:val="Reference"/>
        <w:rPr>
          <w:szCs w:val="24"/>
        </w:rPr>
        <w:sectPr w:rsidR="00916312" w:rsidSect="00A15D06">
          <w:headerReference w:type="even" r:id="rId13"/>
          <w:headerReference w:type="default" r:id="rId14"/>
          <w:footerReference w:type="even" r:id="rId15"/>
          <w:footerReference w:type="default" r:id="rId16"/>
          <w:pgSz w:w="11907" w:h="16840" w:code="9"/>
          <w:pgMar w:top="1984" w:right="1304" w:bottom="1247" w:left="1814" w:header="1701" w:footer="397" w:gutter="0"/>
          <w:pgNumType w:start="173" w:chapSep="period"/>
          <w:cols w:space="720"/>
          <w:docGrid w:linePitch="326"/>
        </w:sectPr>
      </w:pPr>
    </w:p>
    <w:p w:rsidR="00916312" w:rsidRPr="00E94EB0" w:rsidRDefault="00916312" w:rsidP="008B3F1C">
      <w:pPr>
        <w:pStyle w:val="Reference"/>
        <w:rPr>
          <w:szCs w:val="24"/>
        </w:rPr>
      </w:pPr>
    </w:p>
    <w:sectPr w:rsidR="00916312" w:rsidRPr="00E94EB0" w:rsidSect="00916312">
      <w:headerReference w:type="even" r:id="rId17"/>
      <w:footerReference w:type="even" r:id="rId18"/>
      <w:type w:val="evenPage"/>
      <w:pgSz w:w="11907" w:h="16840" w:code="9"/>
      <w:pgMar w:top="1984" w:right="1304" w:bottom="1247" w:left="1814" w:header="1701" w:footer="397" w:gutter="0"/>
      <w:pgNumType w:start="173"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31B" w:rsidRDefault="005F531B">
      <w:r>
        <w:separator/>
      </w:r>
    </w:p>
  </w:endnote>
  <w:endnote w:type="continuationSeparator" w:id="0">
    <w:p w:rsidR="005F531B" w:rsidRDefault="005F5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A15D06" w:rsidTr="005F48ED">
      <w:trPr>
        <w:trHeight w:hRule="exact" w:val="567"/>
      </w:trPr>
      <w:tc>
        <w:tcPr>
          <w:tcW w:w="510" w:type="dxa"/>
        </w:tcPr>
        <w:p w:rsidR="00A15D06" w:rsidRPr="00A24443" w:rsidRDefault="00A15D06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7B1F06">
            <w:rPr>
              <w:rStyle w:val="PageNumber"/>
              <w:caps w:val="0"/>
              <w:noProof/>
            </w:rPr>
            <w:t>174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A15D06" w:rsidRPr="0013739A" w:rsidRDefault="00A15D06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EE2AC9">
            <w:rPr>
              <w:rFonts w:cs="Arial"/>
            </w:rPr>
            <w:t>Annual Report 2013-14</w:t>
          </w:r>
          <w:r w:rsidRPr="00BA5B14">
            <w:rPr>
              <w:rFonts w:cs="Arial"/>
            </w:rPr>
            <w:fldChar w:fldCharType="end"/>
          </w:r>
          <w:bookmarkStart w:id="4" w:name="DraftReportEven"/>
          <w:bookmarkEnd w:id="4"/>
        </w:p>
      </w:tc>
      <w:tc>
        <w:tcPr>
          <w:tcW w:w="510" w:type="dxa"/>
        </w:tcPr>
        <w:p w:rsidR="00A15D06" w:rsidRDefault="00A15D06" w:rsidP="0019293B">
          <w:pPr>
            <w:pStyle w:val="Footer"/>
          </w:pPr>
        </w:p>
      </w:tc>
    </w:tr>
  </w:tbl>
  <w:p w:rsidR="00A15D06" w:rsidRDefault="00A15D06" w:rsidP="0019293B">
    <w:pPr>
      <w:pStyle w:val="FooterEnd"/>
    </w:pPr>
  </w:p>
  <w:p w:rsidR="005F531B" w:rsidRDefault="005F531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A15D06" w:rsidTr="005F48ED">
      <w:trPr>
        <w:trHeight w:hRule="exact" w:val="567"/>
      </w:trPr>
      <w:tc>
        <w:tcPr>
          <w:tcW w:w="510" w:type="dxa"/>
        </w:tcPr>
        <w:p w:rsidR="00A15D06" w:rsidRDefault="00A15D06">
          <w:pPr>
            <w:pStyle w:val="Footer"/>
            <w:ind w:right="360" w:firstLine="360"/>
          </w:pPr>
        </w:p>
      </w:tc>
      <w:tc>
        <w:tcPr>
          <w:tcW w:w="7767" w:type="dxa"/>
        </w:tcPr>
        <w:p w:rsidR="00A15D06" w:rsidRPr="00BA5B14" w:rsidRDefault="00A15D06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EE2AC9">
            <w:rPr>
              <w:rFonts w:cs="Arial"/>
            </w:rPr>
            <w:t>References</w:t>
          </w:r>
          <w:r w:rsidRPr="00BA5B14">
            <w:rPr>
              <w:rFonts w:cs="Arial"/>
            </w:rPr>
            <w:fldChar w:fldCharType="end"/>
          </w:r>
        </w:p>
      </w:tc>
      <w:tc>
        <w:tcPr>
          <w:tcW w:w="510" w:type="dxa"/>
        </w:tcPr>
        <w:p w:rsidR="00A15D06" w:rsidRPr="00A24443" w:rsidRDefault="00A15D06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7B1F06">
            <w:rPr>
              <w:rStyle w:val="PageNumber"/>
              <w:caps w:val="0"/>
              <w:noProof/>
            </w:rPr>
            <w:t>173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A15D06" w:rsidRDefault="00A15D06">
    <w:pPr>
      <w:pStyle w:val="FooterEnd"/>
    </w:pPr>
  </w:p>
  <w:p w:rsidR="005F531B" w:rsidRDefault="005F531B">
    <w:pPr>
      <w:pStyle w:val="FooterEn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12" w:rsidRDefault="00916312" w:rsidP="0019293B">
    <w:pPr>
      <w:pStyle w:val="FooterEnd"/>
    </w:pPr>
  </w:p>
  <w:p w:rsidR="00916312" w:rsidRDefault="00916312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31B" w:rsidRDefault="005F531B">
      <w:r>
        <w:separator/>
      </w:r>
    </w:p>
  </w:footnote>
  <w:footnote w:type="continuationSeparator" w:id="0">
    <w:p w:rsidR="005F531B" w:rsidRDefault="005F5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5F531B">
      <w:tc>
        <w:tcPr>
          <w:tcW w:w="2155" w:type="dxa"/>
          <w:tcBorders>
            <w:top w:val="single" w:sz="24" w:space="0" w:color="auto"/>
          </w:tcBorders>
        </w:tcPr>
        <w:p w:rsidR="005F531B" w:rsidRDefault="005F531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5F531B" w:rsidRDefault="005F531B">
          <w:pPr>
            <w:pStyle w:val="HeaderEven"/>
          </w:pPr>
        </w:p>
      </w:tc>
    </w:tr>
  </w:tbl>
  <w:p w:rsidR="005F531B" w:rsidRDefault="005F531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5F531B">
      <w:tc>
        <w:tcPr>
          <w:tcW w:w="6634" w:type="dxa"/>
          <w:tcBorders>
            <w:top w:val="single" w:sz="6" w:space="0" w:color="auto"/>
          </w:tcBorders>
        </w:tcPr>
        <w:p w:rsidR="005F531B" w:rsidRDefault="005F531B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5F531B" w:rsidRDefault="005F531B">
          <w:pPr>
            <w:pStyle w:val="HeaderOdd"/>
          </w:pPr>
        </w:p>
      </w:tc>
    </w:tr>
  </w:tbl>
  <w:p w:rsidR="005F531B" w:rsidRDefault="005F531B">
    <w:pPr>
      <w:pStyle w:val="HeaderEn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12" w:rsidRDefault="0091631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9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2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6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7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8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9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30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1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6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8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40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1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2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4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5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6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9"/>
  </w:num>
  <w:num w:numId="2">
    <w:abstractNumId w:val="9"/>
  </w:num>
  <w:num w:numId="3">
    <w:abstractNumId w:val="10"/>
  </w:num>
  <w:num w:numId="4">
    <w:abstractNumId w:val="16"/>
  </w:num>
  <w:num w:numId="5">
    <w:abstractNumId w:val="26"/>
  </w:num>
  <w:num w:numId="6">
    <w:abstractNumId w:val="21"/>
  </w:num>
  <w:num w:numId="7">
    <w:abstractNumId w:val="44"/>
  </w:num>
  <w:num w:numId="8">
    <w:abstractNumId w:val="45"/>
  </w:num>
  <w:num w:numId="9">
    <w:abstractNumId w:val="18"/>
  </w:num>
  <w:num w:numId="10">
    <w:abstractNumId w:val="27"/>
  </w:num>
  <w:num w:numId="11">
    <w:abstractNumId w:val="29"/>
  </w:num>
  <w:num w:numId="12">
    <w:abstractNumId w:val="7"/>
  </w:num>
  <w:num w:numId="13">
    <w:abstractNumId w:val="15"/>
  </w:num>
  <w:num w:numId="14">
    <w:abstractNumId w:val="14"/>
  </w:num>
  <w:num w:numId="15">
    <w:abstractNumId w:val="5"/>
  </w:num>
  <w:num w:numId="16">
    <w:abstractNumId w:val="3"/>
  </w:num>
  <w:num w:numId="17">
    <w:abstractNumId w:val="2"/>
  </w:num>
  <w:num w:numId="18">
    <w:abstractNumId w:val="4"/>
  </w:num>
  <w:num w:numId="19">
    <w:abstractNumId w:val="1"/>
  </w:num>
  <w:num w:numId="20">
    <w:abstractNumId w:val="0"/>
  </w:num>
  <w:num w:numId="21">
    <w:abstractNumId w:val="12"/>
  </w:num>
  <w:num w:numId="22">
    <w:abstractNumId w:val="35"/>
  </w:num>
  <w:num w:numId="23">
    <w:abstractNumId w:val="38"/>
  </w:num>
  <w:num w:numId="24">
    <w:abstractNumId w:val="25"/>
  </w:num>
  <w:num w:numId="25">
    <w:abstractNumId w:val="28"/>
  </w:num>
  <w:num w:numId="26">
    <w:abstractNumId w:val="30"/>
  </w:num>
  <w:num w:numId="27">
    <w:abstractNumId w:val="43"/>
  </w:num>
  <w:num w:numId="28">
    <w:abstractNumId w:val="34"/>
  </w:num>
  <w:num w:numId="29">
    <w:abstractNumId w:val="40"/>
  </w:num>
  <w:num w:numId="30">
    <w:abstractNumId w:val="41"/>
  </w:num>
  <w:num w:numId="31">
    <w:abstractNumId w:val="32"/>
  </w:num>
  <w:num w:numId="32">
    <w:abstractNumId w:val="22"/>
  </w:num>
  <w:num w:numId="33">
    <w:abstractNumId w:val="46"/>
  </w:num>
  <w:num w:numId="34">
    <w:abstractNumId w:val="8"/>
  </w:num>
  <w:num w:numId="35">
    <w:abstractNumId w:val="19"/>
  </w:num>
  <w:num w:numId="36">
    <w:abstractNumId w:val="42"/>
  </w:num>
  <w:num w:numId="37">
    <w:abstractNumId w:val="33"/>
  </w:num>
  <w:num w:numId="38">
    <w:abstractNumId w:val="13"/>
  </w:num>
  <w:num w:numId="39">
    <w:abstractNumId w:val="37"/>
  </w:num>
  <w:num w:numId="40">
    <w:abstractNumId w:val="24"/>
  </w:num>
  <w:num w:numId="41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2">
    <w:abstractNumId w:val="11"/>
  </w:num>
  <w:num w:numId="43">
    <w:abstractNumId w:val="20"/>
  </w:num>
  <w:num w:numId="44">
    <w:abstractNumId w:val="23"/>
  </w:num>
  <w:num w:numId="45">
    <w:abstractNumId w:val="31"/>
  </w:num>
  <w:num w:numId="46">
    <w:abstractNumId w:val="6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47">
    <w:abstractNumId w:val="36"/>
  </w:num>
  <w:num w:numId="48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ctiveWritingStyle w:appName="MSWord" w:lang="en-AU" w:vendorID="8" w:dllVersion="513" w:checkStyle="1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34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EvenFooter" w:val="0"/>
    <w:docVar w:name="_HasChapterNumber" w:val="1"/>
    <w:docVar w:name="_NumberByChapter" w:val="0"/>
    <w:docVar w:name="_Separator" w:val="."/>
    <w:docVar w:name="AppendixNumber" w:val="B"/>
    <w:docVar w:name="DocType" w:val="0"/>
    <w:docVar w:name="FindingOptions" w:val="1"/>
    <w:docVar w:name="LongChapterTitle" w:val="Chapter"/>
    <w:docVar w:name="LongReportTitle" w:val="Report title"/>
    <w:docVar w:name="RecOptions" w:val="111"/>
    <w:docVar w:name="ShortChapterTitle" w:val="References"/>
    <w:docVar w:name="ShortReportTitle" w:val="Annual Report 2013-14"/>
    <w:docVar w:name="SideNote" w:val="1"/>
    <w:docVar w:name="UseShortChapter" w:val="0"/>
    <w:docVar w:name="UseShortReport" w:val="0"/>
  </w:docVars>
  <w:rsids>
    <w:rsidRoot w:val="008478E2"/>
    <w:rsid w:val="00000BDB"/>
    <w:rsid w:val="00002EB5"/>
    <w:rsid w:val="00005DDE"/>
    <w:rsid w:val="00005E7F"/>
    <w:rsid w:val="000065F5"/>
    <w:rsid w:val="00007A92"/>
    <w:rsid w:val="00014292"/>
    <w:rsid w:val="000144D5"/>
    <w:rsid w:val="00014B7A"/>
    <w:rsid w:val="0001705E"/>
    <w:rsid w:val="00021190"/>
    <w:rsid w:val="000219F6"/>
    <w:rsid w:val="00025E97"/>
    <w:rsid w:val="000273FB"/>
    <w:rsid w:val="00027920"/>
    <w:rsid w:val="00027EED"/>
    <w:rsid w:val="000317CB"/>
    <w:rsid w:val="000319EF"/>
    <w:rsid w:val="00031A94"/>
    <w:rsid w:val="00031F2D"/>
    <w:rsid w:val="0003297D"/>
    <w:rsid w:val="000349BC"/>
    <w:rsid w:val="00035010"/>
    <w:rsid w:val="0003597A"/>
    <w:rsid w:val="00042C72"/>
    <w:rsid w:val="00044BAD"/>
    <w:rsid w:val="00045828"/>
    <w:rsid w:val="00047489"/>
    <w:rsid w:val="000516D0"/>
    <w:rsid w:val="00051E03"/>
    <w:rsid w:val="0005349E"/>
    <w:rsid w:val="00053E92"/>
    <w:rsid w:val="000547EF"/>
    <w:rsid w:val="0005496B"/>
    <w:rsid w:val="00054AA0"/>
    <w:rsid w:val="00057596"/>
    <w:rsid w:val="00057646"/>
    <w:rsid w:val="00061391"/>
    <w:rsid w:val="00061AAC"/>
    <w:rsid w:val="00063E36"/>
    <w:rsid w:val="00070664"/>
    <w:rsid w:val="000716D2"/>
    <w:rsid w:val="00071CD9"/>
    <w:rsid w:val="000722A8"/>
    <w:rsid w:val="000733C4"/>
    <w:rsid w:val="00074BB8"/>
    <w:rsid w:val="000757E6"/>
    <w:rsid w:val="000770C7"/>
    <w:rsid w:val="000812AD"/>
    <w:rsid w:val="00082EE8"/>
    <w:rsid w:val="000842E6"/>
    <w:rsid w:val="000865B7"/>
    <w:rsid w:val="00087627"/>
    <w:rsid w:val="00090305"/>
    <w:rsid w:val="000911AA"/>
    <w:rsid w:val="00093DD1"/>
    <w:rsid w:val="00094CF4"/>
    <w:rsid w:val="0009518F"/>
    <w:rsid w:val="000A111A"/>
    <w:rsid w:val="000A1872"/>
    <w:rsid w:val="000A2D5D"/>
    <w:rsid w:val="000A4682"/>
    <w:rsid w:val="000A4E30"/>
    <w:rsid w:val="000A7782"/>
    <w:rsid w:val="000A7D87"/>
    <w:rsid w:val="000B0EE0"/>
    <w:rsid w:val="000B1108"/>
    <w:rsid w:val="000B2972"/>
    <w:rsid w:val="000B5778"/>
    <w:rsid w:val="000B578F"/>
    <w:rsid w:val="000B6AD0"/>
    <w:rsid w:val="000B6FAD"/>
    <w:rsid w:val="000B738E"/>
    <w:rsid w:val="000C133B"/>
    <w:rsid w:val="000C3161"/>
    <w:rsid w:val="000C695F"/>
    <w:rsid w:val="000C7785"/>
    <w:rsid w:val="000D0B41"/>
    <w:rsid w:val="000D1568"/>
    <w:rsid w:val="000D15EB"/>
    <w:rsid w:val="000D4186"/>
    <w:rsid w:val="000D4273"/>
    <w:rsid w:val="000D5426"/>
    <w:rsid w:val="000E04A6"/>
    <w:rsid w:val="000E0B52"/>
    <w:rsid w:val="000F1783"/>
    <w:rsid w:val="000F27A4"/>
    <w:rsid w:val="000F29DF"/>
    <w:rsid w:val="000F2D5F"/>
    <w:rsid w:val="000F3A6E"/>
    <w:rsid w:val="000F5798"/>
    <w:rsid w:val="000F7955"/>
    <w:rsid w:val="00102871"/>
    <w:rsid w:val="00106BD9"/>
    <w:rsid w:val="00106DB6"/>
    <w:rsid w:val="00107ED3"/>
    <w:rsid w:val="0011090A"/>
    <w:rsid w:val="00113789"/>
    <w:rsid w:val="00115785"/>
    <w:rsid w:val="00120FDC"/>
    <w:rsid w:val="001212B0"/>
    <w:rsid w:val="00121E43"/>
    <w:rsid w:val="001248CD"/>
    <w:rsid w:val="00124C42"/>
    <w:rsid w:val="00124D34"/>
    <w:rsid w:val="001274C1"/>
    <w:rsid w:val="001308FD"/>
    <w:rsid w:val="00132781"/>
    <w:rsid w:val="00136889"/>
    <w:rsid w:val="0013747B"/>
    <w:rsid w:val="0014037D"/>
    <w:rsid w:val="00142203"/>
    <w:rsid w:val="00150A38"/>
    <w:rsid w:val="001536DF"/>
    <w:rsid w:val="00156EEE"/>
    <w:rsid w:val="00157F75"/>
    <w:rsid w:val="00161FDD"/>
    <w:rsid w:val="001641BE"/>
    <w:rsid w:val="00165796"/>
    <w:rsid w:val="00165CD2"/>
    <w:rsid w:val="00166435"/>
    <w:rsid w:val="001669DD"/>
    <w:rsid w:val="00173713"/>
    <w:rsid w:val="00173D98"/>
    <w:rsid w:val="00176B7D"/>
    <w:rsid w:val="00182755"/>
    <w:rsid w:val="0018773D"/>
    <w:rsid w:val="00192BD4"/>
    <w:rsid w:val="00192DB2"/>
    <w:rsid w:val="001933F3"/>
    <w:rsid w:val="00194312"/>
    <w:rsid w:val="00197A23"/>
    <w:rsid w:val="001A1042"/>
    <w:rsid w:val="001B168A"/>
    <w:rsid w:val="001B2213"/>
    <w:rsid w:val="001B24A3"/>
    <w:rsid w:val="001B5021"/>
    <w:rsid w:val="001B5E3A"/>
    <w:rsid w:val="001B6992"/>
    <w:rsid w:val="001B6F1C"/>
    <w:rsid w:val="001B7BFD"/>
    <w:rsid w:val="001C2CE2"/>
    <w:rsid w:val="001C681B"/>
    <w:rsid w:val="001D0168"/>
    <w:rsid w:val="001D0CEE"/>
    <w:rsid w:val="001D462F"/>
    <w:rsid w:val="001D4813"/>
    <w:rsid w:val="001D5374"/>
    <w:rsid w:val="001D7501"/>
    <w:rsid w:val="001D7676"/>
    <w:rsid w:val="001F3BD2"/>
    <w:rsid w:val="001F4CE2"/>
    <w:rsid w:val="001F5983"/>
    <w:rsid w:val="002051D0"/>
    <w:rsid w:val="00205697"/>
    <w:rsid w:val="002072D5"/>
    <w:rsid w:val="00207AA4"/>
    <w:rsid w:val="00210587"/>
    <w:rsid w:val="00211541"/>
    <w:rsid w:val="00214AA0"/>
    <w:rsid w:val="00215ABA"/>
    <w:rsid w:val="00217425"/>
    <w:rsid w:val="00222BAE"/>
    <w:rsid w:val="00224661"/>
    <w:rsid w:val="002255BC"/>
    <w:rsid w:val="00225D28"/>
    <w:rsid w:val="00226E51"/>
    <w:rsid w:val="0023223C"/>
    <w:rsid w:val="002322DE"/>
    <w:rsid w:val="00233D34"/>
    <w:rsid w:val="00233FC4"/>
    <w:rsid w:val="00235C12"/>
    <w:rsid w:val="00246B0D"/>
    <w:rsid w:val="002472C7"/>
    <w:rsid w:val="0024750D"/>
    <w:rsid w:val="00247CAD"/>
    <w:rsid w:val="00254C58"/>
    <w:rsid w:val="002555C9"/>
    <w:rsid w:val="00261F50"/>
    <w:rsid w:val="00264DCB"/>
    <w:rsid w:val="00265CBD"/>
    <w:rsid w:val="00265D6F"/>
    <w:rsid w:val="002668B7"/>
    <w:rsid w:val="00267A2A"/>
    <w:rsid w:val="00267DD7"/>
    <w:rsid w:val="002704C8"/>
    <w:rsid w:val="002707A5"/>
    <w:rsid w:val="00271DFD"/>
    <w:rsid w:val="0027354A"/>
    <w:rsid w:val="002741DE"/>
    <w:rsid w:val="00277FAF"/>
    <w:rsid w:val="00281912"/>
    <w:rsid w:val="00282C20"/>
    <w:rsid w:val="00283D8F"/>
    <w:rsid w:val="002842E4"/>
    <w:rsid w:val="00285A55"/>
    <w:rsid w:val="00286976"/>
    <w:rsid w:val="00291943"/>
    <w:rsid w:val="002939DB"/>
    <w:rsid w:val="002943C9"/>
    <w:rsid w:val="0029442C"/>
    <w:rsid w:val="00294EED"/>
    <w:rsid w:val="002A0A0E"/>
    <w:rsid w:val="002A121A"/>
    <w:rsid w:val="002A3007"/>
    <w:rsid w:val="002A5CC8"/>
    <w:rsid w:val="002A7898"/>
    <w:rsid w:val="002A7F87"/>
    <w:rsid w:val="002B1A8C"/>
    <w:rsid w:val="002B247F"/>
    <w:rsid w:val="002B4DBE"/>
    <w:rsid w:val="002B722D"/>
    <w:rsid w:val="002B7642"/>
    <w:rsid w:val="002C3C9D"/>
    <w:rsid w:val="002C5463"/>
    <w:rsid w:val="002C5732"/>
    <w:rsid w:val="002C5786"/>
    <w:rsid w:val="002C5EA6"/>
    <w:rsid w:val="002C612E"/>
    <w:rsid w:val="002D0970"/>
    <w:rsid w:val="002D0BF7"/>
    <w:rsid w:val="002D30A4"/>
    <w:rsid w:val="002D6DC9"/>
    <w:rsid w:val="002D6F45"/>
    <w:rsid w:val="002D7B48"/>
    <w:rsid w:val="002E1A8B"/>
    <w:rsid w:val="002E345C"/>
    <w:rsid w:val="002E3B2E"/>
    <w:rsid w:val="002E42A0"/>
    <w:rsid w:val="002E4910"/>
    <w:rsid w:val="002F0B30"/>
    <w:rsid w:val="002F0DA1"/>
    <w:rsid w:val="002F1750"/>
    <w:rsid w:val="003010BE"/>
    <w:rsid w:val="003058E9"/>
    <w:rsid w:val="003124B3"/>
    <w:rsid w:val="00313C1F"/>
    <w:rsid w:val="003156B4"/>
    <w:rsid w:val="00325AAF"/>
    <w:rsid w:val="00326F85"/>
    <w:rsid w:val="0033087A"/>
    <w:rsid w:val="00332A1F"/>
    <w:rsid w:val="00333CC8"/>
    <w:rsid w:val="00345686"/>
    <w:rsid w:val="00347F9B"/>
    <w:rsid w:val="00351121"/>
    <w:rsid w:val="0035504E"/>
    <w:rsid w:val="003578A8"/>
    <w:rsid w:val="00360DEA"/>
    <w:rsid w:val="00361303"/>
    <w:rsid w:val="00361C32"/>
    <w:rsid w:val="00361F87"/>
    <w:rsid w:val="00362775"/>
    <w:rsid w:val="003637AA"/>
    <w:rsid w:val="00365333"/>
    <w:rsid w:val="00366239"/>
    <w:rsid w:val="003672C7"/>
    <w:rsid w:val="00367E64"/>
    <w:rsid w:val="00372173"/>
    <w:rsid w:val="00372953"/>
    <w:rsid w:val="00372B29"/>
    <w:rsid w:val="003734D4"/>
    <w:rsid w:val="003765A3"/>
    <w:rsid w:val="0038515B"/>
    <w:rsid w:val="0038592E"/>
    <w:rsid w:val="0038613C"/>
    <w:rsid w:val="003867D9"/>
    <w:rsid w:val="003915E0"/>
    <w:rsid w:val="003916AD"/>
    <w:rsid w:val="00391F64"/>
    <w:rsid w:val="00393ABF"/>
    <w:rsid w:val="00394296"/>
    <w:rsid w:val="00394437"/>
    <w:rsid w:val="00394D1F"/>
    <w:rsid w:val="00394E60"/>
    <w:rsid w:val="0039768B"/>
    <w:rsid w:val="003A11F3"/>
    <w:rsid w:val="003A2B3A"/>
    <w:rsid w:val="003A5BC0"/>
    <w:rsid w:val="003B050E"/>
    <w:rsid w:val="003B13BD"/>
    <w:rsid w:val="003B18B2"/>
    <w:rsid w:val="003B1ADE"/>
    <w:rsid w:val="003B756E"/>
    <w:rsid w:val="003C53DD"/>
    <w:rsid w:val="003C62CD"/>
    <w:rsid w:val="003C6983"/>
    <w:rsid w:val="003D00CA"/>
    <w:rsid w:val="003D058F"/>
    <w:rsid w:val="003D17E5"/>
    <w:rsid w:val="003D2A13"/>
    <w:rsid w:val="003D3A04"/>
    <w:rsid w:val="003E1839"/>
    <w:rsid w:val="003E2569"/>
    <w:rsid w:val="003E3DC2"/>
    <w:rsid w:val="003E43C2"/>
    <w:rsid w:val="003E4448"/>
    <w:rsid w:val="003E4F4C"/>
    <w:rsid w:val="003E6F4C"/>
    <w:rsid w:val="003E7766"/>
    <w:rsid w:val="003F3045"/>
    <w:rsid w:val="003F4993"/>
    <w:rsid w:val="003F4AF8"/>
    <w:rsid w:val="003F5481"/>
    <w:rsid w:val="003F552D"/>
    <w:rsid w:val="003F573A"/>
    <w:rsid w:val="003F574C"/>
    <w:rsid w:val="003F7613"/>
    <w:rsid w:val="004022D9"/>
    <w:rsid w:val="0040587D"/>
    <w:rsid w:val="00411043"/>
    <w:rsid w:val="00414ECC"/>
    <w:rsid w:val="00416F32"/>
    <w:rsid w:val="004210A6"/>
    <w:rsid w:val="00421E11"/>
    <w:rsid w:val="00422D04"/>
    <w:rsid w:val="00427E1E"/>
    <w:rsid w:val="0043306B"/>
    <w:rsid w:val="004344CB"/>
    <w:rsid w:val="00441116"/>
    <w:rsid w:val="00442301"/>
    <w:rsid w:val="004426B9"/>
    <w:rsid w:val="00444B0E"/>
    <w:rsid w:val="004459CC"/>
    <w:rsid w:val="00447108"/>
    <w:rsid w:val="00447BBC"/>
    <w:rsid w:val="00447CDF"/>
    <w:rsid w:val="00450A05"/>
    <w:rsid w:val="004528E8"/>
    <w:rsid w:val="00452C28"/>
    <w:rsid w:val="004604EB"/>
    <w:rsid w:val="004646C4"/>
    <w:rsid w:val="00465141"/>
    <w:rsid w:val="004667BA"/>
    <w:rsid w:val="0046771F"/>
    <w:rsid w:val="00471D88"/>
    <w:rsid w:val="00480809"/>
    <w:rsid w:val="0048085B"/>
    <w:rsid w:val="00482143"/>
    <w:rsid w:val="004822CE"/>
    <w:rsid w:val="0048250F"/>
    <w:rsid w:val="00482D37"/>
    <w:rsid w:val="00482ED3"/>
    <w:rsid w:val="00484224"/>
    <w:rsid w:val="00484251"/>
    <w:rsid w:val="00486E68"/>
    <w:rsid w:val="00490D79"/>
    <w:rsid w:val="00491217"/>
    <w:rsid w:val="004954C0"/>
    <w:rsid w:val="00496F08"/>
    <w:rsid w:val="004A5BAA"/>
    <w:rsid w:val="004A6690"/>
    <w:rsid w:val="004A6C2D"/>
    <w:rsid w:val="004B0543"/>
    <w:rsid w:val="004B2B7A"/>
    <w:rsid w:val="004B2ED1"/>
    <w:rsid w:val="004B45E1"/>
    <w:rsid w:val="004B5E50"/>
    <w:rsid w:val="004B5EAF"/>
    <w:rsid w:val="004B649D"/>
    <w:rsid w:val="004C07BC"/>
    <w:rsid w:val="004C087B"/>
    <w:rsid w:val="004C19E8"/>
    <w:rsid w:val="004C2BAA"/>
    <w:rsid w:val="004C3483"/>
    <w:rsid w:val="004D0AF8"/>
    <w:rsid w:val="004D1421"/>
    <w:rsid w:val="004D212C"/>
    <w:rsid w:val="004D2B71"/>
    <w:rsid w:val="004D358F"/>
    <w:rsid w:val="004D5B32"/>
    <w:rsid w:val="004E0156"/>
    <w:rsid w:val="004E08DB"/>
    <w:rsid w:val="004E212E"/>
    <w:rsid w:val="004E329F"/>
    <w:rsid w:val="004E355A"/>
    <w:rsid w:val="004E5181"/>
    <w:rsid w:val="004E5F8D"/>
    <w:rsid w:val="004F3EE1"/>
    <w:rsid w:val="004F47AC"/>
    <w:rsid w:val="005048D7"/>
    <w:rsid w:val="00507320"/>
    <w:rsid w:val="00511A1A"/>
    <w:rsid w:val="00520853"/>
    <w:rsid w:val="00521285"/>
    <w:rsid w:val="00522012"/>
    <w:rsid w:val="00523942"/>
    <w:rsid w:val="00523B88"/>
    <w:rsid w:val="0052422B"/>
    <w:rsid w:val="00525B45"/>
    <w:rsid w:val="00530FDB"/>
    <w:rsid w:val="00531B0F"/>
    <w:rsid w:val="00537AF6"/>
    <w:rsid w:val="005447A7"/>
    <w:rsid w:val="005452CC"/>
    <w:rsid w:val="00545BE5"/>
    <w:rsid w:val="00554014"/>
    <w:rsid w:val="00557BD5"/>
    <w:rsid w:val="00557DBD"/>
    <w:rsid w:val="00557ED9"/>
    <w:rsid w:val="005616BE"/>
    <w:rsid w:val="00563016"/>
    <w:rsid w:val="005644AF"/>
    <w:rsid w:val="00565014"/>
    <w:rsid w:val="005663E2"/>
    <w:rsid w:val="005729F4"/>
    <w:rsid w:val="00575BA5"/>
    <w:rsid w:val="005803D6"/>
    <w:rsid w:val="00580C42"/>
    <w:rsid w:val="005827BC"/>
    <w:rsid w:val="00582E73"/>
    <w:rsid w:val="00583B3D"/>
    <w:rsid w:val="00583D56"/>
    <w:rsid w:val="00584A56"/>
    <w:rsid w:val="00590027"/>
    <w:rsid w:val="005912FF"/>
    <w:rsid w:val="0059216A"/>
    <w:rsid w:val="00595C07"/>
    <w:rsid w:val="005A4179"/>
    <w:rsid w:val="005A4539"/>
    <w:rsid w:val="005A5BD1"/>
    <w:rsid w:val="005A72A3"/>
    <w:rsid w:val="005B0D1C"/>
    <w:rsid w:val="005B2143"/>
    <w:rsid w:val="005B39E2"/>
    <w:rsid w:val="005B56A8"/>
    <w:rsid w:val="005B77FE"/>
    <w:rsid w:val="005C0494"/>
    <w:rsid w:val="005C0561"/>
    <w:rsid w:val="005C10DC"/>
    <w:rsid w:val="005C1B44"/>
    <w:rsid w:val="005C1DDD"/>
    <w:rsid w:val="005C3456"/>
    <w:rsid w:val="005C6DC8"/>
    <w:rsid w:val="005C7DC8"/>
    <w:rsid w:val="005D1C2F"/>
    <w:rsid w:val="005D6EEB"/>
    <w:rsid w:val="005E1BB5"/>
    <w:rsid w:val="005E5C2C"/>
    <w:rsid w:val="005E6F1A"/>
    <w:rsid w:val="005F0A36"/>
    <w:rsid w:val="005F0C85"/>
    <w:rsid w:val="005F4F9F"/>
    <w:rsid w:val="005F531B"/>
    <w:rsid w:val="006007BD"/>
    <w:rsid w:val="00600988"/>
    <w:rsid w:val="006046A2"/>
    <w:rsid w:val="00605F21"/>
    <w:rsid w:val="00606EF7"/>
    <w:rsid w:val="006079FE"/>
    <w:rsid w:val="00615379"/>
    <w:rsid w:val="006167FF"/>
    <w:rsid w:val="006204D2"/>
    <w:rsid w:val="00620948"/>
    <w:rsid w:val="00622EF7"/>
    <w:rsid w:val="0062432A"/>
    <w:rsid w:val="00630CB9"/>
    <w:rsid w:val="0063137C"/>
    <w:rsid w:val="006337B7"/>
    <w:rsid w:val="00635F34"/>
    <w:rsid w:val="00637114"/>
    <w:rsid w:val="00643361"/>
    <w:rsid w:val="006442EB"/>
    <w:rsid w:val="00644A73"/>
    <w:rsid w:val="006455AA"/>
    <w:rsid w:val="00647001"/>
    <w:rsid w:val="006502D9"/>
    <w:rsid w:val="006512BD"/>
    <w:rsid w:val="006516A4"/>
    <w:rsid w:val="00651774"/>
    <w:rsid w:val="00653BFC"/>
    <w:rsid w:val="00654115"/>
    <w:rsid w:val="00654A61"/>
    <w:rsid w:val="006555CB"/>
    <w:rsid w:val="00655952"/>
    <w:rsid w:val="00656E97"/>
    <w:rsid w:val="00663343"/>
    <w:rsid w:val="00664068"/>
    <w:rsid w:val="00665411"/>
    <w:rsid w:val="00665C97"/>
    <w:rsid w:val="00666BD5"/>
    <w:rsid w:val="006674D0"/>
    <w:rsid w:val="006736B9"/>
    <w:rsid w:val="0067794A"/>
    <w:rsid w:val="00682073"/>
    <w:rsid w:val="00683B53"/>
    <w:rsid w:val="0068431F"/>
    <w:rsid w:val="00691CB1"/>
    <w:rsid w:val="00691F22"/>
    <w:rsid w:val="006929FD"/>
    <w:rsid w:val="0069383F"/>
    <w:rsid w:val="00696683"/>
    <w:rsid w:val="006A137B"/>
    <w:rsid w:val="006A42B0"/>
    <w:rsid w:val="006A51F4"/>
    <w:rsid w:val="006A7ED5"/>
    <w:rsid w:val="006B1943"/>
    <w:rsid w:val="006B2270"/>
    <w:rsid w:val="006B2A22"/>
    <w:rsid w:val="006B2DC3"/>
    <w:rsid w:val="006B2F42"/>
    <w:rsid w:val="006B3054"/>
    <w:rsid w:val="006C1B3D"/>
    <w:rsid w:val="006C2017"/>
    <w:rsid w:val="006C2875"/>
    <w:rsid w:val="006C792C"/>
    <w:rsid w:val="006D192D"/>
    <w:rsid w:val="006D4530"/>
    <w:rsid w:val="006D4A5A"/>
    <w:rsid w:val="006E34D4"/>
    <w:rsid w:val="006E55EC"/>
    <w:rsid w:val="006E5739"/>
    <w:rsid w:val="006E5EED"/>
    <w:rsid w:val="006F329A"/>
    <w:rsid w:val="006F52CC"/>
    <w:rsid w:val="006F7AE6"/>
    <w:rsid w:val="007000EE"/>
    <w:rsid w:val="00702113"/>
    <w:rsid w:val="00702603"/>
    <w:rsid w:val="00706DC9"/>
    <w:rsid w:val="00711267"/>
    <w:rsid w:val="00714FA8"/>
    <w:rsid w:val="007169A1"/>
    <w:rsid w:val="00717619"/>
    <w:rsid w:val="00717CFC"/>
    <w:rsid w:val="00717EAF"/>
    <w:rsid w:val="0072012A"/>
    <w:rsid w:val="00721902"/>
    <w:rsid w:val="00723013"/>
    <w:rsid w:val="00725EE1"/>
    <w:rsid w:val="0072636B"/>
    <w:rsid w:val="00726A66"/>
    <w:rsid w:val="00726C9C"/>
    <w:rsid w:val="0073431F"/>
    <w:rsid w:val="0074035C"/>
    <w:rsid w:val="007415EA"/>
    <w:rsid w:val="007444DF"/>
    <w:rsid w:val="007456C9"/>
    <w:rsid w:val="00746918"/>
    <w:rsid w:val="00753A07"/>
    <w:rsid w:val="00754237"/>
    <w:rsid w:val="0075515D"/>
    <w:rsid w:val="00756700"/>
    <w:rsid w:val="00757269"/>
    <w:rsid w:val="007616D7"/>
    <w:rsid w:val="00762835"/>
    <w:rsid w:val="00765E02"/>
    <w:rsid w:val="0076657C"/>
    <w:rsid w:val="00772E58"/>
    <w:rsid w:val="00774DC5"/>
    <w:rsid w:val="00776A20"/>
    <w:rsid w:val="007772C4"/>
    <w:rsid w:val="00786166"/>
    <w:rsid w:val="0078762B"/>
    <w:rsid w:val="00791044"/>
    <w:rsid w:val="0079337B"/>
    <w:rsid w:val="00797BE0"/>
    <w:rsid w:val="007A5614"/>
    <w:rsid w:val="007A59AC"/>
    <w:rsid w:val="007B085E"/>
    <w:rsid w:val="007B10EB"/>
    <w:rsid w:val="007B1F06"/>
    <w:rsid w:val="007B4DCB"/>
    <w:rsid w:val="007B7FCC"/>
    <w:rsid w:val="007C02D1"/>
    <w:rsid w:val="007C4EAC"/>
    <w:rsid w:val="007C5D5C"/>
    <w:rsid w:val="007D0A01"/>
    <w:rsid w:val="007D1A9E"/>
    <w:rsid w:val="007D1EFF"/>
    <w:rsid w:val="007D46DF"/>
    <w:rsid w:val="007D79F4"/>
    <w:rsid w:val="007D7E24"/>
    <w:rsid w:val="007E09BE"/>
    <w:rsid w:val="007E24DA"/>
    <w:rsid w:val="007E2F9C"/>
    <w:rsid w:val="007E392D"/>
    <w:rsid w:val="007E3F5F"/>
    <w:rsid w:val="007E69DF"/>
    <w:rsid w:val="007F2129"/>
    <w:rsid w:val="007F2427"/>
    <w:rsid w:val="007F43F5"/>
    <w:rsid w:val="00800FBA"/>
    <w:rsid w:val="00802CA9"/>
    <w:rsid w:val="008030E8"/>
    <w:rsid w:val="0080526C"/>
    <w:rsid w:val="00814E75"/>
    <w:rsid w:val="00815BEB"/>
    <w:rsid w:val="008167E5"/>
    <w:rsid w:val="008221FA"/>
    <w:rsid w:val="00824437"/>
    <w:rsid w:val="00826672"/>
    <w:rsid w:val="00827329"/>
    <w:rsid w:val="00827F65"/>
    <w:rsid w:val="008309FD"/>
    <w:rsid w:val="00835814"/>
    <w:rsid w:val="00835A60"/>
    <w:rsid w:val="00840AE4"/>
    <w:rsid w:val="008414CF"/>
    <w:rsid w:val="008433B4"/>
    <w:rsid w:val="008478E2"/>
    <w:rsid w:val="0085115E"/>
    <w:rsid w:val="00854631"/>
    <w:rsid w:val="00854C9E"/>
    <w:rsid w:val="00857876"/>
    <w:rsid w:val="00862382"/>
    <w:rsid w:val="0086338B"/>
    <w:rsid w:val="00863C82"/>
    <w:rsid w:val="008645C5"/>
    <w:rsid w:val="008670CC"/>
    <w:rsid w:val="0086729E"/>
    <w:rsid w:val="0087125F"/>
    <w:rsid w:val="00874153"/>
    <w:rsid w:val="0087586E"/>
    <w:rsid w:val="00877B45"/>
    <w:rsid w:val="00881954"/>
    <w:rsid w:val="00881B15"/>
    <w:rsid w:val="00881B18"/>
    <w:rsid w:val="008823CD"/>
    <w:rsid w:val="008844D0"/>
    <w:rsid w:val="00884F0E"/>
    <w:rsid w:val="008900D0"/>
    <w:rsid w:val="0089255E"/>
    <w:rsid w:val="00896428"/>
    <w:rsid w:val="00897821"/>
    <w:rsid w:val="008A05C9"/>
    <w:rsid w:val="008A0A2B"/>
    <w:rsid w:val="008A0EC8"/>
    <w:rsid w:val="008A22F8"/>
    <w:rsid w:val="008A35E8"/>
    <w:rsid w:val="008A360F"/>
    <w:rsid w:val="008A76E1"/>
    <w:rsid w:val="008B0F56"/>
    <w:rsid w:val="008B1B09"/>
    <w:rsid w:val="008B34A4"/>
    <w:rsid w:val="008B3F1C"/>
    <w:rsid w:val="008B452F"/>
    <w:rsid w:val="008B5606"/>
    <w:rsid w:val="008B5D28"/>
    <w:rsid w:val="008B6A34"/>
    <w:rsid w:val="008D21FF"/>
    <w:rsid w:val="008D4BC3"/>
    <w:rsid w:val="008D55B2"/>
    <w:rsid w:val="008E0123"/>
    <w:rsid w:val="008E0C2C"/>
    <w:rsid w:val="008E30E4"/>
    <w:rsid w:val="008E44B8"/>
    <w:rsid w:val="008E751F"/>
    <w:rsid w:val="008E7CFF"/>
    <w:rsid w:val="008F427C"/>
    <w:rsid w:val="00900397"/>
    <w:rsid w:val="0090440D"/>
    <w:rsid w:val="00907680"/>
    <w:rsid w:val="00913F9D"/>
    <w:rsid w:val="00916312"/>
    <w:rsid w:val="00916F29"/>
    <w:rsid w:val="0092287F"/>
    <w:rsid w:val="009255B2"/>
    <w:rsid w:val="00927D68"/>
    <w:rsid w:val="009307AD"/>
    <w:rsid w:val="00930BED"/>
    <w:rsid w:val="00931625"/>
    <w:rsid w:val="009317B1"/>
    <w:rsid w:val="00931A60"/>
    <w:rsid w:val="009337B8"/>
    <w:rsid w:val="00935159"/>
    <w:rsid w:val="009357C2"/>
    <w:rsid w:val="0093741A"/>
    <w:rsid w:val="009378F2"/>
    <w:rsid w:val="00937EDD"/>
    <w:rsid w:val="00937F7A"/>
    <w:rsid w:val="00944AF7"/>
    <w:rsid w:val="0094705C"/>
    <w:rsid w:val="009544CC"/>
    <w:rsid w:val="00957933"/>
    <w:rsid w:val="00962389"/>
    <w:rsid w:val="00962CB3"/>
    <w:rsid w:val="009634EC"/>
    <w:rsid w:val="0096509E"/>
    <w:rsid w:val="00967C03"/>
    <w:rsid w:val="00983C24"/>
    <w:rsid w:val="00983F29"/>
    <w:rsid w:val="00984359"/>
    <w:rsid w:val="00984C2E"/>
    <w:rsid w:val="009870C6"/>
    <w:rsid w:val="00987E89"/>
    <w:rsid w:val="0099263E"/>
    <w:rsid w:val="00992BAA"/>
    <w:rsid w:val="009962E6"/>
    <w:rsid w:val="009967EE"/>
    <w:rsid w:val="009A19EF"/>
    <w:rsid w:val="009A4BC9"/>
    <w:rsid w:val="009A67EB"/>
    <w:rsid w:val="009B01E1"/>
    <w:rsid w:val="009B1042"/>
    <w:rsid w:val="009B21A6"/>
    <w:rsid w:val="009B5D3C"/>
    <w:rsid w:val="009B613D"/>
    <w:rsid w:val="009C3919"/>
    <w:rsid w:val="009C4B5D"/>
    <w:rsid w:val="009C763F"/>
    <w:rsid w:val="009D07A7"/>
    <w:rsid w:val="009D2834"/>
    <w:rsid w:val="009D331F"/>
    <w:rsid w:val="009D6585"/>
    <w:rsid w:val="009D7DCE"/>
    <w:rsid w:val="009E0190"/>
    <w:rsid w:val="009E1345"/>
    <w:rsid w:val="009E1A74"/>
    <w:rsid w:val="009E3671"/>
    <w:rsid w:val="009E6F39"/>
    <w:rsid w:val="009E7206"/>
    <w:rsid w:val="009F03AD"/>
    <w:rsid w:val="009F05D7"/>
    <w:rsid w:val="009F1751"/>
    <w:rsid w:val="009F18B6"/>
    <w:rsid w:val="009F2606"/>
    <w:rsid w:val="009F2EC5"/>
    <w:rsid w:val="009F3AEA"/>
    <w:rsid w:val="009F5334"/>
    <w:rsid w:val="009F6607"/>
    <w:rsid w:val="00A000B0"/>
    <w:rsid w:val="00A00FCD"/>
    <w:rsid w:val="00A01DC6"/>
    <w:rsid w:val="00A05470"/>
    <w:rsid w:val="00A06724"/>
    <w:rsid w:val="00A15D06"/>
    <w:rsid w:val="00A174B6"/>
    <w:rsid w:val="00A17C40"/>
    <w:rsid w:val="00A2112E"/>
    <w:rsid w:val="00A2251E"/>
    <w:rsid w:val="00A260F5"/>
    <w:rsid w:val="00A275C3"/>
    <w:rsid w:val="00A40610"/>
    <w:rsid w:val="00A4198B"/>
    <w:rsid w:val="00A44AEA"/>
    <w:rsid w:val="00A457F5"/>
    <w:rsid w:val="00A4610C"/>
    <w:rsid w:val="00A5050E"/>
    <w:rsid w:val="00A51F0E"/>
    <w:rsid w:val="00A52A30"/>
    <w:rsid w:val="00A55692"/>
    <w:rsid w:val="00A63F58"/>
    <w:rsid w:val="00A64D30"/>
    <w:rsid w:val="00A652E6"/>
    <w:rsid w:val="00A70350"/>
    <w:rsid w:val="00A743BA"/>
    <w:rsid w:val="00A74E69"/>
    <w:rsid w:val="00A80A1A"/>
    <w:rsid w:val="00A83170"/>
    <w:rsid w:val="00A8318C"/>
    <w:rsid w:val="00A83731"/>
    <w:rsid w:val="00A86360"/>
    <w:rsid w:val="00A90CBE"/>
    <w:rsid w:val="00A91A40"/>
    <w:rsid w:val="00A96068"/>
    <w:rsid w:val="00AA245F"/>
    <w:rsid w:val="00AA3606"/>
    <w:rsid w:val="00AA44A3"/>
    <w:rsid w:val="00AA6090"/>
    <w:rsid w:val="00AB1C2C"/>
    <w:rsid w:val="00AB44BE"/>
    <w:rsid w:val="00AB4542"/>
    <w:rsid w:val="00AB4E6A"/>
    <w:rsid w:val="00AB6E85"/>
    <w:rsid w:val="00AB7056"/>
    <w:rsid w:val="00AC1AB1"/>
    <w:rsid w:val="00AC2B50"/>
    <w:rsid w:val="00AC404D"/>
    <w:rsid w:val="00AC4D01"/>
    <w:rsid w:val="00AC5BF6"/>
    <w:rsid w:val="00AC613B"/>
    <w:rsid w:val="00AD1EEC"/>
    <w:rsid w:val="00AD267A"/>
    <w:rsid w:val="00AD2D6F"/>
    <w:rsid w:val="00AD31ED"/>
    <w:rsid w:val="00AD3286"/>
    <w:rsid w:val="00AD3AB9"/>
    <w:rsid w:val="00AD3D2B"/>
    <w:rsid w:val="00AD5874"/>
    <w:rsid w:val="00AD5D9F"/>
    <w:rsid w:val="00AD5EE9"/>
    <w:rsid w:val="00AD6E5E"/>
    <w:rsid w:val="00AE18C4"/>
    <w:rsid w:val="00AE3BA4"/>
    <w:rsid w:val="00AE4A9A"/>
    <w:rsid w:val="00AF4CF9"/>
    <w:rsid w:val="00B12B72"/>
    <w:rsid w:val="00B149E9"/>
    <w:rsid w:val="00B21EAA"/>
    <w:rsid w:val="00B23E5F"/>
    <w:rsid w:val="00B2647B"/>
    <w:rsid w:val="00B30457"/>
    <w:rsid w:val="00B32719"/>
    <w:rsid w:val="00B338AD"/>
    <w:rsid w:val="00B34FDF"/>
    <w:rsid w:val="00B35B1E"/>
    <w:rsid w:val="00B36555"/>
    <w:rsid w:val="00B366AA"/>
    <w:rsid w:val="00B372F5"/>
    <w:rsid w:val="00B4369E"/>
    <w:rsid w:val="00B436DA"/>
    <w:rsid w:val="00B44AAD"/>
    <w:rsid w:val="00B4535B"/>
    <w:rsid w:val="00B52DBB"/>
    <w:rsid w:val="00B533DD"/>
    <w:rsid w:val="00B54F37"/>
    <w:rsid w:val="00B61619"/>
    <w:rsid w:val="00B61F39"/>
    <w:rsid w:val="00B63F29"/>
    <w:rsid w:val="00B65EC8"/>
    <w:rsid w:val="00B6611B"/>
    <w:rsid w:val="00B6758A"/>
    <w:rsid w:val="00B70618"/>
    <w:rsid w:val="00B71FDD"/>
    <w:rsid w:val="00B734A6"/>
    <w:rsid w:val="00B7411C"/>
    <w:rsid w:val="00B77CCD"/>
    <w:rsid w:val="00B80273"/>
    <w:rsid w:val="00B851D0"/>
    <w:rsid w:val="00B85AE8"/>
    <w:rsid w:val="00B86E70"/>
    <w:rsid w:val="00B93A39"/>
    <w:rsid w:val="00B9437A"/>
    <w:rsid w:val="00B94B4B"/>
    <w:rsid w:val="00B94BC6"/>
    <w:rsid w:val="00B94E21"/>
    <w:rsid w:val="00B96545"/>
    <w:rsid w:val="00B96D40"/>
    <w:rsid w:val="00B9708C"/>
    <w:rsid w:val="00BA012F"/>
    <w:rsid w:val="00BA0521"/>
    <w:rsid w:val="00BA1C80"/>
    <w:rsid w:val="00BA360F"/>
    <w:rsid w:val="00BA43D0"/>
    <w:rsid w:val="00BA7D2C"/>
    <w:rsid w:val="00BB053C"/>
    <w:rsid w:val="00BB0556"/>
    <w:rsid w:val="00BB2256"/>
    <w:rsid w:val="00BB62E8"/>
    <w:rsid w:val="00BB6366"/>
    <w:rsid w:val="00BB7A89"/>
    <w:rsid w:val="00BC0446"/>
    <w:rsid w:val="00BC2C49"/>
    <w:rsid w:val="00BC4DC0"/>
    <w:rsid w:val="00BC761F"/>
    <w:rsid w:val="00BD0ACC"/>
    <w:rsid w:val="00BD383E"/>
    <w:rsid w:val="00BD4F53"/>
    <w:rsid w:val="00BD5812"/>
    <w:rsid w:val="00BE0567"/>
    <w:rsid w:val="00BE32DA"/>
    <w:rsid w:val="00BE5DA9"/>
    <w:rsid w:val="00BE6D02"/>
    <w:rsid w:val="00BE7153"/>
    <w:rsid w:val="00BF71E8"/>
    <w:rsid w:val="00C02D5F"/>
    <w:rsid w:val="00C116B1"/>
    <w:rsid w:val="00C12AF7"/>
    <w:rsid w:val="00C12B86"/>
    <w:rsid w:val="00C14C4E"/>
    <w:rsid w:val="00C15885"/>
    <w:rsid w:val="00C20CDD"/>
    <w:rsid w:val="00C25ED4"/>
    <w:rsid w:val="00C278EA"/>
    <w:rsid w:val="00C30E4D"/>
    <w:rsid w:val="00C30E57"/>
    <w:rsid w:val="00C31A35"/>
    <w:rsid w:val="00C33EF7"/>
    <w:rsid w:val="00C343AC"/>
    <w:rsid w:val="00C37ECB"/>
    <w:rsid w:val="00C40A46"/>
    <w:rsid w:val="00C410A3"/>
    <w:rsid w:val="00C412BF"/>
    <w:rsid w:val="00C42A75"/>
    <w:rsid w:val="00C44793"/>
    <w:rsid w:val="00C44E1A"/>
    <w:rsid w:val="00C46EF8"/>
    <w:rsid w:val="00C47476"/>
    <w:rsid w:val="00C509A3"/>
    <w:rsid w:val="00C53C21"/>
    <w:rsid w:val="00C56203"/>
    <w:rsid w:val="00C56582"/>
    <w:rsid w:val="00C571F9"/>
    <w:rsid w:val="00C63A57"/>
    <w:rsid w:val="00C66755"/>
    <w:rsid w:val="00C718CA"/>
    <w:rsid w:val="00C72ECB"/>
    <w:rsid w:val="00C73151"/>
    <w:rsid w:val="00C74B78"/>
    <w:rsid w:val="00C75198"/>
    <w:rsid w:val="00C80C61"/>
    <w:rsid w:val="00C82D4D"/>
    <w:rsid w:val="00C842F2"/>
    <w:rsid w:val="00C862C8"/>
    <w:rsid w:val="00C87B8D"/>
    <w:rsid w:val="00C87F9C"/>
    <w:rsid w:val="00C92415"/>
    <w:rsid w:val="00CA06A6"/>
    <w:rsid w:val="00CA077D"/>
    <w:rsid w:val="00CA1C00"/>
    <w:rsid w:val="00CA4C05"/>
    <w:rsid w:val="00CB0054"/>
    <w:rsid w:val="00CB01EB"/>
    <w:rsid w:val="00CB2019"/>
    <w:rsid w:val="00CB3BD0"/>
    <w:rsid w:val="00CB4833"/>
    <w:rsid w:val="00CB5B5C"/>
    <w:rsid w:val="00CB695D"/>
    <w:rsid w:val="00CB7EED"/>
    <w:rsid w:val="00CC12EA"/>
    <w:rsid w:val="00CC3C18"/>
    <w:rsid w:val="00CC615E"/>
    <w:rsid w:val="00CD28C1"/>
    <w:rsid w:val="00CD3D47"/>
    <w:rsid w:val="00CD5AA4"/>
    <w:rsid w:val="00CE0B65"/>
    <w:rsid w:val="00CE2A76"/>
    <w:rsid w:val="00CE5DA3"/>
    <w:rsid w:val="00CE5DEE"/>
    <w:rsid w:val="00CE75D1"/>
    <w:rsid w:val="00CF060D"/>
    <w:rsid w:val="00CF2EC3"/>
    <w:rsid w:val="00CF3674"/>
    <w:rsid w:val="00CF4F04"/>
    <w:rsid w:val="00CF5300"/>
    <w:rsid w:val="00CF7B15"/>
    <w:rsid w:val="00D01DD6"/>
    <w:rsid w:val="00D06C94"/>
    <w:rsid w:val="00D07132"/>
    <w:rsid w:val="00D10AC9"/>
    <w:rsid w:val="00D13696"/>
    <w:rsid w:val="00D17044"/>
    <w:rsid w:val="00D2156E"/>
    <w:rsid w:val="00D215DF"/>
    <w:rsid w:val="00D22921"/>
    <w:rsid w:val="00D24318"/>
    <w:rsid w:val="00D2462E"/>
    <w:rsid w:val="00D26588"/>
    <w:rsid w:val="00D2660A"/>
    <w:rsid w:val="00D26CFA"/>
    <w:rsid w:val="00D275C8"/>
    <w:rsid w:val="00D315BB"/>
    <w:rsid w:val="00D31E93"/>
    <w:rsid w:val="00D32487"/>
    <w:rsid w:val="00D32EAB"/>
    <w:rsid w:val="00D338CA"/>
    <w:rsid w:val="00D37818"/>
    <w:rsid w:val="00D40DF9"/>
    <w:rsid w:val="00D44046"/>
    <w:rsid w:val="00D45DB4"/>
    <w:rsid w:val="00D503E2"/>
    <w:rsid w:val="00D517C5"/>
    <w:rsid w:val="00D53593"/>
    <w:rsid w:val="00D60ACC"/>
    <w:rsid w:val="00D63593"/>
    <w:rsid w:val="00D6498D"/>
    <w:rsid w:val="00D72FC7"/>
    <w:rsid w:val="00D743CC"/>
    <w:rsid w:val="00D75FBF"/>
    <w:rsid w:val="00D831B4"/>
    <w:rsid w:val="00D83A48"/>
    <w:rsid w:val="00D87D09"/>
    <w:rsid w:val="00D913AE"/>
    <w:rsid w:val="00D93B43"/>
    <w:rsid w:val="00D9414B"/>
    <w:rsid w:val="00D94CC0"/>
    <w:rsid w:val="00D954C0"/>
    <w:rsid w:val="00D968F9"/>
    <w:rsid w:val="00DA0383"/>
    <w:rsid w:val="00DA0C08"/>
    <w:rsid w:val="00DA20FB"/>
    <w:rsid w:val="00DA3C97"/>
    <w:rsid w:val="00DA5160"/>
    <w:rsid w:val="00DA6ADA"/>
    <w:rsid w:val="00DB02EA"/>
    <w:rsid w:val="00DB0877"/>
    <w:rsid w:val="00DB33E8"/>
    <w:rsid w:val="00DC03A7"/>
    <w:rsid w:val="00DC1FFE"/>
    <w:rsid w:val="00DC21FD"/>
    <w:rsid w:val="00DC254F"/>
    <w:rsid w:val="00DC278C"/>
    <w:rsid w:val="00DC2B06"/>
    <w:rsid w:val="00DC3BBE"/>
    <w:rsid w:val="00DD3377"/>
    <w:rsid w:val="00DD3C9E"/>
    <w:rsid w:val="00DD3D88"/>
    <w:rsid w:val="00DD50FA"/>
    <w:rsid w:val="00DE0B1A"/>
    <w:rsid w:val="00DE114A"/>
    <w:rsid w:val="00DE12B3"/>
    <w:rsid w:val="00DE3FA0"/>
    <w:rsid w:val="00DE43E6"/>
    <w:rsid w:val="00DE5E31"/>
    <w:rsid w:val="00DF21DF"/>
    <w:rsid w:val="00DF34DE"/>
    <w:rsid w:val="00DF5476"/>
    <w:rsid w:val="00DF7378"/>
    <w:rsid w:val="00E00EC1"/>
    <w:rsid w:val="00E016D6"/>
    <w:rsid w:val="00E01EA9"/>
    <w:rsid w:val="00E02C79"/>
    <w:rsid w:val="00E031D4"/>
    <w:rsid w:val="00E0602D"/>
    <w:rsid w:val="00E07F0E"/>
    <w:rsid w:val="00E1103F"/>
    <w:rsid w:val="00E13A99"/>
    <w:rsid w:val="00E141D6"/>
    <w:rsid w:val="00E1754B"/>
    <w:rsid w:val="00E17C22"/>
    <w:rsid w:val="00E17E22"/>
    <w:rsid w:val="00E20852"/>
    <w:rsid w:val="00E20915"/>
    <w:rsid w:val="00E218AA"/>
    <w:rsid w:val="00E22A6F"/>
    <w:rsid w:val="00E318F9"/>
    <w:rsid w:val="00E31D70"/>
    <w:rsid w:val="00E35E70"/>
    <w:rsid w:val="00E3639F"/>
    <w:rsid w:val="00E3785D"/>
    <w:rsid w:val="00E41F20"/>
    <w:rsid w:val="00E460D5"/>
    <w:rsid w:val="00E513D2"/>
    <w:rsid w:val="00E537E0"/>
    <w:rsid w:val="00E54CDE"/>
    <w:rsid w:val="00E5613A"/>
    <w:rsid w:val="00E56A4A"/>
    <w:rsid w:val="00E57AF3"/>
    <w:rsid w:val="00E61EC0"/>
    <w:rsid w:val="00E66F73"/>
    <w:rsid w:val="00E67B4B"/>
    <w:rsid w:val="00E703F6"/>
    <w:rsid w:val="00E710D7"/>
    <w:rsid w:val="00E7290F"/>
    <w:rsid w:val="00E73235"/>
    <w:rsid w:val="00E75D2E"/>
    <w:rsid w:val="00E82FE1"/>
    <w:rsid w:val="00E834DE"/>
    <w:rsid w:val="00E8489B"/>
    <w:rsid w:val="00E86F3D"/>
    <w:rsid w:val="00E92323"/>
    <w:rsid w:val="00E94909"/>
    <w:rsid w:val="00E949A8"/>
    <w:rsid w:val="00E94EB0"/>
    <w:rsid w:val="00E9514C"/>
    <w:rsid w:val="00E95A19"/>
    <w:rsid w:val="00E95A59"/>
    <w:rsid w:val="00EA201D"/>
    <w:rsid w:val="00EA3903"/>
    <w:rsid w:val="00EA48DC"/>
    <w:rsid w:val="00EA74D1"/>
    <w:rsid w:val="00EB00C0"/>
    <w:rsid w:val="00EB1C70"/>
    <w:rsid w:val="00EB21B4"/>
    <w:rsid w:val="00EB4C68"/>
    <w:rsid w:val="00EB60E8"/>
    <w:rsid w:val="00EB6FDB"/>
    <w:rsid w:val="00EC004E"/>
    <w:rsid w:val="00EC4CEA"/>
    <w:rsid w:val="00EC6015"/>
    <w:rsid w:val="00EC6167"/>
    <w:rsid w:val="00EC6F3C"/>
    <w:rsid w:val="00ED2AC7"/>
    <w:rsid w:val="00ED30E7"/>
    <w:rsid w:val="00ED4ACB"/>
    <w:rsid w:val="00ED5A5C"/>
    <w:rsid w:val="00ED7779"/>
    <w:rsid w:val="00EE2282"/>
    <w:rsid w:val="00EE2AC9"/>
    <w:rsid w:val="00EE3518"/>
    <w:rsid w:val="00EE5267"/>
    <w:rsid w:val="00EE6472"/>
    <w:rsid w:val="00EF1640"/>
    <w:rsid w:val="00F002F7"/>
    <w:rsid w:val="00F038DA"/>
    <w:rsid w:val="00F041A8"/>
    <w:rsid w:val="00F05B92"/>
    <w:rsid w:val="00F06CB8"/>
    <w:rsid w:val="00F07483"/>
    <w:rsid w:val="00F1153E"/>
    <w:rsid w:val="00F125F4"/>
    <w:rsid w:val="00F21382"/>
    <w:rsid w:val="00F216D9"/>
    <w:rsid w:val="00F25475"/>
    <w:rsid w:val="00F25523"/>
    <w:rsid w:val="00F25F52"/>
    <w:rsid w:val="00F26996"/>
    <w:rsid w:val="00F270C1"/>
    <w:rsid w:val="00F32027"/>
    <w:rsid w:val="00F3401C"/>
    <w:rsid w:val="00F350BC"/>
    <w:rsid w:val="00F43AB8"/>
    <w:rsid w:val="00F448E8"/>
    <w:rsid w:val="00F502CF"/>
    <w:rsid w:val="00F5038F"/>
    <w:rsid w:val="00F51046"/>
    <w:rsid w:val="00F55CE4"/>
    <w:rsid w:val="00F55E67"/>
    <w:rsid w:val="00F614EC"/>
    <w:rsid w:val="00F64619"/>
    <w:rsid w:val="00F65DBD"/>
    <w:rsid w:val="00F669EE"/>
    <w:rsid w:val="00F7395E"/>
    <w:rsid w:val="00F7496D"/>
    <w:rsid w:val="00F7550E"/>
    <w:rsid w:val="00F76157"/>
    <w:rsid w:val="00F8126F"/>
    <w:rsid w:val="00F83E1E"/>
    <w:rsid w:val="00F8450B"/>
    <w:rsid w:val="00F8690E"/>
    <w:rsid w:val="00F86EE1"/>
    <w:rsid w:val="00F94031"/>
    <w:rsid w:val="00F94470"/>
    <w:rsid w:val="00F9558B"/>
    <w:rsid w:val="00F962CA"/>
    <w:rsid w:val="00F96FC8"/>
    <w:rsid w:val="00FA142A"/>
    <w:rsid w:val="00FA3EC0"/>
    <w:rsid w:val="00FA478A"/>
    <w:rsid w:val="00FA72D8"/>
    <w:rsid w:val="00FA7F2B"/>
    <w:rsid w:val="00FB0694"/>
    <w:rsid w:val="00FB2CCC"/>
    <w:rsid w:val="00FB35BD"/>
    <w:rsid w:val="00FB3976"/>
    <w:rsid w:val="00FB3D24"/>
    <w:rsid w:val="00FB5B96"/>
    <w:rsid w:val="00FB66F9"/>
    <w:rsid w:val="00FB673A"/>
    <w:rsid w:val="00FB6DC7"/>
    <w:rsid w:val="00FB6E59"/>
    <w:rsid w:val="00FC102C"/>
    <w:rsid w:val="00FC2068"/>
    <w:rsid w:val="00FC2364"/>
    <w:rsid w:val="00FC291D"/>
    <w:rsid w:val="00FC5219"/>
    <w:rsid w:val="00FC6AF9"/>
    <w:rsid w:val="00FC7710"/>
    <w:rsid w:val="00FC7CF1"/>
    <w:rsid w:val="00FD4B40"/>
    <w:rsid w:val="00FD61EC"/>
    <w:rsid w:val="00FE1121"/>
    <w:rsid w:val="00FE1422"/>
    <w:rsid w:val="00FE2BEC"/>
    <w:rsid w:val="00FF15EF"/>
    <w:rsid w:val="00FF3726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881B18"/>
    <w:rPr>
      <w:sz w:val="24"/>
      <w:szCs w:val="24"/>
    </w:rPr>
  </w:style>
  <w:style w:type="paragraph" w:styleId="Heading1">
    <w:name w:val="heading 1"/>
    <w:basedOn w:val="BodyText"/>
    <w:next w:val="BodyText"/>
    <w:rsid w:val="00881B18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881B1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881B1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81B18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81B18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rsid w:val="00881B1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881B1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881B1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881B1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881B1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81B18"/>
  </w:style>
  <w:style w:type="paragraph" w:styleId="BodyText">
    <w:name w:val="Body Text"/>
    <w:link w:val="BodyTextChar"/>
    <w:qFormat/>
    <w:rsid w:val="00881B18"/>
    <w:pPr>
      <w:spacing w:before="240" w:line="300" w:lineRule="atLeast"/>
      <w:jc w:val="both"/>
    </w:pPr>
    <w:rPr>
      <w:sz w:val="24"/>
    </w:rPr>
  </w:style>
  <w:style w:type="paragraph" w:customStyle="1" w:styleId="Chapter">
    <w:name w:val="Chapter"/>
    <w:basedOn w:val="Heading1"/>
    <w:next w:val="BodyText"/>
    <w:semiHidden/>
    <w:rsid w:val="00881B18"/>
    <w:pPr>
      <w:ind w:left="0" w:firstLine="0"/>
      <w:outlineLvl w:val="9"/>
    </w:pPr>
  </w:style>
  <w:style w:type="paragraph" w:customStyle="1" w:styleId="SequenceInfo">
    <w:name w:val="Sequence Info"/>
    <w:basedOn w:val="BodyText"/>
    <w:semiHidden/>
    <w:rsid w:val="00881B18"/>
    <w:rPr>
      <w:vanish/>
      <w:sz w:val="16"/>
    </w:rPr>
  </w:style>
  <w:style w:type="character" w:styleId="CommentReference">
    <w:name w:val="annotation reference"/>
    <w:basedOn w:val="DefaultParagraphFont"/>
    <w:semiHidden/>
    <w:rsid w:val="00881B1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881B18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881B1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81B18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QuoteBullet">
    <w:name w:val="Quote Bullet"/>
    <w:basedOn w:val="Quote"/>
    <w:rsid w:val="00881B18"/>
    <w:pPr>
      <w:numPr>
        <w:numId w:val="11"/>
      </w:numPr>
    </w:pPr>
  </w:style>
  <w:style w:type="paragraph" w:customStyle="1" w:styleId="BoxListBullet">
    <w:name w:val="Box List Bullet"/>
    <w:basedOn w:val="BodyText"/>
    <w:rsid w:val="00881B18"/>
    <w:pPr>
      <w:keepNext/>
      <w:numPr>
        <w:numId w:val="6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81B18"/>
    <w:pPr>
      <w:numPr>
        <w:numId w:val="3"/>
      </w:numPr>
      <w:ind w:left="568" w:hanging="284"/>
    </w:pPr>
  </w:style>
  <w:style w:type="paragraph" w:customStyle="1" w:styleId="BoxListNumber">
    <w:name w:val="Box List Number"/>
    <w:basedOn w:val="BodyText"/>
    <w:rsid w:val="00881B18"/>
    <w:pPr>
      <w:keepNext/>
      <w:numPr>
        <w:numId w:val="14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881B18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81B18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BoxSource">
    <w:name w:val="Box Source"/>
    <w:basedOn w:val="Source"/>
    <w:next w:val="BodyText"/>
    <w:rsid w:val="00881B18"/>
    <w:pPr>
      <w:spacing w:before="120"/>
    </w:pPr>
  </w:style>
  <w:style w:type="paragraph" w:customStyle="1" w:styleId="BoxSpace">
    <w:name w:val="Box Space"/>
    <w:basedOn w:val="BodyText"/>
    <w:rsid w:val="00CF3674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881B18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881B18"/>
    <w:pPr>
      <w:spacing w:before="120" w:after="0"/>
    </w:pPr>
  </w:style>
  <w:style w:type="paragraph" w:styleId="Caption">
    <w:name w:val="caption"/>
    <w:basedOn w:val="Normal"/>
    <w:next w:val="BodyText"/>
    <w:rsid w:val="00881B1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881B18"/>
    <w:pPr>
      <w:spacing w:line="280" w:lineRule="atLeast"/>
      <w:ind w:left="907"/>
    </w:pPr>
    <w:rPr>
      <w:rFonts w:ascii="Arial" w:hAnsi="Arial"/>
      <w:b/>
      <w:sz w:val="20"/>
    </w:rPr>
  </w:style>
  <w:style w:type="character" w:customStyle="1" w:styleId="DocumentInfo">
    <w:name w:val="Document Info"/>
    <w:basedOn w:val="DefaultParagraphFont"/>
    <w:semiHidden/>
    <w:rsid w:val="00881B18"/>
    <w:rPr>
      <w:rFonts w:ascii="Arial" w:hAnsi="Arial"/>
      <w:sz w:val="14"/>
    </w:rPr>
  </w:style>
  <w:style w:type="paragraph" w:styleId="Footer">
    <w:name w:val="footer"/>
    <w:basedOn w:val="BodyText"/>
    <w:link w:val="FooterChar"/>
    <w:rsid w:val="00881B18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character" w:customStyle="1" w:styleId="DraftingNote">
    <w:name w:val="Drafting Note"/>
    <w:basedOn w:val="DefaultParagraphFont"/>
    <w:rsid w:val="00881B18"/>
    <w:rPr>
      <w:b/>
      <w:color w:val="FF0000"/>
      <w:sz w:val="24"/>
      <w:u w:val="dotted"/>
    </w:rPr>
  </w:style>
  <w:style w:type="character" w:customStyle="1" w:styleId="BodyTextChar">
    <w:name w:val="Body Text Char"/>
    <w:basedOn w:val="DefaultParagraphFont"/>
    <w:link w:val="BodyText"/>
    <w:locked/>
    <w:rsid w:val="00881B18"/>
    <w:rPr>
      <w:sz w:val="24"/>
    </w:rPr>
  </w:style>
  <w:style w:type="paragraph" w:customStyle="1" w:styleId="Figure">
    <w:name w:val="Figure"/>
    <w:basedOn w:val="BodyText"/>
    <w:rsid w:val="00881B1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881B18"/>
    <w:pPr>
      <w:spacing w:before="120"/>
    </w:pPr>
  </w:style>
  <w:style w:type="paragraph" w:styleId="Subtitle">
    <w:name w:val="Subtitle"/>
    <w:basedOn w:val="Caption"/>
    <w:link w:val="SubtitleChar"/>
    <w:qFormat/>
    <w:rsid w:val="00881B1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881B18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881B18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881B18"/>
    <w:pPr>
      <w:spacing w:before="240"/>
    </w:pPr>
  </w:style>
  <w:style w:type="paragraph" w:customStyle="1" w:styleId="FindingTitle">
    <w:name w:val="Finding Title"/>
    <w:basedOn w:val="RecTitle"/>
    <w:next w:val="Finding"/>
    <w:rsid w:val="00881B18"/>
  </w:style>
  <w:style w:type="paragraph" w:customStyle="1" w:styleId="FooterEnd">
    <w:name w:val="Footer End"/>
    <w:basedOn w:val="Footer"/>
    <w:rsid w:val="00881B18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881B18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881B18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styleId="Header">
    <w:name w:val="header"/>
    <w:basedOn w:val="BodyText"/>
    <w:rsid w:val="00881B1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881B1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881B18"/>
  </w:style>
  <w:style w:type="paragraph" w:customStyle="1" w:styleId="HeaderOdd">
    <w:name w:val="Header Odd"/>
    <w:basedOn w:val="Header"/>
    <w:semiHidden/>
    <w:rsid w:val="00881B18"/>
  </w:style>
  <w:style w:type="paragraph" w:customStyle="1" w:styleId="InformationRequest">
    <w:name w:val="Information Request"/>
    <w:basedOn w:val="Finding"/>
    <w:next w:val="BodyText"/>
    <w:rsid w:val="00881B18"/>
    <w:rPr>
      <w:i/>
    </w:rPr>
  </w:style>
  <w:style w:type="paragraph" w:styleId="ListBullet">
    <w:name w:val="List Bullet"/>
    <w:basedOn w:val="BodyText"/>
    <w:rsid w:val="00881B18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881B18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881B18"/>
    <w:pPr>
      <w:numPr>
        <w:numId w:val="1"/>
      </w:numPr>
      <w:spacing w:before="120"/>
      <w:ind w:left="1020" w:hanging="340"/>
    </w:pPr>
  </w:style>
  <w:style w:type="paragraph" w:styleId="ListNumber">
    <w:name w:val="List Number"/>
    <w:basedOn w:val="BodyText"/>
    <w:rsid w:val="00881B18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881B18"/>
    <w:pPr>
      <w:numPr>
        <w:ilvl w:val="1"/>
      </w:numPr>
    </w:pPr>
  </w:style>
  <w:style w:type="paragraph" w:styleId="ListNumber3">
    <w:name w:val="List Number 3"/>
    <w:basedOn w:val="ListNumber2"/>
    <w:rsid w:val="00881B18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881B18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881B18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881B18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semiHidden/>
    <w:rsid w:val="00881B1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881B1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881B1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881B18"/>
    <w:pPr>
      <w:spacing w:before="120" w:line="280" w:lineRule="exact"/>
      <w:ind w:left="340"/>
    </w:pPr>
    <w:rPr>
      <w:sz w:val="22"/>
    </w:rPr>
  </w:style>
  <w:style w:type="paragraph" w:customStyle="1" w:styleId="Rec">
    <w:name w:val="Rec"/>
    <w:basedOn w:val="BodyText"/>
    <w:qFormat/>
    <w:rsid w:val="00881B18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881B18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Rec"/>
    <w:qFormat/>
    <w:rsid w:val="00881B18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RecB">
    <w:name w:val="RecB"/>
    <w:basedOn w:val="Normal"/>
    <w:rsid w:val="00881B18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881B18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881B18"/>
    <w:pPr>
      <w:spacing w:before="240"/>
    </w:pPr>
  </w:style>
  <w:style w:type="paragraph" w:customStyle="1" w:styleId="Reference">
    <w:name w:val="Reference"/>
    <w:basedOn w:val="BodyText"/>
    <w:link w:val="ReferenceChar"/>
    <w:rsid w:val="00881B18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semiHidden/>
    <w:rsid w:val="00881B1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881B18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881B18"/>
    <w:pPr>
      <w:framePr w:wrap="around"/>
    </w:pPr>
  </w:style>
  <w:style w:type="paragraph" w:customStyle="1" w:styleId="Source">
    <w:name w:val="Source"/>
    <w:basedOn w:val="Normal"/>
    <w:next w:val="BodyText"/>
    <w:rsid w:val="00881B18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TableBodyText">
    <w:name w:val="Table Body Text"/>
    <w:basedOn w:val="BodyText"/>
    <w:rsid w:val="00881B18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81B18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881B18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881B18"/>
    <w:pPr>
      <w:ind w:left="737" w:hanging="737"/>
    </w:pPr>
  </w:style>
  <w:style w:type="paragraph" w:styleId="TOC3">
    <w:name w:val="toc 3"/>
    <w:basedOn w:val="TOC2"/>
    <w:rsid w:val="00881B18"/>
    <w:pPr>
      <w:spacing w:before="60"/>
      <w:ind w:left="1190" w:hanging="680"/>
    </w:pPr>
  </w:style>
  <w:style w:type="paragraph" w:customStyle="1" w:styleId="TableTitle">
    <w:name w:val="Table Title"/>
    <w:basedOn w:val="Caption"/>
    <w:next w:val="Subtitle"/>
    <w:qFormat/>
    <w:rsid w:val="00881B18"/>
    <w:pPr>
      <w:spacing w:before="120"/>
    </w:pPr>
  </w:style>
  <w:style w:type="paragraph" w:customStyle="1" w:styleId="TableUnitsRow">
    <w:name w:val="Table Units Row"/>
    <w:basedOn w:val="TableBodyText"/>
    <w:rsid w:val="00881B18"/>
    <w:pPr>
      <w:spacing w:before="40"/>
    </w:pPr>
  </w:style>
  <w:style w:type="paragraph" w:styleId="TOC1">
    <w:name w:val="toc 1"/>
    <w:basedOn w:val="Normal"/>
    <w:next w:val="TOC2"/>
    <w:link w:val="TOC1Char"/>
    <w:rsid w:val="00881B18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2">
    <w:name w:val="toc 2"/>
    <w:basedOn w:val="TOC1"/>
    <w:rsid w:val="00881B18"/>
    <w:pPr>
      <w:ind w:left="1134" w:hanging="624"/>
    </w:pPr>
    <w:rPr>
      <w:b w:val="0"/>
    </w:rPr>
  </w:style>
  <w:style w:type="paragraph" w:styleId="TOC4">
    <w:name w:val="toc 4"/>
    <w:basedOn w:val="TOC3"/>
    <w:semiHidden/>
    <w:rsid w:val="00881B18"/>
    <w:pPr>
      <w:ind w:left="1191" w:firstLine="0"/>
    </w:pPr>
  </w:style>
  <w:style w:type="paragraph" w:customStyle="1" w:styleId="BoxContinued">
    <w:name w:val="Box Continued"/>
    <w:basedOn w:val="BodyText"/>
    <w:next w:val="BodyText"/>
    <w:semiHidden/>
    <w:rsid w:val="00881B1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881B18"/>
  </w:style>
  <w:style w:type="paragraph" w:customStyle="1" w:styleId="BoxHeading1">
    <w:name w:val="Box Heading 1"/>
    <w:basedOn w:val="BodyText"/>
    <w:next w:val="Box"/>
    <w:rsid w:val="00881B1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881B18"/>
    <w:rPr>
      <w:b w:val="0"/>
      <w:i/>
    </w:rPr>
  </w:style>
  <w:style w:type="paragraph" w:styleId="BalloonText">
    <w:name w:val="Balloon Text"/>
    <w:basedOn w:val="Normal"/>
    <w:link w:val="BalloonTextChar"/>
    <w:rsid w:val="00881B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6ADA"/>
    <w:rPr>
      <w:color w:val="0000FF"/>
      <w:u w:val="single"/>
    </w:rPr>
  </w:style>
  <w:style w:type="paragraph" w:customStyle="1" w:styleId="Jurisdictioncommentsbodytext">
    <w:name w:val="Jurisdiction comments body text"/>
    <w:rsid w:val="00881B1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881B1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881B18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character" w:styleId="FollowedHyperlink">
    <w:name w:val="FollowedHyperlink"/>
    <w:basedOn w:val="DefaultParagraphFont"/>
    <w:rsid w:val="008A360F"/>
    <w:rPr>
      <w:color w:val="800080"/>
      <w:u w:val="single"/>
    </w:rPr>
  </w:style>
  <w:style w:type="character" w:customStyle="1" w:styleId="ReferenceChar">
    <w:name w:val="Reference Char"/>
    <w:basedOn w:val="DefaultParagraphFont"/>
    <w:link w:val="Reference"/>
    <w:locked/>
    <w:rsid w:val="0080526C"/>
    <w:rPr>
      <w:sz w:val="24"/>
    </w:rPr>
  </w:style>
  <w:style w:type="character" w:customStyle="1" w:styleId="Heading2Char">
    <w:name w:val="Heading 2 Char"/>
    <w:basedOn w:val="DefaultParagraphFont"/>
    <w:link w:val="Heading2"/>
    <w:locked/>
    <w:rsid w:val="00987E89"/>
    <w:rPr>
      <w:rFonts w:ascii="Arial" w:hAnsi="Arial"/>
      <w:b/>
      <w:sz w:val="32"/>
    </w:rPr>
  </w:style>
  <w:style w:type="character" w:styleId="Emphasis">
    <w:name w:val="Emphasis"/>
    <w:basedOn w:val="DefaultParagraphFont"/>
    <w:rsid w:val="00881B18"/>
    <w:rPr>
      <w:i/>
      <w:iCs/>
    </w:rPr>
  </w:style>
  <w:style w:type="paragraph" w:customStyle="1" w:styleId="RecBBullet2">
    <w:name w:val="RecB Bullet 2"/>
    <w:basedOn w:val="ListBullet2"/>
    <w:semiHidden/>
    <w:rsid w:val="00881B18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881B18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881B18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81B18"/>
    <w:pPr>
      <w:numPr>
        <w:numId w:val="45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paragraph" w:customStyle="1" w:styleId="BoxQuoteBullet">
    <w:name w:val="Box Quote Bullet"/>
    <w:basedOn w:val="BoxQuote"/>
    <w:next w:val="Box"/>
    <w:rsid w:val="00881B18"/>
    <w:pPr>
      <w:numPr>
        <w:numId w:val="43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881B18"/>
    <w:pPr>
      <w:numPr>
        <w:numId w:val="44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Above">
    <w:name w:val="Box Space Above"/>
    <w:basedOn w:val="BodyText"/>
    <w:rsid w:val="00881B18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881B18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881B18"/>
    <w:pPr>
      <w:keepNext/>
      <w:numPr>
        <w:numId w:val="47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881B18"/>
    <w:pPr>
      <w:numPr>
        <w:numId w:val="48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881B18"/>
    <w:rPr>
      <w:i/>
    </w:rPr>
  </w:style>
  <w:style w:type="paragraph" w:customStyle="1" w:styleId="Space">
    <w:name w:val="Space"/>
    <w:basedOn w:val="Normal"/>
    <w:rsid w:val="00881B18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881B18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881B18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81B18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881B18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881B18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FooterChar">
    <w:name w:val="Footer Char"/>
    <w:basedOn w:val="BodyTextChar"/>
    <w:link w:val="Footer"/>
    <w:rsid w:val="00881B18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881B18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881B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881B18"/>
    <w:rPr>
      <w:rFonts w:ascii="Arial" w:hAnsi="Arial"/>
      <w:b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881B18"/>
    <w:rPr>
      <w:sz w:val="24"/>
      <w:szCs w:val="24"/>
    </w:rPr>
  </w:style>
  <w:style w:type="paragraph" w:styleId="Heading1">
    <w:name w:val="heading 1"/>
    <w:basedOn w:val="BodyText"/>
    <w:next w:val="BodyText"/>
    <w:rsid w:val="00881B18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881B1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881B1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81B18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81B18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rsid w:val="00881B1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881B1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881B1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881B1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881B1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81B18"/>
  </w:style>
  <w:style w:type="paragraph" w:styleId="BodyText">
    <w:name w:val="Body Text"/>
    <w:link w:val="BodyTextChar"/>
    <w:qFormat/>
    <w:rsid w:val="00881B18"/>
    <w:pPr>
      <w:spacing w:before="240" w:line="300" w:lineRule="atLeast"/>
      <w:jc w:val="both"/>
    </w:pPr>
    <w:rPr>
      <w:sz w:val="24"/>
    </w:rPr>
  </w:style>
  <w:style w:type="paragraph" w:customStyle="1" w:styleId="Chapter">
    <w:name w:val="Chapter"/>
    <w:basedOn w:val="Heading1"/>
    <w:next w:val="BodyText"/>
    <w:semiHidden/>
    <w:rsid w:val="00881B18"/>
    <w:pPr>
      <w:ind w:left="0" w:firstLine="0"/>
      <w:outlineLvl w:val="9"/>
    </w:pPr>
  </w:style>
  <w:style w:type="paragraph" w:customStyle="1" w:styleId="SequenceInfo">
    <w:name w:val="Sequence Info"/>
    <w:basedOn w:val="BodyText"/>
    <w:semiHidden/>
    <w:rsid w:val="00881B18"/>
    <w:rPr>
      <w:vanish/>
      <w:sz w:val="16"/>
    </w:rPr>
  </w:style>
  <w:style w:type="character" w:styleId="CommentReference">
    <w:name w:val="annotation reference"/>
    <w:basedOn w:val="DefaultParagraphFont"/>
    <w:semiHidden/>
    <w:rsid w:val="00881B1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881B18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881B1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81B18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QuoteBullet">
    <w:name w:val="Quote Bullet"/>
    <w:basedOn w:val="Quote"/>
    <w:rsid w:val="00881B18"/>
    <w:pPr>
      <w:numPr>
        <w:numId w:val="11"/>
      </w:numPr>
    </w:pPr>
  </w:style>
  <w:style w:type="paragraph" w:customStyle="1" w:styleId="BoxListBullet">
    <w:name w:val="Box List Bullet"/>
    <w:basedOn w:val="BodyText"/>
    <w:rsid w:val="00881B18"/>
    <w:pPr>
      <w:keepNext/>
      <w:numPr>
        <w:numId w:val="6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81B18"/>
    <w:pPr>
      <w:numPr>
        <w:numId w:val="3"/>
      </w:numPr>
      <w:ind w:left="568" w:hanging="284"/>
    </w:pPr>
  </w:style>
  <w:style w:type="paragraph" w:customStyle="1" w:styleId="BoxListNumber">
    <w:name w:val="Box List Number"/>
    <w:basedOn w:val="BodyText"/>
    <w:rsid w:val="00881B18"/>
    <w:pPr>
      <w:keepNext/>
      <w:numPr>
        <w:numId w:val="14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881B18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81B18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BoxSource">
    <w:name w:val="Box Source"/>
    <w:basedOn w:val="Source"/>
    <w:next w:val="BodyText"/>
    <w:rsid w:val="00881B18"/>
    <w:pPr>
      <w:spacing w:before="120"/>
    </w:pPr>
  </w:style>
  <w:style w:type="paragraph" w:customStyle="1" w:styleId="BoxSpace">
    <w:name w:val="Box Space"/>
    <w:basedOn w:val="BodyText"/>
    <w:rsid w:val="00CF3674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881B18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881B18"/>
    <w:pPr>
      <w:spacing w:before="120" w:after="0"/>
    </w:pPr>
  </w:style>
  <w:style w:type="paragraph" w:styleId="Caption">
    <w:name w:val="caption"/>
    <w:basedOn w:val="Normal"/>
    <w:next w:val="BodyText"/>
    <w:rsid w:val="00881B1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881B18"/>
    <w:pPr>
      <w:spacing w:line="280" w:lineRule="atLeast"/>
      <w:ind w:left="907"/>
    </w:pPr>
    <w:rPr>
      <w:rFonts w:ascii="Arial" w:hAnsi="Arial"/>
      <w:b/>
      <w:sz w:val="20"/>
    </w:rPr>
  </w:style>
  <w:style w:type="character" w:customStyle="1" w:styleId="DocumentInfo">
    <w:name w:val="Document Info"/>
    <w:basedOn w:val="DefaultParagraphFont"/>
    <w:semiHidden/>
    <w:rsid w:val="00881B18"/>
    <w:rPr>
      <w:rFonts w:ascii="Arial" w:hAnsi="Arial"/>
      <w:sz w:val="14"/>
    </w:rPr>
  </w:style>
  <w:style w:type="paragraph" w:styleId="Footer">
    <w:name w:val="footer"/>
    <w:basedOn w:val="BodyText"/>
    <w:link w:val="FooterChar"/>
    <w:rsid w:val="00881B18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character" w:customStyle="1" w:styleId="DraftingNote">
    <w:name w:val="Drafting Note"/>
    <w:basedOn w:val="DefaultParagraphFont"/>
    <w:rsid w:val="00881B18"/>
    <w:rPr>
      <w:b/>
      <w:color w:val="FF0000"/>
      <w:sz w:val="24"/>
      <w:u w:val="dotted"/>
    </w:rPr>
  </w:style>
  <w:style w:type="character" w:customStyle="1" w:styleId="BodyTextChar">
    <w:name w:val="Body Text Char"/>
    <w:basedOn w:val="DefaultParagraphFont"/>
    <w:link w:val="BodyText"/>
    <w:locked/>
    <w:rsid w:val="00881B18"/>
    <w:rPr>
      <w:sz w:val="24"/>
    </w:rPr>
  </w:style>
  <w:style w:type="paragraph" w:customStyle="1" w:styleId="Figure">
    <w:name w:val="Figure"/>
    <w:basedOn w:val="BodyText"/>
    <w:rsid w:val="00881B1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881B18"/>
    <w:pPr>
      <w:spacing w:before="120"/>
    </w:pPr>
  </w:style>
  <w:style w:type="paragraph" w:styleId="Subtitle">
    <w:name w:val="Subtitle"/>
    <w:basedOn w:val="Caption"/>
    <w:link w:val="SubtitleChar"/>
    <w:qFormat/>
    <w:rsid w:val="00881B1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881B18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881B18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881B18"/>
    <w:pPr>
      <w:spacing w:before="240"/>
    </w:pPr>
  </w:style>
  <w:style w:type="paragraph" w:customStyle="1" w:styleId="FindingTitle">
    <w:name w:val="Finding Title"/>
    <w:basedOn w:val="RecTitle"/>
    <w:next w:val="Finding"/>
    <w:rsid w:val="00881B18"/>
  </w:style>
  <w:style w:type="paragraph" w:customStyle="1" w:styleId="FooterEnd">
    <w:name w:val="Footer End"/>
    <w:basedOn w:val="Footer"/>
    <w:rsid w:val="00881B18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881B18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881B18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styleId="Header">
    <w:name w:val="header"/>
    <w:basedOn w:val="BodyText"/>
    <w:rsid w:val="00881B1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881B1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881B18"/>
  </w:style>
  <w:style w:type="paragraph" w:customStyle="1" w:styleId="HeaderOdd">
    <w:name w:val="Header Odd"/>
    <w:basedOn w:val="Header"/>
    <w:semiHidden/>
    <w:rsid w:val="00881B18"/>
  </w:style>
  <w:style w:type="paragraph" w:customStyle="1" w:styleId="InformationRequest">
    <w:name w:val="Information Request"/>
    <w:basedOn w:val="Finding"/>
    <w:next w:val="BodyText"/>
    <w:rsid w:val="00881B18"/>
    <w:rPr>
      <w:i/>
    </w:rPr>
  </w:style>
  <w:style w:type="paragraph" w:styleId="ListBullet">
    <w:name w:val="List Bullet"/>
    <w:basedOn w:val="BodyText"/>
    <w:rsid w:val="00881B18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881B18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881B18"/>
    <w:pPr>
      <w:numPr>
        <w:numId w:val="1"/>
      </w:numPr>
      <w:spacing w:before="120"/>
      <w:ind w:left="1020" w:hanging="340"/>
    </w:pPr>
  </w:style>
  <w:style w:type="paragraph" w:styleId="ListNumber">
    <w:name w:val="List Number"/>
    <w:basedOn w:val="BodyText"/>
    <w:rsid w:val="00881B18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881B18"/>
    <w:pPr>
      <w:numPr>
        <w:ilvl w:val="1"/>
      </w:numPr>
    </w:pPr>
  </w:style>
  <w:style w:type="paragraph" w:styleId="ListNumber3">
    <w:name w:val="List Number 3"/>
    <w:basedOn w:val="ListNumber2"/>
    <w:rsid w:val="00881B18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881B18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881B18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881B18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semiHidden/>
    <w:rsid w:val="00881B1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881B1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881B1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881B18"/>
    <w:pPr>
      <w:spacing w:before="120" w:line="280" w:lineRule="exact"/>
      <w:ind w:left="340"/>
    </w:pPr>
    <w:rPr>
      <w:sz w:val="22"/>
    </w:rPr>
  </w:style>
  <w:style w:type="paragraph" w:customStyle="1" w:styleId="Rec">
    <w:name w:val="Rec"/>
    <w:basedOn w:val="BodyText"/>
    <w:qFormat/>
    <w:rsid w:val="00881B18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881B18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Rec"/>
    <w:qFormat/>
    <w:rsid w:val="00881B18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RecB">
    <w:name w:val="RecB"/>
    <w:basedOn w:val="Normal"/>
    <w:rsid w:val="00881B18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881B18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881B18"/>
    <w:pPr>
      <w:spacing w:before="240"/>
    </w:pPr>
  </w:style>
  <w:style w:type="paragraph" w:customStyle="1" w:styleId="Reference">
    <w:name w:val="Reference"/>
    <w:basedOn w:val="BodyText"/>
    <w:link w:val="ReferenceChar"/>
    <w:rsid w:val="00881B18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semiHidden/>
    <w:rsid w:val="00881B1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881B18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881B18"/>
    <w:pPr>
      <w:framePr w:wrap="around"/>
    </w:pPr>
  </w:style>
  <w:style w:type="paragraph" w:customStyle="1" w:styleId="Source">
    <w:name w:val="Source"/>
    <w:basedOn w:val="Normal"/>
    <w:next w:val="BodyText"/>
    <w:rsid w:val="00881B18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TableBodyText">
    <w:name w:val="Table Body Text"/>
    <w:basedOn w:val="BodyText"/>
    <w:rsid w:val="00881B18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81B18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881B18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881B18"/>
    <w:pPr>
      <w:ind w:left="737" w:hanging="737"/>
    </w:pPr>
  </w:style>
  <w:style w:type="paragraph" w:styleId="TOC3">
    <w:name w:val="toc 3"/>
    <w:basedOn w:val="TOC2"/>
    <w:rsid w:val="00881B18"/>
    <w:pPr>
      <w:spacing w:before="60"/>
      <w:ind w:left="1190" w:hanging="680"/>
    </w:pPr>
  </w:style>
  <w:style w:type="paragraph" w:customStyle="1" w:styleId="TableTitle">
    <w:name w:val="Table Title"/>
    <w:basedOn w:val="Caption"/>
    <w:next w:val="Subtitle"/>
    <w:qFormat/>
    <w:rsid w:val="00881B18"/>
    <w:pPr>
      <w:spacing w:before="120"/>
    </w:pPr>
  </w:style>
  <w:style w:type="paragraph" w:customStyle="1" w:styleId="TableUnitsRow">
    <w:name w:val="Table Units Row"/>
    <w:basedOn w:val="TableBodyText"/>
    <w:rsid w:val="00881B18"/>
    <w:pPr>
      <w:spacing w:before="40"/>
    </w:pPr>
  </w:style>
  <w:style w:type="paragraph" w:styleId="TOC1">
    <w:name w:val="toc 1"/>
    <w:basedOn w:val="Normal"/>
    <w:next w:val="TOC2"/>
    <w:link w:val="TOC1Char"/>
    <w:rsid w:val="00881B18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2">
    <w:name w:val="toc 2"/>
    <w:basedOn w:val="TOC1"/>
    <w:rsid w:val="00881B18"/>
    <w:pPr>
      <w:ind w:left="1134" w:hanging="624"/>
    </w:pPr>
    <w:rPr>
      <w:b w:val="0"/>
    </w:rPr>
  </w:style>
  <w:style w:type="paragraph" w:styleId="TOC4">
    <w:name w:val="toc 4"/>
    <w:basedOn w:val="TOC3"/>
    <w:semiHidden/>
    <w:rsid w:val="00881B18"/>
    <w:pPr>
      <w:ind w:left="1191" w:firstLine="0"/>
    </w:pPr>
  </w:style>
  <w:style w:type="paragraph" w:customStyle="1" w:styleId="BoxContinued">
    <w:name w:val="Box Continued"/>
    <w:basedOn w:val="BodyText"/>
    <w:next w:val="BodyText"/>
    <w:semiHidden/>
    <w:rsid w:val="00881B1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881B18"/>
  </w:style>
  <w:style w:type="paragraph" w:customStyle="1" w:styleId="BoxHeading1">
    <w:name w:val="Box Heading 1"/>
    <w:basedOn w:val="BodyText"/>
    <w:next w:val="Box"/>
    <w:rsid w:val="00881B1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881B18"/>
    <w:rPr>
      <w:b w:val="0"/>
      <w:i/>
    </w:rPr>
  </w:style>
  <w:style w:type="paragraph" w:styleId="BalloonText">
    <w:name w:val="Balloon Text"/>
    <w:basedOn w:val="Normal"/>
    <w:link w:val="BalloonTextChar"/>
    <w:rsid w:val="00881B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6ADA"/>
    <w:rPr>
      <w:color w:val="0000FF"/>
      <w:u w:val="single"/>
    </w:rPr>
  </w:style>
  <w:style w:type="paragraph" w:customStyle="1" w:styleId="Jurisdictioncommentsbodytext">
    <w:name w:val="Jurisdiction comments body text"/>
    <w:rsid w:val="00881B1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881B1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881B18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character" w:styleId="FollowedHyperlink">
    <w:name w:val="FollowedHyperlink"/>
    <w:basedOn w:val="DefaultParagraphFont"/>
    <w:rsid w:val="008A360F"/>
    <w:rPr>
      <w:color w:val="800080"/>
      <w:u w:val="single"/>
    </w:rPr>
  </w:style>
  <w:style w:type="character" w:customStyle="1" w:styleId="ReferenceChar">
    <w:name w:val="Reference Char"/>
    <w:basedOn w:val="DefaultParagraphFont"/>
    <w:link w:val="Reference"/>
    <w:locked/>
    <w:rsid w:val="0080526C"/>
    <w:rPr>
      <w:sz w:val="24"/>
    </w:rPr>
  </w:style>
  <w:style w:type="character" w:customStyle="1" w:styleId="Heading2Char">
    <w:name w:val="Heading 2 Char"/>
    <w:basedOn w:val="DefaultParagraphFont"/>
    <w:link w:val="Heading2"/>
    <w:locked/>
    <w:rsid w:val="00987E89"/>
    <w:rPr>
      <w:rFonts w:ascii="Arial" w:hAnsi="Arial"/>
      <w:b/>
      <w:sz w:val="32"/>
    </w:rPr>
  </w:style>
  <w:style w:type="character" w:styleId="Emphasis">
    <w:name w:val="Emphasis"/>
    <w:basedOn w:val="DefaultParagraphFont"/>
    <w:rsid w:val="00881B18"/>
    <w:rPr>
      <w:i/>
      <w:iCs/>
    </w:rPr>
  </w:style>
  <w:style w:type="paragraph" w:customStyle="1" w:styleId="RecBBullet2">
    <w:name w:val="RecB Bullet 2"/>
    <w:basedOn w:val="ListBullet2"/>
    <w:semiHidden/>
    <w:rsid w:val="00881B18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881B18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881B18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81B18"/>
    <w:pPr>
      <w:numPr>
        <w:numId w:val="45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paragraph" w:customStyle="1" w:styleId="BoxQuoteBullet">
    <w:name w:val="Box Quote Bullet"/>
    <w:basedOn w:val="BoxQuote"/>
    <w:next w:val="Box"/>
    <w:rsid w:val="00881B18"/>
    <w:pPr>
      <w:numPr>
        <w:numId w:val="43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881B18"/>
    <w:pPr>
      <w:numPr>
        <w:numId w:val="44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Above">
    <w:name w:val="Box Space Above"/>
    <w:basedOn w:val="BodyText"/>
    <w:rsid w:val="00881B18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881B18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881B18"/>
    <w:pPr>
      <w:keepNext/>
      <w:numPr>
        <w:numId w:val="47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881B18"/>
    <w:pPr>
      <w:numPr>
        <w:numId w:val="48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881B18"/>
    <w:rPr>
      <w:i/>
    </w:rPr>
  </w:style>
  <w:style w:type="paragraph" w:customStyle="1" w:styleId="Space">
    <w:name w:val="Space"/>
    <w:basedOn w:val="Normal"/>
    <w:rsid w:val="00881B18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881B18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881B18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81B18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881B18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881B18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FooterChar">
    <w:name w:val="Footer Char"/>
    <w:basedOn w:val="BodyTextChar"/>
    <w:link w:val="Footer"/>
    <w:rsid w:val="00881B18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881B18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881B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881B18"/>
    <w:rPr>
      <w:rFonts w:ascii="Arial" w:hAnsi="Arial"/>
      <w:b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1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ompetitionpolicyreview.gov.au/files/2014/06/Wesfarmers_Limited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ph.gov.au/Parliamentary_Business/Committees/Senate/Rural_and_Regional_Affairs_and_Transport/Beef_Imports/~/media/Committees/Senate/committee/rrat_ctte/beef_imports/report01/report.ashx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nfrastructure.org.au/Content/RoadPricing.aspx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ustralia21.org.au/wp-content/uploads/2014/06/Final-InequalityinAustraliaRepor-2.pdf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9A193-A2B2-406C-B004-929B5B894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786</TotalTime>
  <Pages>16</Pages>
  <Words>4350</Words>
  <Characters>31868</Characters>
  <Application>Microsoft Office Word</Application>
  <DocSecurity>0</DocSecurity>
  <Lines>1991</Lines>
  <Paragraphs>1248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34970</CharactersWithSpaces>
  <SharedDoc>false</SharedDoc>
  <HLinks>
    <vt:vector size="120" baseType="variant">
      <vt:variant>
        <vt:i4>7536647</vt:i4>
      </vt:variant>
      <vt:variant>
        <vt:i4>57</vt:i4>
      </vt:variant>
      <vt:variant>
        <vt:i4>0</vt:i4>
      </vt:variant>
      <vt:variant>
        <vt:i4>5</vt:i4>
      </vt:variant>
      <vt:variant>
        <vt:lpwstr>http://www.wto.org/english/tratop_e/tpr_e/tp344_e.htm</vt:lpwstr>
      </vt:variant>
      <vt:variant>
        <vt:lpwstr/>
      </vt:variant>
      <vt:variant>
        <vt:i4>7667768</vt:i4>
      </vt:variant>
      <vt:variant>
        <vt:i4>54</vt:i4>
      </vt:variant>
      <vt:variant>
        <vt:i4>0</vt:i4>
      </vt:variant>
      <vt:variant>
        <vt:i4>5</vt:i4>
      </vt:variant>
      <vt:variant>
        <vt:lpwstr>http://data.worldbank.org/data-catalog</vt:lpwstr>
      </vt:variant>
      <vt:variant>
        <vt:lpwstr/>
      </vt:variant>
      <vt:variant>
        <vt:i4>524381</vt:i4>
      </vt:variant>
      <vt:variant>
        <vt:i4>51</vt:i4>
      </vt:variant>
      <vt:variant>
        <vt:i4>0</vt:i4>
      </vt:variant>
      <vt:variant>
        <vt:i4>5</vt:i4>
      </vt:variant>
      <vt:variant>
        <vt:lpwstr>http://www.malcolmturnbull.com.au/media/releases/lack-of-nbn-transparency-will-hurt-taxpayers-consumers/</vt:lpwstr>
      </vt:variant>
      <vt:variant>
        <vt:lpwstr/>
      </vt:variant>
      <vt:variant>
        <vt:i4>7077949</vt:i4>
      </vt:variant>
      <vt:variant>
        <vt:i4>48</vt:i4>
      </vt:variant>
      <vt:variant>
        <vt:i4>0</vt:i4>
      </vt:variant>
      <vt:variant>
        <vt:i4>5</vt:i4>
      </vt:variant>
      <vt:variant>
        <vt:lpwstr>http://www.finance.gov.au/presentations/index.html</vt:lpwstr>
      </vt:variant>
      <vt:variant>
        <vt:lpwstr/>
      </vt:variant>
      <vt:variant>
        <vt:i4>7012459</vt:i4>
      </vt:variant>
      <vt:variant>
        <vt:i4>45</vt:i4>
      </vt:variant>
      <vt:variant>
        <vt:i4>0</vt:i4>
      </vt:variant>
      <vt:variant>
        <vt:i4>5</vt:i4>
      </vt:variant>
      <vt:variant>
        <vt:lpwstr>http://www.treasury.gov.au/contentitem.asp?ContentID=1875&amp;NavID=035</vt:lpwstr>
      </vt:variant>
      <vt:variant>
        <vt:lpwstr/>
      </vt:variant>
      <vt:variant>
        <vt:i4>720922</vt:i4>
      </vt:variant>
      <vt:variant>
        <vt:i4>42</vt:i4>
      </vt:variant>
      <vt:variant>
        <vt:i4>0</vt:i4>
      </vt:variant>
      <vt:variant>
        <vt:i4>5</vt:i4>
      </vt:variant>
      <vt:variant>
        <vt:lpwstr>http://treasury.gov.au/documents/2054/PDF/20110706 - Final Report - Scoping Study.pdf</vt:lpwstr>
      </vt:variant>
      <vt:variant>
        <vt:lpwstr/>
      </vt:variant>
      <vt:variant>
        <vt:i4>3670077</vt:i4>
      </vt:variant>
      <vt:variant>
        <vt:i4>39</vt:i4>
      </vt:variant>
      <vt:variant>
        <vt:i4>0</vt:i4>
      </vt:variant>
      <vt:variant>
        <vt:i4>5</vt:i4>
      </vt:variant>
      <vt:variant>
        <vt:lpwstr>http://www.taxreview.treasury.gov.au/content/downloads/retirement_income_report_stategic_issues/retirement_income_report.pdf</vt:lpwstr>
      </vt:variant>
      <vt:variant>
        <vt:lpwstr/>
      </vt:variant>
      <vt:variant>
        <vt:i4>3145770</vt:i4>
      </vt:variant>
      <vt:variant>
        <vt:i4>36</vt:i4>
      </vt:variant>
      <vt:variant>
        <vt:i4>0</vt:i4>
      </vt:variant>
      <vt:variant>
        <vt:i4>5</vt:i4>
      </vt:variant>
      <vt:variant>
        <vt:lpwstr>http://greens.org.au/content/greens-plan-quality-affordable-accessible-childcare-australian-families-0</vt:lpwstr>
      </vt:variant>
      <vt:variant>
        <vt:lpwstr/>
      </vt:variant>
      <vt:variant>
        <vt:i4>2490424</vt:i4>
      </vt:variant>
      <vt:variant>
        <vt:i4>33</vt:i4>
      </vt:variant>
      <vt:variant>
        <vt:i4>0</vt:i4>
      </vt:variant>
      <vt:variant>
        <vt:i4>5</vt:i4>
      </vt:variant>
      <vt:variant>
        <vt:lpwstr>http://www.pm.gov.au/press-office/productivity-commissions-final-report-disability-care-and-support</vt:lpwstr>
      </vt:variant>
      <vt:variant>
        <vt:lpwstr/>
      </vt:variant>
      <vt:variant>
        <vt:i4>5570612</vt:i4>
      </vt:variant>
      <vt:variant>
        <vt:i4>30</vt:i4>
      </vt:variant>
      <vt:variant>
        <vt:i4>0</vt:i4>
      </vt:variant>
      <vt:variant>
        <vt:i4>5</vt:i4>
      </vt:variant>
      <vt:variant>
        <vt:lpwstr>http://www.epu.gov.my/html/themes/epu/html/RMKE10/rmke10_english.html</vt:lpwstr>
      </vt:variant>
      <vt:variant>
        <vt:lpwstr/>
      </vt:variant>
      <vt:variant>
        <vt:i4>6291583</vt:i4>
      </vt:variant>
      <vt:variant>
        <vt:i4>27</vt:i4>
      </vt:variant>
      <vt:variant>
        <vt:i4>0</vt:i4>
      </vt:variant>
      <vt:variant>
        <vt:i4>5</vt:i4>
      </vt:variant>
      <vt:variant>
        <vt:lpwstr>http://www.climatechange.gov.au/minister/greg-combet/2010/transcripts/November/tr20101015.aspx</vt:lpwstr>
      </vt:variant>
      <vt:variant>
        <vt:lpwstr/>
      </vt:variant>
      <vt:variant>
        <vt:i4>917568</vt:i4>
      </vt:variant>
      <vt:variant>
        <vt:i4>24</vt:i4>
      </vt:variant>
      <vt:variant>
        <vt:i4>0</vt:i4>
      </vt:variant>
      <vt:variant>
        <vt:i4>5</vt:i4>
      </vt:variant>
      <vt:variant>
        <vt:lpwstr>http://www.coag.gov.au/coag_meeting_outcomes/2011-08-19/docs/Business_Regulation_and_Competition_Working_Group_Report_Card_on_Progress_of_Deregulation_Priorities.pdf</vt:lpwstr>
      </vt:variant>
      <vt:variant>
        <vt:lpwstr/>
      </vt:variant>
      <vt:variant>
        <vt:i4>6160472</vt:i4>
      </vt:variant>
      <vt:variant>
        <vt:i4>21</vt:i4>
      </vt:variant>
      <vt:variant>
        <vt:i4>0</vt:i4>
      </vt:variant>
      <vt:variant>
        <vt:i4>5</vt:i4>
      </vt:variant>
      <vt:variant>
        <vt:lpwstr>http://www.finance.gov.au/deregulation/docs/2009_annual_report_card_July.pdf</vt:lpwstr>
      </vt:variant>
      <vt:variant>
        <vt:lpwstr/>
      </vt:variant>
      <vt:variant>
        <vt:i4>7274618</vt:i4>
      </vt:variant>
      <vt:variant>
        <vt:i4>18</vt:i4>
      </vt:variant>
      <vt:variant>
        <vt:i4>0</vt:i4>
      </vt:variant>
      <vt:variant>
        <vt:i4>5</vt:i4>
      </vt:variant>
      <vt:variant>
        <vt:lpwstr>http://www.coag.gov.au/coag_meeting_outcomes/2008-11-29/docs/Business_Regulation_and_Competition_Working_Group-Attachment_B.pdf</vt:lpwstr>
      </vt:variant>
      <vt:variant>
        <vt:lpwstr/>
      </vt:variant>
      <vt:variant>
        <vt:i4>6225991</vt:i4>
      </vt:variant>
      <vt:variant>
        <vt:i4>15</vt:i4>
      </vt:variant>
      <vt:variant>
        <vt:i4>0</vt:i4>
      </vt:variant>
      <vt:variant>
        <vt:i4>5</vt:i4>
      </vt:variant>
      <vt:variant>
        <vt:lpwstr>http://bob-brown.greensmps.org.au/content/media-release/greens-senate-move-sovereign-wealth-fund</vt:lpwstr>
      </vt:variant>
      <vt:variant>
        <vt:lpwstr/>
      </vt:variant>
      <vt:variant>
        <vt:i4>1245277</vt:i4>
      </vt:variant>
      <vt:variant>
        <vt:i4>12</vt:i4>
      </vt:variant>
      <vt:variant>
        <vt:i4>0</vt:i4>
      </vt:variant>
      <vt:variant>
        <vt:i4>5</vt:i4>
      </vt:variant>
      <vt:variant>
        <vt:lpwstr>http://www.bca.com.au/Content/101757.aspx</vt:lpwstr>
      </vt:variant>
      <vt:variant>
        <vt:lpwstr/>
      </vt:variant>
      <vt:variant>
        <vt:i4>589894</vt:i4>
      </vt:variant>
      <vt:variant>
        <vt:i4>9</vt:i4>
      </vt:variant>
      <vt:variant>
        <vt:i4>0</vt:i4>
      </vt:variant>
      <vt:variant>
        <vt:i4>5</vt:i4>
      </vt:variant>
      <vt:variant>
        <vt:lpwstr>http://www.dfat.gov.au/publications/trade/trading-our-way-to-more-jobs-and-prosperity.html</vt:lpwstr>
      </vt:variant>
      <vt:variant>
        <vt:lpwstr>attachment</vt:lpwstr>
      </vt:variant>
      <vt:variant>
        <vt:i4>6225973</vt:i4>
      </vt:variant>
      <vt:variant>
        <vt:i4>6</vt:i4>
      </vt:variant>
      <vt:variant>
        <vt:i4>0</vt:i4>
      </vt:variant>
      <vt:variant>
        <vt:i4>5</vt:i4>
      </vt:variant>
      <vt:variant>
        <vt:lpwstr>http://www.daff.gov.au/__data/assets/pdf_file/0007/1918195/prelim-response.pdf</vt:lpwstr>
      </vt:variant>
      <vt:variant>
        <vt:lpwstr/>
      </vt:variant>
      <vt:variant>
        <vt:i4>2883669</vt:i4>
      </vt:variant>
      <vt:variant>
        <vt:i4>3</vt:i4>
      </vt:variant>
      <vt:variant>
        <vt:i4>0</vt:i4>
      </vt:variant>
      <vt:variant>
        <vt:i4>5</vt:i4>
      </vt:variant>
      <vt:variant>
        <vt:lpwstr>http://www.budget.gov.au/2009-10/content/bp3/html/bp3_prelims.htm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http://www.finance.gov.au/Publications/response-to-the-pc-manufacturing-and-distributive-trades-review/index.html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Annual Report 2013-14</dc:subject>
  <dc:creator>Productivity Commission</dc:creator>
  <cp:keywords/>
  <dc:description>.</dc:description>
  <cp:lastModifiedBy>Mark Pimperl</cp:lastModifiedBy>
  <cp:revision>195</cp:revision>
  <cp:lastPrinted>2014-10-13T23:31:00Z</cp:lastPrinted>
  <dcterms:created xsi:type="dcterms:W3CDTF">2012-09-04T03:33:00Z</dcterms:created>
  <dcterms:modified xsi:type="dcterms:W3CDTF">2014-10-15T00:05:00Z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