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1ED1" w:rsidRDefault="008A14CE" w:rsidP="008A14CE">
      <w:pPr>
        <w:pStyle w:val="Chapter"/>
        <w:ind w:left="907" w:hanging="907"/>
      </w:pPr>
      <w:bookmarkStart w:id="0" w:name="_AppendixNotByChapter"/>
      <w:bookmarkStart w:id="1" w:name="ChapterNumber"/>
      <w:bookmarkEnd w:id="0"/>
      <w:r>
        <w:t>E</w:t>
      </w:r>
      <w:bookmarkEnd w:id="1"/>
      <w:r>
        <w:tab/>
      </w:r>
      <w:bookmarkStart w:id="2" w:name="ChapterTitle"/>
      <w:r>
        <w:t>Supporting research and related activities</w:t>
      </w:r>
      <w:bookmarkEnd w:id="2"/>
    </w:p>
    <w:p w:rsidR="009E1ED1" w:rsidRDefault="009E1ED1" w:rsidP="00B61021">
      <w:pPr>
        <w:pStyle w:val="BodyText"/>
        <w:spacing w:before="200"/>
      </w:pPr>
      <w:bookmarkStart w:id="3" w:name="begin"/>
      <w:bookmarkEnd w:id="3"/>
      <w:r w:rsidRPr="0063784B">
        <w:t>The Commission’s supporting research program encompasses a range of activities. This appendix provides</w:t>
      </w:r>
      <w:r w:rsidR="00CB6AAB" w:rsidRPr="0063784B">
        <w:t xml:space="preserve"> brief summaries of </w:t>
      </w:r>
      <w:r w:rsidR="00853793">
        <w:t xml:space="preserve">Commission Research Papers, </w:t>
      </w:r>
      <w:r w:rsidR="00CB6AAB" w:rsidRPr="0063784B">
        <w:t>Staff Working P</w:t>
      </w:r>
      <w:r w:rsidRPr="0063784B">
        <w:t>apers</w:t>
      </w:r>
      <w:r w:rsidR="0094559B" w:rsidRPr="0063784B">
        <w:t xml:space="preserve"> </w:t>
      </w:r>
      <w:r w:rsidR="00853793">
        <w:t xml:space="preserve">and Staff Research Notes </w:t>
      </w:r>
      <w:r w:rsidR="0094559B" w:rsidRPr="0063784B">
        <w:t>released in the year.</w:t>
      </w:r>
      <w:r w:rsidRPr="0063784B">
        <w:t xml:space="preserve"> It also lists the presentations given by the Chair, Commissioners and staff to parliamentary committees, conferences and industry and community groups in 20</w:t>
      </w:r>
      <w:r w:rsidR="006A69EC" w:rsidRPr="0063784B">
        <w:t>1</w:t>
      </w:r>
      <w:r w:rsidR="00853793">
        <w:t>3</w:t>
      </w:r>
      <w:r w:rsidRPr="0063784B">
        <w:t>-</w:t>
      </w:r>
      <w:r w:rsidR="009D7078" w:rsidRPr="0063784B">
        <w:t>1</w:t>
      </w:r>
      <w:r w:rsidR="00853793">
        <w:t>4</w:t>
      </w:r>
      <w:r w:rsidR="00CB6AAB" w:rsidRPr="0063784B">
        <w:t>, as well as briefings to international visitors</w:t>
      </w:r>
      <w:r w:rsidRPr="0063784B">
        <w:t>.</w:t>
      </w:r>
    </w:p>
    <w:p w:rsidR="00853793" w:rsidRDefault="00853793" w:rsidP="00D53599">
      <w:pPr>
        <w:pStyle w:val="Heading2"/>
      </w:pPr>
      <w:r>
        <w:t>Commission Research Papers</w:t>
      </w:r>
    </w:p>
    <w:p w:rsidR="00853793" w:rsidRDefault="003C121A" w:rsidP="00D53599">
      <w:pPr>
        <w:pStyle w:val="Heading3"/>
        <w:rPr>
          <w:lang w:val="en"/>
        </w:rPr>
      </w:pPr>
      <w:r>
        <w:rPr>
          <w:lang w:val="en"/>
        </w:rPr>
        <w:t>An Ageing Australia: Preparing for the Future</w:t>
      </w:r>
    </w:p>
    <w:p w:rsidR="00844F0E" w:rsidRPr="00D53599" w:rsidRDefault="00844F0E" w:rsidP="00D53599">
      <w:pPr>
        <w:pStyle w:val="BodyText"/>
        <w:spacing w:before="200"/>
      </w:pPr>
      <w:r w:rsidRPr="00D53599">
        <w:t>This report was released on 22 November 2013</w:t>
      </w:r>
      <w:r>
        <w:t xml:space="preserve">. </w:t>
      </w:r>
      <w:r w:rsidRPr="00D53599">
        <w:t xml:space="preserve">It focuses on the effects of ageing on economic output (underpinned by changes in population, participation and productivity) and the resulting implications for government budgets were current policy settings to be maintained. </w:t>
      </w:r>
    </w:p>
    <w:p w:rsidR="003C121A" w:rsidRDefault="00844F0E" w:rsidP="00B61021">
      <w:pPr>
        <w:pStyle w:val="BodyText"/>
        <w:spacing w:before="200"/>
      </w:pPr>
      <w:r>
        <w:t>The key points from the report were:</w:t>
      </w:r>
    </w:p>
    <w:p w:rsidR="003C121A" w:rsidRDefault="003C121A" w:rsidP="00D53599">
      <w:pPr>
        <w:pStyle w:val="ListBullet"/>
      </w:pPr>
      <w:r>
        <w:t>Australia’s population will both grow strongly and become older. Such slow but profound shifts in the nature of a society do not elicit the same scrutiny as immediate policy issues. The preferable time to contemplate the implications is while these near</w:t>
      </w:r>
      <w:r>
        <w:noBreakHyphen/>
        <w:t>inevitable trends are still in their infancy.</w:t>
      </w:r>
    </w:p>
    <w:p w:rsidR="003C121A" w:rsidRDefault="003C121A" w:rsidP="00D53599">
      <w:pPr>
        <w:pStyle w:val="ListBullet"/>
      </w:pPr>
      <w:r>
        <w:t xml:space="preserve">Population ageing is largely a positive outcome, primarily reflecting improved life expectancy. A female (male) born in 2012 will on average live for an estimated 94.4 (91.6) years. </w:t>
      </w:r>
    </w:p>
    <w:p w:rsidR="003C121A" w:rsidRDefault="003C121A" w:rsidP="00D53599">
      <w:pPr>
        <w:pStyle w:val="ListBullet"/>
      </w:pPr>
      <w:r>
        <w:t>However, population growth and ageing will affect labour supply, economic output, infrastructure requirements and governments’ budgets.</w:t>
      </w:r>
    </w:p>
    <w:p w:rsidR="003C121A" w:rsidRDefault="003C121A" w:rsidP="00D53599">
      <w:pPr>
        <w:pStyle w:val="ListBullet"/>
      </w:pPr>
      <w:r>
        <w:t>Australia’s population is projected to rise to around 38 million by 2060, or around 15 million more than the population in 2012. Sydney and Melbourne can be expected to grow by around 3 million each over this period.</w:t>
      </w:r>
    </w:p>
    <w:p w:rsidR="003C121A" w:rsidRDefault="003C121A" w:rsidP="00D53599">
      <w:pPr>
        <w:pStyle w:val="ListBullet"/>
      </w:pPr>
      <w:r>
        <w:t>The population aged 75 or more years is expected to rise by 4 million from 2012 to 2060, increasing from about 6.4 to 14.4 per cent of the population. In 2012, there was roughly one person aged 100 years old or more to every 100 babies. By 2060, it is projected there will be around 25 such centenarians.</w:t>
      </w:r>
    </w:p>
    <w:p w:rsidR="003C121A" w:rsidRDefault="003C121A" w:rsidP="00D53599">
      <w:pPr>
        <w:pStyle w:val="ListBullet"/>
      </w:pPr>
      <w:r>
        <w:lastRenderedPageBreak/>
        <w:t>Total private and public investment requirements over this 50 year period are estimated to be more than 5 times the cumulative investment made over the last half century, which reveals the importance of an efficient investment environment.</w:t>
      </w:r>
    </w:p>
    <w:p w:rsidR="003C121A" w:rsidRDefault="003C121A" w:rsidP="00D53599">
      <w:pPr>
        <w:pStyle w:val="ListBullet"/>
      </w:pPr>
      <w:r>
        <w:t>Labour participation rates are expected to fall from around 65 to 60 per cent from 2012 to 2060, and overall labour supply per capita to contract by 5 per cent.</w:t>
      </w:r>
    </w:p>
    <w:p w:rsidR="003C121A" w:rsidRDefault="003C121A" w:rsidP="00D53599">
      <w:pPr>
        <w:pStyle w:val="ListBullet"/>
      </w:pPr>
      <w:r>
        <w:t>Average labour productivity growth is projected to be around 1.5 per cent per annum from 2012</w:t>
      </w:r>
      <w:r>
        <w:noBreakHyphen/>
        <w:t>13, well below the high productivity period from 1988</w:t>
      </w:r>
      <w:r>
        <w:noBreakHyphen/>
        <w:t>89 to 2003</w:t>
      </w:r>
      <w:r>
        <w:noBreakHyphen/>
        <w:t>04. Real disposable income per capita is expected to grow at 1.1 per cent per annum compared with the average 2.7 per cent annual growth over the last 20 years.</w:t>
      </w:r>
    </w:p>
    <w:p w:rsidR="003C121A" w:rsidRDefault="003C121A" w:rsidP="00D53599">
      <w:pPr>
        <w:pStyle w:val="ListBullet"/>
      </w:pPr>
      <w:r>
        <w:t>Collectively, it is projected that Australian governments will face additional pressures on their budgets equivalent to around 6 per cent of national GDP by 2060, principally reflecting the growth of expenditure on health, aged care and the Age Pension.</w:t>
      </w:r>
    </w:p>
    <w:p w:rsidR="003C121A" w:rsidRDefault="003C121A" w:rsidP="00D53599">
      <w:pPr>
        <w:pStyle w:val="ListBullet"/>
      </w:pPr>
      <w:r>
        <w:t>Major impending economic and social changes can create the impetus for new reform approaches not currently on the policy horizon. For example:</w:t>
      </w:r>
    </w:p>
    <w:p w:rsidR="003C121A" w:rsidRDefault="003C121A" w:rsidP="00D53599">
      <w:pPr>
        <w:pStyle w:val="ListBullet2"/>
      </w:pPr>
      <w:r>
        <w:t>The design of the Age Pension and broader retirement income system might be linked to life expectancy after completion of the current transition to 67 years in 2023.</w:t>
      </w:r>
    </w:p>
    <w:p w:rsidR="003C121A" w:rsidRDefault="003C121A" w:rsidP="00D53599">
      <w:pPr>
        <w:pStyle w:val="ListBullet2"/>
      </w:pPr>
      <w:r>
        <w:t xml:space="preserve">Using some of the annual </w:t>
      </w:r>
      <w:r>
        <w:rPr>
          <w:i/>
        </w:rPr>
        <w:t>growth</w:t>
      </w:r>
      <w:r>
        <w:t xml:space="preserve"> in the housing equity of older Australians could help ensure higher quality options for aged care services and lower fiscal costs. </w:t>
      </w:r>
    </w:p>
    <w:p w:rsidR="003C121A" w:rsidRPr="0063784B" w:rsidRDefault="003C121A" w:rsidP="00D53599">
      <w:pPr>
        <w:pStyle w:val="ListBullet"/>
      </w:pPr>
      <w:r>
        <w:t>Wide</w:t>
      </w:r>
      <w:r>
        <w:noBreakHyphen/>
        <w:t>ranging health care reforms could improve productivity in the sector that is the largest contributor to fiscal pressures. Even modest improvements in this area would reduce fiscal pressures significantly.</w:t>
      </w:r>
    </w:p>
    <w:p w:rsidR="009E1ED1" w:rsidRPr="0063784B" w:rsidRDefault="009E1ED1">
      <w:pPr>
        <w:pStyle w:val="Heading2"/>
      </w:pPr>
      <w:r w:rsidRPr="0063784B">
        <w:t>Staff working papers</w:t>
      </w:r>
    </w:p>
    <w:p w:rsidR="009E1ED1" w:rsidRDefault="009E1ED1" w:rsidP="00B72D76">
      <w:pPr>
        <w:pStyle w:val="BodyText"/>
        <w:keepNext/>
        <w:rPr>
          <w:i/>
        </w:rPr>
      </w:pPr>
      <w:r w:rsidRPr="0063784B">
        <w:rPr>
          <w:i/>
        </w:rPr>
        <w:t>Note: The views expressed in staff working papers are those of the authors and do not necessarily reflect the views of the Productivity Commission</w:t>
      </w:r>
      <w:r w:rsidR="00B104C2" w:rsidRPr="0063784B">
        <w:rPr>
          <w:i/>
        </w:rPr>
        <w:t>.</w:t>
      </w:r>
    </w:p>
    <w:p w:rsidR="00844F0E" w:rsidRDefault="00EA3464" w:rsidP="00D53599">
      <w:pPr>
        <w:pStyle w:val="Heading3"/>
      </w:pPr>
      <w:r w:rsidRPr="00D53599">
        <w:t>Deep and Persistent Disadvantage in Australia</w:t>
      </w:r>
    </w:p>
    <w:p w:rsidR="00EA3464" w:rsidRDefault="00EA3464" w:rsidP="00D53599">
      <w:pPr>
        <w:pStyle w:val="BodyText"/>
      </w:pPr>
      <w:r w:rsidRPr="00D53599">
        <w:rPr>
          <w:i/>
        </w:rPr>
        <w:t>Rosalie McLachlan, Geoff Gilfillan and Jenny Gordon</w:t>
      </w:r>
      <w:r>
        <w:rPr>
          <w:i/>
        </w:rPr>
        <w:t xml:space="preserve">, </w:t>
      </w:r>
      <w:r>
        <w:t>July 2013</w:t>
      </w:r>
    </w:p>
    <w:p w:rsidR="00EA3464" w:rsidRDefault="00EA3464" w:rsidP="00D53599">
      <w:pPr>
        <w:pStyle w:val="BodyText"/>
      </w:pPr>
      <w:r>
        <w:t>Key points from the paper were:</w:t>
      </w:r>
    </w:p>
    <w:p w:rsidR="00EA3464" w:rsidRPr="00D53599" w:rsidRDefault="00EA3464" w:rsidP="00D53599">
      <w:pPr>
        <w:pStyle w:val="ListBullet"/>
      </w:pPr>
      <w:r w:rsidRPr="00D53599">
        <w:t xml:space="preserve">Australia has experienced two decades of economic growth and rising average incomes, but some in the community continue to be ‘left behind’. </w:t>
      </w:r>
    </w:p>
    <w:p w:rsidR="00EA3464" w:rsidRPr="00D53599" w:rsidRDefault="00EA3464" w:rsidP="00D53599">
      <w:pPr>
        <w:pStyle w:val="ListBullet"/>
      </w:pPr>
      <w:r w:rsidRPr="00D53599">
        <w:t xml:space="preserve">Disadvantage is a multi-dimensional concept. It is about ‘impoverished lives’ (including a lack of opportunities), not just low income. Poverty, deprivation, capabilities and social exclusion are different lenses to view and measure disadvantage. </w:t>
      </w:r>
    </w:p>
    <w:p w:rsidR="00EA3464" w:rsidRPr="00D53599" w:rsidRDefault="00EA3464" w:rsidP="00D53599">
      <w:pPr>
        <w:pStyle w:val="ListBullet"/>
      </w:pPr>
      <w:r w:rsidRPr="00D53599">
        <w:lastRenderedPageBreak/>
        <w:t xml:space="preserve">A number of researchers produce estimates of the extent of disadvantage in Australia. Each relies on contestable assumptions and thresholds. </w:t>
      </w:r>
    </w:p>
    <w:p w:rsidR="00EA3464" w:rsidRPr="00D53599" w:rsidRDefault="00EA3464" w:rsidP="00D53599">
      <w:pPr>
        <w:pStyle w:val="ListBullet"/>
      </w:pPr>
      <w:r w:rsidRPr="00D53599">
        <w:t xml:space="preserve">Around 5 per cent of Australians aged 15 plus are estimated to have experienced deep social exclusion in 2010, fewer than in 2001 (7 per cent). The rate of very deep exclusion was stable at around 1 per cent (Social Exclusion Monitor). </w:t>
      </w:r>
    </w:p>
    <w:p w:rsidR="00EA3464" w:rsidRPr="00D53599" w:rsidRDefault="00EA3464" w:rsidP="00D53599">
      <w:pPr>
        <w:pStyle w:val="ListBullet"/>
      </w:pPr>
      <w:r w:rsidRPr="00D53599">
        <w:t xml:space="preserve">Fewer people experience ongoing disadvantage — 3 per cent of Australians experienced deep social exclusion for five or more years (between 2001 and 2010) and just under 1 per cent for seven or more years. </w:t>
      </w:r>
    </w:p>
    <w:p w:rsidR="00EA3464" w:rsidRPr="00D53599" w:rsidRDefault="00EA3464" w:rsidP="00D53599">
      <w:pPr>
        <w:pStyle w:val="ListBullet"/>
      </w:pPr>
      <w:r w:rsidRPr="00D53599">
        <w:t xml:space="preserve">People who are more likely to experience deep and persistent disadvantage include: lone parents; Indigenous Australians; people with a long-term health condition or disability; and people with low educational attainment. Many are public housing tenants and are weakly attached to the labour market. </w:t>
      </w:r>
    </w:p>
    <w:p w:rsidR="00EA3464" w:rsidRPr="00D53599" w:rsidRDefault="00EA3464" w:rsidP="00D53599">
      <w:pPr>
        <w:pStyle w:val="ListBullet"/>
      </w:pPr>
      <w:r w:rsidRPr="00D53599">
        <w:t xml:space="preserve">Disadvantage has its roots in a complex interplay of factors. Many of these factors, when combined, can have a compounding effect. The probability that any one person will experience disadvantage is influenced by: their personal capabilities and family circumstances; the support they receive; the community where they live (and the opportunities it offers); life events; and the broader economic and social environment. </w:t>
      </w:r>
    </w:p>
    <w:p w:rsidR="00EA3464" w:rsidRPr="00D53599" w:rsidRDefault="00EA3464" w:rsidP="00D53599">
      <w:pPr>
        <w:pStyle w:val="ListBullet"/>
      </w:pPr>
      <w:r w:rsidRPr="00D53599">
        <w:t xml:space="preserve">A child’s earliest years fundamentally shape their life chances. Gaps in capabilities between children from socioeconomically disadvantaged families and their more advantaged peers appear early in life. Starting school ‘behind the eight ball’ can begin a cycle of disadvantage that sets a trajectory for poorer outcomes later in life. </w:t>
      </w:r>
    </w:p>
    <w:p w:rsidR="00EA3464" w:rsidRPr="00D53599" w:rsidRDefault="00EA3464" w:rsidP="00D53599">
      <w:pPr>
        <w:pStyle w:val="ListBullet"/>
      </w:pPr>
      <w:r w:rsidRPr="00D53599">
        <w:t xml:space="preserve">Education is a foundation capability. It improves a person’s employment prospects and earning capacity, and the evidence points to a relationship between education and better health and raised civic and social engagement. </w:t>
      </w:r>
    </w:p>
    <w:p w:rsidR="00EA3464" w:rsidRPr="00D53599" w:rsidRDefault="00EA3464" w:rsidP="00D53599">
      <w:pPr>
        <w:pStyle w:val="ListBullet"/>
      </w:pPr>
      <w:r w:rsidRPr="00D53599">
        <w:t xml:space="preserve">Employment is the route out of disadvantage for most people of working age. </w:t>
      </w:r>
    </w:p>
    <w:p w:rsidR="00EA3464" w:rsidRPr="00D53599" w:rsidRDefault="00EA3464" w:rsidP="00D53599">
      <w:pPr>
        <w:pStyle w:val="ListBullet"/>
      </w:pPr>
      <w:r w:rsidRPr="00D53599">
        <w:t xml:space="preserve">Disadvantage imposes costs on people and families who experience it and on the broader community. Only avoidable costs (reductions in disadvantage that are realistically possible) should be included when estimating the costs of disadvantage. </w:t>
      </w:r>
    </w:p>
    <w:p w:rsidR="00EA3464" w:rsidRPr="00D53599" w:rsidRDefault="00EA3464" w:rsidP="00D53599">
      <w:pPr>
        <w:pStyle w:val="ListBullet"/>
      </w:pPr>
      <w:r w:rsidRPr="00D53599">
        <w:t xml:space="preserve">Longitudinal data is critical to understanding the dynamics of disadvantage. But people who are most disadvantaged are often not well represented in such studies. Administrative data has the potential to provide new knowledge </w:t>
      </w:r>
    </w:p>
    <w:p w:rsidR="00764C77" w:rsidRPr="00D53599" w:rsidRDefault="00764C77" w:rsidP="00D53599">
      <w:pPr>
        <w:pStyle w:val="Heading3"/>
      </w:pPr>
      <w:r w:rsidRPr="00D53599">
        <w:t>Prevalence of Transition Pathways in Australia</w:t>
      </w:r>
    </w:p>
    <w:p w:rsidR="00EA3464" w:rsidRDefault="00764C77" w:rsidP="00D53599">
      <w:pPr>
        <w:pStyle w:val="BodyText"/>
      </w:pPr>
      <w:r w:rsidRPr="00D53599">
        <w:rPr>
          <w:i/>
        </w:rPr>
        <w:t>Jane Fry and Clare Boulton</w:t>
      </w:r>
      <w:r>
        <w:rPr>
          <w:i/>
        </w:rPr>
        <w:t xml:space="preserve">, </w:t>
      </w:r>
      <w:r w:rsidRPr="00D53599">
        <w:t>August 2013</w:t>
      </w:r>
    </w:p>
    <w:p w:rsidR="00DF3015" w:rsidRDefault="00DF3015" w:rsidP="00D53599">
      <w:pPr>
        <w:pStyle w:val="BodyText"/>
        <w:rPr>
          <w:lang w:val="en"/>
        </w:rPr>
      </w:pPr>
      <w:r w:rsidRPr="00DF3015">
        <w:rPr>
          <w:lang w:val="en"/>
        </w:rPr>
        <w:t xml:space="preserve">The analysis in this paper identifies broad patterns — or pathways — in </w:t>
      </w:r>
      <w:proofErr w:type="spellStart"/>
      <w:r w:rsidRPr="00DF3015">
        <w:rPr>
          <w:lang w:val="en"/>
        </w:rPr>
        <w:t>labour</w:t>
      </w:r>
      <w:proofErr w:type="spellEnd"/>
      <w:r w:rsidRPr="00DF3015">
        <w:rPr>
          <w:lang w:val="en"/>
        </w:rPr>
        <w:t xml:space="preserve"> market and education activities associated with different life stages. It uses a novel approach — optimal matching combined with cluster analysis — to </w:t>
      </w:r>
      <w:proofErr w:type="spellStart"/>
      <w:r w:rsidRPr="00DF3015">
        <w:rPr>
          <w:lang w:val="en"/>
        </w:rPr>
        <w:t>analyse</w:t>
      </w:r>
      <w:proofErr w:type="spellEnd"/>
      <w:r w:rsidRPr="00DF3015">
        <w:rPr>
          <w:lang w:val="en"/>
        </w:rPr>
        <w:t xml:space="preserve"> 10 years of calendar data from the </w:t>
      </w:r>
      <w:r w:rsidRPr="00DF3015">
        <w:rPr>
          <w:i/>
          <w:iCs/>
          <w:lang w:val="en"/>
        </w:rPr>
        <w:t xml:space="preserve">Household, Income and </w:t>
      </w:r>
      <w:proofErr w:type="spellStart"/>
      <w:r w:rsidRPr="00DF3015">
        <w:rPr>
          <w:i/>
          <w:iCs/>
          <w:lang w:val="en"/>
        </w:rPr>
        <w:t>Labour</w:t>
      </w:r>
      <w:proofErr w:type="spellEnd"/>
      <w:r w:rsidRPr="00DF3015">
        <w:rPr>
          <w:i/>
          <w:iCs/>
          <w:lang w:val="en"/>
        </w:rPr>
        <w:t xml:space="preserve"> Dynamics in Australia</w:t>
      </w:r>
      <w:r w:rsidRPr="00DF3015">
        <w:rPr>
          <w:lang w:val="en"/>
        </w:rPr>
        <w:t xml:space="preserve"> (HILDA) survey.</w:t>
      </w:r>
    </w:p>
    <w:p w:rsidR="00DF3015" w:rsidRDefault="00DF3015" w:rsidP="00D53599">
      <w:pPr>
        <w:pStyle w:val="BodyText"/>
        <w:rPr>
          <w:lang w:val="en"/>
        </w:rPr>
      </w:pPr>
      <w:r>
        <w:rPr>
          <w:lang w:val="en"/>
        </w:rPr>
        <w:lastRenderedPageBreak/>
        <w:t>The key points were:</w:t>
      </w:r>
    </w:p>
    <w:p w:rsidR="00DF3015" w:rsidRPr="00DF3015" w:rsidRDefault="00DF3015" w:rsidP="00D53599">
      <w:pPr>
        <w:pStyle w:val="ListBullet"/>
        <w:rPr>
          <w:lang w:val="en"/>
        </w:rPr>
      </w:pPr>
      <w:r w:rsidRPr="00DF3015">
        <w:rPr>
          <w:lang w:val="en"/>
        </w:rPr>
        <w:t xml:space="preserve">This paper uses longitudinal information from the calendar in the </w:t>
      </w:r>
      <w:r w:rsidRPr="00DF3015">
        <w:rPr>
          <w:i/>
          <w:iCs/>
          <w:lang w:val="en"/>
        </w:rPr>
        <w:t xml:space="preserve">Household, Income and </w:t>
      </w:r>
      <w:proofErr w:type="spellStart"/>
      <w:r w:rsidRPr="00DF3015">
        <w:rPr>
          <w:i/>
          <w:iCs/>
          <w:lang w:val="en"/>
        </w:rPr>
        <w:t>Labour</w:t>
      </w:r>
      <w:proofErr w:type="spellEnd"/>
      <w:r w:rsidRPr="00DF3015">
        <w:rPr>
          <w:i/>
          <w:iCs/>
          <w:lang w:val="en"/>
        </w:rPr>
        <w:t xml:space="preserve"> Dynamics in Australia</w:t>
      </w:r>
      <w:r w:rsidRPr="00DF3015">
        <w:rPr>
          <w:lang w:val="en"/>
        </w:rPr>
        <w:t xml:space="preserve"> (HILDA) Survey to track monthly education and </w:t>
      </w:r>
      <w:proofErr w:type="spellStart"/>
      <w:r w:rsidRPr="00DF3015">
        <w:rPr>
          <w:lang w:val="en"/>
        </w:rPr>
        <w:t>labour</w:t>
      </w:r>
      <w:proofErr w:type="spellEnd"/>
      <w:r w:rsidRPr="00DF3015">
        <w:rPr>
          <w:lang w:val="en"/>
        </w:rPr>
        <w:t xml:space="preserve"> market activities from 2000 to 2010 for about 6500 working age individuals. The techniques of optimal matching and cluster analysis (</w:t>
      </w:r>
      <w:proofErr w:type="spellStart"/>
      <w:r w:rsidRPr="00DF3015">
        <w:rPr>
          <w:lang w:val="en"/>
        </w:rPr>
        <w:t>OMCA</w:t>
      </w:r>
      <w:proofErr w:type="spellEnd"/>
      <w:r w:rsidRPr="00DF3015">
        <w:rPr>
          <w:lang w:val="en"/>
        </w:rPr>
        <w:t xml:space="preserve">) are used to identify and group individuals with similar patterns of activities into 'pathways'. </w:t>
      </w:r>
    </w:p>
    <w:p w:rsidR="00DF3015" w:rsidRPr="00DF3015" w:rsidRDefault="00DF3015" w:rsidP="00D53599">
      <w:pPr>
        <w:pStyle w:val="ListBullet"/>
        <w:rPr>
          <w:lang w:val="en"/>
        </w:rPr>
      </w:pPr>
      <w:r w:rsidRPr="00DF3015">
        <w:rPr>
          <w:lang w:val="en"/>
        </w:rPr>
        <w:t xml:space="preserve">Much of the wider literature considers transitions from one activity to another (such as study to employment, or employment to retirement). </w:t>
      </w:r>
      <w:proofErr w:type="spellStart"/>
      <w:r w:rsidRPr="00DF3015">
        <w:rPr>
          <w:lang w:val="en"/>
        </w:rPr>
        <w:t>OMCA</w:t>
      </w:r>
      <w:proofErr w:type="spellEnd"/>
      <w:r w:rsidRPr="00DF3015">
        <w:rPr>
          <w:lang w:val="en"/>
        </w:rPr>
        <w:t xml:space="preserve"> applied to calendar style data for other countries shows that there can be multiple transitions (such as reversals or repeated activities, like returning to the </w:t>
      </w:r>
      <w:proofErr w:type="spellStart"/>
      <w:r w:rsidRPr="00DF3015">
        <w:rPr>
          <w:lang w:val="en"/>
        </w:rPr>
        <w:t>labour</w:t>
      </w:r>
      <w:proofErr w:type="spellEnd"/>
      <w:r w:rsidRPr="00DF3015">
        <w:rPr>
          <w:lang w:val="en"/>
        </w:rPr>
        <w:t xml:space="preserve"> force or churning in and out of employment) and different pathways can arise with key life events (such as leaving education, family formation or retirement). </w:t>
      </w:r>
    </w:p>
    <w:p w:rsidR="00DF3015" w:rsidRPr="00DF3015" w:rsidRDefault="00DF3015" w:rsidP="00D53599">
      <w:pPr>
        <w:pStyle w:val="ListBullet"/>
        <w:rPr>
          <w:lang w:val="en"/>
        </w:rPr>
      </w:pPr>
      <w:r w:rsidRPr="00DF3015">
        <w:rPr>
          <w:lang w:val="en"/>
        </w:rPr>
        <w:t xml:space="preserve">Seventeen pathways are identified. Although each pathway contains some variation between the sequences of activities, distinct patterns can be observed. </w:t>
      </w:r>
    </w:p>
    <w:p w:rsidR="00DF3015" w:rsidRPr="00DF3015" w:rsidRDefault="00DF3015" w:rsidP="00D53599">
      <w:pPr>
        <w:pStyle w:val="ListBullet2"/>
        <w:rPr>
          <w:lang w:val="en"/>
        </w:rPr>
      </w:pPr>
      <w:r w:rsidRPr="00DF3015">
        <w:rPr>
          <w:lang w:val="en"/>
        </w:rPr>
        <w:t xml:space="preserve">For youths aged 15–24 in 2001, five pathways are identified: three associated with increasing education levels and transitions to work; one associated with churning in and out of work; and one dominated by young women withdrawing from the </w:t>
      </w:r>
      <w:proofErr w:type="spellStart"/>
      <w:r w:rsidRPr="00DF3015">
        <w:rPr>
          <w:lang w:val="en"/>
        </w:rPr>
        <w:t>labour</w:t>
      </w:r>
      <w:proofErr w:type="spellEnd"/>
      <w:r w:rsidRPr="00DF3015">
        <w:rPr>
          <w:lang w:val="en"/>
        </w:rPr>
        <w:t xml:space="preserve"> force to raise children. </w:t>
      </w:r>
    </w:p>
    <w:p w:rsidR="00DF3015" w:rsidRPr="00DF3015" w:rsidRDefault="00DF3015" w:rsidP="00D53599">
      <w:pPr>
        <w:pStyle w:val="ListBullet2"/>
        <w:rPr>
          <w:lang w:val="en"/>
        </w:rPr>
      </w:pPr>
      <w:r w:rsidRPr="00DF3015">
        <w:rPr>
          <w:lang w:val="en"/>
        </w:rPr>
        <w:t xml:space="preserve">Activity sequences for young adults aged 25–39 are grouped into four pathways: two involving work (one with increasing education); and two involving prolonged periods outside the </w:t>
      </w:r>
      <w:proofErr w:type="spellStart"/>
      <w:r w:rsidRPr="00DF3015">
        <w:rPr>
          <w:lang w:val="en"/>
        </w:rPr>
        <w:t>labour</w:t>
      </w:r>
      <w:proofErr w:type="spellEnd"/>
      <w:r w:rsidRPr="00DF3015">
        <w:rPr>
          <w:lang w:val="en"/>
        </w:rPr>
        <w:t xml:space="preserve"> force associated with raising children (with one pathway showing subsequent return to work). </w:t>
      </w:r>
    </w:p>
    <w:p w:rsidR="00DF3015" w:rsidRPr="00DF3015" w:rsidRDefault="00DF3015" w:rsidP="00D53599">
      <w:pPr>
        <w:pStyle w:val="ListBullet2"/>
        <w:rPr>
          <w:lang w:val="en"/>
        </w:rPr>
      </w:pPr>
      <w:r w:rsidRPr="00DF3015">
        <w:rPr>
          <w:lang w:val="en"/>
        </w:rPr>
        <w:t xml:space="preserve">Mature adults aged 40–54 in 2001 follow one of four pathways: one dominated by work; two dominated by women spending time outside the </w:t>
      </w:r>
      <w:proofErr w:type="spellStart"/>
      <w:r w:rsidRPr="00DF3015">
        <w:rPr>
          <w:lang w:val="en"/>
        </w:rPr>
        <w:t>labour</w:t>
      </w:r>
      <w:proofErr w:type="spellEnd"/>
      <w:r w:rsidRPr="00DF3015">
        <w:rPr>
          <w:lang w:val="en"/>
        </w:rPr>
        <w:t xml:space="preserve"> force raising children (with one return to work pathway); and one pathway associated with early retirement. </w:t>
      </w:r>
    </w:p>
    <w:p w:rsidR="00DF3015" w:rsidRPr="00DF3015" w:rsidRDefault="00DF3015" w:rsidP="00D53599">
      <w:pPr>
        <w:pStyle w:val="ListBullet2"/>
        <w:rPr>
          <w:lang w:val="en"/>
        </w:rPr>
      </w:pPr>
      <w:r w:rsidRPr="00DF3015">
        <w:rPr>
          <w:lang w:val="en"/>
        </w:rPr>
        <w:t xml:space="preserve">For seniors aged 55–64, four pathways are identified: one dominated by work; and three associated with retirement or transitions to retirement. </w:t>
      </w:r>
    </w:p>
    <w:p w:rsidR="00DF3015" w:rsidRPr="00DF3015" w:rsidRDefault="00DF3015" w:rsidP="00D53599">
      <w:pPr>
        <w:pStyle w:val="ListBullet"/>
        <w:rPr>
          <w:lang w:val="en"/>
        </w:rPr>
      </w:pPr>
      <w:r w:rsidRPr="00DF3015">
        <w:rPr>
          <w:lang w:val="en"/>
        </w:rPr>
        <w:t xml:space="preserve">Successful and unsuccessful outcomes in the </w:t>
      </w:r>
      <w:proofErr w:type="spellStart"/>
      <w:r w:rsidRPr="00DF3015">
        <w:rPr>
          <w:lang w:val="en"/>
        </w:rPr>
        <w:t>labour</w:t>
      </w:r>
      <w:proofErr w:type="spellEnd"/>
      <w:r w:rsidRPr="00DF3015">
        <w:rPr>
          <w:lang w:val="en"/>
        </w:rPr>
        <w:t xml:space="preserve"> market can be related to the pathways that individuals follow. The analysis in this paper can be a valuable input to identifying relationships between pathways and outcomes, and the individual characteristics that are associated with specific pathways. That analysis could then inform strategies to reduce the risk of unsuccessful </w:t>
      </w:r>
      <w:proofErr w:type="spellStart"/>
      <w:r w:rsidRPr="00DF3015">
        <w:rPr>
          <w:lang w:val="en"/>
        </w:rPr>
        <w:t>labour</w:t>
      </w:r>
      <w:proofErr w:type="spellEnd"/>
      <w:r w:rsidRPr="00DF3015">
        <w:rPr>
          <w:lang w:val="en"/>
        </w:rPr>
        <w:t xml:space="preserve"> market outcomes, such as prolonged unemployment. </w:t>
      </w:r>
    </w:p>
    <w:p w:rsidR="00DF3015" w:rsidRPr="00D53599" w:rsidRDefault="00DF3015" w:rsidP="00D53599">
      <w:pPr>
        <w:pStyle w:val="Heading3"/>
      </w:pPr>
      <w:r w:rsidRPr="00D53599">
        <w:t>Productivity in Manufacturing: Measurement and Interpretation</w:t>
      </w:r>
    </w:p>
    <w:p w:rsidR="00764C77" w:rsidRDefault="00DF3015" w:rsidP="00D53599">
      <w:pPr>
        <w:pStyle w:val="BodyText"/>
      </w:pPr>
      <w:r w:rsidRPr="00D53599">
        <w:rPr>
          <w:i/>
        </w:rPr>
        <w:t>Paula Barnes, Leo Soames, Cindy Li and Marcelo Munoz</w:t>
      </w:r>
      <w:r w:rsidR="00C92182">
        <w:rPr>
          <w:i/>
        </w:rPr>
        <w:t xml:space="preserve">, </w:t>
      </w:r>
      <w:r w:rsidRPr="00D53599">
        <w:t>December 2013</w:t>
      </w:r>
    </w:p>
    <w:p w:rsidR="000F45A9" w:rsidRPr="000F45A9" w:rsidRDefault="000F45A9" w:rsidP="00D53599">
      <w:pPr>
        <w:pStyle w:val="BodyText"/>
        <w:rPr>
          <w:lang w:val="en"/>
        </w:rPr>
      </w:pPr>
      <w:r w:rsidRPr="000F45A9">
        <w:rPr>
          <w:lang w:val="en"/>
        </w:rPr>
        <w:t xml:space="preserve">The objective of this paper </w:t>
      </w:r>
      <w:r>
        <w:rPr>
          <w:lang w:val="en"/>
        </w:rPr>
        <w:t>wa</w:t>
      </w:r>
      <w:r w:rsidRPr="000F45A9">
        <w:rPr>
          <w:lang w:val="en"/>
        </w:rPr>
        <w:t>s to examine recent productivity performance in Manufacturing, with particular focus on the causes of its decline. In particular, th</w:t>
      </w:r>
      <w:r>
        <w:rPr>
          <w:lang w:val="en"/>
        </w:rPr>
        <w:t>e</w:t>
      </w:r>
      <w:r w:rsidRPr="000F45A9">
        <w:rPr>
          <w:lang w:val="en"/>
        </w:rPr>
        <w:t xml:space="preserve"> paper:</w:t>
      </w:r>
    </w:p>
    <w:p w:rsidR="000F45A9" w:rsidRPr="000F45A9" w:rsidRDefault="000F45A9" w:rsidP="00D53599">
      <w:pPr>
        <w:pStyle w:val="ListBullet"/>
        <w:rPr>
          <w:lang w:val="en"/>
        </w:rPr>
      </w:pPr>
      <w:r w:rsidRPr="000F45A9">
        <w:rPr>
          <w:lang w:val="en"/>
        </w:rPr>
        <w:lastRenderedPageBreak/>
        <w:t xml:space="preserve">analyses Multifactor productivity (MFP) change and its proximate causes (value added, </w:t>
      </w:r>
      <w:proofErr w:type="spellStart"/>
      <w:r w:rsidRPr="000F45A9">
        <w:rPr>
          <w:lang w:val="en"/>
        </w:rPr>
        <w:t>labour</w:t>
      </w:r>
      <w:proofErr w:type="spellEnd"/>
      <w:r w:rsidRPr="000F45A9">
        <w:rPr>
          <w:lang w:val="en"/>
        </w:rPr>
        <w:t xml:space="preserve"> and capital inputs) for Manufacturing as a whole </w:t>
      </w:r>
    </w:p>
    <w:p w:rsidR="000F45A9" w:rsidRPr="000F45A9" w:rsidRDefault="000F45A9" w:rsidP="00D53599">
      <w:pPr>
        <w:pStyle w:val="ListBullet"/>
        <w:rPr>
          <w:lang w:val="en"/>
        </w:rPr>
      </w:pPr>
      <w:r w:rsidRPr="000F45A9">
        <w:rPr>
          <w:lang w:val="en"/>
        </w:rPr>
        <w:t xml:space="preserve">estimates MFP change and its components at the subsector level within Manufacturing </w:t>
      </w:r>
    </w:p>
    <w:p w:rsidR="000F45A9" w:rsidRPr="000F45A9" w:rsidRDefault="000F45A9" w:rsidP="00D53599">
      <w:pPr>
        <w:pStyle w:val="ListBullet"/>
        <w:rPr>
          <w:lang w:val="en"/>
        </w:rPr>
      </w:pPr>
      <w:r w:rsidRPr="000F45A9">
        <w:rPr>
          <w:lang w:val="en"/>
        </w:rPr>
        <w:t xml:space="preserve">examines factors influencing the productivity performance of Manufacturing and three of its largest constituent subsectors (as they have contributed most to recent trends in aggregate performance). </w:t>
      </w:r>
    </w:p>
    <w:p w:rsidR="00C92182" w:rsidRDefault="000F45A9" w:rsidP="00D53599">
      <w:pPr>
        <w:pStyle w:val="BodyText"/>
      </w:pPr>
      <w:r>
        <w:t>Key points were:</w:t>
      </w:r>
    </w:p>
    <w:p w:rsidR="000F45A9" w:rsidRPr="000F45A9" w:rsidRDefault="000F45A9" w:rsidP="00D53599">
      <w:pPr>
        <w:pStyle w:val="ListBullet"/>
        <w:rPr>
          <w:lang w:val="en"/>
        </w:rPr>
      </w:pPr>
      <w:r w:rsidRPr="000F45A9">
        <w:rPr>
          <w:lang w:val="en"/>
        </w:rPr>
        <w:t xml:space="preserve">Multifactor productivity (MFP) growth in Manufacturing was negative over the most recent complete productivity cycle (2003-04 to 2007-08), in contrast to the positive growth in the previous cycle. This large decline was atypical for Manufacturing, and since then MFP has continued to decline (although more slowly). </w:t>
      </w:r>
    </w:p>
    <w:p w:rsidR="000F45A9" w:rsidRPr="000F45A9" w:rsidRDefault="000F45A9" w:rsidP="00D53599">
      <w:pPr>
        <w:pStyle w:val="ListBullet2"/>
        <w:rPr>
          <w:lang w:val="en"/>
        </w:rPr>
      </w:pPr>
      <w:r w:rsidRPr="000F45A9">
        <w:rPr>
          <w:lang w:val="en"/>
        </w:rPr>
        <w:t xml:space="preserve">Manufacturing's MFP decline was a major contributor to flat market sector MFP. </w:t>
      </w:r>
    </w:p>
    <w:p w:rsidR="000F45A9" w:rsidRPr="000F45A9" w:rsidRDefault="000F45A9" w:rsidP="00D53599">
      <w:pPr>
        <w:pStyle w:val="ListBullet"/>
        <w:rPr>
          <w:lang w:val="en"/>
        </w:rPr>
      </w:pPr>
      <w:r w:rsidRPr="000F45A9">
        <w:rPr>
          <w:lang w:val="en"/>
        </w:rPr>
        <w:t xml:space="preserve">There is no overarching systemic reason for the large decline. Rather, various subsector-specific factors, such as lags between investment and output; unmeasured increases in quality; and lower capacity </w:t>
      </w:r>
      <w:proofErr w:type="spellStart"/>
      <w:r w:rsidRPr="000F45A9">
        <w:rPr>
          <w:lang w:val="en"/>
        </w:rPr>
        <w:t>utilisation</w:t>
      </w:r>
      <w:proofErr w:type="spellEnd"/>
      <w:r w:rsidRPr="000F45A9">
        <w:rPr>
          <w:lang w:val="en"/>
        </w:rPr>
        <w:t xml:space="preserve"> all contributed. Some factors reflect temporary responses to changing competitive conditions. </w:t>
      </w:r>
    </w:p>
    <w:p w:rsidR="000F45A9" w:rsidRPr="000F45A9" w:rsidRDefault="000F45A9" w:rsidP="00D53599">
      <w:pPr>
        <w:pStyle w:val="ListBullet2"/>
        <w:rPr>
          <w:lang w:val="en"/>
        </w:rPr>
      </w:pPr>
      <w:r w:rsidRPr="000F45A9">
        <w:rPr>
          <w:lang w:val="en"/>
        </w:rPr>
        <w:t xml:space="preserve">Faster rates of input growth (capital and hours worked) and slower output (value added) growth were the 'proximate causes' of this Manufacturing MFP decline. </w:t>
      </w:r>
    </w:p>
    <w:p w:rsidR="000F45A9" w:rsidRPr="000F45A9" w:rsidRDefault="000F45A9" w:rsidP="00D53599">
      <w:pPr>
        <w:pStyle w:val="ListBullet2"/>
        <w:rPr>
          <w:lang w:val="en"/>
        </w:rPr>
      </w:pPr>
      <w:r w:rsidRPr="000F45A9">
        <w:rPr>
          <w:lang w:val="en"/>
        </w:rPr>
        <w:t>Petroleum, coal, chemical and rubber products (</w:t>
      </w:r>
      <w:proofErr w:type="spellStart"/>
      <w:r w:rsidRPr="000F45A9">
        <w:rPr>
          <w:lang w:val="en"/>
        </w:rPr>
        <w:t>PCCR</w:t>
      </w:r>
      <w:proofErr w:type="spellEnd"/>
      <w:r w:rsidRPr="000F45A9">
        <w:rPr>
          <w:lang w:val="en"/>
        </w:rPr>
        <w:t>), Food, beverage and tobacco products (</w:t>
      </w:r>
      <w:proofErr w:type="spellStart"/>
      <w:r w:rsidRPr="000F45A9">
        <w:rPr>
          <w:lang w:val="en"/>
        </w:rPr>
        <w:t>FBT</w:t>
      </w:r>
      <w:proofErr w:type="spellEnd"/>
      <w:r w:rsidRPr="000F45A9">
        <w:rPr>
          <w:lang w:val="en"/>
        </w:rPr>
        <w:t xml:space="preserve">), and Metal products (MP) collectively accounted for two-thirds of the decline between cycles. Influences on each subsector were diverse. </w:t>
      </w:r>
    </w:p>
    <w:p w:rsidR="000F45A9" w:rsidRPr="000F45A9" w:rsidRDefault="000F45A9" w:rsidP="00D53599">
      <w:pPr>
        <w:pStyle w:val="ListBullet"/>
        <w:rPr>
          <w:lang w:val="en"/>
        </w:rPr>
      </w:pPr>
      <w:proofErr w:type="spellStart"/>
      <w:r w:rsidRPr="000F45A9">
        <w:rPr>
          <w:lang w:val="en"/>
        </w:rPr>
        <w:t>PCCR</w:t>
      </w:r>
      <w:proofErr w:type="spellEnd"/>
      <w:r w:rsidRPr="000F45A9">
        <w:rPr>
          <w:lang w:val="en"/>
        </w:rPr>
        <w:t xml:space="preserve"> output declined in absolute terms over the most recent cycle (after growing over the previous cycle), and yet there was a large increase in capital investment. </w:t>
      </w:r>
    </w:p>
    <w:p w:rsidR="000F45A9" w:rsidRPr="000F45A9" w:rsidRDefault="000F45A9" w:rsidP="00D53599">
      <w:pPr>
        <w:pStyle w:val="ListBullet2"/>
        <w:rPr>
          <w:lang w:val="en"/>
        </w:rPr>
      </w:pPr>
      <w:r w:rsidRPr="000F45A9">
        <w:rPr>
          <w:lang w:val="en"/>
        </w:rPr>
        <w:t xml:space="preserve">Petroleum refineries invested to meet new environmental standards, but the improved fuel quality is not fully reflected in the output measure, and thus in MFP. Value added per unit of output also declined, as greater volumes of feedstock and refined fuel were imported in response to reduced output from domestic oilfields. </w:t>
      </w:r>
    </w:p>
    <w:p w:rsidR="000F45A9" w:rsidRPr="000F45A9" w:rsidRDefault="000F45A9" w:rsidP="00D53599">
      <w:pPr>
        <w:pStyle w:val="ListBullet2"/>
        <w:rPr>
          <w:lang w:val="en"/>
        </w:rPr>
      </w:pPr>
      <w:r w:rsidRPr="000F45A9">
        <w:rPr>
          <w:lang w:val="en"/>
        </w:rPr>
        <w:t xml:space="preserve">For plastic products, increased production by overseas firms with lower input costs and the appreciation of the Australian dollar led to strong import competition. Domestic production declined, leading to </w:t>
      </w:r>
      <w:proofErr w:type="spellStart"/>
      <w:r w:rsidRPr="000F45A9">
        <w:rPr>
          <w:lang w:val="en"/>
        </w:rPr>
        <w:t>underutilised</w:t>
      </w:r>
      <w:proofErr w:type="spellEnd"/>
      <w:r w:rsidRPr="000F45A9">
        <w:rPr>
          <w:lang w:val="en"/>
        </w:rPr>
        <w:t xml:space="preserve"> capacity. Higher demand for </w:t>
      </w:r>
      <w:proofErr w:type="spellStart"/>
      <w:r w:rsidRPr="000F45A9">
        <w:rPr>
          <w:lang w:val="en"/>
        </w:rPr>
        <w:t>fertilisers</w:t>
      </w:r>
      <w:proofErr w:type="spellEnd"/>
      <w:r w:rsidRPr="000F45A9">
        <w:rPr>
          <w:lang w:val="en"/>
        </w:rPr>
        <w:t xml:space="preserve"> and explosives led to very large investments to expand chemical production, but there was a lag before output increased. </w:t>
      </w:r>
    </w:p>
    <w:p w:rsidR="000F45A9" w:rsidRPr="000F45A9" w:rsidRDefault="000F45A9" w:rsidP="00D53599">
      <w:pPr>
        <w:pStyle w:val="ListBullet2"/>
        <w:rPr>
          <w:lang w:val="en"/>
        </w:rPr>
      </w:pPr>
      <w:r w:rsidRPr="000F45A9">
        <w:rPr>
          <w:lang w:val="en"/>
        </w:rPr>
        <w:t xml:space="preserve">Food and beverages output growth slowed, yet hours worked increased significantly. </w:t>
      </w:r>
    </w:p>
    <w:p w:rsidR="000F45A9" w:rsidRPr="000F45A9" w:rsidRDefault="000F45A9" w:rsidP="00D53599">
      <w:pPr>
        <w:pStyle w:val="ListBullet3"/>
        <w:rPr>
          <w:lang w:val="en"/>
        </w:rPr>
      </w:pPr>
      <w:r w:rsidRPr="000F45A9">
        <w:rPr>
          <w:lang w:val="en"/>
        </w:rPr>
        <w:t xml:space="preserve">Slower output growth was associated with a decline in exports and a loss of domestic market share for some products — reflecting input cost pressures, appreciation of the Australian dollar, and, in cases such as wine, drought. </w:t>
      </w:r>
    </w:p>
    <w:p w:rsidR="000F45A9" w:rsidRPr="000F45A9" w:rsidRDefault="000F45A9" w:rsidP="00D53599">
      <w:pPr>
        <w:pStyle w:val="ListBullet3"/>
        <w:rPr>
          <w:lang w:val="en"/>
        </w:rPr>
      </w:pPr>
      <w:r w:rsidRPr="000F45A9">
        <w:rPr>
          <w:lang w:val="en"/>
        </w:rPr>
        <w:lastRenderedPageBreak/>
        <w:t xml:space="preserve">Consumer preferences also drove changes in the composition of output that increased the input intensity of production — for example, there was growth in smaller scale, more </w:t>
      </w:r>
      <w:proofErr w:type="spellStart"/>
      <w:r w:rsidRPr="000F45A9">
        <w:rPr>
          <w:lang w:val="en"/>
        </w:rPr>
        <w:t>labour</w:t>
      </w:r>
      <w:proofErr w:type="spellEnd"/>
      <w:r w:rsidRPr="000F45A9">
        <w:rPr>
          <w:lang w:val="en"/>
        </w:rPr>
        <w:t xml:space="preserve"> intensive, non-factory bakeries. </w:t>
      </w:r>
    </w:p>
    <w:p w:rsidR="000F45A9" w:rsidRPr="000F45A9" w:rsidRDefault="000F45A9" w:rsidP="00D53599">
      <w:pPr>
        <w:pStyle w:val="ListBullet3"/>
        <w:rPr>
          <w:lang w:val="en"/>
        </w:rPr>
      </w:pPr>
      <w:r w:rsidRPr="000F45A9">
        <w:rPr>
          <w:lang w:val="en"/>
        </w:rPr>
        <w:t xml:space="preserve">But the decline in MFP in </w:t>
      </w:r>
      <w:proofErr w:type="spellStart"/>
      <w:r w:rsidRPr="000F45A9">
        <w:rPr>
          <w:lang w:val="en"/>
        </w:rPr>
        <w:t>FBT</w:t>
      </w:r>
      <w:proofErr w:type="spellEnd"/>
      <w:r w:rsidRPr="000F45A9">
        <w:rPr>
          <w:lang w:val="en"/>
        </w:rPr>
        <w:t xml:space="preserve"> may have been overstated due to challenges in measuring improved output quality and reductions in the capital stock. </w:t>
      </w:r>
    </w:p>
    <w:p w:rsidR="000F45A9" w:rsidRPr="000F45A9" w:rsidRDefault="000F45A9" w:rsidP="00D53599">
      <w:pPr>
        <w:pStyle w:val="ListBullet2"/>
        <w:rPr>
          <w:lang w:val="en"/>
        </w:rPr>
      </w:pPr>
      <w:r w:rsidRPr="000F45A9">
        <w:rPr>
          <w:lang w:val="en"/>
        </w:rPr>
        <w:t xml:space="preserve">Metal products was different, with faster output growth and even faster input growth. </w:t>
      </w:r>
    </w:p>
    <w:p w:rsidR="000F45A9" w:rsidRPr="000F45A9" w:rsidRDefault="000F45A9" w:rsidP="00D53599">
      <w:pPr>
        <w:pStyle w:val="ListBullet3"/>
        <w:rPr>
          <w:lang w:val="en"/>
        </w:rPr>
      </w:pPr>
      <w:r w:rsidRPr="000F45A9">
        <w:rPr>
          <w:lang w:val="en"/>
        </w:rPr>
        <w:t xml:space="preserve">Fabricated metals output grew strongly to meet increased demand from the Construction and Mining sectors. </w:t>
      </w:r>
    </w:p>
    <w:p w:rsidR="000F45A9" w:rsidRPr="000F45A9" w:rsidRDefault="000F45A9" w:rsidP="00D53599">
      <w:pPr>
        <w:pStyle w:val="ListBullet3"/>
        <w:rPr>
          <w:lang w:val="en"/>
        </w:rPr>
      </w:pPr>
      <w:r w:rsidRPr="000F45A9">
        <w:rPr>
          <w:lang w:val="en"/>
        </w:rPr>
        <w:t xml:space="preserve">Metal products was responsible for most of the capital growth in Manufacturing, largely to expand alumina refining capacity. However, the inevitable lag between investment and ensuing output led to lower measured productivity. </w:t>
      </w:r>
    </w:p>
    <w:p w:rsidR="000F45A9" w:rsidRPr="000F45A9" w:rsidRDefault="000F45A9" w:rsidP="00D53599">
      <w:pPr>
        <w:pStyle w:val="ListBullet"/>
        <w:rPr>
          <w:lang w:val="en"/>
        </w:rPr>
      </w:pPr>
      <w:r w:rsidRPr="000F45A9">
        <w:rPr>
          <w:lang w:val="en"/>
        </w:rPr>
        <w:t xml:space="preserve">The MFP decline in Manufacturing has slowed in the current incomplete cycle. MFP growth in </w:t>
      </w:r>
      <w:proofErr w:type="spellStart"/>
      <w:r w:rsidRPr="000F45A9">
        <w:rPr>
          <w:lang w:val="en"/>
        </w:rPr>
        <w:t>PCCR</w:t>
      </w:r>
      <w:proofErr w:type="spellEnd"/>
      <w:r w:rsidRPr="000F45A9">
        <w:rPr>
          <w:lang w:val="en"/>
        </w:rPr>
        <w:t xml:space="preserve"> and </w:t>
      </w:r>
      <w:proofErr w:type="spellStart"/>
      <w:r w:rsidRPr="000F45A9">
        <w:rPr>
          <w:lang w:val="en"/>
        </w:rPr>
        <w:t>FBT</w:t>
      </w:r>
      <w:proofErr w:type="spellEnd"/>
      <w:r w:rsidRPr="000F45A9">
        <w:rPr>
          <w:lang w:val="en"/>
        </w:rPr>
        <w:t xml:space="preserve"> remains negative and it is marginally positive in MP. </w:t>
      </w:r>
    </w:p>
    <w:p w:rsidR="000F45A9" w:rsidRDefault="0095702B" w:rsidP="00D53599">
      <w:pPr>
        <w:pStyle w:val="Heading3"/>
      </w:pPr>
      <w:r w:rsidRPr="00D53599">
        <w:t>Environmental Policy Analysis: A Guide to Non-Market Valuation</w:t>
      </w:r>
    </w:p>
    <w:p w:rsidR="0095702B" w:rsidRDefault="0095702B" w:rsidP="00D53599">
      <w:pPr>
        <w:pStyle w:val="BodyText"/>
      </w:pPr>
      <w:r w:rsidRPr="00D53599">
        <w:rPr>
          <w:i/>
        </w:rPr>
        <w:t>Rick Baker and Brad Ruting</w:t>
      </w:r>
      <w:r>
        <w:t>. January 2014</w:t>
      </w:r>
    </w:p>
    <w:p w:rsidR="0095702B" w:rsidRPr="0095702B" w:rsidRDefault="0095702B" w:rsidP="00D53599">
      <w:pPr>
        <w:pStyle w:val="BodyText"/>
        <w:rPr>
          <w:lang w:val="en"/>
        </w:rPr>
      </w:pPr>
      <w:r w:rsidRPr="0095702B">
        <w:rPr>
          <w:lang w:val="en"/>
        </w:rPr>
        <w:t>The objective of this paper is to examine the validity and reliability of various non-market valuation methods, the case for using non-market valuation in environmental policy analysis, and how best use can be made of non-market valuation in developing environmental policy.</w:t>
      </w:r>
    </w:p>
    <w:p w:rsidR="0095702B" w:rsidRPr="0095702B" w:rsidRDefault="0095702B" w:rsidP="00D53599">
      <w:pPr>
        <w:pStyle w:val="ListBullet"/>
        <w:rPr>
          <w:lang w:val="en"/>
        </w:rPr>
      </w:pPr>
      <w:r w:rsidRPr="0095702B">
        <w:rPr>
          <w:lang w:val="en"/>
        </w:rPr>
        <w:t xml:space="preserve">Government policies aimed at generating environmental benefits almost always impose costs on the community. Weighing up these trade-offs is challenging, in part because environmental benefits are difficult to value, particularly those that are not reflected in market prices (so called ‘non-market’ values). </w:t>
      </w:r>
    </w:p>
    <w:p w:rsidR="0095702B" w:rsidRPr="0095702B" w:rsidRDefault="0095702B" w:rsidP="00D53599">
      <w:pPr>
        <w:pStyle w:val="ListBullet"/>
        <w:rPr>
          <w:lang w:val="en"/>
        </w:rPr>
      </w:pPr>
      <w:r w:rsidRPr="0095702B">
        <w:rPr>
          <w:lang w:val="en"/>
        </w:rPr>
        <w:t xml:space="preserve">There are several non-market valuation methods that can be used to evaluate such trade-offs, but they are not widely used for environmental policy analysis in Australia. </w:t>
      </w:r>
    </w:p>
    <w:p w:rsidR="0095702B" w:rsidRPr="0095702B" w:rsidRDefault="0095702B" w:rsidP="00D53599">
      <w:pPr>
        <w:pStyle w:val="ListBullet"/>
        <w:rPr>
          <w:lang w:val="en"/>
        </w:rPr>
      </w:pPr>
      <w:r w:rsidRPr="0095702B">
        <w:rPr>
          <w:lang w:val="en"/>
        </w:rPr>
        <w:t xml:space="preserve">There are two main types of non-market valuation methods: revealed preference and stated preference. </w:t>
      </w:r>
    </w:p>
    <w:p w:rsidR="0095702B" w:rsidRPr="0095702B" w:rsidRDefault="0095702B" w:rsidP="00D53599">
      <w:pPr>
        <w:pStyle w:val="ListBullet2"/>
        <w:rPr>
          <w:lang w:val="en"/>
        </w:rPr>
      </w:pPr>
      <w:r w:rsidRPr="0095702B">
        <w:rPr>
          <w:lang w:val="en"/>
        </w:rPr>
        <w:t xml:space="preserve">The validity of revealed preference methods is widely accepted, but there are many circumstances where they cannot provide the estimates needed for environmental policy analysis. </w:t>
      </w:r>
    </w:p>
    <w:p w:rsidR="0095702B" w:rsidRPr="0095702B" w:rsidRDefault="0095702B" w:rsidP="00D53599">
      <w:pPr>
        <w:pStyle w:val="ListBullet2"/>
        <w:rPr>
          <w:lang w:val="en"/>
        </w:rPr>
      </w:pPr>
      <w:r w:rsidRPr="0095702B">
        <w:rPr>
          <w:lang w:val="en"/>
        </w:rPr>
        <w:t xml:space="preserve">Stated preference methods can be used to estimate virtually all types of environmental values, but their validity is more contentious. </w:t>
      </w:r>
    </w:p>
    <w:p w:rsidR="0095702B" w:rsidRPr="0095702B" w:rsidRDefault="0095702B" w:rsidP="00D53599">
      <w:pPr>
        <w:pStyle w:val="ListBullet"/>
        <w:rPr>
          <w:lang w:val="en"/>
        </w:rPr>
      </w:pPr>
      <w:r w:rsidRPr="0095702B">
        <w:rPr>
          <w:lang w:val="en"/>
        </w:rPr>
        <w:t xml:space="preserve">The evidence suggests that stated preference methods are able to provide valid estimates for use in environmental policy analysis. However: </w:t>
      </w:r>
    </w:p>
    <w:p w:rsidR="0095702B" w:rsidRPr="0095702B" w:rsidRDefault="0095702B" w:rsidP="00D53599">
      <w:pPr>
        <w:pStyle w:val="ListBullet2"/>
        <w:rPr>
          <w:lang w:val="en"/>
        </w:rPr>
      </w:pPr>
      <w:r w:rsidRPr="0095702B">
        <w:rPr>
          <w:lang w:val="en"/>
        </w:rPr>
        <w:lastRenderedPageBreak/>
        <w:t xml:space="preserve">there are many elements that practitioners need to get right to produce meaningful results </w:t>
      </w:r>
    </w:p>
    <w:p w:rsidR="0095702B" w:rsidRPr="0095702B" w:rsidRDefault="0095702B" w:rsidP="00D53599">
      <w:pPr>
        <w:pStyle w:val="ListBullet2"/>
        <w:rPr>
          <w:lang w:val="en"/>
        </w:rPr>
      </w:pPr>
      <w:r w:rsidRPr="0095702B">
        <w:rPr>
          <w:lang w:val="en"/>
        </w:rPr>
        <w:t xml:space="preserve">value estimates are likely to be less reliable when respondents are asked about environmental assets that are especially complex or relatively unfamiliar to them. </w:t>
      </w:r>
    </w:p>
    <w:p w:rsidR="0095702B" w:rsidRPr="0095702B" w:rsidRDefault="0095702B" w:rsidP="00D53599">
      <w:pPr>
        <w:pStyle w:val="ListBullet"/>
        <w:rPr>
          <w:lang w:val="en"/>
        </w:rPr>
      </w:pPr>
      <w:r w:rsidRPr="0095702B">
        <w:rPr>
          <w:lang w:val="en"/>
        </w:rPr>
        <w:t xml:space="preserve">Benefit transfer involves applying available value estimates to new contexts. Its accuracy is likely to be low unless the primary studies are of high quality and relate to similar environmental and policy contexts. These seemingly obvious cautions are often not observed. </w:t>
      </w:r>
    </w:p>
    <w:p w:rsidR="0095702B" w:rsidRPr="0095702B" w:rsidRDefault="0095702B" w:rsidP="00D53599">
      <w:pPr>
        <w:pStyle w:val="ListBullet"/>
        <w:rPr>
          <w:lang w:val="en"/>
        </w:rPr>
      </w:pPr>
      <w:r w:rsidRPr="0095702B">
        <w:rPr>
          <w:lang w:val="en"/>
        </w:rPr>
        <w:t xml:space="preserve">Because non-market valuation methods can generally provide objective estimate of the value that the community places on environmental outcomes, they offer advantages over other approaches to factoring these outcomes into policy analysis. </w:t>
      </w:r>
    </w:p>
    <w:p w:rsidR="0095702B" w:rsidRPr="0095702B" w:rsidRDefault="0095702B" w:rsidP="00D53599">
      <w:pPr>
        <w:pStyle w:val="ListBullet"/>
        <w:rPr>
          <w:lang w:val="en"/>
        </w:rPr>
      </w:pPr>
      <w:r w:rsidRPr="0095702B">
        <w:rPr>
          <w:lang w:val="en"/>
        </w:rPr>
        <w:t xml:space="preserve">The case for using non-market valuation varies according to circumstances. It is likely to be strongest where the financial or environmental stakes are high and there is potential for environmental outcomes to influence policy decisions. </w:t>
      </w:r>
    </w:p>
    <w:p w:rsidR="0095702B" w:rsidRPr="0095702B" w:rsidRDefault="0095702B" w:rsidP="00D53599">
      <w:pPr>
        <w:pStyle w:val="ListBullet"/>
        <w:rPr>
          <w:lang w:val="en"/>
        </w:rPr>
      </w:pPr>
      <w:r w:rsidRPr="0095702B">
        <w:rPr>
          <w:lang w:val="en"/>
        </w:rPr>
        <w:t xml:space="preserve">Where non-market valuation estimates are made they should generally be included in a cost–benefit analysis. Sensitivity analysis should be provided, as well as descriptive information about the environmental outcomes of the proposed policy. </w:t>
      </w:r>
    </w:p>
    <w:p w:rsidR="0095702B" w:rsidRPr="0095702B" w:rsidRDefault="0095702B" w:rsidP="00D53599">
      <w:pPr>
        <w:pStyle w:val="ListBullet"/>
        <w:rPr>
          <w:lang w:val="en"/>
        </w:rPr>
      </w:pPr>
      <w:r w:rsidRPr="0095702B">
        <w:rPr>
          <w:lang w:val="en"/>
        </w:rPr>
        <w:t xml:space="preserve">There is a range of steps that could be taken to realise more fully the potential of non-market valuation, including developing greater knowledge about it within relevant government agencies. </w:t>
      </w:r>
    </w:p>
    <w:p w:rsidR="00B64FE7" w:rsidRPr="00D53599" w:rsidRDefault="00B64FE7" w:rsidP="00D53599">
      <w:pPr>
        <w:pStyle w:val="Heading3"/>
      </w:pPr>
      <w:r w:rsidRPr="00D53599">
        <w:t>Literacy and Numeracy Skills and Labour Market Outcomes in Australia</w:t>
      </w:r>
    </w:p>
    <w:p w:rsidR="0095702B" w:rsidRDefault="00B64FE7" w:rsidP="00D53599">
      <w:pPr>
        <w:pStyle w:val="BodyText"/>
      </w:pPr>
      <w:r w:rsidRPr="00D53599">
        <w:rPr>
          <w:i/>
        </w:rPr>
        <w:t>Anthony Shomos and Matthew Forbes</w:t>
      </w:r>
      <w:r>
        <w:t>, May 2014</w:t>
      </w:r>
    </w:p>
    <w:p w:rsidR="000965A1" w:rsidRPr="000965A1" w:rsidRDefault="000965A1" w:rsidP="00D53599">
      <w:pPr>
        <w:pStyle w:val="BodyText"/>
        <w:rPr>
          <w:lang w:val="en"/>
        </w:rPr>
      </w:pPr>
      <w:r w:rsidRPr="000965A1">
        <w:rPr>
          <w:lang w:val="en"/>
        </w:rPr>
        <w:t xml:space="preserve">This paper profiles the literacy and numeracy skills of Australia's adult population and assesses how important they are for two </w:t>
      </w:r>
      <w:proofErr w:type="spellStart"/>
      <w:r w:rsidRPr="000965A1">
        <w:rPr>
          <w:lang w:val="en"/>
        </w:rPr>
        <w:t>labour</w:t>
      </w:r>
      <w:proofErr w:type="spellEnd"/>
      <w:r w:rsidRPr="000965A1">
        <w:rPr>
          <w:lang w:val="en"/>
        </w:rPr>
        <w:t xml:space="preserve"> market outcomes – employment and wages.</w:t>
      </w:r>
    </w:p>
    <w:p w:rsidR="000965A1" w:rsidRPr="000965A1" w:rsidRDefault="000965A1" w:rsidP="00D53599">
      <w:pPr>
        <w:pStyle w:val="ListBullet"/>
        <w:rPr>
          <w:lang w:val="en"/>
        </w:rPr>
      </w:pPr>
      <w:r w:rsidRPr="000965A1">
        <w:rPr>
          <w:lang w:val="en"/>
        </w:rPr>
        <w:t xml:space="preserve">Adult literacy and numeracy skills contribute to wellbeing in many ways. At an individual level, they are central to social and economic participation. </w:t>
      </w:r>
    </w:p>
    <w:p w:rsidR="000965A1" w:rsidRPr="000965A1" w:rsidRDefault="000965A1" w:rsidP="00D53599">
      <w:pPr>
        <w:pStyle w:val="ListBullet2"/>
        <w:rPr>
          <w:lang w:val="en"/>
        </w:rPr>
      </w:pPr>
      <w:r w:rsidRPr="000965A1">
        <w:rPr>
          <w:lang w:val="en"/>
        </w:rPr>
        <w:t xml:space="preserve">Literacy and numeracy skills are a core part of a person's human capital. </w:t>
      </w:r>
    </w:p>
    <w:p w:rsidR="000965A1" w:rsidRPr="000965A1" w:rsidRDefault="000965A1" w:rsidP="00D53599">
      <w:pPr>
        <w:pStyle w:val="ListBullet2"/>
        <w:rPr>
          <w:lang w:val="en"/>
        </w:rPr>
      </w:pPr>
      <w:r w:rsidRPr="000965A1">
        <w:rPr>
          <w:lang w:val="en"/>
        </w:rPr>
        <w:t xml:space="preserve">They also support the development of other forms of human capital, including knowledge, other skills and health. </w:t>
      </w:r>
    </w:p>
    <w:p w:rsidR="000965A1" w:rsidRPr="000965A1" w:rsidRDefault="000965A1" w:rsidP="00D53599">
      <w:pPr>
        <w:pStyle w:val="ListBullet"/>
        <w:rPr>
          <w:lang w:val="en"/>
        </w:rPr>
      </w:pPr>
      <w:r w:rsidRPr="000965A1">
        <w:rPr>
          <w:lang w:val="en"/>
        </w:rPr>
        <w:t>Some Australians have low (level 1 or below) litera</w:t>
      </w:r>
      <w:r w:rsidR="006B6AC7">
        <w:rPr>
          <w:lang w:val="en"/>
        </w:rPr>
        <w:t>cy and numeracy skills. In 2011</w:t>
      </w:r>
      <w:r w:rsidR="006B6AC7">
        <w:rPr>
          <w:lang w:val="en"/>
        </w:rPr>
        <w:noBreakHyphen/>
      </w:r>
      <w:r w:rsidRPr="000965A1">
        <w:rPr>
          <w:lang w:val="en"/>
        </w:rPr>
        <w:t xml:space="preserve">12: </w:t>
      </w:r>
    </w:p>
    <w:p w:rsidR="000965A1" w:rsidRPr="000965A1" w:rsidRDefault="000965A1" w:rsidP="00D53599">
      <w:pPr>
        <w:pStyle w:val="ListBullet2"/>
        <w:rPr>
          <w:lang w:val="en"/>
        </w:rPr>
      </w:pPr>
      <w:r w:rsidRPr="000965A1">
        <w:rPr>
          <w:lang w:val="en"/>
        </w:rPr>
        <w:t xml:space="preserve">14 per cent of Australians could, at best, read only relatively short texts from which they were able to locate only a single piece of information. </w:t>
      </w:r>
    </w:p>
    <w:p w:rsidR="000965A1" w:rsidRPr="000965A1" w:rsidRDefault="000965A1" w:rsidP="00D53599">
      <w:pPr>
        <w:pStyle w:val="ListBullet2"/>
        <w:rPr>
          <w:lang w:val="en"/>
        </w:rPr>
      </w:pPr>
      <w:r w:rsidRPr="000965A1">
        <w:rPr>
          <w:lang w:val="en"/>
        </w:rPr>
        <w:t xml:space="preserve">22 per cent could only carry out one-step or simple processes such as counting where the mathematical content is explicit with little or no text or distractors. </w:t>
      </w:r>
    </w:p>
    <w:p w:rsidR="000965A1" w:rsidRPr="000965A1" w:rsidRDefault="000965A1" w:rsidP="00D53599">
      <w:pPr>
        <w:pStyle w:val="ListBullet"/>
        <w:rPr>
          <w:lang w:val="en"/>
        </w:rPr>
      </w:pPr>
      <w:r w:rsidRPr="000965A1">
        <w:rPr>
          <w:lang w:val="en"/>
        </w:rPr>
        <w:lastRenderedPageBreak/>
        <w:t xml:space="preserve">At the other end of the skill distribution, 16 per cent of Australians had high (level 4/5) literacy skills and 12 per cent had high numeracy skills in 2011–12. </w:t>
      </w:r>
    </w:p>
    <w:p w:rsidR="000965A1" w:rsidRPr="000965A1" w:rsidRDefault="000965A1" w:rsidP="00D53599">
      <w:pPr>
        <w:pStyle w:val="ListBullet2"/>
        <w:rPr>
          <w:lang w:val="en"/>
        </w:rPr>
      </w:pPr>
      <w:r w:rsidRPr="000965A1">
        <w:rPr>
          <w:lang w:val="en"/>
        </w:rPr>
        <w:t xml:space="preserve">People with high literacy skills can make complex inferences and evaluate subtle truth claims or arguments in lengthy or multiple texts. </w:t>
      </w:r>
    </w:p>
    <w:p w:rsidR="000965A1" w:rsidRPr="000965A1" w:rsidRDefault="000965A1" w:rsidP="00D53599">
      <w:pPr>
        <w:pStyle w:val="ListBullet2"/>
        <w:rPr>
          <w:lang w:val="en"/>
        </w:rPr>
      </w:pPr>
      <w:r w:rsidRPr="000965A1">
        <w:rPr>
          <w:lang w:val="en"/>
        </w:rPr>
        <w:t xml:space="preserve">People with high numeracy skills can understand a broad range of mathematical information that may be complex, abstract or embedded in unfamiliar contexts. </w:t>
      </w:r>
    </w:p>
    <w:p w:rsidR="000965A1" w:rsidRPr="000965A1" w:rsidRDefault="000965A1" w:rsidP="00D53599">
      <w:pPr>
        <w:pStyle w:val="ListBullet"/>
        <w:rPr>
          <w:lang w:val="en"/>
        </w:rPr>
      </w:pPr>
      <w:r w:rsidRPr="000965A1">
        <w:rPr>
          <w:lang w:val="en"/>
        </w:rPr>
        <w:t xml:space="preserve">Most Australians have skills somewhere between these levels. Groups with relatively low literacy and numeracy skills include: people with low levels of education; older persons; people not working; and immigrants with a non-English speaking background. </w:t>
      </w:r>
    </w:p>
    <w:p w:rsidR="000965A1" w:rsidRPr="000965A1" w:rsidRDefault="000965A1" w:rsidP="00D53599">
      <w:pPr>
        <w:pStyle w:val="ListBullet"/>
        <w:rPr>
          <w:lang w:val="en"/>
        </w:rPr>
      </w:pPr>
      <w:r w:rsidRPr="000965A1">
        <w:rPr>
          <w:lang w:val="en"/>
        </w:rPr>
        <w:t xml:space="preserve">Compared with other countries in the OECD, Australia performs above average on literacy but average in numeracy. </w:t>
      </w:r>
    </w:p>
    <w:p w:rsidR="000965A1" w:rsidRPr="000965A1" w:rsidRDefault="000965A1" w:rsidP="00D53599">
      <w:pPr>
        <w:pStyle w:val="ListBullet"/>
        <w:rPr>
          <w:lang w:val="en"/>
        </w:rPr>
      </w:pPr>
      <w:r w:rsidRPr="000965A1">
        <w:rPr>
          <w:lang w:val="en"/>
        </w:rPr>
        <w:t xml:space="preserve">Higher literacy and numeracy skills are associated with better </w:t>
      </w:r>
      <w:proofErr w:type="spellStart"/>
      <w:r w:rsidRPr="000965A1">
        <w:rPr>
          <w:lang w:val="en"/>
        </w:rPr>
        <w:t>labour</w:t>
      </w:r>
      <w:proofErr w:type="spellEnd"/>
      <w:r w:rsidRPr="000965A1">
        <w:rPr>
          <w:lang w:val="en"/>
        </w:rPr>
        <w:t xml:space="preserve"> market outcomes (employment and wages). Econometric modelling shows that: </w:t>
      </w:r>
    </w:p>
    <w:p w:rsidR="000965A1" w:rsidRPr="000965A1" w:rsidRDefault="000965A1" w:rsidP="00D53599">
      <w:pPr>
        <w:pStyle w:val="ListBullet2"/>
        <w:rPr>
          <w:lang w:val="en"/>
        </w:rPr>
      </w:pPr>
      <w:r w:rsidRPr="000965A1">
        <w:rPr>
          <w:lang w:val="en"/>
        </w:rPr>
        <w:t xml:space="preserve">an increase in literacy and numeracy by one skill level is associated with an increased likelihood of employment of 2.4 and 4.3 percentage points for men and women, respectively </w:t>
      </w:r>
    </w:p>
    <w:p w:rsidR="000965A1" w:rsidRPr="000965A1" w:rsidRDefault="000965A1" w:rsidP="00D53599">
      <w:pPr>
        <w:pStyle w:val="ListBullet2"/>
        <w:rPr>
          <w:lang w:val="en"/>
        </w:rPr>
      </w:pPr>
      <w:r w:rsidRPr="000965A1">
        <w:rPr>
          <w:lang w:val="en"/>
        </w:rPr>
        <w:t xml:space="preserve">an increase in literacy and numeracy skills is associated with a similar increase in the probability of employment, whether a person had a degree, diploma/certificate or Year 12 education </w:t>
      </w:r>
    </w:p>
    <w:p w:rsidR="000965A1" w:rsidRPr="000965A1" w:rsidRDefault="000965A1" w:rsidP="00D53599">
      <w:pPr>
        <w:pStyle w:val="ListBullet2"/>
        <w:rPr>
          <w:lang w:val="en"/>
        </w:rPr>
      </w:pPr>
      <w:r w:rsidRPr="000965A1">
        <w:rPr>
          <w:lang w:val="en"/>
        </w:rPr>
        <w:t xml:space="preserve">an increase in literacy and numeracy by one skill level is associated with about a 10 per cent increase in wages for both men and women. This positive association is equivalent to that of increasing educational attainment from Year 11 to Year 12 or to a diploma/certificate </w:t>
      </w:r>
    </w:p>
    <w:p w:rsidR="000965A1" w:rsidRPr="000965A1" w:rsidRDefault="000965A1" w:rsidP="00D53599">
      <w:pPr>
        <w:pStyle w:val="ListBullet2"/>
        <w:rPr>
          <w:lang w:val="en"/>
        </w:rPr>
      </w:pPr>
      <w:r w:rsidRPr="000965A1">
        <w:rPr>
          <w:lang w:val="en"/>
        </w:rPr>
        <w:t xml:space="preserve">up to 40 per cent of the association between education and employment is attributable to literacy and numeracy skills. These results are consistent with education providing many other attributes of human capital that are valued in the workplace </w:t>
      </w:r>
    </w:p>
    <w:p w:rsidR="00B64FE7" w:rsidRPr="004F707A" w:rsidRDefault="000965A1" w:rsidP="00D53599">
      <w:pPr>
        <w:pStyle w:val="ListBullet2"/>
        <w:rPr>
          <w:i/>
        </w:rPr>
      </w:pPr>
      <w:r w:rsidRPr="000965A1">
        <w:rPr>
          <w:lang w:val="en"/>
        </w:rPr>
        <w:t xml:space="preserve">more than half of the 'penalty' that affects the wages of people with a non-English speaking background is explained by their lower literacy and numeracy skills. </w:t>
      </w:r>
    </w:p>
    <w:p w:rsidR="006B6AC7" w:rsidRDefault="006B6AC7">
      <w:pPr>
        <w:rPr>
          <w:rFonts w:ascii="Arial" w:hAnsi="Arial"/>
          <w:b/>
          <w:sz w:val="32"/>
          <w:szCs w:val="20"/>
        </w:rPr>
      </w:pPr>
      <w:r>
        <w:br w:type="page"/>
      </w:r>
    </w:p>
    <w:p w:rsidR="00507FB4" w:rsidRPr="0063784B" w:rsidRDefault="00507FB4" w:rsidP="00507FB4">
      <w:pPr>
        <w:pStyle w:val="Heading2"/>
      </w:pPr>
      <w:r w:rsidRPr="0063784B">
        <w:lastRenderedPageBreak/>
        <w:t xml:space="preserve">Staff </w:t>
      </w:r>
      <w:r>
        <w:t>research notes</w:t>
      </w:r>
    </w:p>
    <w:p w:rsidR="00507FB4" w:rsidRDefault="00507FB4" w:rsidP="00507FB4">
      <w:pPr>
        <w:pStyle w:val="BodyText"/>
        <w:keepNext/>
        <w:rPr>
          <w:i/>
        </w:rPr>
      </w:pPr>
      <w:r w:rsidRPr="0063784B">
        <w:rPr>
          <w:i/>
        </w:rPr>
        <w:t xml:space="preserve">Note: The views expressed in staff </w:t>
      </w:r>
      <w:r>
        <w:rPr>
          <w:i/>
        </w:rPr>
        <w:t>research</w:t>
      </w:r>
      <w:r w:rsidRPr="0063784B">
        <w:rPr>
          <w:i/>
        </w:rPr>
        <w:t xml:space="preserve"> </w:t>
      </w:r>
      <w:r>
        <w:rPr>
          <w:i/>
        </w:rPr>
        <w:t xml:space="preserve">notes </w:t>
      </w:r>
      <w:r w:rsidRPr="0063784B">
        <w:rPr>
          <w:i/>
        </w:rPr>
        <w:t>are those of the authors and do not necessarily reflect the views of the Productivity Commission.</w:t>
      </w:r>
    </w:p>
    <w:p w:rsidR="004F707A" w:rsidRDefault="004F707A" w:rsidP="00D53599">
      <w:pPr>
        <w:pStyle w:val="Heading3"/>
      </w:pPr>
      <w:r w:rsidRPr="00D53599">
        <w:t>On Input-output Tables: uses and abuses</w:t>
      </w:r>
    </w:p>
    <w:p w:rsidR="004F707A" w:rsidRDefault="004F707A" w:rsidP="00FC62AE">
      <w:pPr>
        <w:pStyle w:val="BodyText"/>
        <w:rPr>
          <w:i/>
        </w:rPr>
      </w:pPr>
      <w:r w:rsidRPr="00D53599">
        <w:rPr>
          <w:i/>
        </w:rPr>
        <w:t>Paul Gretton</w:t>
      </w:r>
      <w:r w:rsidR="00D53599">
        <w:rPr>
          <w:i/>
        </w:rPr>
        <w:t>,</w:t>
      </w:r>
      <w:r w:rsidRPr="00D53599">
        <w:rPr>
          <w:i/>
        </w:rPr>
        <w:t xml:space="preserve"> </w:t>
      </w:r>
      <w:r w:rsidRPr="00D53599">
        <w:t>Octob</w:t>
      </w:r>
      <w:r w:rsidR="006B6AC7">
        <w:t>er 2013</w:t>
      </w:r>
    </w:p>
    <w:p w:rsidR="00D53599" w:rsidRPr="00D53599" w:rsidRDefault="00D53599" w:rsidP="00D53599">
      <w:pPr>
        <w:pStyle w:val="BodyText"/>
      </w:pPr>
      <w:r w:rsidRPr="00D53599">
        <w:t xml:space="preserve">This staff research note describes the uses and abuses of input-output tables, with the aim of improving future utility of what is an important but sometimes misused resource. In doing so, the note examines a number of novel approaches to effective use and some examples of abuse. </w:t>
      </w:r>
    </w:p>
    <w:p w:rsidR="00D53599" w:rsidRPr="00D53599" w:rsidRDefault="00D53599" w:rsidP="00D53599">
      <w:pPr>
        <w:pStyle w:val="BodyText"/>
      </w:pPr>
      <w:r w:rsidRPr="00D53599">
        <w:t xml:space="preserve">Novel uses include: </w:t>
      </w:r>
    </w:p>
    <w:p w:rsidR="00D53599" w:rsidRPr="00D53599" w:rsidRDefault="00D53599" w:rsidP="00D53599">
      <w:pPr>
        <w:pStyle w:val="ListBullet"/>
      </w:pPr>
      <w:r w:rsidRPr="00D53599">
        <w:t xml:space="preserve">an environment-economic input-output framework; </w:t>
      </w:r>
    </w:p>
    <w:p w:rsidR="00D53599" w:rsidRPr="00D53599" w:rsidRDefault="00D53599" w:rsidP="00D53599">
      <w:pPr>
        <w:pStyle w:val="ListBullet"/>
      </w:pPr>
      <w:r w:rsidRPr="00D53599">
        <w:t xml:space="preserve">analysis of the composition of exports; and </w:t>
      </w:r>
    </w:p>
    <w:p w:rsidR="00D53599" w:rsidRPr="00D53599" w:rsidRDefault="00D53599" w:rsidP="00D53599">
      <w:pPr>
        <w:pStyle w:val="ListBullet"/>
      </w:pPr>
      <w:r w:rsidRPr="00D53599">
        <w:t>foreign value-added levels in nations’ exports.</w:t>
      </w:r>
    </w:p>
    <w:p w:rsidR="004F707A" w:rsidRDefault="00FC62AE" w:rsidP="00D53599">
      <w:pPr>
        <w:pStyle w:val="BodyText"/>
        <w:rPr>
          <w:szCs w:val="26"/>
        </w:rPr>
      </w:pPr>
      <w:r>
        <w:rPr>
          <w:szCs w:val="26"/>
        </w:rPr>
        <w:t>Abuse primarily relates to overstating the economic importance of specific sectoral or regional activities. It is likely that if all such analyses were to be aggregated, they would sum to much more than the total for the Australian economy. Claims that jobs ‘gained’ directly from the cause being promoted will lead to cascading gains in the wider economy often fail to give any consideration to the restrictive nature of the assumptions required for input-output multiplier exercises to be valid. In particular, these applications fail to consider the opportunity cost of both spending measures and alternate uses of resources, and may misinform policy-makers.</w:t>
      </w:r>
    </w:p>
    <w:p w:rsidR="00887BAC" w:rsidRDefault="00887BAC" w:rsidP="00D53599">
      <w:pPr>
        <w:pStyle w:val="BodyText"/>
        <w:rPr>
          <w:szCs w:val="26"/>
        </w:rPr>
      </w:pPr>
    </w:p>
    <w:p w:rsidR="00887BAC" w:rsidRPr="00D53599" w:rsidRDefault="00887BAC" w:rsidP="00D53599">
      <w:pPr>
        <w:pStyle w:val="BodyText"/>
      </w:pPr>
    </w:p>
    <w:p w:rsidR="00202AA1" w:rsidRDefault="00202AA1" w:rsidP="00F12AC0">
      <w:pPr>
        <w:pStyle w:val="BodyText"/>
      </w:pPr>
    </w:p>
    <w:p w:rsidR="00F12AC0" w:rsidRDefault="00F12AC0">
      <w:pPr>
        <w:pStyle w:val="BodyText"/>
        <w:sectPr w:rsidR="00F12AC0" w:rsidSect="008A14CE">
          <w:headerReference w:type="even" r:id="rId8"/>
          <w:headerReference w:type="default" r:id="rId9"/>
          <w:footerReference w:type="even" r:id="rId10"/>
          <w:footerReference w:type="default" r:id="rId11"/>
          <w:pgSz w:w="11907" w:h="16840" w:code="9"/>
          <w:pgMar w:top="1984" w:right="1304" w:bottom="1247" w:left="1814" w:header="1701" w:footer="397" w:gutter="0"/>
          <w:pgNumType w:start="103" w:chapStyle="1" w:chapSep="period"/>
          <w:cols w:space="720"/>
          <w:docGrid w:linePitch="326"/>
        </w:sectPr>
      </w:pPr>
    </w:p>
    <w:p w:rsidR="00887BAC" w:rsidRDefault="00887BAC" w:rsidP="009A2B37">
      <w:pPr>
        <w:pStyle w:val="BoxSpaceAbove"/>
      </w:pPr>
    </w:p>
    <w:tbl>
      <w:tblPr>
        <w:tblW w:w="5000" w:type="pct"/>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13893"/>
      </w:tblGrid>
      <w:tr w:rsidR="00887BAC" w:rsidTr="00887BAC">
        <w:tc>
          <w:tcPr>
            <w:tcW w:w="5000" w:type="pct"/>
            <w:tcBorders>
              <w:top w:val="single" w:sz="6" w:space="0" w:color="78A22F"/>
              <w:left w:val="nil"/>
              <w:bottom w:val="nil"/>
              <w:right w:val="nil"/>
            </w:tcBorders>
            <w:shd w:val="clear" w:color="auto" w:fill="auto"/>
          </w:tcPr>
          <w:p w:rsidR="00887BAC" w:rsidRPr="00784A05" w:rsidRDefault="00887BAC" w:rsidP="00887BAC">
            <w:pPr>
              <w:pStyle w:val="TableTitle"/>
            </w:pPr>
            <w:r>
              <w:rPr>
                <w:b w:val="0"/>
              </w:rPr>
              <w:t xml:space="preserve">Table </w:t>
            </w:r>
            <w:bookmarkStart w:id="5" w:name="OLE_LINK1"/>
            <w:r>
              <w:rPr>
                <w:b w:val="0"/>
              </w:rPr>
              <w:fldChar w:fldCharType="begin"/>
            </w:r>
            <w:r>
              <w:rPr>
                <w:b w:val="0"/>
              </w:rPr>
              <w:instrText xml:space="preserve"> COMMENTS  \* MERGEFORMAT </w:instrText>
            </w:r>
            <w:r>
              <w:rPr>
                <w:b w:val="0"/>
              </w:rPr>
              <w:fldChar w:fldCharType="separate"/>
            </w:r>
            <w:proofErr w:type="spellStart"/>
            <w:r w:rsidR="008A14CE">
              <w:rPr>
                <w:b w:val="0"/>
              </w:rPr>
              <w:t>E.</w:t>
            </w:r>
            <w:r>
              <w:rPr>
                <w:b w:val="0"/>
              </w:rPr>
              <w:fldChar w:fldCharType="end"/>
            </w:r>
            <w:r>
              <w:rPr>
                <w:b w:val="0"/>
              </w:rPr>
              <w:fldChar w:fldCharType="begin"/>
            </w:r>
            <w:r>
              <w:rPr>
                <w:b w:val="0"/>
              </w:rPr>
              <w:instrText xml:space="preserve"> SEQ Table \* ARABIC </w:instrText>
            </w:r>
            <w:r>
              <w:rPr>
                <w:b w:val="0"/>
              </w:rPr>
              <w:fldChar w:fldCharType="separate"/>
            </w:r>
            <w:r w:rsidR="00997332">
              <w:rPr>
                <w:b w:val="0"/>
                <w:noProof/>
              </w:rPr>
              <w:t>1</w:t>
            </w:r>
            <w:proofErr w:type="spellEnd"/>
            <w:r>
              <w:rPr>
                <w:b w:val="0"/>
              </w:rPr>
              <w:fldChar w:fldCharType="end"/>
            </w:r>
            <w:bookmarkEnd w:id="5"/>
            <w:r>
              <w:tab/>
            </w:r>
            <w:r w:rsidRPr="00BB73F9">
              <w:t>Speeches and presentations by the Chair, Commissioners and staff, 201</w:t>
            </w:r>
            <w:r>
              <w:t>3</w:t>
            </w:r>
            <w:r w:rsidRPr="00BB73F9">
              <w:t>-1</w:t>
            </w:r>
            <w:r>
              <w:t>4</w:t>
            </w:r>
          </w:p>
        </w:tc>
      </w:tr>
      <w:tr w:rsidR="00887BAC" w:rsidTr="00887BAC">
        <w:trPr>
          <w:cantSplit/>
        </w:trPr>
        <w:tc>
          <w:tcPr>
            <w:tcW w:w="5000" w:type="pct"/>
            <w:tcBorders>
              <w:top w:val="nil"/>
              <w:left w:val="nil"/>
              <w:bottom w:val="nil"/>
              <w:right w:val="nil"/>
            </w:tcBorders>
            <w:shd w:val="clear" w:color="auto" w:fill="auto"/>
          </w:tcPr>
          <w:tbl>
            <w:tblPr>
              <w:tblW w:w="0" w:type="auto"/>
              <w:tblLayout w:type="fixed"/>
              <w:tblCellMar>
                <w:top w:w="28" w:type="dxa"/>
                <w:left w:w="0" w:type="dxa"/>
                <w:right w:w="0" w:type="dxa"/>
              </w:tblCellMar>
              <w:tblLook w:val="0000" w:firstRow="0" w:lastRow="0" w:firstColumn="0" w:lastColumn="0" w:noHBand="0" w:noVBand="0"/>
            </w:tblPr>
            <w:tblGrid>
              <w:gridCol w:w="6379"/>
              <w:gridCol w:w="6217"/>
              <w:gridCol w:w="1013"/>
            </w:tblGrid>
            <w:tr w:rsidR="00887BAC" w:rsidTr="004103F0">
              <w:tc>
                <w:tcPr>
                  <w:tcW w:w="6379" w:type="dxa"/>
                  <w:tcBorders>
                    <w:top w:val="single" w:sz="6" w:space="0" w:color="BFBFBF"/>
                    <w:bottom w:val="single" w:sz="6" w:space="0" w:color="BFBFBF"/>
                  </w:tcBorders>
                  <w:shd w:val="clear" w:color="auto" w:fill="auto"/>
                  <w:tcMar>
                    <w:top w:w="28" w:type="dxa"/>
                  </w:tcMar>
                </w:tcPr>
                <w:p w:rsidR="00887BAC" w:rsidRPr="00593FC7" w:rsidRDefault="00887BAC" w:rsidP="009A2B37">
                  <w:pPr>
                    <w:pStyle w:val="TableColumnHeading"/>
                    <w:jc w:val="left"/>
                    <w:rPr>
                      <w:rFonts w:cs="Arial"/>
                      <w:szCs w:val="18"/>
                    </w:rPr>
                  </w:pPr>
                  <w:r w:rsidRPr="00593FC7">
                    <w:rPr>
                      <w:rFonts w:cs="Arial"/>
                      <w:szCs w:val="18"/>
                    </w:rPr>
                    <w:t>Organisation/event</w:t>
                  </w:r>
                </w:p>
              </w:tc>
              <w:tc>
                <w:tcPr>
                  <w:tcW w:w="6217" w:type="dxa"/>
                  <w:tcBorders>
                    <w:top w:val="single" w:sz="6" w:space="0" w:color="BFBFBF"/>
                    <w:bottom w:val="single" w:sz="6" w:space="0" w:color="BFBFBF"/>
                  </w:tcBorders>
                  <w:shd w:val="clear" w:color="auto" w:fill="auto"/>
                  <w:tcMar>
                    <w:top w:w="28" w:type="dxa"/>
                  </w:tcMar>
                </w:tcPr>
                <w:p w:rsidR="00887BAC" w:rsidRPr="00593FC7" w:rsidRDefault="00887BAC" w:rsidP="009A2B37">
                  <w:pPr>
                    <w:pStyle w:val="TableColumnHeading"/>
                    <w:jc w:val="left"/>
                    <w:rPr>
                      <w:rFonts w:cs="Arial"/>
                      <w:szCs w:val="18"/>
                    </w:rPr>
                  </w:pPr>
                  <w:r w:rsidRPr="00593FC7">
                    <w:rPr>
                      <w:rFonts w:cs="Arial"/>
                      <w:szCs w:val="18"/>
                    </w:rPr>
                    <w:t>Topic</w:t>
                  </w:r>
                </w:p>
              </w:tc>
              <w:tc>
                <w:tcPr>
                  <w:tcW w:w="1013" w:type="dxa"/>
                  <w:tcBorders>
                    <w:top w:val="single" w:sz="6" w:space="0" w:color="BFBFBF"/>
                    <w:bottom w:val="single" w:sz="6" w:space="0" w:color="BFBFBF"/>
                  </w:tcBorders>
                </w:tcPr>
                <w:p w:rsidR="00887BAC" w:rsidRPr="00593FC7" w:rsidRDefault="009A2B37" w:rsidP="009A2B37">
                  <w:pPr>
                    <w:pStyle w:val="TableColumnHeading"/>
                    <w:rPr>
                      <w:rFonts w:cs="Arial"/>
                      <w:szCs w:val="18"/>
                    </w:rPr>
                  </w:pPr>
                  <w:r>
                    <w:rPr>
                      <w:rFonts w:cs="Arial"/>
                      <w:szCs w:val="18"/>
                    </w:rPr>
                    <w:t xml:space="preserve"> </w:t>
                  </w:r>
                </w:p>
              </w:tc>
            </w:tr>
            <w:tr w:rsidR="00887BAC" w:rsidTr="004103F0">
              <w:tc>
                <w:tcPr>
                  <w:tcW w:w="6379" w:type="dxa"/>
                  <w:tcBorders>
                    <w:top w:val="single" w:sz="6" w:space="0" w:color="BFBFBF"/>
                  </w:tcBorders>
                </w:tcPr>
                <w:p w:rsidR="00887BAC" w:rsidRPr="00887BAC" w:rsidRDefault="006C3133" w:rsidP="006C3133">
                  <w:pPr>
                    <w:pStyle w:val="TableUnitsRow"/>
                    <w:jc w:val="left"/>
                    <w:rPr>
                      <w:b/>
                    </w:rPr>
                  </w:pPr>
                  <w:r>
                    <w:rPr>
                      <w:b/>
                    </w:rPr>
                    <w:t xml:space="preserve">Peter Harris AO, </w:t>
                  </w:r>
                  <w:r w:rsidR="00887BAC">
                    <w:rPr>
                      <w:b/>
                    </w:rPr>
                    <w:t>Chair</w:t>
                  </w:r>
                </w:p>
              </w:tc>
              <w:tc>
                <w:tcPr>
                  <w:tcW w:w="6217" w:type="dxa"/>
                  <w:tcBorders>
                    <w:top w:val="single" w:sz="6" w:space="0" w:color="BFBFBF"/>
                  </w:tcBorders>
                </w:tcPr>
                <w:p w:rsidR="00887BAC" w:rsidRDefault="00887BAC" w:rsidP="00B70637">
                  <w:pPr>
                    <w:pStyle w:val="TableUnitsRow"/>
                    <w:spacing w:before="0"/>
                    <w:ind w:right="28"/>
                    <w:jc w:val="left"/>
                  </w:pPr>
                </w:p>
              </w:tc>
              <w:tc>
                <w:tcPr>
                  <w:tcW w:w="1013" w:type="dxa"/>
                  <w:tcBorders>
                    <w:top w:val="single" w:sz="6" w:space="0" w:color="BFBFBF"/>
                  </w:tcBorders>
                </w:tcPr>
                <w:p w:rsidR="00887BAC" w:rsidRDefault="00887BAC" w:rsidP="00B70637">
                  <w:pPr>
                    <w:pStyle w:val="TableUnitsRow"/>
                    <w:spacing w:before="0"/>
                    <w:ind w:right="28"/>
                    <w:jc w:val="left"/>
                  </w:pPr>
                </w:p>
              </w:tc>
            </w:tr>
            <w:tr w:rsidR="00887BAC" w:rsidTr="00887BAC">
              <w:tc>
                <w:tcPr>
                  <w:tcW w:w="6379" w:type="dxa"/>
                </w:tcPr>
                <w:p w:rsidR="00887BAC" w:rsidRPr="00593FC7" w:rsidRDefault="00887BAC" w:rsidP="00B70637">
                  <w:pPr>
                    <w:pStyle w:val="TableBodyText"/>
                    <w:tabs>
                      <w:tab w:val="left" w:pos="1065"/>
                    </w:tabs>
                    <w:spacing w:before="40"/>
                    <w:ind w:left="57"/>
                    <w:jc w:val="left"/>
                  </w:pPr>
                  <w:r w:rsidRPr="00593FC7">
                    <w:t>Victorian Civil Construction Industry Alliance, Melbourne</w:t>
                  </w:r>
                </w:p>
              </w:tc>
              <w:tc>
                <w:tcPr>
                  <w:tcW w:w="6217" w:type="dxa"/>
                </w:tcPr>
                <w:p w:rsidR="00887BAC" w:rsidRPr="00593FC7" w:rsidRDefault="00887BAC" w:rsidP="00B70637">
                  <w:pPr>
                    <w:pStyle w:val="TableBodyText"/>
                    <w:tabs>
                      <w:tab w:val="left" w:pos="1065"/>
                    </w:tabs>
                    <w:spacing w:before="40"/>
                    <w:ind w:left="57"/>
                    <w:jc w:val="left"/>
                  </w:pPr>
                  <w:r w:rsidRPr="00593FC7">
                    <w:t>Role of the Productivity Commission</w:t>
                  </w:r>
                </w:p>
              </w:tc>
              <w:tc>
                <w:tcPr>
                  <w:tcW w:w="1013" w:type="dxa"/>
                </w:tcPr>
                <w:p w:rsidR="00887BAC" w:rsidRPr="00593FC7" w:rsidRDefault="00887BAC" w:rsidP="00B70637">
                  <w:pPr>
                    <w:pStyle w:val="TableBodyText"/>
                    <w:tabs>
                      <w:tab w:val="left" w:pos="1065"/>
                    </w:tabs>
                    <w:spacing w:before="40"/>
                    <w:ind w:left="57"/>
                  </w:pPr>
                  <w:r w:rsidRPr="00593FC7">
                    <w:t>Sept 2013</w:t>
                  </w:r>
                </w:p>
              </w:tc>
            </w:tr>
            <w:tr w:rsidR="00887BAC" w:rsidTr="00887BAC">
              <w:tc>
                <w:tcPr>
                  <w:tcW w:w="6379" w:type="dxa"/>
                </w:tcPr>
                <w:p w:rsidR="00887BAC" w:rsidRPr="00593FC7" w:rsidRDefault="00887BAC" w:rsidP="00B70637">
                  <w:pPr>
                    <w:pStyle w:val="TableBodyText"/>
                    <w:tabs>
                      <w:tab w:val="left" w:pos="1065"/>
                    </w:tabs>
                    <w:spacing w:before="40"/>
                    <w:ind w:left="57"/>
                    <w:jc w:val="left"/>
                  </w:pPr>
                  <w:r w:rsidRPr="00593FC7">
                    <w:t>Trans-Tasman Business Centre Productivity Imperative Series, Perth</w:t>
                  </w:r>
                </w:p>
              </w:tc>
              <w:tc>
                <w:tcPr>
                  <w:tcW w:w="6217" w:type="dxa"/>
                </w:tcPr>
                <w:p w:rsidR="00887BAC" w:rsidRPr="00593FC7" w:rsidRDefault="00561CC5" w:rsidP="00B70637">
                  <w:pPr>
                    <w:pStyle w:val="TableBodyText"/>
                    <w:tabs>
                      <w:tab w:val="left" w:pos="1065"/>
                    </w:tabs>
                    <w:spacing w:before="40"/>
                    <w:ind w:left="57"/>
                    <w:jc w:val="left"/>
                  </w:pPr>
                  <w:r>
                    <w:t>Productivity and the National Income Outlook</w:t>
                  </w:r>
                </w:p>
              </w:tc>
              <w:tc>
                <w:tcPr>
                  <w:tcW w:w="1013" w:type="dxa"/>
                </w:tcPr>
                <w:p w:rsidR="00887BAC" w:rsidRPr="00593FC7" w:rsidRDefault="00887BAC" w:rsidP="00B70637">
                  <w:pPr>
                    <w:pStyle w:val="TableBodyText"/>
                    <w:tabs>
                      <w:tab w:val="left" w:pos="1065"/>
                    </w:tabs>
                    <w:spacing w:before="40"/>
                    <w:ind w:left="57"/>
                  </w:pPr>
                  <w:r w:rsidRPr="00593FC7">
                    <w:t xml:space="preserve">Sept </w:t>
                  </w:r>
                  <w:r w:rsidR="006C3133">
                    <w:t>20</w:t>
                  </w:r>
                  <w:r w:rsidRPr="00593FC7">
                    <w:t>13</w:t>
                  </w:r>
                </w:p>
              </w:tc>
            </w:tr>
            <w:tr w:rsidR="00887BAC" w:rsidTr="00887BAC">
              <w:tc>
                <w:tcPr>
                  <w:tcW w:w="6379" w:type="dxa"/>
                </w:tcPr>
                <w:p w:rsidR="00887BAC" w:rsidRPr="00593FC7" w:rsidRDefault="00887BAC" w:rsidP="00B70637">
                  <w:pPr>
                    <w:pStyle w:val="TableBodyText"/>
                    <w:tabs>
                      <w:tab w:val="left" w:pos="1065"/>
                    </w:tabs>
                    <w:spacing w:before="40"/>
                    <w:ind w:left="57"/>
                    <w:jc w:val="left"/>
                  </w:pPr>
                  <w:r w:rsidRPr="00593FC7">
                    <w:t>The Global Foundation Boardroom Series Luncheon, Melbourne</w:t>
                  </w:r>
                </w:p>
              </w:tc>
              <w:tc>
                <w:tcPr>
                  <w:tcW w:w="6217" w:type="dxa"/>
                </w:tcPr>
                <w:p w:rsidR="00887BAC" w:rsidRPr="00593FC7" w:rsidRDefault="00561CC5" w:rsidP="00B70637">
                  <w:pPr>
                    <w:pStyle w:val="TableBodyText"/>
                    <w:tabs>
                      <w:tab w:val="left" w:pos="1065"/>
                    </w:tabs>
                    <w:spacing w:before="40"/>
                    <w:ind w:left="57"/>
                    <w:jc w:val="left"/>
                  </w:pPr>
                  <w:r>
                    <w:t>How does Australia compare favourably across the five pillars of productivity</w:t>
                  </w:r>
                </w:p>
              </w:tc>
              <w:tc>
                <w:tcPr>
                  <w:tcW w:w="1013" w:type="dxa"/>
                </w:tcPr>
                <w:p w:rsidR="00887BAC" w:rsidRPr="00593FC7" w:rsidRDefault="00887BAC" w:rsidP="00B70637">
                  <w:pPr>
                    <w:pStyle w:val="TableBodyText"/>
                    <w:tabs>
                      <w:tab w:val="left" w:pos="1065"/>
                    </w:tabs>
                    <w:spacing w:before="40"/>
                    <w:ind w:left="57"/>
                  </w:pPr>
                  <w:r w:rsidRPr="00593FC7">
                    <w:t>Oct 2013</w:t>
                  </w:r>
                </w:p>
              </w:tc>
            </w:tr>
            <w:tr w:rsidR="00887BAC" w:rsidTr="00887BAC">
              <w:tc>
                <w:tcPr>
                  <w:tcW w:w="6379" w:type="dxa"/>
                </w:tcPr>
                <w:p w:rsidR="00887BAC" w:rsidRPr="00593FC7" w:rsidRDefault="00887BAC" w:rsidP="00B70637">
                  <w:pPr>
                    <w:pStyle w:val="TableBodyText"/>
                    <w:tabs>
                      <w:tab w:val="left" w:pos="1065"/>
                    </w:tabs>
                    <w:spacing w:before="40"/>
                    <w:ind w:left="57"/>
                    <w:jc w:val="left"/>
                  </w:pPr>
                  <w:r w:rsidRPr="00593FC7">
                    <w:t>IPA 2013 Infrastructure &amp; Investment Conference, Sydney</w:t>
                  </w:r>
                </w:p>
              </w:tc>
              <w:tc>
                <w:tcPr>
                  <w:tcW w:w="6217" w:type="dxa"/>
                </w:tcPr>
                <w:p w:rsidR="00887BAC" w:rsidRPr="00593FC7" w:rsidRDefault="00561CC5" w:rsidP="00B70637">
                  <w:pPr>
                    <w:pStyle w:val="TableBodyText"/>
                    <w:tabs>
                      <w:tab w:val="left" w:pos="1065"/>
                    </w:tabs>
                    <w:spacing w:before="40"/>
                    <w:ind w:left="57"/>
                    <w:jc w:val="left"/>
                  </w:pPr>
                  <w:r>
                    <w:t>Infrastructure Investment</w:t>
                  </w:r>
                </w:p>
              </w:tc>
              <w:tc>
                <w:tcPr>
                  <w:tcW w:w="1013" w:type="dxa"/>
                </w:tcPr>
                <w:p w:rsidR="00887BAC" w:rsidRPr="00593FC7" w:rsidRDefault="00887BAC" w:rsidP="00B70637">
                  <w:pPr>
                    <w:pStyle w:val="TableBodyText"/>
                    <w:tabs>
                      <w:tab w:val="left" w:pos="1065"/>
                    </w:tabs>
                    <w:spacing w:before="40"/>
                    <w:ind w:left="57"/>
                  </w:pPr>
                  <w:r w:rsidRPr="00593FC7">
                    <w:t>Oct 2013</w:t>
                  </w:r>
                </w:p>
              </w:tc>
            </w:tr>
            <w:tr w:rsidR="00887BAC" w:rsidTr="00887BAC">
              <w:tc>
                <w:tcPr>
                  <w:tcW w:w="6379" w:type="dxa"/>
                </w:tcPr>
                <w:p w:rsidR="00887BAC" w:rsidRPr="00593FC7" w:rsidRDefault="00887BAC" w:rsidP="00B70637">
                  <w:pPr>
                    <w:pStyle w:val="TableBodyText"/>
                    <w:tabs>
                      <w:tab w:val="left" w:pos="1065"/>
                    </w:tabs>
                    <w:spacing w:before="40"/>
                    <w:ind w:left="57"/>
                    <w:jc w:val="left"/>
                  </w:pPr>
                  <w:r w:rsidRPr="00593FC7">
                    <w:t>Australian Institute of Company Directors’ Breakfast, Perth</w:t>
                  </w:r>
                </w:p>
              </w:tc>
              <w:tc>
                <w:tcPr>
                  <w:tcW w:w="6217" w:type="dxa"/>
                </w:tcPr>
                <w:p w:rsidR="00887BAC" w:rsidRPr="00593FC7" w:rsidRDefault="00887BAC" w:rsidP="00B70637">
                  <w:pPr>
                    <w:pStyle w:val="TableBodyText"/>
                    <w:tabs>
                      <w:tab w:val="left" w:pos="1065"/>
                    </w:tabs>
                    <w:spacing w:before="40"/>
                    <w:ind w:left="57"/>
                    <w:jc w:val="left"/>
                  </w:pPr>
                  <w:r w:rsidRPr="00593FC7">
                    <w:t>Discussant panellist</w:t>
                  </w:r>
                </w:p>
              </w:tc>
              <w:tc>
                <w:tcPr>
                  <w:tcW w:w="1013" w:type="dxa"/>
                </w:tcPr>
                <w:p w:rsidR="00887BAC" w:rsidRPr="00593FC7" w:rsidRDefault="00887BAC" w:rsidP="00B70637">
                  <w:pPr>
                    <w:pStyle w:val="TableBodyText"/>
                    <w:tabs>
                      <w:tab w:val="left" w:pos="1065"/>
                    </w:tabs>
                    <w:spacing w:before="40"/>
                    <w:ind w:left="57"/>
                  </w:pPr>
                  <w:r w:rsidRPr="00593FC7">
                    <w:t>Nov 2013</w:t>
                  </w:r>
                </w:p>
              </w:tc>
            </w:tr>
            <w:tr w:rsidR="00887BAC" w:rsidTr="00887BAC">
              <w:tc>
                <w:tcPr>
                  <w:tcW w:w="6379" w:type="dxa"/>
                </w:tcPr>
                <w:p w:rsidR="00887BAC" w:rsidRPr="00593FC7" w:rsidRDefault="00887BAC" w:rsidP="00B70637">
                  <w:pPr>
                    <w:pStyle w:val="TableBodyText"/>
                    <w:tabs>
                      <w:tab w:val="left" w:pos="1065"/>
                    </w:tabs>
                    <w:spacing w:before="40"/>
                    <w:ind w:left="57"/>
                    <w:jc w:val="left"/>
                  </w:pPr>
                  <w:r w:rsidRPr="00593FC7">
                    <w:t>Australian Centre for Health Research,  Productivity in the Health System Roundtable, Melbourne</w:t>
                  </w:r>
                </w:p>
              </w:tc>
              <w:tc>
                <w:tcPr>
                  <w:tcW w:w="6217" w:type="dxa"/>
                </w:tcPr>
                <w:p w:rsidR="00887BAC" w:rsidRPr="00593FC7" w:rsidRDefault="00887BAC" w:rsidP="00B70637">
                  <w:pPr>
                    <w:pStyle w:val="TableBodyText"/>
                    <w:tabs>
                      <w:tab w:val="left" w:pos="1065"/>
                    </w:tabs>
                    <w:spacing w:before="40"/>
                    <w:ind w:left="57"/>
                    <w:jc w:val="left"/>
                  </w:pPr>
                  <w:r w:rsidRPr="00593FC7">
                    <w:t>Health reform, no silver bullet</w:t>
                  </w:r>
                </w:p>
              </w:tc>
              <w:tc>
                <w:tcPr>
                  <w:tcW w:w="1013" w:type="dxa"/>
                </w:tcPr>
                <w:p w:rsidR="00887BAC" w:rsidRPr="00593FC7" w:rsidRDefault="00887BAC" w:rsidP="00B70637">
                  <w:pPr>
                    <w:pStyle w:val="TableBodyText"/>
                    <w:tabs>
                      <w:tab w:val="left" w:pos="1065"/>
                    </w:tabs>
                    <w:spacing w:before="40"/>
                    <w:ind w:left="57"/>
                  </w:pPr>
                  <w:r w:rsidRPr="00593FC7">
                    <w:t>Dec 2013</w:t>
                  </w:r>
                </w:p>
              </w:tc>
            </w:tr>
            <w:tr w:rsidR="00887BAC" w:rsidTr="00887BAC">
              <w:tc>
                <w:tcPr>
                  <w:tcW w:w="6379" w:type="dxa"/>
                </w:tcPr>
                <w:p w:rsidR="00887BAC" w:rsidRPr="00593FC7" w:rsidRDefault="00887BAC" w:rsidP="00B70637">
                  <w:pPr>
                    <w:pStyle w:val="TableBodyText"/>
                    <w:tabs>
                      <w:tab w:val="left" w:pos="1065"/>
                    </w:tabs>
                    <w:spacing w:before="40"/>
                    <w:ind w:left="57"/>
                    <w:jc w:val="left"/>
                  </w:pPr>
                  <w:r w:rsidRPr="00593FC7">
                    <w:t>Melbourne School of Government Conference, Melbourne</w:t>
                  </w:r>
                </w:p>
              </w:tc>
              <w:tc>
                <w:tcPr>
                  <w:tcW w:w="6217" w:type="dxa"/>
                </w:tcPr>
                <w:p w:rsidR="00887BAC" w:rsidRPr="00593FC7" w:rsidRDefault="00887BAC" w:rsidP="00B70637">
                  <w:pPr>
                    <w:pStyle w:val="TableBodyText"/>
                    <w:tabs>
                      <w:tab w:val="left" w:pos="1065"/>
                    </w:tabs>
                    <w:spacing w:before="40"/>
                    <w:ind w:left="57"/>
                    <w:jc w:val="left"/>
                  </w:pPr>
                  <w:r w:rsidRPr="00593FC7">
                    <w:t>Governing Public Policy in the Asian Century and Chairing panel</w:t>
                  </w:r>
                </w:p>
              </w:tc>
              <w:tc>
                <w:tcPr>
                  <w:tcW w:w="1013" w:type="dxa"/>
                </w:tcPr>
                <w:p w:rsidR="00887BAC" w:rsidRPr="00593FC7" w:rsidRDefault="00887BAC" w:rsidP="00B70637">
                  <w:pPr>
                    <w:pStyle w:val="TableBodyText"/>
                    <w:tabs>
                      <w:tab w:val="left" w:pos="1065"/>
                    </w:tabs>
                    <w:spacing w:before="40"/>
                    <w:ind w:left="57"/>
                  </w:pPr>
                  <w:r w:rsidRPr="00593FC7">
                    <w:t>Dec 2013</w:t>
                  </w:r>
                </w:p>
              </w:tc>
            </w:tr>
            <w:tr w:rsidR="00887BAC" w:rsidTr="00887BAC">
              <w:tc>
                <w:tcPr>
                  <w:tcW w:w="6379" w:type="dxa"/>
                </w:tcPr>
                <w:p w:rsidR="00887BAC" w:rsidRPr="00593FC7" w:rsidRDefault="00887BAC" w:rsidP="00B70637">
                  <w:pPr>
                    <w:pStyle w:val="TableBodyText"/>
                    <w:tabs>
                      <w:tab w:val="left" w:pos="1065"/>
                    </w:tabs>
                    <w:spacing w:before="40"/>
                    <w:ind w:left="57"/>
                    <w:jc w:val="left"/>
                  </w:pPr>
                  <w:r w:rsidRPr="00593FC7">
                    <w:t xml:space="preserve">Financial Services Council </w:t>
                  </w:r>
                  <w:proofErr w:type="spellStart"/>
                  <w:r w:rsidRPr="00593FC7">
                    <w:t>CEO</w:t>
                  </w:r>
                  <w:proofErr w:type="spellEnd"/>
                  <w:r w:rsidRPr="00593FC7">
                    <w:t xml:space="preserve"> Boardroom Luncheon, Sydney</w:t>
                  </w:r>
                </w:p>
              </w:tc>
              <w:tc>
                <w:tcPr>
                  <w:tcW w:w="6217" w:type="dxa"/>
                </w:tcPr>
                <w:p w:rsidR="00887BAC" w:rsidRPr="00593FC7" w:rsidRDefault="00887BAC" w:rsidP="00B70637">
                  <w:pPr>
                    <w:pStyle w:val="TableBodyText"/>
                    <w:tabs>
                      <w:tab w:val="left" w:pos="1065"/>
                    </w:tabs>
                    <w:spacing w:before="40"/>
                    <w:ind w:left="57"/>
                    <w:jc w:val="left"/>
                  </w:pPr>
                  <w:r w:rsidRPr="00593FC7">
                    <w:t>Commission’s unique role in the Australian economic and political landscape</w:t>
                  </w:r>
                </w:p>
              </w:tc>
              <w:tc>
                <w:tcPr>
                  <w:tcW w:w="1013" w:type="dxa"/>
                </w:tcPr>
                <w:p w:rsidR="00887BAC" w:rsidRPr="00593FC7" w:rsidRDefault="00887BAC" w:rsidP="00B70637">
                  <w:pPr>
                    <w:pStyle w:val="TableBodyText"/>
                    <w:tabs>
                      <w:tab w:val="left" w:pos="1065"/>
                    </w:tabs>
                    <w:spacing w:before="40"/>
                    <w:ind w:left="57"/>
                  </w:pPr>
                  <w:r w:rsidRPr="00593FC7">
                    <w:t>Feb 2014</w:t>
                  </w:r>
                </w:p>
              </w:tc>
            </w:tr>
            <w:tr w:rsidR="00887BAC" w:rsidTr="00887BAC">
              <w:tc>
                <w:tcPr>
                  <w:tcW w:w="6379" w:type="dxa"/>
                </w:tcPr>
                <w:p w:rsidR="00887BAC" w:rsidRPr="00593FC7" w:rsidRDefault="00887BAC" w:rsidP="00B70637">
                  <w:pPr>
                    <w:pStyle w:val="TableBodyText"/>
                    <w:tabs>
                      <w:tab w:val="left" w:pos="1065"/>
                    </w:tabs>
                    <w:spacing w:before="40"/>
                    <w:ind w:left="57"/>
                    <w:jc w:val="left"/>
                  </w:pPr>
                  <w:proofErr w:type="spellStart"/>
                  <w:r w:rsidRPr="00593FC7">
                    <w:t>CEDA</w:t>
                  </w:r>
                  <w:proofErr w:type="spellEnd"/>
                  <w:r w:rsidRPr="00593FC7">
                    <w:t>, Melbourne</w:t>
                  </w:r>
                </w:p>
              </w:tc>
              <w:tc>
                <w:tcPr>
                  <w:tcW w:w="6217" w:type="dxa"/>
                </w:tcPr>
                <w:p w:rsidR="00887BAC" w:rsidRPr="00593FC7" w:rsidRDefault="00887BAC" w:rsidP="00B70637">
                  <w:pPr>
                    <w:pStyle w:val="TableBodyText"/>
                    <w:tabs>
                      <w:tab w:val="left" w:pos="1065"/>
                    </w:tabs>
                    <w:spacing w:before="40"/>
                    <w:ind w:left="57"/>
                    <w:jc w:val="left"/>
                  </w:pPr>
                  <w:r w:rsidRPr="00593FC7">
                    <w:t>Productivity of Government</w:t>
                  </w:r>
                </w:p>
              </w:tc>
              <w:tc>
                <w:tcPr>
                  <w:tcW w:w="1013" w:type="dxa"/>
                </w:tcPr>
                <w:p w:rsidR="00887BAC" w:rsidRPr="00593FC7" w:rsidRDefault="00887BAC" w:rsidP="00B70637">
                  <w:pPr>
                    <w:pStyle w:val="TableBodyText"/>
                    <w:tabs>
                      <w:tab w:val="left" w:pos="1065"/>
                    </w:tabs>
                    <w:spacing w:before="40"/>
                    <w:ind w:left="57"/>
                  </w:pPr>
                  <w:r w:rsidRPr="00593FC7">
                    <w:t>Feb 2014</w:t>
                  </w:r>
                </w:p>
              </w:tc>
            </w:tr>
            <w:tr w:rsidR="00887BAC" w:rsidTr="00887BAC">
              <w:tc>
                <w:tcPr>
                  <w:tcW w:w="6379" w:type="dxa"/>
                </w:tcPr>
                <w:p w:rsidR="00887BAC" w:rsidRPr="00593FC7" w:rsidRDefault="00887BAC" w:rsidP="00B70637">
                  <w:pPr>
                    <w:pStyle w:val="TableBodyText"/>
                    <w:tabs>
                      <w:tab w:val="left" w:pos="1065"/>
                    </w:tabs>
                    <w:spacing w:before="40"/>
                    <w:ind w:left="57"/>
                    <w:jc w:val="left"/>
                  </w:pPr>
                  <w:r w:rsidRPr="00593FC7">
                    <w:t>Australia-Canada Leadership Forum, Melbourne</w:t>
                  </w:r>
                </w:p>
              </w:tc>
              <w:tc>
                <w:tcPr>
                  <w:tcW w:w="6217" w:type="dxa"/>
                </w:tcPr>
                <w:p w:rsidR="00887BAC" w:rsidRPr="00593FC7" w:rsidRDefault="006C3133" w:rsidP="00B70637">
                  <w:pPr>
                    <w:pStyle w:val="TableBodyText"/>
                    <w:tabs>
                      <w:tab w:val="left" w:pos="1065"/>
                    </w:tabs>
                    <w:spacing w:before="40"/>
                    <w:ind w:left="57"/>
                    <w:jc w:val="left"/>
                  </w:pPr>
                  <w:r w:rsidRPr="00593FC7">
                    <w:t>Role of the Productivity Commission</w:t>
                  </w:r>
                </w:p>
              </w:tc>
              <w:tc>
                <w:tcPr>
                  <w:tcW w:w="1013" w:type="dxa"/>
                </w:tcPr>
                <w:p w:rsidR="00887BAC" w:rsidRPr="00593FC7" w:rsidRDefault="00887BAC" w:rsidP="00B70637">
                  <w:pPr>
                    <w:pStyle w:val="TableBodyText"/>
                    <w:tabs>
                      <w:tab w:val="left" w:pos="1065"/>
                    </w:tabs>
                    <w:spacing w:before="40"/>
                    <w:ind w:left="57"/>
                  </w:pPr>
                  <w:r w:rsidRPr="00593FC7">
                    <w:t>Feb 2014</w:t>
                  </w:r>
                </w:p>
              </w:tc>
            </w:tr>
            <w:tr w:rsidR="00887BAC" w:rsidTr="00887BAC">
              <w:tc>
                <w:tcPr>
                  <w:tcW w:w="6379" w:type="dxa"/>
                </w:tcPr>
                <w:p w:rsidR="00887BAC" w:rsidRPr="00593FC7" w:rsidRDefault="00887BAC" w:rsidP="00B70637">
                  <w:pPr>
                    <w:pStyle w:val="TableBodyText"/>
                    <w:tabs>
                      <w:tab w:val="left" w:pos="1065"/>
                    </w:tabs>
                    <w:spacing w:before="40"/>
                    <w:ind w:left="57"/>
                    <w:jc w:val="left"/>
                  </w:pPr>
                  <w:r w:rsidRPr="00593FC7">
                    <w:t xml:space="preserve">Clayton </w:t>
                  </w:r>
                  <w:proofErr w:type="spellStart"/>
                  <w:r w:rsidRPr="00593FC7">
                    <w:t>Utz</w:t>
                  </w:r>
                  <w:proofErr w:type="spellEnd"/>
                  <w:r w:rsidRPr="00593FC7">
                    <w:t xml:space="preserve"> CLE Intensive 2014: 2050 – The new look Australia, Sydney </w:t>
                  </w:r>
                </w:p>
              </w:tc>
              <w:tc>
                <w:tcPr>
                  <w:tcW w:w="6217" w:type="dxa"/>
                </w:tcPr>
                <w:p w:rsidR="00887BAC" w:rsidRPr="00593FC7" w:rsidRDefault="00887BAC" w:rsidP="00B70637">
                  <w:pPr>
                    <w:pStyle w:val="TableBodyText"/>
                    <w:tabs>
                      <w:tab w:val="left" w:pos="1065"/>
                    </w:tabs>
                    <w:spacing w:before="40"/>
                    <w:ind w:left="57"/>
                    <w:jc w:val="left"/>
                  </w:pPr>
                  <w:r w:rsidRPr="00593FC7">
                    <w:t>Panel discussant</w:t>
                  </w:r>
                </w:p>
              </w:tc>
              <w:tc>
                <w:tcPr>
                  <w:tcW w:w="1013" w:type="dxa"/>
                </w:tcPr>
                <w:p w:rsidR="00887BAC" w:rsidRPr="00593FC7" w:rsidRDefault="00887BAC" w:rsidP="00B70637">
                  <w:pPr>
                    <w:pStyle w:val="TableBodyText"/>
                    <w:tabs>
                      <w:tab w:val="left" w:pos="1065"/>
                    </w:tabs>
                    <w:spacing w:before="40"/>
                    <w:ind w:left="57"/>
                  </w:pPr>
                  <w:r w:rsidRPr="00593FC7">
                    <w:t>Feb 2014</w:t>
                  </w:r>
                </w:p>
              </w:tc>
            </w:tr>
            <w:tr w:rsidR="00887BAC" w:rsidTr="00887BAC">
              <w:tc>
                <w:tcPr>
                  <w:tcW w:w="6379" w:type="dxa"/>
                </w:tcPr>
                <w:p w:rsidR="00887BAC" w:rsidRPr="00593FC7" w:rsidRDefault="00887BAC" w:rsidP="00B70637">
                  <w:pPr>
                    <w:pStyle w:val="TableBodyText"/>
                    <w:tabs>
                      <w:tab w:val="left" w:pos="1065"/>
                    </w:tabs>
                    <w:spacing w:before="40"/>
                    <w:ind w:left="57"/>
                    <w:jc w:val="left"/>
                  </w:pPr>
                  <w:r w:rsidRPr="00593FC7">
                    <w:t>Australia-Israel Chamber of Commerce Boardroom Luncheon, Melbourne</w:t>
                  </w:r>
                </w:p>
              </w:tc>
              <w:tc>
                <w:tcPr>
                  <w:tcW w:w="6217" w:type="dxa"/>
                </w:tcPr>
                <w:p w:rsidR="00887BAC" w:rsidRPr="00593FC7" w:rsidRDefault="00887BAC" w:rsidP="00B70637">
                  <w:pPr>
                    <w:pStyle w:val="TableBodyText"/>
                    <w:tabs>
                      <w:tab w:val="left" w:pos="1065"/>
                    </w:tabs>
                    <w:spacing w:before="40"/>
                    <w:ind w:left="57"/>
                    <w:jc w:val="left"/>
                  </w:pPr>
                  <w:r w:rsidRPr="00593FC7">
                    <w:t>Keynote speaker</w:t>
                  </w:r>
                </w:p>
              </w:tc>
              <w:tc>
                <w:tcPr>
                  <w:tcW w:w="1013" w:type="dxa"/>
                </w:tcPr>
                <w:p w:rsidR="00887BAC" w:rsidRPr="00593FC7" w:rsidRDefault="00887BAC" w:rsidP="00B70637">
                  <w:pPr>
                    <w:pStyle w:val="TableBodyText"/>
                    <w:tabs>
                      <w:tab w:val="left" w:pos="1065"/>
                    </w:tabs>
                    <w:spacing w:before="40"/>
                    <w:ind w:left="57"/>
                  </w:pPr>
                  <w:r w:rsidRPr="00593FC7">
                    <w:t>Mar 2014</w:t>
                  </w:r>
                </w:p>
              </w:tc>
            </w:tr>
            <w:tr w:rsidR="00887BAC" w:rsidTr="00887BAC">
              <w:tc>
                <w:tcPr>
                  <w:tcW w:w="6379" w:type="dxa"/>
                </w:tcPr>
                <w:p w:rsidR="00887BAC" w:rsidRPr="00593FC7" w:rsidRDefault="00887BAC" w:rsidP="00B70637">
                  <w:pPr>
                    <w:pStyle w:val="TableBodyText"/>
                    <w:tabs>
                      <w:tab w:val="left" w:pos="1065"/>
                    </w:tabs>
                    <w:spacing w:before="40"/>
                    <w:ind w:left="57"/>
                    <w:jc w:val="left"/>
                  </w:pPr>
                  <w:r w:rsidRPr="00593FC7">
                    <w:t>Australian National Institute of Public Policy Competition and Regulation Conference, Canberra</w:t>
                  </w:r>
                </w:p>
              </w:tc>
              <w:tc>
                <w:tcPr>
                  <w:tcW w:w="6217" w:type="dxa"/>
                </w:tcPr>
                <w:p w:rsidR="00887BAC" w:rsidRPr="00593FC7" w:rsidRDefault="00887BAC" w:rsidP="00B70637">
                  <w:pPr>
                    <w:pStyle w:val="TableBodyText"/>
                    <w:tabs>
                      <w:tab w:val="left" w:pos="1065"/>
                    </w:tabs>
                    <w:spacing w:before="40"/>
                    <w:ind w:left="57"/>
                    <w:jc w:val="left"/>
                  </w:pPr>
                  <w:r w:rsidRPr="00593FC7">
                    <w:t>Competition Policy Dialogue</w:t>
                  </w:r>
                </w:p>
              </w:tc>
              <w:tc>
                <w:tcPr>
                  <w:tcW w:w="1013" w:type="dxa"/>
                </w:tcPr>
                <w:p w:rsidR="00887BAC" w:rsidRPr="00593FC7" w:rsidRDefault="00887BAC" w:rsidP="00B70637">
                  <w:pPr>
                    <w:pStyle w:val="TableBodyText"/>
                    <w:tabs>
                      <w:tab w:val="left" w:pos="1065"/>
                    </w:tabs>
                    <w:spacing w:before="40"/>
                    <w:ind w:left="57"/>
                  </w:pPr>
                  <w:r w:rsidRPr="00593FC7">
                    <w:t>Mar 2014</w:t>
                  </w:r>
                </w:p>
              </w:tc>
            </w:tr>
            <w:tr w:rsidR="00887BAC" w:rsidTr="00887BAC">
              <w:tc>
                <w:tcPr>
                  <w:tcW w:w="6379" w:type="dxa"/>
                </w:tcPr>
                <w:p w:rsidR="00887BAC" w:rsidRPr="00593FC7" w:rsidRDefault="00887BAC" w:rsidP="00B70637">
                  <w:pPr>
                    <w:pStyle w:val="TableBodyText"/>
                    <w:tabs>
                      <w:tab w:val="left" w:pos="1065"/>
                    </w:tabs>
                    <w:spacing w:before="40"/>
                    <w:ind w:left="57"/>
                    <w:jc w:val="left"/>
                  </w:pPr>
                  <w:r w:rsidRPr="00593FC7">
                    <w:t>RBA/PC Conference, Sydney</w:t>
                  </w:r>
                </w:p>
              </w:tc>
              <w:tc>
                <w:tcPr>
                  <w:tcW w:w="6217" w:type="dxa"/>
                </w:tcPr>
                <w:p w:rsidR="00887BAC" w:rsidRPr="00593FC7" w:rsidRDefault="00561CC5" w:rsidP="00B70637">
                  <w:pPr>
                    <w:pStyle w:val="TableBodyText"/>
                    <w:tabs>
                      <w:tab w:val="left" w:pos="1065"/>
                    </w:tabs>
                    <w:spacing w:before="40"/>
                    <w:ind w:left="57"/>
                    <w:jc w:val="left"/>
                  </w:pPr>
                  <w:r>
                    <w:t>Public Infrastructure: a Framework for Decision making</w:t>
                  </w:r>
                </w:p>
              </w:tc>
              <w:tc>
                <w:tcPr>
                  <w:tcW w:w="1013" w:type="dxa"/>
                </w:tcPr>
                <w:p w:rsidR="00887BAC" w:rsidRPr="00593FC7" w:rsidRDefault="00887BAC" w:rsidP="00B70637">
                  <w:pPr>
                    <w:pStyle w:val="TableBodyText"/>
                    <w:tabs>
                      <w:tab w:val="left" w:pos="1065"/>
                    </w:tabs>
                    <w:spacing w:before="40"/>
                    <w:ind w:left="57"/>
                  </w:pPr>
                  <w:r w:rsidRPr="00593FC7">
                    <w:t>Mar 2014</w:t>
                  </w:r>
                </w:p>
              </w:tc>
            </w:tr>
            <w:tr w:rsidR="00887BAC" w:rsidTr="008B701A">
              <w:tc>
                <w:tcPr>
                  <w:tcW w:w="6379" w:type="dxa"/>
                </w:tcPr>
                <w:p w:rsidR="00887BAC" w:rsidRPr="00593FC7" w:rsidRDefault="00887BAC" w:rsidP="00B70637">
                  <w:pPr>
                    <w:pStyle w:val="TableBodyText"/>
                    <w:tabs>
                      <w:tab w:val="left" w:pos="1065"/>
                    </w:tabs>
                    <w:spacing w:before="40"/>
                    <w:ind w:left="57"/>
                    <w:jc w:val="left"/>
                  </w:pPr>
                  <w:r w:rsidRPr="00593FC7">
                    <w:t>BCA Infrastructure and Sustainable Growth Committee Meeting, Sydney</w:t>
                  </w:r>
                </w:p>
              </w:tc>
              <w:tc>
                <w:tcPr>
                  <w:tcW w:w="6217" w:type="dxa"/>
                </w:tcPr>
                <w:p w:rsidR="00887BAC" w:rsidRPr="00593FC7" w:rsidRDefault="008541D2" w:rsidP="00B70637">
                  <w:pPr>
                    <w:pStyle w:val="TableBodyText"/>
                    <w:tabs>
                      <w:tab w:val="left" w:pos="1065"/>
                    </w:tabs>
                    <w:spacing w:before="40"/>
                    <w:ind w:left="57"/>
                    <w:jc w:val="left"/>
                  </w:pPr>
                  <w:r w:rsidRPr="00593FC7">
                    <w:t>Commission’s draft report on Review into Infrastructure Financing</w:t>
                  </w:r>
                </w:p>
              </w:tc>
              <w:tc>
                <w:tcPr>
                  <w:tcW w:w="1013" w:type="dxa"/>
                </w:tcPr>
                <w:p w:rsidR="00887BAC" w:rsidRPr="00593FC7" w:rsidRDefault="00887BAC" w:rsidP="00B70637">
                  <w:pPr>
                    <w:pStyle w:val="TableBodyText"/>
                    <w:tabs>
                      <w:tab w:val="left" w:pos="1065"/>
                    </w:tabs>
                    <w:spacing w:before="40"/>
                    <w:ind w:left="57"/>
                  </w:pPr>
                  <w:r w:rsidRPr="00593FC7">
                    <w:t>Mar 2014</w:t>
                  </w:r>
                </w:p>
              </w:tc>
            </w:tr>
            <w:tr w:rsidR="00887BAC" w:rsidTr="008B701A">
              <w:tc>
                <w:tcPr>
                  <w:tcW w:w="6379" w:type="dxa"/>
                  <w:tcBorders>
                    <w:bottom w:val="single" w:sz="6" w:space="0" w:color="BFBFBF"/>
                  </w:tcBorders>
                </w:tcPr>
                <w:p w:rsidR="00887BAC" w:rsidRPr="00593FC7" w:rsidRDefault="00887BAC" w:rsidP="00B70637">
                  <w:pPr>
                    <w:pStyle w:val="TableBodyText"/>
                    <w:tabs>
                      <w:tab w:val="left" w:pos="1065"/>
                    </w:tabs>
                    <w:spacing w:before="40"/>
                    <w:ind w:left="57"/>
                    <w:jc w:val="left"/>
                  </w:pPr>
                  <w:r w:rsidRPr="00593FC7">
                    <w:t>Australian Automobile Association Policy Forum, Canberra</w:t>
                  </w:r>
                </w:p>
              </w:tc>
              <w:tc>
                <w:tcPr>
                  <w:tcW w:w="6217" w:type="dxa"/>
                  <w:tcBorders>
                    <w:bottom w:val="single" w:sz="6" w:space="0" w:color="BFBFBF"/>
                  </w:tcBorders>
                </w:tcPr>
                <w:p w:rsidR="00887BAC" w:rsidRPr="00593FC7" w:rsidRDefault="00887BAC" w:rsidP="00B70637">
                  <w:pPr>
                    <w:pStyle w:val="TableBodyText"/>
                    <w:tabs>
                      <w:tab w:val="left" w:pos="1065"/>
                    </w:tabs>
                    <w:spacing w:before="40"/>
                    <w:ind w:left="57"/>
                    <w:jc w:val="left"/>
                  </w:pPr>
                  <w:r w:rsidRPr="00593FC7">
                    <w:t>Keynote speaker</w:t>
                  </w:r>
                </w:p>
              </w:tc>
              <w:tc>
                <w:tcPr>
                  <w:tcW w:w="1013" w:type="dxa"/>
                  <w:tcBorders>
                    <w:bottom w:val="single" w:sz="6" w:space="0" w:color="BFBFBF"/>
                  </w:tcBorders>
                </w:tcPr>
                <w:p w:rsidR="00887BAC" w:rsidRPr="00593FC7" w:rsidRDefault="00887BAC" w:rsidP="00B70637">
                  <w:pPr>
                    <w:pStyle w:val="TableBodyText"/>
                    <w:tabs>
                      <w:tab w:val="left" w:pos="1065"/>
                    </w:tabs>
                    <w:spacing w:before="40"/>
                    <w:ind w:left="57"/>
                  </w:pPr>
                  <w:r w:rsidRPr="00593FC7">
                    <w:t>Mar 2014</w:t>
                  </w:r>
                </w:p>
              </w:tc>
            </w:tr>
          </w:tbl>
          <w:p w:rsidR="00887BAC" w:rsidRDefault="00887BAC" w:rsidP="009A2B37">
            <w:pPr>
              <w:pStyle w:val="Box"/>
            </w:pPr>
          </w:p>
        </w:tc>
      </w:tr>
      <w:tr w:rsidR="00887BAC" w:rsidTr="00887BAC">
        <w:trPr>
          <w:cantSplit/>
        </w:trPr>
        <w:tc>
          <w:tcPr>
            <w:tcW w:w="5000" w:type="pct"/>
            <w:tcBorders>
              <w:top w:val="nil"/>
              <w:left w:val="nil"/>
              <w:bottom w:val="nil"/>
              <w:right w:val="nil"/>
            </w:tcBorders>
            <w:shd w:val="clear" w:color="auto" w:fill="auto"/>
          </w:tcPr>
          <w:p w:rsidR="00887BAC" w:rsidRDefault="00887BAC" w:rsidP="00B70637">
            <w:pPr>
              <w:pStyle w:val="Continued"/>
              <w:spacing w:before="120"/>
            </w:pPr>
            <w:r>
              <w:t>(continued next page)</w:t>
            </w:r>
          </w:p>
        </w:tc>
      </w:tr>
      <w:tr w:rsidR="00887BAC" w:rsidTr="00887BAC">
        <w:trPr>
          <w:cantSplit/>
        </w:trPr>
        <w:tc>
          <w:tcPr>
            <w:tcW w:w="5000" w:type="pct"/>
            <w:tcBorders>
              <w:top w:val="nil"/>
              <w:left w:val="nil"/>
              <w:bottom w:val="single" w:sz="6" w:space="0" w:color="78A22F"/>
              <w:right w:val="nil"/>
            </w:tcBorders>
            <w:shd w:val="clear" w:color="auto" w:fill="auto"/>
          </w:tcPr>
          <w:p w:rsidR="00887BAC" w:rsidRDefault="00887BAC" w:rsidP="009A2B37">
            <w:pPr>
              <w:pStyle w:val="Box"/>
              <w:spacing w:before="0" w:line="120" w:lineRule="exact"/>
            </w:pPr>
          </w:p>
        </w:tc>
      </w:tr>
      <w:tr w:rsidR="00887BAC" w:rsidRPr="000863A5" w:rsidTr="00887BAC">
        <w:tc>
          <w:tcPr>
            <w:tcW w:w="5000" w:type="pct"/>
            <w:tcBorders>
              <w:top w:val="single" w:sz="6" w:space="0" w:color="78A22F"/>
              <w:left w:val="nil"/>
              <w:bottom w:val="nil"/>
              <w:right w:val="nil"/>
            </w:tcBorders>
          </w:tcPr>
          <w:p w:rsidR="00887BAC" w:rsidRPr="00626D32" w:rsidRDefault="00887BAC" w:rsidP="009A2B37">
            <w:pPr>
              <w:pStyle w:val="BoxSpaceBelow"/>
            </w:pPr>
          </w:p>
        </w:tc>
      </w:tr>
    </w:tbl>
    <w:p w:rsidR="00887BAC" w:rsidRDefault="00887BAC" w:rsidP="00887BAC">
      <w:pPr>
        <w:pStyle w:val="BoxSpaceAbove"/>
      </w:pPr>
    </w:p>
    <w:tbl>
      <w:tblPr>
        <w:tblW w:w="5000" w:type="pct"/>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13893"/>
      </w:tblGrid>
      <w:tr w:rsidR="00887BAC" w:rsidTr="009A2B37">
        <w:tc>
          <w:tcPr>
            <w:tcW w:w="5000" w:type="pct"/>
            <w:tcBorders>
              <w:top w:val="single" w:sz="6" w:space="0" w:color="78A22F"/>
              <w:left w:val="nil"/>
              <w:bottom w:val="nil"/>
              <w:right w:val="nil"/>
            </w:tcBorders>
            <w:shd w:val="clear" w:color="auto" w:fill="auto"/>
          </w:tcPr>
          <w:p w:rsidR="00887BAC" w:rsidRPr="00784A05" w:rsidRDefault="00887BAC" w:rsidP="008B701A">
            <w:pPr>
              <w:pStyle w:val="TableTitle"/>
            </w:pPr>
            <w:r>
              <w:rPr>
                <w:b w:val="0"/>
              </w:rPr>
              <w:t xml:space="preserve">Table </w:t>
            </w:r>
            <w:proofErr w:type="spellStart"/>
            <w:r w:rsidR="008B701A" w:rsidRPr="008B701A">
              <w:rPr>
                <w:b w:val="0"/>
              </w:rPr>
              <w:t>E.1</w:t>
            </w:r>
            <w:proofErr w:type="spellEnd"/>
            <w:r>
              <w:tab/>
            </w:r>
            <w:r w:rsidRPr="00887BAC">
              <w:rPr>
                <w:sz w:val="20"/>
                <w:szCs w:val="20"/>
              </w:rPr>
              <w:t>(continued)</w:t>
            </w:r>
          </w:p>
        </w:tc>
      </w:tr>
      <w:tr w:rsidR="00887BAC" w:rsidTr="009A2B37">
        <w:trPr>
          <w:cantSplit/>
          <w:trHeight w:val="7257"/>
        </w:trPr>
        <w:tc>
          <w:tcPr>
            <w:tcW w:w="5000" w:type="pct"/>
            <w:tcBorders>
              <w:top w:val="nil"/>
              <w:left w:val="nil"/>
              <w:bottom w:val="nil"/>
              <w:right w:val="nil"/>
            </w:tcBorders>
            <w:shd w:val="clear" w:color="auto" w:fill="auto"/>
          </w:tcPr>
          <w:tbl>
            <w:tblPr>
              <w:tblW w:w="0" w:type="auto"/>
              <w:tblLayout w:type="fixed"/>
              <w:tblCellMar>
                <w:top w:w="28" w:type="dxa"/>
                <w:left w:w="0" w:type="dxa"/>
                <w:right w:w="0" w:type="dxa"/>
              </w:tblCellMar>
              <w:tblLook w:val="0000" w:firstRow="0" w:lastRow="0" w:firstColumn="0" w:lastColumn="0" w:noHBand="0" w:noVBand="0"/>
            </w:tblPr>
            <w:tblGrid>
              <w:gridCol w:w="6379"/>
              <w:gridCol w:w="6217"/>
              <w:gridCol w:w="1013"/>
            </w:tblGrid>
            <w:tr w:rsidR="00887BAC" w:rsidTr="004103F0">
              <w:tc>
                <w:tcPr>
                  <w:tcW w:w="6379" w:type="dxa"/>
                  <w:tcBorders>
                    <w:top w:val="single" w:sz="6" w:space="0" w:color="BFBFBF"/>
                    <w:bottom w:val="single" w:sz="6" w:space="0" w:color="BFBFBF"/>
                  </w:tcBorders>
                  <w:shd w:val="clear" w:color="auto" w:fill="auto"/>
                  <w:tcMar>
                    <w:top w:w="28" w:type="dxa"/>
                  </w:tcMar>
                </w:tcPr>
                <w:p w:rsidR="00887BAC" w:rsidRPr="009A2B37" w:rsidRDefault="00887BAC" w:rsidP="009A2B37">
                  <w:pPr>
                    <w:pStyle w:val="TableColumnHeading"/>
                    <w:jc w:val="left"/>
                  </w:pPr>
                  <w:r w:rsidRPr="009A2B37">
                    <w:t>Organisation/event</w:t>
                  </w:r>
                </w:p>
              </w:tc>
              <w:tc>
                <w:tcPr>
                  <w:tcW w:w="6217" w:type="dxa"/>
                  <w:tcBorders>
                    <w:top w:val="single" w:sz="6" w:space="0" w:color="BFBFBF"/>
                    <w:bottom w:val="single" w:sz="6" w:space="0" w:color="BFBFBF"/>
                  </w:tcBorders>
                  <w:shd w:val="clear" w:color="auto" w:fill="auto"/>
                  <w:tcMar>
                    <w:top w:w="28" w:type="dxa"/>
                  </w:tcMar>
                </w:tcPr>
                <w:p w:rsidR="00887BAC" w:rsidRPr="009A2B37" w:rsidRDefault="00887BAC" w:rsidP="009A2B37">
                  <w:pPr>
                    <w:pStyle w:val="TableColumnHeading"/>
                    <w:jc w:val="left"/>
                  </w:pPr>
                  <w:r w:rsidRPr="009A2B37">
                    <w:t>Topic</w:t>
                  </w:r>
                </w:p>
              </w:tc>
              <w:tc>
                <w:tcPr>
                  <w:tcW w:w="1013" w:type="dxa"/>
                  <w:tcBorders>
                    <w:top w:val="single" w:sz="6" w:space="0" w:color="BFBFBF"/>
                    <w:bottom w:val="single" w:sz="6" w:space="0" w:color="BFBFBF"/>
                  </w:tcBorders>
                </w:tcPr>
                <w:p w:rsidR="00887BAC" w:rsidRPr="009A2B37" w:rsidRDefault="00887BAC" w:rsidP="009A2B37">
                  <w:pPr>
                    <w:pStyle w:val="TableColumnHeading"/>
                    <w:jc w:val="left"/>
                  </w:pPr>
                  <w:r w:rsidRPr="009A2B37">
                    <w:t>Date</w:t>
                  </w:r>
                </w:p>
              </w:tc>
            </w:tr>
            <w:tr w:rsidR="00887BAC" w:rsidTr="004103F0">
              <w:tc>
                <w:tcPr>
                  <w:tcW w:w="6379" w:type="dxa"/>
                  <w:tcBorders>
                    <w:top w:val="single" w:sz="6" w:space="0" w:color="BFBFBF"/>
                  </w:tcBorders>
                </w:tcPr>
                <w:p w:rsidR="00887BAC" w:rsidRPr="009A2B37" w:rsidRDefault="006C3133" w:rsidP="006C3133">
                  <w:pPr>
                    <w:pStyle w:val="TableBodyText"/>
                    <w:tabs>
                      <w:tab w:val="left" w:pos="1065"/>
                    </w:tabs>
                    <w:spacing w:before="40" w:after="0"/>
                    <w:ind w:left="57"/>
                    <w:jc w:val="left"/>
                    <w:rPr>
                      <w:b/>
                    </w:rPr>
                  </w:pPr>
                  <w:r>
                    <w:rPr>
                      <w:b/>
                    </w:rPr>
                    <w:t xml:space="preserve">Peter Harris AO, </w:t>
                  </w:r>
                  <w:r w:rsidR="00887BAC" w:rsidRPr="009A2B37">
                    <w:rPr>
                      <w:b/>
                    </w:rPr>
                    <w:t xml:space="preserve">Chair </w:t>
                  </w:r>
                  <w:r w:rsidR="00887BAC" w:rsidRPr="009A2B37">
                    <w:rPr>
                      <w:i/>
                    </w:rPr>
                    <w:t>(continued)</w:t>
                  </w:r>
                </w:p>
              </w:tc>
              <w:tc>
                <w:tcPr>
                  <w:tcW w:w="6217" w:type="dxa"/>
                  <w:tcBorders>
                    <w:top w:val="single" w:sz="6" w:space="0" w:color="BFBFBF"/>
                  </w:tcBorders>
                </w:tcPr>
                <w:p w:rsidR="00887BAC" w:rsidRDefault="00887BAC" w:rsidP="009A2B37">
                  <w:pPr>
                    <w:pStyle w:val="TableBodyText"/>
                    <w:tabs>
                      <w:tab w:val="left" w:pos="1065"/>
                    </w:tabs>
                    <w:spacing w:before="40" w:after="0"/>
                    <w:ind w:left="57"/>
                    <w:jc w:val="left"/>
                  </w:pPr>
                </w:p>
              </w:tc>
              <w:tc>
                <w:tcPr>
                  <w:tcW w:w="1013" w:type="dxa"/>
                  <w:tcBorders>
                    <w:top w:val="single" w:sz="6" w:space="0" w:color="BFBFBF"/>
                  </w:tcBorders>
                </w:tcPr>
                <w:p w:rsidR="00887BAC" w:rsidRDefault="00887BAC" w:rsidP="009A2B37">
                  <w:pPr>
                    <w:pStyle w:val="TableBodyText"/>
                    <w:tabs>
                      <w:tab w:val="left" w:pos="1065"/>
                    </w:tabs>
                    <w:spacing w:before="40" w:after="0"/>
                    <w:ind w:left="57"/>
                    <w:jc w:val="left"/>
                  </w:pPr>
                </w:p>
              </w:tc>
            </w:tr>
            <w:tr w:rsidR="00B70637" w:rsidTr="009A2B37">
              <w:tc>
                <w:tcPr>
                  <w:tcW w:w="6379" w:type="dxa"/>
                </w:tcPr>
                <w:p w:rsidR="00B70637" w:rsidRPr="00593FC7" w:rsidRDefault="00B70637" w:rsidP="00B70637">
                  <w:pPr>
                    <w:pStyle w:val="TableBodyText"/>
                    <w:tabs>
                      <w:tab w:val="left" w:pos="1065"/>
                    </w:tabs>
                    <w:spacing w:before="40"/>
                    <w:ind w:left="57"/>
                    <w:jc w:val="left"/>
                  </w:pPr>
                  <w:proofErr w:type="spellStart"/>
                  <w:r w:rsidRPr="00593FC7">
                    <w:t>CEDA</w:t>
                  </w:r>
                  <w:proofErr w:type="spellEnd"/>
                  <w:r w:rsidRPr="00593FC7">
                    <w:t xml:space="preserve"> Council on Economic Policy, Melbourne</w:t>
                  </w:r>
                </w:p>
              </w:tc>
              <w:tc>
                <w:tcPr>
                  <w:tcW w:w="6217" w:type="dxa"/>
                </w:tcPr>
                <w:p w:rsidR="00B70637" w:rsidRPr="00593FC7" w:rsidRDefault="00B70637" w:rsidP="00B70637">
                  <w:pPr>
                    <w:pStyle w:val="TableBodyText"/>
                    <w:tabs>
                      <w:tab w:val="left" w:pos="1065"/>
                    </w:tabs>
                    <w:spacing w:before="40"/>
                    <w:ind w:left="57"/>
                    <w:jc w:val="left"/>
                  </w:pPr>
                  <w:r w:rsidRPr="00593FC7">
                    <w:t>Financial system inquiry (Murray Inquiry) and its implications for Productivity</w:t>
                  </w:r>
                </w:p>
              </w:tc>
              <w:tc>
                <w:tcPr>
                  <w:tcW w:w="1013" w:type="dxa"/>
                </w:tcPr>
                <w:p w:rsidR="00B70637" w:rsidRPr="00593FC7" w:rsidRDefault="00B70637" w:rsidP="00B70637">
                  <w:pPr>
                    <w:pStyle w:val="TableBodyText"/>
                    <w:tabs>
                      <w:tab w:val="left" w:pos="1065"/>
                    </w:tabs>
                    <w:spacing w:before="40"/>
                    <w:ind w:left="57"/>
                  </w:pPr>
                  <w:r w:rsidRPr="00593FC7">
                    <w:t>Mar 2014</w:t>
                  </w:r>
                </w:p>
              </w:tc>
            </w:tr>
            <w:tr w:rsidR="00887BAC" w:rsidTr="009A2B37">
              <w:tc>
                <w:tcPr>
                  <w:tcW w:w="6379" w:type="dxa"/>
                </w:tcPr>
                <w:p w:rsidR="00887BAC" w:rsidRPr="00593FC7" w:rsidRDefault="00887BAC" w:rsidP="00B70637">
                  <w:pPr>
                    <w:pStyle w:val="TableBodyText"/>
                    <w:tabs>
                      <w:tab w:val="left" w:pos="1065"/>
                    </w:tabs>
                    <w:spacing w:before="40"/>
                    <w:ind w:left="57"/>
                    <w:jc w:val="left"/>
                  </w:pPr>
                  <w:proofErr w:type="spellStart"/>
                  <w:r w:rsidRPr="00593FC7">
                    <w:t>COAG</w:t>
                  </w:r>
                  <w:proofErr w:type="spellEnd"/>
                  <w:r w:rsidRPr="00593FC7">
                    <w:t xml:space="preserve"> </w:t>
                  </w:r>
                  <w:proofErr w:type="spellStart"/>
                  <w:r w:rsidRPr="00593FC7">
                    <w:t>SOM</w:t>
                  </w:r>
                  <w:proofErr w:type="spellEnd"/>
                  <w:r w:rsidRPr="00593FC7">
                    <w:t>, Melbourne</w:t>
                  </w:r>
                </w:p>
              </w:tc>
              <w:tc>
                <w:tcPr>
                  <w:tcW w:w="6217" w:type="dxa"/>
                </w:tcPr>
                <w:p w:rsidR="00887BAC" w:rsidRPr="00593FC7" w:rsidRDefault="00887BAC" w:rsidP="00B70637">
                  <w:pPr>
                    <w:pStyle w:val="TableBodyText"/>
                    <w:tabs>
                      <w:tab w:val="left" w:pos="1065"/>
                    </w:tabs>
                    <w:spacing w:before="40"/>
                    <w:ind w:left="57"/>
                    <w:jc w:val="left"/>
                  </w:pPr>
                  <w:r w:rsidRPr="00593FC7">
                    <w:t>Commission’s draft report on Review into Infrastructure Financing</w:t>
                  </w:r>
                </w:p>
              </w:tc>
              <w:tc>
                <w:tcPr>
                  <w:tcW w:w="1013" w:type="dxa"/>
                </w:tcPr>
                <w:p w:rsidR="00887BAC" w:rsidRPr="00593FC7" w:rsidRDefault="00887BAC" w:rsidP="00B70637">
                  <w:pPr>
                    <w:pStyle w:val="TableBodyText"/>
                    <w:tabs>
                      <w:tab w:val="left" w:pos="1065"/>
                    </w:tabs>
                    <w:spacing w:before="40"/>
                    <w:ind w:left="57"/>
                  </w:pPr>
                  <w:r w:rsidRPr="00593FC7">
                    <w:t>Mar 2014</w:t>
                  </w:r>
                </w:p>
              </w:tc>
            </w:tr>
            <w:tr w:rsidR="00887BAC" w:rsidTr="009A2B37">
              <w:tc>
                <w:tcPr>
                  <w:tcW w:w="6379" w:type="dxa"/>
                </w:tcPr>
                <w:p w:rsidR="00887BAC" w:rsidRPr="00593FC7" w:rsidRDefault="00887BAC" w:rsidP="00B70637">
                  <w:pPr>
                    <w:pStyle w:val="TableBodyText"/>
                    <w:tabs>
                      <w:tab w:val="left" w:pos="1065"/>
                    </w:tabs>
                    <w:spacing w:before="40"/>
                    <w:ind w:left="57"/>
                    <w:jc w:val="left"/>
                  </w:pPr>
                  <w:proofErr w:type="spellStart"/>
                  <w:r w:rsidRPr="00593FC7">
                    <w:t>PM&amp;C</w:t>
                  </w:r>
                  <w:proofErr w:type="spellEnd"/>
                  <w:r w:rsidRPr="00593FC7">
                    <w:t xml:space="preserve"> Infrastructure Working Group, Melbourne</w:t>
                  </w:r>
                </w:p>
              </w:tc>
              <w:tc>
                <w:tcPr>
                  <w:tcW w:w="6217" w:type="dxa"/>
                </w:tcPr>
                <w:p w:rsidR="00887BAC" w:rsidRPr="00593FC7" w:rsidRDefault="00887BAC" w:rsidP="00B70637">
                  <w:pPr>
                    <w:pStyle w:val="TableBodyText"/>
                    <w:tabs>
                      <w:tab w:val="left" w:pos="1065"/>
                    </w:tabs>
                    <w:spacing w:before="40"/>
                    <w:ind w:left="57"/>
                    <w:jc w:val="left"/>
                  </w:pPr>
                  <w:r w:rsidRPr="00593FC7">
                    <w:t>Keynote speaker</w:t>
                  </w:r>
                </w:p>
              </w:tc>
              <w:tc>
                <w:tcPr>
                  <w:tcW w:w="1013" w:type="dxa"/>
                </w:tcPr>
                <w:p w:rsidR="00887BAC" w:rsidRPr="00593FC7" w:rsidRDefault="00887BAC" w:rsidP="00B70637">
                  <w:pPr>
                    <w:pStyle w:val="TableBodyText"/>
                    <w:tabs>
                      <w:tab w:val="left" w:pos="1065"/>
                    </w:tabs>
                    <w:spacing w:before="40"/>
                    <w:ind w:left="57"/>
                  </w:pPr>
                  <w:r w:rsidRPr="00593FC7">
                    <w:t>April 2014</w:t>
                  </w:r>
                </w:p>
              </w:tc>
            </w:tr>
            <w:tr w:rsidR="00887BAC" w:rsidTr="009A2B37">
              <w:tc>
                <w:tcPr>
                  <w:tcW w:w="6379" w:type="dxa"/>
                </w:tcPr>
                <w:p w:rsidR="00887BAC" w:rsidRPr="00593FC7" w:rsidRDefault="00887BAC" w:rsidP="00B70637">
                  <w:pPr>
                    <w:pStyle w:val="TableBodyText"/>
                    <w:tabs>
                      <w:tab w:val="left" w:pos="1065"/>
                    </w:tabs>
                    <w:spacing w:before="40"/>
                    <w:ind w:left="57"/>
                    <w:jc w:val="left"/>
                  </w:pPr>
                  <w:r w:rsidRPr="00593FC7">
                    <w:t>Horton International Boardroom Luncheon, Melbourne</w:t>
                  </w:r>
                </w:p>
              </w:tc>
              <w:tc>
                <w:tcPr>
                  <w:tcW w:w="6217" w:type="dxa"/>
                </w:tcPr>
                <w:p w:rsidR="00887BAC" w:rsidRPr="00593FC7" w:rsidRDefault="00887BAC" w:rsidP="00B70637">
                  <w:pPr>
                    <w:pStyle w:val="TableBodyText"/>
                    <w:tabs>
                      <w:tab w:val="left" w:pos="1065"/>
                    </w:tabs>
                    <w:spacing w:before="40"/>
                    <w:ind w:left="57"/>
                    <w:jc w:val="left"/>
                  </w:pPr>
                  <w:r w:rsidRPr="00593FC7">
                    <w:t>Guest speaker: Productivity and Australia’s Economic Future</w:t>
                  </w:r>
                </w:p>
              </w:tc>
              <w:tc>
                <w:tcPr>
                  <w:tcW w:w="1013" w:type="dxa"/>
                </w:tcPr>
                <w:p w:rsidR="00887BAC" w:rsidRPr="00593FC7" w:rsidRDefault="00887BAC" w:rsidP="00B70637">
                  <w:pPr>
                    <w:pStyle w:val="TableBodyText"/>
                    <w:tabs>
                      <w:tab w:val="left" w:pos="1065"/>
                    </w:tabs>
                    <w:spacing w:before="40"/>
                    <w:ind w:left="57"/>
                  </w:pPr>
                  <w:r w:rsidRPr="00593FC7">
                    <w:t>April 2014</w:t>
                  </w:r>
                </w:p>
              </w:tc>
            </w:tr>
            <w:tr w:rsidR="00887BAC" w:rsidTr="009A2B37">
              <w:tc>
                <w:tcPr>
                  <w:tcW w:w="6379" w:type="dxa"/>
                </w:tcPr>
                <w:p w:rsidR="00887BAC" w:rsidRPr="00593FC7" w:rsidRDefault="00887BAC" w:rsidP="00B70637">
                  <w:pPr>
                    <w:pStyle w:val="TableBodyText"/>
                    <w:tabs>
                      <w:tab w:val="left" w:pos="1065"/>
                    </w:tabs>
                    <w:spacing w:before="40"/>
                    <w:ind w:left="57"/>
                    <w:jc w:val="left"/>
                  </w:pPr>
                  <w:proofErr w:type="spellStart"/>
                  <w:r w:rsidRPr="00593FC7">
                    <w:t>CEDA</w:t>
                  </w:r>
                  <w:proofErr w:type="spellEnd"/>
                  <w:r w:rsidRPr="00593FC7">
                    <w:t xml:space="preserve"> Queensland 2014 Infrastructure series luncheon, Brisbane</w:t>
                  </w:r>
                </w:p>
              </w:tc>
              <w:tc>
                <w:tcPr>
                  <w:tcW w:w="6217" w:type="dxa"/>
                </w:tcPr>
                <w:p w:rsidR="00887BAC" w:rsidRPr="00593FC7" w:rsidRDefault="00887BAC" w:rsidP="00B70637">
                  <w:pPr>
                    <w:pStyle w:val="TableBodyText"/>
                    <w:tabs>
                      <w:tab w:val="left" w:pos="1065"/>
                    </w:tabs>
                    <w:spacing w:before="40"/>
                    <w:ind w:left="57"/>
                    <w:jc w:val="left"/>
                  </w:pPr>
                  <w:r w:rsidRPr="00593FC7">
                    <w:t>Keynote Speaker</w:t>
                  </w:r>
                </w:p>
              </w:tc>
              <w:tc>
                <w:tcPr>
                  <w:tcW w:w="1013" w:type="dxa"/>
                </w:tcPr>
                <w:p w:rsidR="00887BAC" w:rsidRPr="00593FC7" w:rsidRDefault="00887BAC" w:rsidP="00B70637">
                  <w:pPr>
                    <w:pStyle w:val="TableBodyText"/>
                    <w:tabs>
                      <w:tab w:val="left" w:pos="1065"/>
                    </w:tabs>
                    <w:spacing w:before="40"/>
                    <w:ind w:left="57"/>
                  </w:pPr>
                  <w:r w:rsidRPr="00593FC7">
                    <w:t>May 2014</w:t>
                  </w:r>
                </w:p>
              </w:tc>
            </w:tr>
            <w:tr w:rsidR="00887BAC" w:rsidTr="009A2B37">
              <w:tc>
                <w:tcPr>
                  <w:tcW w:w="6379" w:type="dxa"/>
                </w:tcPr>
                <w:p w:rsidR="00887BAC" w:rsidRPr="00593FC7" w:rsidRDefault="00887BAC" w:rsidP="00B70637">
                  <w:pPr>
                    <w:pStyle w:val="TableBodyText"/>
                    <w:tabs>
                      <w:tab w:val="left" w:pos="1065"/>
                    </w:tabs>
                    <w:spacing w:before="40"/>
                    <w:ind w:left="57"/>
                    <w:jc w:val="left"/>
                  </w:pPr>
                  <w:r w:rsidRPr="00593FC7">
                    <w:t xml:space="preserve">International </w:t>
                  </w:r>
                  <w:proofErr w:type="spellStart"/>
                  <w:r w:rsidRPr="00593FC7">
                    <w:t>CEO</w:t>
                  </w:r>
                  <w:proofErr w:type="spellEnd"/>
                  <w:r w:rsidRPr="00593FC7">
                    <w:t xml:space="preserve"> Forum Luncheon, Sydney</w:t>
                  </w:r>
                </w:p>
              </w:tc>
              <w:tc>
                <w:tcPr>
                  <w:tcW w:w="6217" w:type="dxa"/>
                </w:tcPr>
                <w:p w:rsidR="00887BAC" w:rsidRPr="00593FC7" w:rsidRDefault="00887BAC" w:rsidP="00B70637">
                  <w:pPr>
                    <w:pStyle w:val="TableBodyText"/>
                    <w:tabs>
                      <w:tab w:val="left" w:pos="1065"/>
                    </w:tabs>
                    <w:spacing w:before="40"/>
                    <w:ind w:left="57"/>
                    <w:jc w:val="left"/>
                  </w:pPr>
                  <w:r w:rsidRPr="00593FC7">
                    <w:t>Guest Speaker</w:t>
                  </w:r>
                </w:p>
              </w:tc>
              <w:tc>
                <w:tcPr>
                  <w:tcW w:w="1013" w:type="dxa"/>
                </w:tcPr>
                <w:p w:rsidR="00887BAC" w:rsidRPr="00593FC7" w:rsidRDefault="00887BAC" w:rsidP="00B70637">
                  <w:pPr>
                    <w:pStyle w:val="TableBodyText"/>
                    <w:tabs>
                      <w:tab w:val="left" w:pos="1065"/>
                    </w:tabs>
                    <w:spacing w:before="40"/>
                    <w:ind w:left="57"/>
                  </w:pPr>
                  <w:r w:rsidRPr="00593FC7">
                    <w:t>May 2014</w:t>
                  </w:r>
                </w:p>
              </w:tc>
            </w:tr>
            <w:tr w:rsidR="00887BAC" w:rsidTr="009A2B37">
              <w:tc>
                <w:tcPr>
                  <w:tcW w:w="6379" w:type="dxa"/>
                </w:tcPr>
                <w:p w:rsidR="00887BAC" w:rsidRPr="00593FC7" w:rsidRDefault="00887BAC" w:rsidP="00B70637">
                  <w:pPr>
                    <w:pStyle w:val="TableBodyText"/>
                    <w:tabs>
                      <w:tab w:val="left" w:pos="1065"/>
                    </w:tabs>
                    <w:spacing w:before="40"/>
                    <w:ind w:left="57"/>
                    <w:jc w:val="left"/>
                  </w:pPr>
                  <w:r w:rsidRPr="00593FC7">
                    <w:t>National Library of Australia Senior Library Staff meeting, Canberra</w:t>
                  </w:r>
                </w:p>
              </w:tc>
              <w:tc>
                <w:tcPr>
                  <w:tcW w:w="6217" w:type="dxa"/>
                </w:tcPr>
                <w:p w:rsidR="00887BAC" w:rsidRPr="00593FC7" w:rsidRDefault="00887BAC" w:rsidP="00B70637">
                  <w:pPr>
                    <w:pStyle w:val="TableBodyText"/>
                    <w:tabs>
                      <w:tab w:val="left" w:pos="1065"/>
                    </w:tabs>
                    <w:spacing w:before="40"/>
                    <w:ind w:left="57"/>
                    <w:jc w:val="left"/>
                  </w:pPr>
                  <w:r w:rsidRPr="00593FC7">
                    <w:t>Guest Speaker</w:t>
                  </w:r>
                  <w:r w:rsidR="00561CC5">
                    <w:t xml:space="preserve"> – deliver the Brian Farrell Oration</w:t>
                  </w:r>
                </w:p>
              </w:tc>
              <w:tc>
                <w:tcPr>
                  <w:tcW w:w="1013" w:type="dxa"/>
                </w:tcPr>
                <w:p w:rsidR="00887BAC" w:rsidRPr="00593FC7" w:rsidRDefault="00887BAC" w:rsidP="00B70637">
                  <w:pPr>
                    <w:pStyle w:val="TableBodyText"/>
                    <w:tabs>
                      <w:tab w:val="left" w:pos="1065"/>
                    </w:tabs>
                    <w:spacing w:before="40"/>
                    <w:ind w:left="57"/>
                  </w:pPr>
                  <w:r w:rsidRPr="00593FC7">
                    <w:t>May 2014</w:t>
                  </w:r>
                </w:p>
              </w:tc>
            </w:tr>
            <w:tr w:rsidR="00887BAC" w:rsidTr="00B70637">
              <w:trPr>
                <w:trHeight w:val="288"/>
              </w:trPr>
              <w:tc>
                <w:tcPr>
                  <w:tcW w:w="6379" w:type="dxa"/>
                </w:tcPr>
                <w:p w:rsidR="00887BAC" w:rsidRPr="009A2B37" w:rsidRDefault="00887BAC" w:rsidP="009A2B37">
                  <w:pPr>
                    <w:pStyle w:val="TableBodyText"/>
                    <w:tabs>
                      <w:tab w:val="left" w:pos="1065"/>
                    </w:tabs>
                    <w:spacing w:before="120" w:after="0"/>
                    <w:ind w:left="57"/>
                    <w:jc w:val="left"/>
                  </w:pPr>
                  <w:r w:rsidRPr="009A2B37">
                    <w:rPr>
                      <w:b/>
                    </w:rPr>
                    <w:t>Commissioners</w:t>
                  </w:r>
                </w:p>
              </w:tc>
              <w:tc>
                <w:tcPr>
                  <w:tcW w:w="6217" w:type="dxa"/>
                </w:tcPr>
                <w:p w:rsidR="00887BAC" w:rsidRPr="009A2B37" w:rsidRDefault="00887BAC" w:rsidP="009A2B37">
                  <w:pPr>
                    <w:pStyle w:val="TableBodyText"/>
                    <w:tabs>
                      <w:tab w:val="left" w:pos="1065"/>
                    </w:tabs>
                    <w:spacing w:before="120" w:after="0"/>
                    <w:ind w:left="57"/>
                    <w:jc w:val="left"/>
                  </w:pPr>
                </w:p>
              </w:tc>
              <w:tc>
                <w:tcPr>
                  <w:tcW w:w="1013" w:type="dxa"/>
                </w:tcPr>
                <w:p w:rsidR="00887BAC" w:rsidRPr="009A2B37" w:rsidRDefault="00887BAC" w:rsidP="009A2B37">
                  <w:pPr>
                    <w:pStyle w:val="TableBodyText"/>
                    <w:tabs>
                      <w:tab w:val="left" w:pos="1065"/>
                    </w:tabs>
                    <w:spacing w:before="120" w:after="0"/>
                    <w:ind w:left="57"/>
                  </w:pPr>
                </w:p>
              </w:tc>
            </w:tr>
            <w:tr w:rsidR="00887BAC" w:rsidTr="009A2B37">
              <w:tc>
                <w:tcPr>
                  <w:tcW w:w="6379" w:type="dxa"/>
                </w:tcPr>
                <w:p w:rsidR="00887BAC" w:rsidRPr="00593FC7" w:rsidRDefault="00887BAC" w:rsidP="00B70637">
                  <w:pPr>
                    <w:pStyle w:val="TableBodyText"/>
                    <w:tabs>
                      <w:tab w:val="left" w:pos="1065"/>
                    </w:tabs>
                    <w:spacing w:before="40"/>
                    <w:ind w:left="57"/>
                    <w:jc w:val="left"/>
                  </w:pPr>
                  <w:proofErr w:type="spellStart"/>
                  <w:r w:rsidRPr="00593FC7">
                    <w:t>ANU</w:t>
                  </w:r>
                  <w:proofErr w:type="spellEnd"/>
                  <w:r w:rsidRPr="00593FC7">
                    <w:t xml:space="preserve"> Performance of Chinese </w:t>
                  </w:r>
                  <w:proofErr w:type="spellStart"/>
                  <w:r w:rsidRPr="00593FC7">
                    <w:t>ODI</w:t>
                  </w:r>
                  <w:proofErr w:type="spellEnd"/>
                  <w:r w:rsidRPr="00593FC7">
                    <w:t>, Canberra (Mike Woods)</w:t>
                  </w:r>
                </w:p>
              </w:tc>
              <w:tc>
                <w:tcPr>
                  <w:tcW w:w="6217" w:type="dxa"/>
                </w:tcPr>
                <w:p w:rsidR="00887BAC" w:rsidRPr="00593FC7" w:rsidRDefault="00887BAC" w:rsidP="00B70637">
                  <w:pPr>
                    <w:pStyle w:val="TableBodyText"/>
                    <w:tabs>
                      <w:tab w:val="left" w:pos="1065"/>
                    </w:tabs>
                    <w:spacing w:before="40"/>
                    <w:ind w:left="57"/>
                    <w:jc w:val="left"/>
                  </w:pPr>
                  <w:r w:rsidRPr="00593FC7">
                    <w:t xml:space="preserve">Discussant: China’s Global Investment and Its Regulation </w:t>
                  </w:r>
                </w:p>
              </w:tc>
              <w:tc>
                <w:tcPr>
                  <w:tcW w:w="1013" w:type="dxa"/>
                </w:tcPr>
                <w:p w:rsidR="00887BAC" w:rsidRPr="00593FC7" w:rsidRDefault="00887BAC" w:rsidP="00B70637">
                  <w:pPr>
                    <w:pStyle w:val="TableBodyText"/>
                    <w:tabs>
                      <w:tab w:val="left" w:pos="1065"/>
                    </w:tabs>
                    <w:spacing w:before="40"/>
                    <w:ind w:left="57"/>
                  </w:pPr>
                  <w:r w:rsidRPr="00593FC7">
                    <w:t>July 2013</w:t>
                  </w:r>
                </w:p>
              </w:tc>
            </w:tr>
            <w:tr w:rsidR="00887BAC" w:rsidTr="009A2B37">
              <w:tc>
                <w:tcPr>
                  <w:tcW w:w="6379" w:type="dxa"/>
                </w:tcPr>
                <w:p w:rsidR="00887BAC" w:rsidRPr="00593FC7" w:rsidRDefault="00887BAC" w:rsidP="00B70637">
                  <w:pPr>
                    <w:pStyle w:val="TableBodyText"/>
                    <w:tabs>
                      <w:tab w:val="left" w:pos="1065"/>
                    </w:tabs>
                    <w:spacing w:before="40"/>
                    <w:ind w:left="57"/>
                    <w:jc w:val="left"/>
                  </w:pPr>
                  <w:r w:rsidRPr="00593FC7">
                    <w:t>Forum of Federation workshop on Services Delivery Reform in Federal Systems in a Time of Austerity, Melbourne (Mike Woods)</w:t>
                  </w:r>
                </w:p>
              </w:tc>
              <w:tc>
                <w:tcPr>
                  <w:tcW w:w="6217" w:type="dxa"/>
                </w:tcPr>
                <w:p w:rsidR="00887BAC" w:rsidRPr="00593FC7" w:rsidRDefault="00887BAC" w:rsidP="00B70637">
                  <w:pPr>
                    <w:pStyle w:val="TableBodyText"/>
                    <w:tabs>
                      <w:tab w:val="left" w:pos="1065"/>
                    </w:tabs>
                    <w:spacing w:before="40"/>
                    <w:ind w:left="57"/>
                    <w:jc w:val="left"/>
                  </w:pPr>
                  <w:r w:rsidRPr="00593FC7">
                    <w:t>The challenge of austerity and the potential of joint service delivery</w:t>
                  </w:r>
                </w:p>
              </w:tc>
              <w:tc>
                <w:tcPr>
                  <w:tcW w:w="1013" w:type="dxa"/>
                </w:tcPr>
                <w:p w:rsidR="00887BAC" w:rsidRPr="00593FC7" w:rsidRDefault="00887BAC" w:rsidP="00B70637">
                  <w:pPr>
                    <w:pStyle w:val="TableBodyText"/>
                    <w:tabs>
                      <w:tab w:val="left" w:pos="1065"/>
                    </w:tabs>
                    <w:spacing w:before="40"/>
                    <w:ind w:left="57"/>
                  </w:pPr>
                  <w:r w:rsidRPr="00593FC7">
                    <w:t>July 2013</w:t>
                  </w:r>
                </w:p>
              </w:tc>
            </w:tr>
            <w:tr w:rsidR="00887BAC" w:rsidTr="009A2B37">
              <w:tc>
                <w:tcPr>
                  <w:tcW w:w="6379" w:type="dxa"/>
                </w:tcPr>
                <w:p w:rsidR="00887BAC" w:rsidRPr="00593FC7" w:rsidRDefault="00887BAC" w:rsidP="00B70637">
                  <w:pPr>
                    <w:pStyle w:val="TableBodyText"/>
                    <w:tabs>
                      <w:tab w:val="left" w:pos="1065"/>
                    </w:tabs>
                    <w:spacing w:before="40"/>
                    <w:ind w:left="57"/>
                    <w:jc w:val="left"/>
                  </w:pPr>
                  <w:r>
                    <w:t>NAB National Small Business Summit, Brisbane (Warren Mundy &amp; Rosalyn Bell)</w:t>
                  </w:r>
                </w:p>
              </w:tc>
              <w:tc>
                <w:tcPr>
                  <w:tcW w:w="6217" w:type="dxa"/>
                </w:tcPr>
                <w:p w:rsidR="00887BAC" w:rsidRPr="009A2B37" w:rsidRDefault="00887BAC" w:rsidP="00B70637">
                  <w:pPr>
                    <w:pStyle w:val="TableBodyText"/>
                    <w:tabs>
                      <w:tab w:val="left" w:pos="1065"/>
                    </w:tabs>
                    <w:spacing w:before="40"/>
                    <w:ind w:left="57"/>
                    <w:jc w:val="left"/>
                  </w:pPr>
                  <w:r w:rsidRPr="00251FF6">
                    <w:t>Participate in a Conversation with Australia's Top Bureaucrats and Business People</w:t>
                  </w:r>
                </w:p>
              </w:tc>
              <w:tc>
                <w:tcPr>
                  <w:tcW w:w="1013" w:type="dxa"/>
                </w:tcPr>
                <w:p w:rsidR="00887BAC" w:rsidRPr="00593FC7" w:rsidRDefault="00887BAC" w:rsidP="00B70637">
                  <w:pPr>
                    <w:pStyle w:val="TableBodyText"/>
                    <w:tabs>
                      <w:tab w:val="left" w:pos="1065"/>
                    </w:tabs>
                    <w:spacing w:before="40"/>
                    <w:ind w:left="57"/>
                  </w:pPr>
                  <w:r>
                    <w:t>July 2013</w:t>
                  </w:r>
                </w:p>
              </w:tc>
            </w:tr>
            <w:tr w:rsidR="00887BAC" w:rsidTr="009A2B37">
              <w:tc>
                <w:tcPr>
                  <w:tcW w:w="6379" w:type="dxa"/>
                </w:tcPr>
                <w:p w:rsidR="00887BAC" w:rsidRPr="00593FC7" w:rsidRDefault="00887BAC" w:rsidP="00B70637">
                  <w:pPr>
                    <w:pStyle w:val="TableBodyText"/>
                    <w:tabs>
                      <w:tab w:val="left" w:pos="1065"/>
                    </w:tabs>
                    <w:spacing w:before="40"/>
                    <w:ind w:left="57"/>
                    <w:jc w:val="left"/>
                  </w:pPr>
                  <w:proofErr w:type="spellStart"/>
                  <w:r w:rsidRPr="00593FC7">
                    <w:t>VCOSS</w:t>
                  </w:r>
                  <w:proofErr w:type="spellEnd"/>
                  <w:r w:rsidRPr="00593FC7">
                    <w:t xml:space="preserve"> peak discussion, Melbourne (Alison McClelland)</w:t>
                  </w:r>
                </w:p>
              </w:tc>
              <w:tc>
                <w:tcPr>
                  <w:tcW w:w="6217" w:type="dxa"/>
                </w:tcPr>
                <w:p w:rsidR="00887BAC" w:rsidRPr="00593FC7" w:rsidRDefault="009A2B37" w:rsidP="00B70637">
                  <w:pPr>
                    <w:pStyle w:val="TableBodyText"/>
                    <w:tabs>
                      <w:tab w:val="left" w:pos="1065"/>
                    </w:tabs>
                    <w:spacing w:before="40"/>
                    <w:ind w:left="57"/>
                    <w:jc w:val="left"/>
                  </w:pPr>
                  <w:r>
                    <w:t xml:space="preserve">Commission’s </w:t>
                  </w:r>
                  <w:proofErr w:type="spellStart"/>
                  <w:r>
                    <w:t>SWP</w:t>
                  </w:r>
                  <w:proofErr w:type="spellEnd"/>
                  <w:r>
                    <w:t xml:space="preserve"> on Deep  and </w:t>
                  </w:r>
                  <w:r w:rsidR="00887BAC" w:rsidRPr="00593FC7">
                    <w:t>Persistent Disadvantage in Australia and the role of the Commission</w:t>
                  </w:r>
                </w:p>
              </w:tc>
              <w:tc>
                <w:tcPr>
                  <w:tcW w:w="1013" w:type="dxa"/>
                </w:tcPr>
                <w:p w:rsidR="00887BAC" w:rsidRPr="00593FC7" w:rsidRDefault="00887BAC" w:rsidP="00B70637">
                  <w:pPr>
                    <w:pStyle w:val="TableBodyText"/>
                    <w:tabs>
                      <w:tab w:val="left" w:pos="1065"/>
                    </w:tabs>
                    <w:spacing w:before="40"/>
                    <w:ind w:left="57"/>
                  </w:pPr>
                  <w:r w:rsidRPr="00593FC7">
                    <w:t>Aug 2013</w:t>
                  </w:r>
                </w:p>
              </w:tc>
            </w:tr>
            <w:tr w:rsidR="00887BAC" w:rsidTr="009A2B37">
              <w:tc>
                <w:tcPr>
                  <w:tcW w:w="6379" w:type="dxa"/>
                </w:tcPr>
                <w:p w:rsidR="00887BAC" w:rsidRPr="00593FC7" w:rsidRDefault="00887BAC" w:rsidP="00B70637">
                  <w:pPr>
                    <w:pStyle w:val="TableBodyText"/>
                    <w:tabs>
                      <w:tab w:val="left" w:pos="1065"/>
                    </w:tabs>
                    <w:spacing w:before="40"/>
                    <w:ind w:left="57"/>
                    <w:jc w:val="left"/>
                  </w:pPr>
                  <w:r w:rsidRPr="00593FC7">
                    <w:t>Independent House Pricing Authority Workshop, Sydney (Mike Woods)</w:t>
                  </w:r>
                </w:p>
              </w:tc>
              <w:tc>
                <w:tcPr>
                  <w:tcW w:w="6217" w:type="dxa"/>
                </w:tcPr>
                <w:p w:rsidR="00887BAC" w:rsidRPr="00593FC7" w:rsidRDefault="00887BAC" w:rsidP="00B70637">
                  <w:pPr>
                    <w:pStyle w:val="TableBodyText"/>
                    <w:tabs>
                      <w:tab w:val="left" w:pos="1065"/>
                    </w:tabs>
                    <w:spacing w:before="40"/>
                    <w:ind w:left="57"/>
                    <w:jc w:val="left"/>
                  </w:pPr>
                  <w:r w:rsidRPr="00593FC7">
                    <w:t>Discussant: Introduction of normative pricing into public hospital activity based funding in Australia</w:t>
                  </w:r>
                </w:p>
              </w:tc>
              <w:tc>
                <w:tcPr>
                  <w:tcW w:w="1013" w:type="dxa"/>
                </w:tcPr>
                <w:p w:rsidR="00887BAC" w:rsidRPr="00593FC7" w:rsidRDefault="00887BAC" w:rsidP="00B70637">
                  <w:pPr>
                    <w:pStyle w:val="TableBodyText"/>
                    <w:tabs>
                      <w:tab w:val="left" w:pos="1065"/>
                    </w:tabs>
                    <w:spacing w:before="40"/>
                    <w:ind w:left="57"/>
                  </w:pPr>
                  <w:r w:rsidRPr="00593FC7">
                    <w:t>Aug 2013</w:t>
                  </w:r>
                </w:p>
              </w:tc>
            </w:tr>
            <w:tr w:rsidR="00887BAC" w:rsidTr="009A2B37">
              <w:tc>
                <w:tcPr>
                  <w:tcW w:w="6379" w:type="dxa"/>
                </w:tcPr>
                <w:p w:rsidR="00887BAC" w:rsidRPr="00593FC7" w:rsidRDefault="00887BAC" w:rsidP="00B70637">
                  <w:pPr>
                    <w:pStyle w:val="TableBodyText"/>
                    <w:tabs>
                      <w:tab w:val="left" w:pos="1065"/>
                    </w:tabs>
                    <w:spacing w:before="40"/>
                    <w:ind w:left="57"/>
                    <w:jc w:val="left"/>
                  </w:pPr>
                  <w:r w:rsidRPr="00593FC7">
                    <w:t>Catholic Health Australia National Conference 2013, Melbourne (Mike Woods)</w:t>
                  </w:r>
                </w:p>
              </w:tc>
              <w:tc>
                <w:tcPr>
                  <w:tcW w:w="6217" w:type="dxa"/>
                </w:tcPr>
                <w:p w:rsidR="00887BAC" w:rsidRPr="00593FC7" w:rsidRDefault="00887BAC" w:rsidP="00B70637">
                  <w:pPr>
                    <w:pStyle w:val="TableBodyText"/>
                    <w:tabs>
                      <w:tab w:val="left" w:pos="1065"/>
                    </w:tabs>
                    <w:spacing w:before="40"/>
                    <w:ind w:left="57"/>
                    <w:jc w:val="left"/>
                  </w:pPr>
                  <w:r w:rsidRPr="00593FC7">
                    <w:t>How are we going to finance our s</w:t>
                  </w:r>
                  <w:r>
                    <w:t>ervices in the future?</w:t>
                  </w:r>
                </w:p>
              </w:tc>
              <w:tc>
                <w:tcPr>
                  <w:tcW w:w="1013" w:type="dxa"/>
                </w:tcPr>
                <w:p w:rsidR="00887BAC" w:rsidRPr="00593FC7" w:rsidRDefault="00887BAC" w:rsidP="00B70637">
                  <w:pPr>
                    <w:pStyle w:val="TableBodyText"/>
                    <w:tabs>
                      <w:tab w:val="left" w:pos="1065"/>
                    </w:tabs>
                    <w:spacing w:before="40"/>
                    <w:ind w:left="57"/>
                  </w:pPr>
                  <w:r w:rsidRPr="00593FC7">
                    <w:t>Aug 2013</w:t>
                  </w:r>
                </w:p>
              </w:tc>
            </w:tr>
            <w:tr w:rsidR="00887BAC" w:rsidTr="008B701A">
              <w:tc>
                <w:tcPr>
                  <w:tcW w:w="6379" w:type="dxa"/>
                </w:tcPr>
                <w:p w:rsidR="00887BAC" w:rsidRPr="00593FC7" w:rsidRDefault="00887BAC" w:rsidP="00B70637">
                  <w:pPr>
                    <w:pStyle w:val="TableBodyText"/>
                    <w:tabs>
                      <w:tab w:val="left" w:pos="1065"/>
                    </w:tabs>
                    <w:spacing w:before="40"/>
                    <w:ind w:left="57"/>
                    <w:jc w:val="left"/>
                  </w:pPr>
                  <w:r w:rsidRPr="00593FC7">
                    <w:t>Origin Foundation Board Meeting, Sydney (Mike Woods)</w:t>
                  </w:r>
                </w:p>
              </w:tc>
              <w:tc>
                <w:tcPr>
                  <w:tcW w:w="6217" w:type="dxa"/>
                </w:tcPr>
                <w:p w:rsidR="00887BAC" w:rsidRPr="00593FC7" w:rsidRDefault="00887BAC" w:rsidP="00B70637">
                  <w:pPr>
                    <w:pStyle w:val="TableBodyText"/>
                    <w:tabs>
                      <w:tab w:val="left" w:pos="1065"/>
                    </w:tabs>
                    <w:spacing w:before="40"/>
                    <w:ind w:left="57"/>
                    <w:jc w:val="left"/>
                  </w:pPr>
                  <w:r w:rsidRPr="00593FC7">
                    <w:t xml:space="preserve">Commission’s </w:t>
                  </w:r>
                  <w:proofErr w:type="spellStart"/>
                  <w:r w:rsidRPr="00593FC7">
                    <w:t>SWP</w:t>
                  </w:r>
                  <w:proofErr w:type="spellEnd"/>
                  <w:r w:rsidRPr="00593FC7">
                    <w:t xml:space="preserve"> on Deep </w:t>
                  </w:r>
                  <w:r w:rsidR="009A2B37">
                    <w:t>and</w:t>
                  </w:r>
                  <w:r w:rsidRPr="00593FC7">
                    <w:t xml:space="preserve"> Persistent Disadvantage in Australia and the role of the Commission</w:t>
                  </w:r>
                </w:p>
              </w:tc>
              <w:tc>
                <w:tcPr>
                  <w:tcW w:w="1013" w:type="dxa"/>
                </w:tcPr>
                <w:p w:rsidR="00887BAC" w:rsidRPr="00593FC7" w:rsidRDefault="00887BAC" w:rsidP="00B70637">
                  <w:pPr>
                    <w:pStyle w:val="TableBodyText"/>
                    <w:tabs>
                      <w:tab w:val="left" w:pos="1065"/>
                    </w:tabs>
                    <w:spacing w:before="40"/>
                    <w:ind w:left="57"/>
                  </w:pPr>
                  <w:r w:rsidRPr="00593FC7">
                    <w:t>Sept 2013</w:t>
                  </w:r>
                </w:p>
              </w:tc>
            </w:tr>
            <w:tr w:rsidR="00887BAC" w:rsidTr="008B701A">
              <w:tc>
                <w:tcPr>
                  <w:tcW w:w="6379" w:type="dxa"/>
                  <w:tcBorders>
                    <w:bottom w:val="single" w:sz="6" w:space="0" w:color="BFBFBF"/>
                  </w:tcBorders>
                </w:tcPr>
                <w:p w:rsidR="00887BAC" w:rsidRPr="00593FC7" w:rsidRDefault="00887BAC" w:rsidP="00B70637">
                  <w:pPr>
                    <w:pStyle w:val="TableBodyText"/>
                    <w:tabs>
                      <w:tab w:val="left" w:pos="1065"/>
                    </w:tabs>
                    <w:spacing w:before="40"/>
                    <w:ind w:left="57"/>
                    <w:jc w:val="left"/>
                  </w:pPr>
                  <w:r w:rsidRPr="00593FC7">
                    <w:t>AMEC Convention The Case for Confidence, Perth (Mike Woods)</w:t>
                  </w:r>
                </w:p>
              </w:tc>
              <w:tc>
                <w:tcPr>
                  <w:tcW w:w="6217" w:type="dxa"/>
                  <w:tcBorders>
                    <w:bottom w:val="single" w:sz="6" w:space="0" w:color="BFBFBF"/>
                  </w:tcBorders>
                </w:tcPr>
                <w:p w:rsidR="00887BAC" w:rsidRPr="00593FC7" w:rsidRDefault="00887BAC" w:rsidP="00B70637">
                  <w:pPr>
                    <w:pStyle w:val="TableBodyText"/>
                    <w:tabs>
                      <w:tab w:val="left" w:pos="1065"/>
                    </w:tabs>
                    <w:spacing w:before="40"/>
                    <w:ind w:left="57"/>
                    <w:jc w:val="left"/>
                  </w:pPr>
                  <w:r w:rsidRPr="00593FC7">
                    <w:t>Commission’s Inquiry into the non-financial barriers to mineral and energy resource exploration</w:t>
                  </w:r>
                </w:p>
              </w:tc>
              <w:tc>
                <w:tcPr>
                  <w:tcW w:w="1013" w:type="dxa"/>
                  <w:tcBorders>
                    <w:bottom w:val="single" w:sz="6" w:space="0" w:color="BFBFBF"/>
                  </w:tcBorders>
                </w:tcPr>
                <w:p w:rsidR="00887BAC" w:rsidRPr="00593FC7" w:rsidRDefault="00887BAC" w:rsidP="00B70637">
                  <w:pPr>
                    <w:pStyle w:val="TableBodyText"/>
                    <w:tabs>
                      <w:tab w:val="left" w:pos="1065"/>
                    </w:tabs>
                    <w:spacing w:before="40"/>
                    <w:ind w:left="57"/>
                  </w:pPr>
                  <w:r w:rsidRPr="00593FC7">
                    <w:t>Sept 2013</w:t>
                  </w:r>
                </w:p>
              </w:tc>
            </w:tr>
          </w:tbl>
          <w:p w:rsidR="00887BAC" w:rsidRDefault="00887BAC" w:rsidP="009A2B37">
            <w:pPr>
              <w:pStyle w:val="Box"/>
            </w:pPr>
          </w:p>
        </w:tc>
      </w:tr>
      <w:tr w:rsidR="00887BAC" w:rsidTr="009A2B37">
        <w:trPr>
          <w:cantSplit/>
        </w:trPr>
        <w:tc>
          <w:tcPr>
            <w:tcW w:w="5000" w:type="pct"/>
            <w:tcBorders>
              <w:top w:val="nil"/>
              <w:left w:val="nil"/>
              <w:bottom w:val="nil"/>
              <w:right w:val="nil"/>
            </w:tcBorders>
            <w:shd w:val="clear" w:color="auto" w:fill="auto"/>
          </w:tcPr>
          <w:p w:rsidR="00887BAC" w:rsidRDefault="00887BAC" w:rsidP="009A2B37">
            <w:pPr>
              <w:pStyle w:val="Continued"/>
            </w:pPr>
            <w:r>
              <w:t>(continued next page)</w:t>
            </w:r>
          </w:p>
        </w:tc>
      </w:tr>
      <w:tr w:rsidR="00887BAC" w:rsidTr="009A2B37">
        <w:trPr>
          <w:cantSplit/>
        </w:trPr>
        <w:tc>
          <w:tcPr>
            <w:tcW w:w="5000" w:type="pct"/>
            <w:tcBorders>
              <w:top w:val="nil"/>
              <w:left w:val="nil"/>
              <w:bottom w:val="single" w:sz="6" w:space="0" w:color="78A22F"/>
              <w:right w:val="nil"/>
            </w:tcBorders>
            <w:shd w:val="clear" w:color="auto" w:fill="auto"/>
          </w:tcPr>
          <w:p w:rsidR="00887BAC" w:rsidRDefault="00887BAC" w:rsidP="009A2B37">
            <w:pPr>
              <w:pStyle w:val="Box"/>
              <w:spacing w:before="0" w:line="120" w:lineRule="exact"/>
            </w:pPr>
          </w:p>
        </w:tc>
      </w:tr>
      <w:tr w:rsidR="00887BAC" w:rsidRPr="000863A5" w:rsidTr="009A2B37">
        <w:tc>
          <w:tcPr>
            <w:tcW w:w="5000" w:type="pct"/>
            <w:tcBorders>
              <w:top w:val="single" w:sz="6" w:space="0" w:color="78A22F"/>
              <w:left w:val="nil"/>
              <w:bottom w:val="nil"/>
              <w:right w:val="nil"/>
            </w:tcBorders>
          </w:tcPr>
          <w:p w:rsidR="00887BAC" w:rsidRPr="00626D32" w:rsidRDefault="00887BAC" w:rsidP="009A2B37">
            <w:pPr>
              <w:pStyle w:val="BoxSpaceBelow"/>
            </w:pPr>
          </w:p>
        </w:tc>
      </w:tr>
    </w:tbl>
    <w:p w:rsidR="009A2B37" w:rsidRDefault="009A2B37" w:rsidP="009A2B37">
      <w:pPr>
        <w:pStyle w:val="BoxSpaceAbove"/>
      </w:pPr>
    </w:p>
    <w:tbl>
      <w:tblPr>
        <w:tblW w:w="5000" w:type="pct"/>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13893"/>
      </w:tblGrid>
      <w:tr w:rsidR="009A2B37" w:rsidTr="009A2B37">
        <w:tc>
          <w:tcPr>
            <w:tcW w:w="5000" w:type="pct"/>
            <w:tcBorders>
              <w:top w:val="single" w:sz="6" w:space="0" w:color="78A22F"/>
              <w:left w:val="nil"/>
              <w:bottom w:val="nil"/>
              <w:right w:val="nil"/>
            </w:tcBorders>
            <w:shd w:val="clear" w:color="auto" w:fill="auto"/>
          </w:tcPr>
          <w:p w:rsidR="009A2B37" w:rsidRPr="00784A05" w:rsidRDefault="009A2B37" w:rsidP="008B701A">
            <w:pPr>
              <w:pStyle w:val="TableTitle"/>
            </w:pPr>
            <w:r>
              <w:rPr>
                <w:b w:val="0"/>
              </w:rPr>
              <w:t xml:space="preserve">Table </w:t>
            </w:r>
            <w:proofErr w:type="spellStart"/>
            <w:r w:rsidR="008B701A" w:rsidRPr="008B701A">
              <w:rPr>
                <w:b w:val="0"/>
              </w:rPr>
              <w:t>E.1</w:t>
            </w:r>
            <w:proofErr w:type="spellEnd"/>
            <w:r>
              <w:tab/>
            </w:r>
            <w:r w:rsidRPr="00887BAC">
              <w:rPr>
                <w:sz w:val="20"/>
                <w:szCs w:val="20"/>
              </w:rPr>
              <w:t>(continued)</w:t>
            </w:r>
          </w:p>
        </w:tc>
      </w:tr>
      <w:tr w:rsidR="009A2B37" w:rsidTr="00B70637">
        <w:trPr>
          <w:cantSplit/>
          <w:trHeight w:val="6917"/>
        </w:trPr>
        <w:tc>
          <w:tcPr>
            <w:tcW w:w="5000" w:type="pct"/>
            <w:tcBorders>
              <w:top w:val="nil"/>
              <w:left w:val="nil"/>
              <w:bottom w:val="nil"/>
              <w:right w:val="nil"/>
            </w:tcBorders>
            <w:shd w:val="clear" w:color="auto" w:fill="auto"/>
          </w:tcPr>
          <w:tbl>
            <w:tblPr>
              <w:tblW w:w="0" w:type="auto"/>
              <w:tblLayout w:type="fixed"/>
              <w:tblCellMar>
                <w:top w:w="28" w:type="dxa"/>
                <w:left w:w="0" w:type="dxa"/>
                <w:right w:w="0" w:type="dxa"/>
              </w:tblCellMar>
              <w:tblLook w:val="0000" w:firstRow="0" w:lastRow="0" w:firstColumn="0" w:lastColumn="0" w:noHBand="0" w:noVBand="0"/>
            </w:tblPr>
            <w:tblGrid>
              <w:gridCol w:w="6379"/>
              <w:gridCol w:w="6217"/>
              <w:gridCol w:w="1013"/>
            </w:tblGrid>
            <w:tr w:rsidR="009A2B37" w:rsidTr="004103F0">
              <w:tc>
                <w:tcPr>
                  <w:tcW w:w="6379" w:type="dxa"/>
                  <w:tcBorders>
                    <w:top w:val="single" w:sz="6" w:space="0" w:color="BFBFBF"/>
                    <w:bottom w:val="single" w:sz="6" w:space="0" w:color="BFBFBF"/>
                  </w:tcBorders>
                  <w:shd w:val="clear" w:color="auto" w:fill="auto"/>
                  <w:tcMar>
                    <w:top w:w="28" w:type="dxa"/>
                  </w:tcMar>
                </w:tcPr>
                <w:p w:rsidR="009A2B37" w:rsidRPr="009A2B37" w:rsidRDefault="009A2B37" w:rsidP="009A2B37">
                  <w:pPr>
                    <w:pStyle w:val="TableColumnHeading"/>
                    <w:jc w:val="left"/>
                  </w:pPr>
                  <w:r w:rsidRPr="009A2B37">
                    <w:t>Organisation/event</w:t>
                  </w:r>
                </w:p>
              </w:tc>
              <w:tc>
                <w:tcPr>
                  <w:tcW w:w="6217" w:type="dxa"/>
                  <w:tcBorders>
                    <w:top w:val="single" w:sz="6" w:space="0" w:color="BFBFBF"/>
                    <w:bottom w:val="single" w:sz="6" w:space="0" w:color="BFBFBF"/>
                  </w:tcBorders>
                  <w:shd w:val="clear" w:color="auto" w:fill="auto"/>
                  <w:tcMar>
                    <w:top w:w="28" w:type="dxa"/>
                  </w:tcMar>
                </w:tcPr>
                <w:p w:rsidR="009A2B37" w:rsidRPr="009A2B37" w:rsidRDefault="009A2B37" w:rsidP="009A2B37">
                  <w:pPr>
                    <w:pStyle w:val="TableColumnHeading"/>
                    <w:jc w:val="left"/>
                  </w:pPr>
                  <w:r w:rsidRPr="009A2B37">
                    <w:t>Topic</w:t>
                  </w:r>
                </w:p>
              </w:tc>
              <w:tc>
                <w:tcPr>
                  <w:tcW w:w="1013" w:type="dxa"/>
                  <w:tcBorders>
                    <w:top w:val="single" w:sz="6" w:space="0" w:color="BFBFBF"/>
                    <w:bottom w:val="single" w:sz="6" w:space="0" w:color="BFBFBF"/>
                  </w:tcBorders>
                </w:tcPr>
                <w:p w:rsidR="009A2B37" w:rsidRPr="009A2B37" w:rsidRDefault="009A2B37" w:rsidP="009A2B37">
                  <w:pPr>
                    <w:pStyle w:val="TableColumnHeading"/>
                    <w:jc w:val="left"/>
                  </w:pPr>
                  <w:r w:rsidRPr="009A2B37">
                    <w:t>Date</w:t>
                  </w:r>
                </w:p>
              </w:tc>
            </w:tr>
            <w:tr w:rsidR="009A2B37" w:rsidTr="004103F0">
              <w:tc>
                <w:tcPr>
                  <w:tcW w:w="6379" w:type="dxa"/>
                  <w:tcBorders>
                    <w:top w:val="single" w:sz="6" w:space="0" w:color="BFBFBF"/>
                  </w:tcBorders>
                </w:tcPr>
                <w:p w:rsidR="009A2B37" w:rsidRPr="00B70637" w:rsidRDefault="009A2B37" w:rsidP="009A2B37">
                  <w:pPr>
                    <w:pStyle w:val="TableBodyText"/>
                    <w:tabs>
                      <w:tab w:val="left" w:pos="1065"/>
                    </w:tabs>
                    <w:spacing w:before="40" w:after="0"/>
                    <w:ind w:left="57"/>
                    <w:jc w:val="left"/>
                    <w:rPr>
                      <w:i/>
                    </w:rPr>
                  </w:pPr>
                  <w:r w:rsidRPr="009A2B37">
                    <w:rPr>
                      <w:b/>
                    </w:rPr>
                    <w:t>Commissioners</w:t>
                  </w:r>
                  <w:r>
                    <w:rPr>
                      <w:b/>
                    </w:rPr>
                    <w:t xml:space="preserve"> </w:t>
                  </w:r>
                  <w:r w:rsidR="00B70637">
                    <w:rPr>
                      <w:i/>
                    </w:rPr>
                    <w:t>(continued)</w:t>
                  </w:r>
                </w:p>
              </w:tc>
              <w:tc>
                <w:tcPr>
                  <w:tcW w:w="6217" w:type="dxa"/>
                  <w:tcBorders>
                    <w:top w:val="single" w:sz="6" w:space="0" w:color="BFBFBF"/>
                  </w:tcBorders>
                </w:tcPr>
                <w:p w:rsidR="009A2B37" w:rsidRDefault="009A2B37" w:rsidP="009A2B37">
                  <w:pPr>
                    <w:pStyle w:val="TableBodyText"/>
                    <w:tabs>
                      <w:tab w:val="left" w:pos="1065"/>
                    </w:tabs>
                    <w:spacing w:before="40" w:after="0"/>
                    <w:ind w:left="57"/>
                    <w:jc w:val="left"/>
                  </w:pPr>
                </w:p>
              </w:tc>
              <w:tc>
                <w:tcPr>
                  <w:tcW w:w="1013" w:type="dxa"/>
                  <w:tcBorders>
                    <w:top w:val="single" w:sz="6" w:space="0" w:color="BFBFBF"/>
                  </w:tcBorders>
                </w:tcPr>
                <w:p w:rsidR="009A2B37" w:rsidRDefault="009A2B37" w:rsidP="009A2B37">
                  <w:pPr>
                    <w:pStyle w:val="TableBodyText"/>
                    <w:tabs>
                      <w:tab w:val="left" w:pos="1065"/>
                    </w:tabs>
                    <w:spacing w:before="40" w:after="0"/>
                    <w:ind w:left="57"/>
                    <w:jc w:val="left"/>
                  </w:pPr>
                </w:p>
              </w:tc>
            </w:tr>
            <w:tr w:rsidR="00B70637" w:rsidTr="009A2B37">
              <w:tc>
                <w:tcPr>
                  <w:tcW w:w="6379" w:type="dxa"/>
                </w:tcPr>
                <w:p w:rsidR="00B70637" w:rsidRPr="00593FC7" w:rsidRDefault="00B70637" w:rsidP="00FF2836">
                  <w:pPr>
                    <w:pStyle w:val="TableBodyText"/>
                    <w:tabs>
                      <w:tab w:val="left" w:pos="1065"/>
                    </w:tabs>
                    <w:spacing w:before="40"/>
                    <w:ind w:left="57"/>
                    <w:jc w:val="left"/>
                  </w:pPr>
                  <w:r w:rsidRPr="00593FC7">
                    <w:t>Grattan Institute Staff Luncheon Meeting, Melbourne (Alison McClelland)</w:t>
                  </w:r>
                </w:p>
              </w:tc>
              <w:tc>
                <w:tcPr>
                  <w:tcW w:w="6217" w:type="dxa"/>
                </w:tcPr>
                <w:p w:rsidR="00B70637" w:rsidRPr="00593FC7" w:rsidRDefault="00B70637" w:rsidP="00FF2836">
                  <w:pPr>
                    <w:pStyle w:val="TableBodyText"/>
                    <w:tabs>
                      <w:tab w:val="left" w:pos="1065"/>
                    </w:tabs>
                    <w:spacing w:before="40"/>
                    <w:ind w:left="57"/>
                    <w:jc w:val="left"/>
                  </w:pPr>
                  <w:r w:rsidRPr="00593FC7">
                    <w:t>Challenges for Social Policy</w:t>
                  </w:r>
                </w:p>
              </w:tc>
              <w:tc>
                <w:tcPr>
                  <w:tcW w:w="1013" w:type="dxa"/>
                </w:tcPr>
                <w:p w:rsidR="00B70637" w:rsidRPr="00593FC7" w:rsidRDefault="00B70637" w:rsidP="00FF2836">
                  <w:pPr>
                    <w:pStyle w:val="TableBodyText"/>
                    <w:tabs>
                      <w:tab w:val="left" w:pos="1065"/>
                    </w:tabs>
                    <w:spacing w:before="40"/>
                    <w:ind w:left="57"/>
                  </w:pPr>
                  <w:r w:rsidRPr="00593FC7">
                    <w:t>Sept 2013</w:t>
                  </w:r>
                </w:p>
              </w:tc>
            </w:tr>
            <w:tr w:rsidR="00B70637" w:rsidTr="009A2B37">
              <w:tc>
                <w:tcPr>
                  <w:tcW w:w="6379" w:type="dxa"/>
                </w:tcPr>
                <w:p w:rsidR="00B70637" w:rsidRPr="00593FC7" w:rsidRDefault="00B70637" w:rsidP="00FF2836">
                  <w:pPr>
                    <w:pStyle w:val="TableBodyText"/>
                    <w:tabs>
                      <w:tab w:val="left" w:pos="1065"/>
                    </w:tabs>
                    <w:spacing w:before="40"/>
                    <w:ind w:left="57"/>
                    <w:jc w:val="left"/>
                  </w:pPr>
                  <w:r w:rsidRPr="00593FC7">
                    <w:t>University of Central Queensland Graduation Ceremony, Sydney (Wendy Craik)</w:t>
                  </w:r>
                </w:p>
              </w:tc>
              <w:tc>
                <w:tcPr>
                  <w:tcW w:w="6217" w:type="dxa"/>
                </w:tcPr>
                <w:p w:rsidR="00B70637" w:rsidRPr="00593FC7" w:rsidRDefault="00B70637" w:rsidP="00FF2836">
                  <w:pPr>
                    <w:pStyle w:val="TableBodyText"/>
                    <w:tabs>
                      <w:tab w:val="left" w:pos="1065"/>
                    </w:tabs>
                    <w:spacing w:before="40"/>
                    <w:ind w:left="57"/>
                    <w:jc w:val="left"/>
                  </w:pPr>
                  <w:r w:rsidRPr="00593FC7">
                    <w:t>Graduation address</w:t>
                  </w:r>
                </w:p>
              </w:tc>
              <w:tc>
                <w:tcPr>
                  <w:tcW w:w="1013" w:type="dxa"/>
                </w:tcPr>
                <w:p w:rsidR="00B70637" w:rsidRPr="00593FC7" w:rsidRDefault="00B70637" w:rsidP="00FF2836">
                  <w:pPr>
                    <w:pStyle w:val="TableBodyText"/>
                    <w:tabs>
                      <w:tab w:val="left" w:pos="1065"/>
                    </w:tabs>
                    <w:spacing w:before="40"/>
                    <w:ind w:left="57"/>
                  </w:pPr>
                  <w:r w:rsidRPr="00593FC7">
                    <w:t>Sept 2013</w:t>
                  </w:r>
                </w:p>
              </w:tc>
            </w:tr>
            <w:tr w:rsidR="00B70637" w:rsidTr="009A2B37">
              <w:tc>
                <w:tcPr>
                  <w:tcW w:w="6379" w:type="dxa"/>
                </w:tcPr>
                <w:p w:rsidR="00B70637" w:rsidRPr="00593FC7" w:rsidRDefault="00B70637" w:rsidP="00FF2836">
                  <w:pPr>
                    <w:pStyle w:val="TableBodyText"/>
                    <w:tabs>
                      <w:tab w:val="left" w:pos="1065"/>
                    </w:tabs>
                    <w:spacing w:before="40"/>
                    <w:ind w:left="57"/>
                    <w:jc w:val="left"/>
                  </w:pPr>
                  <w:r w:rsidRPr="00593FC7">
                    <w:t xml:space="preserve">The Australian APEC Study Centre, </w:t>
                  </w:r>
                  <w:proofErr w:type="spellStart"/>
                  <w:r w:rsidRPr="00593FC7">
                    <w:t>RMIT</w:t>
                  </w:r>
                  <w:proofErr w:type="spellEnd"/>
                  <w:r w:rsidRPr="00593FC7">
                    <w:t xml:space="preserve"> University Policy dialogue on enhancing the investment environment in APEC and ASEAN economies, Beijing (Jonathan Coppel)</w:t>
                  </w:r>
                </w:p>
              </w:tc>
              <w:tc>
                <w:tcPr>
                  <w:tcW w:w="6217" w:type="dxa"/>
                </w:tcPr>
                <w:p w:rsidR="00B70637" w:rsidRPr="00593FC7" w:rsidRDefault="00B70637" w:rsidP="00FF2836">
                  <w:pPr>
                    <w:pStyle w:val="TableBodyText"/>
                    <w:tabs>
                      <w:tab w:val="left" w:pos="1065"/>
                    </w:tabs>
                    <w:spacing w:before="40"/>
                    <w:ind w:left="57"/>
                    <w:jc w:val="left"/>
                  </w:pPr>
                  <w:r w:rsidRPr="00593FC7">
                    <w:t>The role of policy benchmarking to enhance investment; and the value of quantitative measures to demonstrate improving investments environment</w:t>
                  </w:r>
                </w:p>
              </w:tc>
              <w:tc>
                <w:tcPr>
                  <w:tcW w:w="1013" w:type="dxa"/>
                </w:tcPr>
                <w:p w:rsidR="00B70637" w:rsidRPr="00593FC7" w:rsidRDefault="00B70637" w:rsidP="00FF2836">
                  <w:pPr>
                    <w:pStyle w:val="TableBodyText"/>
                    <w:tabs>
                      <w:tab w:val="left" w:pos="1065"/>
                    </w:tabs>
                    <w:spacing w:before="40"/>
                    <w:ind w:left="57"/>
                  </w:pPr>
                  <w:r w:rsidRPr="00593FC7">
                    <w:t>Sept 2013</w:t>
                  </w:r>
                </w:p>
              </w:tc>
            </w:tr>
            <w:tr w:rsidR="00B70637" w:rsidTr="009A2B37">
              <w:tc>
                <w:tcPr>
                  <w:tcW w:w="6379" w:type="dxa"/>
                </w:tcPr>
                <w:p w:rsidR="00B70637" w:rsidRPr="00593FC7" w:rsidRDefault="00B70637" w:rsidP="00FF2836">
                  <w:pPr>
                    <w:pStyle w:val="TableBodyText"/>
                    <w:tabs>
                      <w:tab w:val="left" w:pos="1065"/>
                    </w:tabs>
                    <w:spacing w:before="40"/>
                    <w:ind w:left="57"/>
                    <w:jc w:val="left"/>
                  </w:pPr>
                  <w:r w:rsidRPr="00593FC7">
                    <w:t>Brotherhood of St Laurence Luncheon Seminar Series, Melbourne (Alison McClelland)</w:t>
                  </w:r>
                </w:p>
              </w:tc>
              <w:tc>
                <w:tcPr>
                  <w:tcW w:w="6217" w:type="dxa"/>
                </w:tcPr>
                <w:p w:rsidR="00B70637" w:rsidRPr="00593FC7" w:rsidRDefault="00B70637" w:rsidP="00FF2836">
                  <w:pPr>
                    <w:pStyle w:val="TableBodyText"/>
                    <w:tabs>
                      <w:tab w:val="left" w:pos="1065"/>
                    </w:tabs>
                    <w:spacing w:before="40"/>
                    <w:ind w:left="57"/>
                    <w:jc w:val="left"/>
                  </w:pPr>
                  <w:r w:rsidRPr="00593FC7">
                    <w:t>Unpacking disadvantage</w:t>
                  </w:r>
                </w:p>
              </w:tc>
              <w:tc>
                <w:tcPr>
                  <w:tcW w:w="1013" w:type="dxa"/>
                </w:tcPr>
                <w:p w:rsidR="00B70637" w:rsidRPr="00593FC7" w:rsidRDefault="00B70637" w:rsidP="00FF2836">
                  <w:pPr>
                    <w:pStyle w:val="TableBodyText"/>
                    <w:tabs>
                      <w:tab w:val="left" w:pos="1065"/>
                    </w:tabs>
                    <w:spacing w:before="40"/>
                    <w:ind w:left="57"/>
                  </w:pPr>
                  <w:r w:rsidRPr="00593FC7">
                    <w:t>Sept 2013</w:t>
                  </w:r>
                </w:p>
              </w:tc>
            </w:tr>
            <w:tr w:rsidR="00B70637" w:rsidTr="009A2B37">
              <w:tc>
                <w:tcPr>
                  <w:tcW w:w="6379" w:type="dxa"/>
                </w:tcPr>
                <w:p w:rsidR="00B70637" w:rsidRPr="00593FC7" w:rsidRDefault="00B70637" w:rsidP="00FF2836">
                  <w:pPr>
                    <w:pStyle w:val="TableBodyText"/>
                    <w:tabs>
                      <w:tab w:val="left" w:pos="1065"/>
                    </w:tabs>
                    <w:spacing w:before="40"/>
                    <w:ind w:left="57"/>
                    <w:jc w:val="left"/>
                  </w:pPr>
                  <w:r w:rsidRPr="00593FC7">
                    <w:t>Reichstein Foundation Philanthropic Roundtable, Melbourne (Alison McClelland &amp; Jenny Gordon)</w:t>
                  </w:r>
                </w:p>
              </w:tc>
              <w:tc>
                <w:tcPr>
                  <w:tcW w:w="6217" w:type="dxa"/>
                </w:tcPr>
                <w:p w:rsidR="00B70637" w:rsidRPr="00593FC7" w:rsidRDefault="00B70637" w:rsidP="00FF2836">
                  <w:pPr>
                    <w:pStyle w:val="TableBodyText"/>
                    <w:tabs>
                      <w:tab w:val="left" w:pos="1065"/>
                    </w:tabs>
                    <w:spacing w:before="40"/>
                    <w:ind w:left="57"/>
                    <w:jc w:val="left"/>
                  </w:pPr>
                  <w:r w:rsidRPr="00593FC7">
                    <w:t xml:space="preserve">Reflections on the Commission’s </w:t>
                  </w:r>
                  <w:proofErr w:type="spellStart"/>
                  <w:r w:rsidRPr="00593FC7">
                    <w:t>SWP</w:t>
                  </w:r>
                  <w:proofErr w:type="spellEnd"/>
                  <w:r w:rsidRPr="00593FC7">
                    <w:t xml:space="preserve"> on Deep &amp; Persistent Disadvantage in Australia</w:t>
                  </w:r>
                </w:p>
              </w:tc>
              <w:tc>
                <w:tcPr>
                  <w:tcW w:w="1013" w:type="dxa"/>
                </w:tcPr>
                <w:p w:rsidR="00B70637" w:rsidRPr="00593FC7" w:rsidRDefault="00B70637" w:rsidP="00FF2836">
                  <w:pPr>
                    <w:pStyle w:val="TableBodyText"/>
                    <w:tabs>
                      <w:tab w:val="left" w:pos="1065"/>
                    </w:tabs>
                    <w:spacing w:before="40"/>
                    <w:ind w:left="57"/>
                  </w:pPr>
                  <w:r w:rsidRPr="00593FC7">
                    <w:t>Oct 2013</w:t>
                  </w:r>
                </w:p>
              </w:tc>
            </w:tr>
            <w:tr w:rsidR="00B70637" w:rsidTr="009A2B37">
              <w:tc>
                <w:tcPr>
                  <w:tcW w:w="6379" w:type="dxa"/>
                </w:tcPr>
                <w:p w:rsidR="00B70637" w:rsidRPr="00593FC7" w:rsidRDefault="00B70637" w:rsidP="00FF2836">
                  <w:pPr>
                    <w:pStyle w:val="TableBodyText"/>
                    <w:tabs>
                      <w:tab w:val="left" w:pos="1065"/>
                    </w:tabs>
                    <w:spacing w:before="40"/>
                    <w:ind w:left="57"/>
                    <w:jc w:val="left"/>
                  </w:pPr>
                  <w:r w:rsidRPr="00593FC7">
                    <w:t>Australian Council of Pro Vice Chancellors and Deans of Health Sciences National Meeting, Brisbane (Mike Woods)</w:t>
                  </w:r>
                </w:p>
              </w:tc>
              <w:tc>
                <w:tcPr>
                  <w:tcW w:w="6217" w:type="dxa"/>
                </w:tcPr>
                <w:p w:rsidR="00B70637" w:rsidRPr="00593FC7" w:rsidRDefault="00B70637" w:rsidP="00FF2836">
                  <w:pPr>
                    <w:pStyle w:val="TableBodyText"/>
                    <w:tabs>
                      <w:tab w:val="left" w:pos="1065"/>
                    </w:tabs>
                    <w:spacing w:before="40"/>
                    <w:ind w:left="57"/>
                    <w:jc w:val="left"/>
                  </w:pPr>
                  <w:r w:rsidRPr="00593FC7">
                    <w:t>Discussant on accreditation, registration, labour mobility and health workforce productivity</w:t>
                  </w:r>
                </w:p>
              </w:tc>
              <w:tc>
                <w:tcPr>
                  <w:tcW w:w="1013" w:type="dxa"/>
                </w:tcPr>
                <w:p w:rsidR="00B70637" w:rsidRPr="00593FC7" w:rsidRDefault="00B70637" w:rsidP="00FF2836">
                  <w:pPr>
                    <w:pStyle w:val="TableBodyText"/>
                    <w:tabs>
                      <w:tab w:val="left" w:pos="1065"/>
                    </w:tabs>
                    <w:spacing w:before="40"/>
                    <w:ind w:left="57"/>
                  </w:pPr>
                  <w:r w:rsidRPr="00593FC7">
                    <w:t>Oct 2013</w:t>
                  </w:r>
                </w:p>
              </w:tc>
            </w:tr>
            <w:tr w:rsidR="00B70637" w:rsidTr="009A2B37">
              <w:tc>
                <w:tcPr>
                  <w:tcW w:w="6379" w:type="dxa"/>
                </w:tcPr>
                <w:p w:rsidR="00B70637" w:rsidRPr="00593FC7" w:rsidRDefault="00B70637" w:rsidP="00FF2836">
                  <w:pPr>
                    <w:pStyle w:val="TableBodyText"/>
                    <w:tabs>
                      <w:tab w:val="left" w:pos="1065"/>
                    </w:tabs>
                    <w:spacing w:before="40"/>
                    <w:ind w:left="57"/>
                    <w:jc w:val="left"/>
                  </w:pPr>
                  <w:r w:rsidRPr="00593FC7">
                    <w:t>Productivity Commission, Social Policy Institute, Crawford School and HC Coombs Policy Forum, Canberra (Mike Woods, Alison McClelland, Jenny Gordon, Rosalie McLachlan &amp; Geoff Gilfillan)</w:t>
                  </w:r>
                </w:p>
              </w:tc>
              <w:tc>
                <w:tcPr>
                  <w:tcW w:w="6217" w:type="dxa"/>
                </w:tcPr>
                <w:p w:rsidR="00B70637" w:rsidRPr="00593FC7" w:rsidRDefault="00B70637" w:rsidP="00FF2836">
                  <w:pPr>
                    <w:pStyle w:val="TableBodyText"/>
                    <w:tabs>
                      <w:tab w:val="left" w:pos="1065"/>
                    </w:tabs>
                    <w:spacing w:before="40"/>
                    <w:ind w:left="57"/>
                    <w:jc w:val="left"/>
                  </w:pPr>
                  <w:r w:rsidRPr="00593FC7">
                    <w:t xml:space="preserve">Commission’s </w:t>
                  </w:r>
                  <w:proofErr w:type="spellStart"/>
                  <w:r w:rsidRPr="00593FC7">
                    <w:t>SWP</w:t>
                  </w:r>
                  <w:proofErr w:type="spellEnd"/>
                  <w:r w:rsidRPr="00593FC7">
                    <w:t xml:space="preserve"> on Deep &amp; Persistent Disadvantage in Australia and the role of the Commission</w:t>
                  </w:r>
                </w:p>
              </w:tc>
              <w:tc>
                <w:tcPr>
                  <w:tcW w:w="1013" w:type="dxa"/>
                </w:tcPr>
                <w:p w:rsidR="00B70637" w:rsidRPr="00593FC7" w:rsidRDefault="00B70637" w:rsidP="00FF2836">
                  <w:pPr>
                    <w:pStyle w:val="TableBodyText"/>
                    <w:tabs>
                      <w:tab w:val="left" w:pos="1065"/>
                    </w:tabs>
                    <w:spacing w:before="40"/>
                    <w:ind w:left="57"/>
                  </w:pPr>
                  <w:r w:rsidRPr="00593FC7">
                    <w:t>Oct 2013</w:t>
                  </w:r>
                </w:p>
              </w:tc>
            </w:tr>
            <w:tr w:rsidR="00B70637" w:rsidTr="009A2B37">
              <w:tc>
                <w:tcPr>
                  <w:tcW w:w="6379" w:type="dxa"/>
                </w:tcPr>
                <w:p w:rsidR="00B70637" w:rsidRPr="00593FC7" w:rsidRDefault="00B70637" w:rsidP="00FF2836">
                  <w:pPr>
                    <w:pStyle w:val="TableBodyText"/>
                    <w:tabs>
                      <w:tab w:val="left" w:pos="1065"/>
                    </w:tabs>
                    <w:spacing w:before="40"/>
                    <w:ind w:left="57"/>
                    <w:jc w:val="left"/>
                  </w:pPr>
                  <w:r w:rsidRPr="00593FC7">
                    <w:t>Anti-Poverty week, Melbourne (Alison McClelland)</w:t>
                  </w:r>
                </w:p>
              </w:tc>
              <w:tc>
                <w:tcPr>
                  <w:tcW w:w="6217" w:type="dxa"/>
                </w:tcPr>
                <w:p w:rsidR="00B70637" w:rsidRPr="00593FC7" w:rsidRDefault="00B70637" w:rsidP="00FF2836">
                  <w:pPr>
                    <w:pStyle w:val="TableBodyText"/>
                    <w:tabs>
                      <w:tab w:val="left" w:pos="1065"/>
                    </w:tabs>
                    <w:spacing w:before="40"/>
                    <w:ind w:left="57"/>
                    <w:jc w:val="left"/>
                  </w:pPr>
                  <w:r w:rsidRPr="00593FC7">
                    <w:t>Unpacking disadvantage: what story does the data tell?</w:t>
                  </w:r>
                </w:p>
              </w:tc>
              <w:tc>
                <w:tcPr>
                  <w:tcW w:w="1013" w:type="dxa"/>
                </w:tcPr>
                <w:p w:rsidR="00B70637" w:rsidRPr="00593FC7" w:rsidRDefault="00B70637" w:rsidP="00FF2836">
                  <w:pPr>
                    <w:pStyle w:val="TableBodyText"/>
                    <w:tabs>
                      <w:tab w:val="left" w:pos="1065"/>
                    </w:tabs>
                    <w:spacing w:before="40"/>
                    <w:ind w:left="57"/>
                  </w:pPr>
                  <w:r w:rsidRPr="00593FC7">
                    <w:t>Oct 2013</w:t>
                  </w:r>
                </w:p>
              </w:tc>
            </w:tr>
            <w:tr w:rsidR="00B70637" w:rsidTr="009A2B37">
              <w:tc>
                <w:tcPr>
                  <w:tcW w:w="6379" w:type="dxa"/>
                </w:tcPr>
                <w:p w:rsidR="00B70637" w:rsidRPr="00593FC7" w:rsidRDefault="00B70637" w:rsidP="00FF2836">
                  <w:pPr>
                    <w:pStyle w:val="TableBodyText"/>
                    <w:tabs>
                      <w:tab w:val="left" w:pos="1065"/>
                    </w:tabs>
                    <w:spacing w:before="40"/>
                    <w:ind w:left="57"/>
                    <w:jc w:val="left"/>
                  </w:pPr>
                  <w:proofErr w:type="spellStart"/>
                  <w:r w:rsidRPr="00593FC7">
                    <w:t>CEDA</w:t>
                  </w:r>
                  <w:proofErr w:type="spellEnd"/>
                  <w:r w:rsidRPr="00593FC7">
                    <w:t xml:space="preserve"> Development of Australia ‘The tipping point for aged care’, Melbourne (Mike Woods)</w:t>
                  </w:r>
                </w:p>
              </w:tc>
              <w:tc>
                <w:tcPr>
                  <w:tcW w:w="6217" w:type="dxa"/>
                </w:tcPr>
                <w:p w:rsidR="00B70637" w:rsidRPr="00593FC7" w:rsidRDefault="00B70637" w:rsidP="00FF2836">
                  <w:pPr>
                    <w:pStyle w:val="TableBodyText"/>
                    <w:tabs>
                      <w:tab w:val="left" w:pos="1065"/>
                    </w:tabs>
                    <w:spacing w:before="40"/>
                    <w:ind w:left="57"/>
                    <w:jc w:val="left"/>
                  </w:pPr>
                  <w:r w:rsidRPr="00593FC7">
                    <w:t>Living longer, living better – reform update and outlook</w:t>
                  </w:r>
                </w:p>
              </w:tc>
              <w:tc>
                <w:tcPr>
                  <w:tcW w:w="1013" w:type="dxa"/>
                </w:tcPr>
                <w:p w:rsidR="00B70637" w:rsidRPr="00593FC7" w:rsidRDefault="00B70637" w:rsidP="00FF2836">
                  <w:pPr>
                    <w:pStyle w:val="TableBodyText"/>
                    <w:tabs>
                      <w:tab w:val="left" w:pos="1065"/>
                    </w:tabs>
                    <w:spacing w:before="40"/>
                    <w:ind w:left="57"/>
                  </w:pPr>
                  <w:r w:rsidRPr="00593FC7">
                    <w:t>Oct 2013</w:t>
                  </w:r>
                </w:p>
              </w:tc>
            </w:tr>
            <w:tr w:rsidR="00B70637" w:rsidTr="009A2B37">
              <w:tc>
                <w:tcPr>
                  <w:tcW w:w="6379" w:type="dxa"/>
                </w:tcPr>
                <w:p w:rsidR="00B70637" w:rsidRPr="00165AF0" w:rsidRDefault="00B70637" w:rsidP="00FF2836">
                  <w:pPr>
                    <w:pStyle w:val="TableBodyText"/>
                    <w:tabs>
                      <w:tab w:val="left" w:pos="1065"/>
                    </w:tabs>
                    <w:spacing w:before="40"/>
                    <w:ind w:left="57"/>
                    <w:jc w:val="left"/>
                  </w:pPr>
                  <w:r>
                    <w:t>Crawford School of Public Policy Asia’s Economic Challenges and Policy Choices Conference, Canberra (Mike Woods)</w:t>
                  </w:r>
                </w:p>
              </w:tc>
              <w:tc>
                <w:tcPr>
                  <w:tcW w:w="6217" w:type="dxa"/>
                </w:tcPr>
                <w:p w:rsidR="00B70637" w:rsidRPr="00165AF0" w:rsidRDefault="00B70637" w:rsidP="00FF2836">
                  <w:pPr>
                    <w:pStyle w:val="TableBodyText"/>
                    <w:tabs>
                      <w:tab w:val="left" w:pos="1065"/>
                    </w:tabs>
                    <w:spacing w:before="40"/>
                    <w:ind w:left="57"/>
                    <w:jc w:val="left"/>
                  </w:pPr>
                  <w:r>
                    <w:t>Public policy issues</w:t>
                  </w:r>
                </w:p>
              </w:tc>
              <w:tc>
                <w:tcPr>
                  <w:tcW w:w="1013" w:type="dxa"/>
                </w:tcPr>
                <w:p w:rsidR="00B70637" w:rsidRDefault="00B70637" w:rsidP="00FF2836">
                  <w:pPr>
                    <w:pStyle w:val="TableBodyText"/>
                    <w:tabs>
                      <w:tab w:val="left" w:pos="1065"/>
                    </w:tabs>
                    <w:spacing w:before="40"/>
                    <w:ind w:left="57"/>
                  </w:pPr>
                  <w:r>
                    <w:t>Nov 2013</w:t>
                  </w:r>
                </w:p>
              </w:tc>
            </w:tr>
            <w:tr w:rsidR="00B70637" w:rsidTr="009A2B37">
              <w:tc>
                <w:tcPr>
                  <w:tcW w:w="6379" w:type="dxa"/>
                </w:tcPr>
                <w:p w:rsidR="00B70637" w:rsidRDefault="00B70637" w:rsidP="00FF2836">
                  <w:pPr>
                    <w:pStyle w:val="TableBodyText"/>
                    <w:tabs>
                      <w:tab w:val="left" w:pos="1065"/>
                    </w:tabs>
                    <w:spacing w:before="40"/>
                    <w:ind w:left="57"/>
                    <w:jc w:val="left"/>
                  </w:pPr>
                  <w:r>
                    <w:t>Philanthropy Ageing Futures Affinity Group meeting, Melbourne (Alison McClelland)</w:t>
                  </w:r>
                </w:p>
              </w:tc>
              <w:tc>
                <w:tcPr>
                  <w:tcW w:w="6217" w:type="dxa"/>
                </w:tcPr>
                <w:p w:rsidR="00B70637" w:rsidRPr="00B70637" w:rsidRDefault="00B70637" w:rsidP="00FF2836">
                  <w:pPr>
                    <w:spacing w:before="40" w:after="40"/>
                    <w:rPr>
                      <w:rFonts w:ascii="Arial" w:hAnsi="Arial"/>
                      <w:sz w:val="18"/>
                      <w:szCs w:val="20"/>
                    </w:rPr>
                  </w:pPr>
                  <w:r w:rsidRPr="00F27A82">
                    <w:rPr>
                      <w:rFonts w:ascii="Arial" w:hAnsi="Arial"/>
                      <w:sz w:val="18"/>
                      <w:szCs w:val="20"/>
                    </w:rPr>
                    <w:t>Changing government, business and community thinking about ageing</w:t>
                  </w:r>
                </w:p>
              </w:tc>
              <w:tc>
                <w:tcPr>
                  <w:tcW w:w="1013" w:type="dxa"/>
                </w:tcPr>
                <w:p w:rsidR="00B70637" w:rsidRDefault="00B70637" w:rsidP="00FF2836">
                  <w:pPr>
                    <w:pStyle w:val="TableBodyText"/>
                    <w:tabs>
                      <w:tab w:val="left" w:pos="1065"/>
                    </w:tabs>
                    <w:spacing w:before="40"/>
                    <w:ind w:left="57"/>
                  </w:pPr>
                  <w:r>
                    <w:t>Nov 2013</w:t>
                  </w:r>
                </w:p>
              </w:tc>
            </w:tr>
            <w:tr w:rsidR="00B70637" w:rsidTr="008B701A">
              <w:tc>
                <w:tcPr>
                  <w:tcW w:w="6379" w:type="dxa"/>
                </w:tcPr>
                <w:p w:rsidR="00B70637" w:rsidRDefault="00B70637" w:rsidP="00FF2836">
                  <w:pPr>
                    <w:pStyle w:val="TableBodyText"/>
                    <w:tabs>
                      <w:tab w:val="left" w:pos="1065"/>
                    </w:tabs>
                    <w:spacing w:before="40"/>
                    <w:ind w:left="57"/>
                    <w:jc w:val="left"/>
                  </w:pPr>
                  <w:r>
                    <w:t>University of Glasgow Strategic Foresight Lecture Series, Glasgow (Warren Mundy)</w:t>
                  </w:r>
                </w:p>
              </w:tc>
              <w:tc>
                <w:tcPr>
                  <w:tcW w:w="6217" w:type="dxa"/>
                </w:tcPr>
                <w:p w:rsidR="00B70637" w:rsidRPr="00F27A82" w:rsidRDefault="00B70637" w:rsidP="00FF2836">
                  <w:pPr>
                    <w:spacing w:before="40" w:after="40"/>
                    <w:rPr>
                      <w:rFonts w:ascii="Arial" w:hAnsi="Arial"/>
                      <w:sz w:val="18"/>
                      <w:szCs w:val="20"/>
                    </w:rPr>
                  </w:pPr>
                  <w:r>
                    <w:rPr>
                      <w:rFonts w:ascii="Arial" w:hAnsi="Arial"/>
                      <w:sz w:val="18"/>
                      <w:szCs w:val="20"/>
                    </w:rPr>
                    <w:t>The Future of Aviation</w:t>
                  </w:r>
                </w:p>
              </w:tc>
              <w:tc>
                <w:tcPr>
                  <w:tcW w:w="1013" w:type="dxa"/>
                </w:tcPr>
                <w:p w:rsidR="00B70637" w:rsidRDefault="00B70637" w:rsidP="00FF2836">
                  <w:pPr>
                    <w:pStyle w:val="TableBodyText"/>
                    <w:tabs>
                      <w:tab w:val="left" w:pos="1065"/>
                    </w:tabs>
                    <w:spacing w:before="40"/>
                    <w:ind w:left="57"/>
                  </w:pPr>
                  <w:r>
                    <w:t>Dec 2013</w:t>
                  </w:r>
                </w:p>
              </w:tc>
            </w:tr>
            <w:tr w:rsidR="00B70637" w:rsidTr="008B701A">
              <w:tc>
                <w:tcPr>
                  <w:tcW w:w="6379" w:type="dxa"/>
                  <w:tcBorders>
                    <w:bottom w:val="single" w:sz="6" w:space="0" w:color="BFBFBF"/>
                  </w:tcBorders>
                </w:tcPr>
                <w:p w:rsidR="00B70637" w:rsidRDefault="00B70637" w:rsidP="00FF2836">
                  <w:pPr>
                    <w:pStyle w:val="TableBodyText"/>
                    <w:tabs>
                      <w:tab w:val="left" w:pos="1065"/>
                    </w:tabs>
                    <w:spacing w:before="40"/>
                    <w:ind w:left="57"/>
                    <w:jc w:val="left"/>
                  </w:pPr>
                  <w:r>
                    <w:t>University of Glasgow:</w:t>
                  </w:r>
                  <w:r w:rsidRPr="00F27A82">
                    <w:t xml:space="preserve"> Regulating an Independent Economy: Public Policy in an Independent Scotland, Glasgow</w:t>
                  </w:r>
                  <w:r>
                    <w:t xml:space="preserve"> (Warren Mundy)</w:t>
                  </w:r>
                </w:p>
              </w:tc>
              <w:tc>
                <w:tcPr>
                  <w:tcW w:w="6217" w:type="dxa"/>
                  <w:tcBorders>
                    <w:bottom w:val="single" w:sz="6" w:space="0" w:color="BFBFBF"/>
                  </w:tcBorders>
                </w:tcPr>
                <w:p w:rsidR="00B70637" w:rsidRPr="00B70637" w:rsidRDefault="00B70637" w:rsidP="00FF2836">
                  <w:pPr>
                    <w:spacing w:before="40" w:after="40"/>
                    <w:rPr>
                      <w:rFonts w:ascii="Arial" w:hAnsi="Arial"/>
                      <w:sz w:val="18"/>
                      <w:szCs w:val="20"/>
                    </w:rPr>
                  </w:pPr>
                  <w:r w:rsidRPr="00F27A82">
                    <w:rPr>
                      <w:rFonts w:ascii="Arial" w:hAnsi="Arial"/>
                      <w:sz w:val="18"/>
                      <w:szCs w:val="20"/>
                    </w:rPr>
                    <w:t>Regulating in an independent Scotland: a view from the Far South</w:t>
                  </w:r>
                </w:p>
              </w:tc>
              <w:tc>
                <w:tcPr>
                  <w:tcW w:w="1013" w:type="dxa"/>
                  <w:tcBorders>
                    <w:bottom w:val="single" w:sz="6" w:space="0" w:color="BFBFBF"/>
                  </w:tcBorders>
                </w:tcPr>
                <w:p w:rsidR="00B70637" w:rsidRDefault="00B70637" w:rsidP="00FF2836">
                  <w:pPr>
                    <w:pStyle w:val="TableBodyText"/>
                    <w:tabs>
                      <w:tab w:val="left" w:pos="1065"/>
                    </w:tabs>
                    <w:spacing w:before="40"/>
                    <w:ind w:left="57"/>
                  </w:pPr>
                  <w:r>
                    <w:t>Dec 2013</w:t>
                  </w:r>
                </w:p>
              </w:tc>
            </w:tr>
          </w:tbl>
          <w:p w:rsidR="009A2B37" w:rsidRDefault="009A2B37" w:rsidP="009A2B37">
            <w:pPr>
              <w:pStyle w:val="Box"/>
            </w:pPr>
          </w:p>
        </w:tc>
      </w:tr>
      <w:tr w:rsidR="009A2B37" w:rsidTr="00FF2836">
        <w:trPr>
          <w:cantSplit/>
          <w:trHeight w:val="340"/>
        </w:trPr>
        <w:tc>
          <w:tcPr>
            <w:tcW w:w="5000" w:type="pct"/>
            <w:tcBorders>
              <w:top w:val="nil"/>
              <w:left w:val="nil"/>
              <w:bottom w:val="nil"/>
              <w:right w:val="nil"/>
            </w:tcBorders>
            <w:shd w:val="clear" w:color="auto" w:fill="auto"/>
          </w:tcPr>
          <w:p w:rsidR="009A2B37" w:rsidRDefault="009A2B37" w:rsidP="00FF2836">
            <w:pPr>
              <w:pStyle w:val="Continued"/>
              <w:spacing w:before="120"/>
            </w:pPr>
            <w:r>
              <w:t>(continued next page)</w:t>
            </w:r>
          </w:p>
        </w:tc>
      </w:tr>
      <w:tr w:rsidR="009A2B37" w:rsidTr="009A2B37">
        <w:trPr>
          <w:cantSplit/>
        </w:trPr>
        <w:tc>
          <w:tcPr>
            <w:tcW w:w="5000" w:type="pct"/>
            <w:tcBorders>
              <w:top w:val="nil"/>
              <w:left w:val="nil"/>
              <w:bottom w:val="single" w:sz="6" w:space="0" w:color="78A22F"/>
              <w:right w:val="nil"/>
            </w:tcBorders>
            <w:shd w:val="clear" w:color="auto" w:fill="auto"/>
          </w:tcPr>
          <w:p w:rsidR="009A2B37" w:rsidRDefault="009A2B37" w:rsidP="009A2B37">
            <w:pPr>
              <w:pStyle w:val="Box"/>
              <w:spacing w:before="0" w:line="120" w:lineRule="exact"/>
            </w:pPr>
          </w:p>
        </w:tc>
      </w:tr>
      <w:tr w:rsidR="009A2B37" w:rsidRPr="000863A5" w:rsidTr="009A2B37">
        <w:tc>
          <w:tcPr>
            <w:tcW w:w="5000" w:type="pct"/>
            <w:tcBorders>
              <w:top w:val="single" w:sz="6" w:space="0" w:color="78A22F"/>
              <w:left w:val="nil"/>
              <w:bottom w:val="nil"/>
              <w:right w:val="nil"/>
            </w:tcBorders>
          </w:tcPr>
          <w:p w:rsidR="009A2B37" w:rsidRPr="00626D32" w:rsidRDefault="009A2B37" w:rsidP="009A2B37">
            <w:pPr>
              <w:pStyle w:val="BoxSpaceBelow"/>
            </w:pPr>
          </w:p>
        </w:tc>
      </w:tr>
    </w:tbl>
    <w:p w:rsidR="00B70637" w:rsidRDefault="00B70637" w:rsidP="00B70637">
      <w:pPr>
        <w:pStyle w:val="BoxSpaceAbove"/>
      </w:pPr>
    </w:p>
    <w:tbl>
      <w:tblPr>
        <w:tblW w:w="5000" w:type="pct"/>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13893"/>
      </w:tblGrid>
      <w:tr w:rsidR="00B70637" w:rsidTr="00387DC2">
        <w:tc>
          <w:tcPr>
            <w:tcW w:w="5000" w:type="pct"/>
            <w:tcBorders>
              <w:top w:val="single" w:sz="6" w:space="0" w:color="78A22F"/>
              <w:left w:val="nil"/>
              <w:bottom w:val="nil"/>
              <w:right w:val="nil"/>
            </w:tcBorders>
            <w:shd w:val="clear" w:color="auto" w:fill="auto"/>
          </w:tcPr>
          <w:p w:rsidR="00B70637" w:rsidRPr="00784A05" w:rsidRDefault="00B70637" w:rsidP="008B701A">
            <w:pPr>
              <w:pStyle w:val="TableTitle"/>
            </w:pPr>
            <w:r>
              <w:rPr>
                <w:b w:val="0"/>
              </w:rPr>
              <w:t xml:space="preserve">Table </w:t>
            </w:r>
            <w:proofErr w:type="spellStart"/>
            <w:r w:rsidR="008B701A" w:rsidRPr="008B701A">
              <w:rPr>
                <w:b w:val="0"/>
              </w:rPr>
              <w:t>E.1</w:t>
            </w:r>
            <w:proofErr w:type="spellEnd"/>
            <w:r>
              <w:tab/>
            </w:r>
            <w:r w:rsidRPr="00887BAC">
              <w:rPr>
                <w:sz w:val="20"/>
                <w:szCs w:val="20"/>
              </w:rPr>
              <w:t>(continued)</w:t>
            </w:r>
          </w:p>
        </w:tc>
      </w:tr>
      <w:tr w:rsidR="00B70637" w:rsidTr="00387DC2">
        <w:trPr>
          <w:cantSplit/>
          <w:trHeight w:val="6917"/>
        </w:trPr>
        <w:tc>
          <w:tcPr>
            <w:tcW w:w="5000" w:type="pct"/>
            <w:tcBorders>
              <w:top w:val="nil"/>
              <w:left w:val="nil"/>
              <w:bottom w:val="nil"/>
              <w:right w:val="nil"/>
            </w:tcBorders>
            <w:shd w:val="clear" w:color="auto" w:fill="auto"/>
          </w:tcPr>
          <w:tbl>
            <w:tblPr>
              <w:tblW w:w="0" w:type="auto"/>
              <w:tblLayout w:type="fixed"/>
              <w:tblCellMar>
                <w:top w:w="28" w:type="dxa"/>
                <w:left w:w="0" w:type="dxa"/>
                <w:right w:w="0" w:type="dxa"/>
              </w:tblCellMar>
              <w:tblLook w:val="0000" w:firstRow="0" w:lastRow="0" w:firstColumn="0" w:lastColumn="0" w:noHBand="0" w:noVBand="0"/>
            </w:tblPr>
            <w:tblGrid>
              <w:gridCol w:w="6379"/>
              <w:gridCol w:w="6217"/>
              <w:gridCol w:w="1013"/>
            </w:tblGrid>
            <w:tr w:rsidR="00B70637" w:rsidTr="004103F0">
              <w:tc>
                <w:tcPr>
                  <w:tcW w:w="6379" w:type="dxa"/>
                  <w:tcBorders>
                    <w:top w:val="single" w:sz="6" w:space="0" w:color="BFBFBF"/>
                    <w:bottom w:val="single" w:sz="6" w:space="0" w:color="BFBFBF"/>
                  </w:tcBorders>
                  <w:shd w:val="clear" w:color="auto" w:fill="auto"/>
                  <w:tcMar>
                    <w:top w:w="28" w:type="dxa"/>
                  </w:tcMar>
                </w:tcPr>
                <w:p w:rsidR="00B70637" w:rsidRPr="009A2B37" w:rsidRDefault="00B70637" w:rsidP="00387DC2">
                  <w:pPr>
                    <w:pStyle w:val="TableColumnHeading"/>
                    <w:jc w:val="left"/>
                  </w:pPr>
                  <w:r w:rsidRPr="009A2B37">
                    <w:t>Organisation/event</w:t>
                  </w:r>
                </w:p>
              </w:tc>
              <w:tc>
                <w:tcPr>
                  <w:tcW w:w="6217" w:type="dxa"/>
                  <w:tcBorders>
                    <w:top w:val="single" w:sz="6" w:space="0" w:color="BFBFBF"/>
                    <w:bottom w:val="single" w:sz="6" w:space="0" w:color="BFBFBF"/>
                  </w:tcBorders>
                  <w:shd w:val="clear" w:color="auto" w:fill="auto"/>
                  <w:tcMar>
                    <w:top w:w="28" w:type="dxa"/>
                  </w:tcMar>
                </w:tcPr>
                <w:p w:rsidR="00B70637" w:rsidRPr="009A2B37" w:rsidRDefault="00B70637" w:rsidP="00387DC2">
                  <w:pPr>
                    <w:pStyle w:val="TableColumnHeading"/>
                    <w:jc w:val="left"/>
                  </w:pPr>
                  <w:r w:rsidRPr="009A2B37">
                    <w:t>Topic</w:t>
                  </w:r>
                </w:p>
              </w:tc>
              <w:tc>
                <w:tcPr>
                  <w:tcW w:w="1013" w:type="dxa"/>
                  <w:tcBorders>
                    <w:top w:val="single" w:sz="6" w:space="0" w:color="BFBFBF"/>
                    <w:bottom w:val="single" w:sz="6" w:space="0" w:color="BFBFBF"/>
                  </w:tcBorders>
                </w:tcPr>
                <w:p w:rsidR="00B70637" w:rsidRPr="009A2B37" w:rsidRDefault="00B70637" w:rsidP="00387DC2">
                  <w:pPr>
                    <w:pStyle w:val="TableColumnHeading"/>
                    <w:jc w:val="left"/>
                  </w:pPr>
                  <w:r w:rsidRPr="009A2B37">
                    <w:t>Date</w:t>
                  </w:r>
                </w:p>
              </w:tc>
            </w:tr>
            <w:tr w:rsidR="00B70637" w:rsidTr="004103F0">
              <w:tc>
                <w:tcPr>
                  <w:tcW w:w="6379" w:type="dxa"/>
                  <w:tcBorders>
                    <w:top w:val="single" w:sz="6" w:space="0" w:color="BFBFBF"/>
                  </w:tcBorders>
                </w:tcPr>
                <w:p w:rsidR="00B70637" w:rsidRPr="00B70637" w:rsidRDefault="00B70637" w:rsidP="00387DC2">
                  <w:pPr>
                    <w:pStyle w:val="TableBodyText"/>
                    <w:tabs>
                      <w:tab w:val="left" w:pos="1065"/>
                    </w:tabs>
                    <w:spacing w:before="40" w:after="0"/>
                    <w:ind w:left="57"/>
                    <w:jc w:val="left"/>
                    <w:rPr>
                      <w:i/>
                    </w:rPr>
                  </w:pPr>
                  <w:r w:rsidRPr="009A2B37">
                    <w:rPr>
                      <w:b/>
                    </w:rPr>
                    <w:t>Commissioners</w:t>
                  </w:r>
                  <w:r>
                    <w:rPr>
                      <w:b/>
                    </w:rPr>
                    <w:t xml:space="preserve"> </w:t>
                  </w:r>
                  <w:r>
                    <w:rPr>
                      <w:i/>
                    </w:rPr>
                    <w:t>(continued)</w:t>
                  </w:r>
                </w:p>
              </w:tc>
              <w:tc>
                <w:tcPr>
                  <w:tcW w:w="6217" w:type="dxa"/>
                  <w:tcBorders>
                    <w:top w:val="single" w:sz="6" w:space="0" w:color="BFBFBF"/>
                  </w:tcBorders>
                </w:tcPr>
                <w:p w:rsidR="00B70637" w:rsidRDefault="00B70637" w:rsidP="00387DC2">
                  <w:pPr>
                    <w:pStyle w:val="TableBodyText"/>
                    <w:tabs>
                      <w:tab w:val="left" w:pos="1065"/>
                    </w:tabs>
                    <w:spacing w:before="40" w:after="0"/>
                    <w:ind w:left="57"/>
                    <w:jc w:val="left"/>
                  </w:pPr>
                </w:p>
              </w:tc>
              <w:tc>
                <w:tcPr>
                  <w:tcW w:w="1013" w:type="dxa"/>
                  <w:tcBorders>
                    <w:top w:val="single" w:sz="6" w:space="0" w:color="BFBFBF"/>
                  </w:tcBorders>
                </w:tcPr>
                <w:p w:rsidR="00B70637" w:rsidRDefault="00B70637" w:rsidP="00387DC2">
                  <w:pPr>
                    <w:pStyle w:val="TableBodyText"/>
                    <w:tabs>
                      <w:tab w:val="left" w:pos="1065"/>
                    </w:tabs>
                    <w:spacing w:before="40" w:after="0"/>
                    <w:ind w:left="57"/>
                    <w:jc w:val="left"/>
                  </w:pPr>
                </w:p>
              </w:tc>
            </w:tr>
            <w:tr w:rsidR="00FF2836" w:rsidTr="00387DC2">
              <w:tc>
                <w:tcPr>
                  <w:tcW w:w="6379" w:type="dxa"/>
                </w:tcPr>
                <w:p w:rsidR="00FF2836" w:rsidRPr="00B70637" w:rsidRDefault="00FF2836" w:rsidP="00FD5173">
                  <w:pPr>
                    <w:pStyle w:val="TableBodyText"/>
                    <w:tabs>
                      <w:tab w:val="left" w:pos="1065"/>
                    </w:tabs>
                    <w:spacing w:before="40"/>
                    <w:ind w:left="57"/>
                    <w:jc w:val="left"/>
                  </w:pPr>
                  <w:r w:rsidRPr="00F27A82">
                    <w:t>37th Annual Conference of the Australia and New Zealand Regional Science Association International</w:t>
                  </w:r>
                  <w:r>
                    <w:t>, Gold Coast (Alison McClelland &amp; Mary Cavar)</w:t>
                  </w:r>
                </w:p>
              </w:tc>
              <w:tc>
                <w:tcPr>
                  <w:tcW w:w="6217" w:type="dxa"/>
                </w:tcPr>
                <w:p w:rsidR="00FF2836" w:rsidRPr="00F27A82" w:rsidRDefault="00FF2836" w:rsidP="00FD5173">
                  <w:pPr>
                    <w:pStyle w:val="TableBodyText"/>
                    <w:tabs>
                      <w:tab w:val="left" w:pos="1065"/>
                    </w:tabs>
                    <w:spacing w:before="40"/>
                    <w:ind w:left="57"/>
                    <w:jc w:val="left"/>
                  </w:pPr>
                  <w:r>
                    <w:t>Commission’s draft report on Geographic Labour Mobility</w:t>
                  </w:r>
                </w:p>
              </w:tc>
              <w:tc>
                <w:tcPr>
                  <w:tcW w:w="1013" w:type="dxa"/>
                </w:tcPr>
                <w:p w:rsidR="00FF2836" w:rsidRDefault="00FF2836" w:rsidP="00FD5173">
                  <w:pPr>
                    <w:pStyle w:val="TableBodyText"/>
                    <w:tabs>
                      <w:tab w:val="left" w:pos="1065"/>
                    </w:tabs>
                    <w:spacing w:before="40"/>
                    <w:ind w:left="57"/>
                    <w:jc w:val="left"/>
                  </w:pPr>
                  <w:r>
                    <w:t>Dec 2013</w:t>
                  </w:r>
                </w:p>
              </w:tc>
            </w:tr>
            <w:tr w:rsidR="00FF2836" w:rsidTr="00387DC2">
              <w:tc>
                <w:tcPr>
                  <w:tcW w:w="6379" w:type="dxa"/>
                </w:tcPr>
                <w:p w:rsidR="00FF2836" w:rsidRDefault="00FF2836" w:rsidP="00FD5173">
                  <w:pPr>
                    <w:pStyle w:val="TableBodyText"/>
                    <w:tabs>
                      <w:tab w:val="left" w:pos="1065"/>
                    </w:tabs>
                    <w:spacing w:before="40"/>
                    <w:ind w:left="57"/>
                    <w:jc w:val="left"/>
                  </w:pPr>
                  <w:r>
                    <w:t>Fair Work Ombudsman Executive Meeting, Melbourne (Warren Mundy)</w:t>
                  </w:r>
                </w:p>
              </w:tc>
              <w:tc>
                <w:tcPr>
                  <w:tcW w:w="6217" w:type="dxa"/>
                </w:tcPr>
                <w:p w:rsidR="00FF2836" w:rsidRPr="00F27A82" w:rsidRDefault="00FF2836" w:rsidP="00FD5173">
                  <w:pPr>
                    <w:spacing w:before="40" w:after="40"/>
                    <w:rPr>
                      <w:rFonts w:ascii="Arial" w:hAnsi="Arial"/>
                      <w:sz w:val="18"/>
                      <w:szCs w:val="20"/>
                    </w:rPr>
                  </w:pPr>
                  <w:r>
                    <w:rPr>
                      <w:rFonts w:ascii="Arial" w:hAnsi="Arial"/>
                      <w:sz w:val="18"/>
                      <w:szCs w:val="20"/>
                    </w:rPr>
                    <w:t>Commission’s final report into Regulator Engagement with Small Business</w:t>
                  </w:r>
                </w:p>
              </w:tc>
              <w:tc>
                <w:tcPr>
                  <w:tcW w:w="1013" w:type="dxa"/>
                </w:tcPr>
                <w:p w:rsidR="00FF2836" w:rsidRDefault="00FF2836" w:rsidP="00FD5173">
                  <w:pPr>
                    <w:pStyle w:val="TableBodyText"/>
                    <w:tabs>
                      <w:tab w:val="left" w:pos="1065"/>
                    </w:tabs>
                    <w:spacing w:before="40"/>
                    <w:ind w:left="57"/>
                  </w:pPr>
                  <w:r>
                    <w:t>Jan 2014</w:t>
                  </w:r>
                </w:p>
              </w:tc>
            </w:tr>
            <w:tr w:rsidR="00FF2836" w:rsidTr="00387DC2">
              <w:tc>
                <w:tcPr>
                  <w:tcW w:w="6379" w:type="dxa"/>
                </w:tcPr>
                <w:p w:rsidR="00FF2836" w:rsidRPr="00A05305" w:rsidRDefault="00FF2836" w:rsidP="00FD5173">
                  <w:pPr>
                    <w:pStyle w:val="TableBodyText"/>
                    <w:tabs>
                      <w:tab w:val="left" w:pos="1065"/>
                    </w:tabs>
                    <w:spacing w:before="40"/>
                    <w:ind w:left="57"/>
                    <w:jc w:val="left"/>
                  </w:pPr>
                  <w:r w:rsidRPr="00A05305">
                    <w:t>Swiss Re Annual Investment Conference, Sydney (Karen Chester)</w:t>
                  </w:r>
                </w:p>
              </w:tc>
              <w:tc>
                <w:tcPr>
                  <w:tcW w:w="6217" w:type="dxa"/>
                </w:tcPr>
                <w:p w:rsidR="00FF2836" w:rsidRPr="00A05305" w:rsidRDefault="00FF2836" w:rsidP="00FD5173">
                  <w:pPr>
                    <w:pStyle w:val="TableBodyText"/>
                    <w:tabs>
                      <w:tab w:val="left" w:pos="1065"/>
                    </w:tabs>
                    <w:spacing w:before="40"/>
                    <w:ind w:left="57"/>
                    <w:jc w:val="left"/>
                  </w:pPr>
                  <w:r w:rsidRPr="00A05305">
                    <w:t>Plenary Session: Risk management and global interconnectedness  </w:t>
                  </w:r>
                </w:p>
              </w:tc>
              <w:tc>
                <w:tcPr>
                  <w:tcW w:w="1013" w:type="dxa"/>
                </w:tcPr>
                <w:p w:rsidR="00FF2836" w:rsidRDefault="00FF2836" w:rsidP="00FD5173">
                  <w:pPr>
                    <w:pStyle w:val="TableBodyText"/>
                    <w:tabs>
                      <w:tab w:val="left" w:pos="1065"/>
                    </w:tabs>
                    <w:spacing w:before="40"/>
                    <w:ind w:left="57"/>
                  </w:pPr>
                  <w:r>
                    <w:t>Mar 2014</w:t>
                  </w:r>
                </w:p>
              </w:tc>
            </w:tr>
            <w:tr w:rsidR="00B70637" w:rsidTr="00387DC2">
              <w:tc>
                <w:tcPr>
                  <w:tcW w:w="6379" w:type="dxa"/>
                </w:tcPr>
                <w:p w:rsidR="00B70637" w:rsidRPr="00A05305" w:rsidRDefault="00B70637" w:rsidP="00FD5173">
                  <w:pPr>
                    <w:pStyle w:val="TableBodyText"/>
                    <w:tabs>
                      <w:tab w:val="left" w:pos="1065"/>
                    </w:tabs>
                    <w:spacing w:before="40"/>
                    <w:ind w:left="57"/>
                    <w:jc w:val="left"/>
                  </w:pPr>
                  <w:proofErr w:type="spellStart"/>
                  <w:r w:rsidRPr="00A05305">
                    <w:t>CEDA</w:t>
                  </w:r>
                  <w:proofErr w:type="spellEnd"/>
                  <w:r w:rsidRPr="00A05305">
                    <w:t xml:space="preserve"> Trustee Lunch &amp; Discussion, Melbourne</w:t>
                  </w:r>
                  <w:r>
                    <w:t xml:space="preserve"> (Alison McClelland)</w:t>
                  </w:r>
                </w:p>
              </w:tc>
              <w:tc>
                <w:tcPr>
                  <w:tcW w:w="6217" w:type="dxa"/>
                </w:tcPr>
                <w:p w:rsidR="00B70637" w:rsidRPr="00A05305" w:rsidRDefault="00B70637" w:rsidP="00FD5173">
                  <w:pPr>
                    <w:pStyle w:val="TableBodyText"/>
                    <w:tabs>
                      <w:tab w:val="left" w:pos="1065"/>
                    </w:tabs>
                    <w:spacing w:before="40"/>
                    <w:ind w:left="57"/>
                    <w:jc w:val="left"/>
                  </w:pPr>
                  <w:r w:rsidRPr="00A05305">
                    <w:t>Australia Adjusting Enabling a mobile workforce</w:t>
                  </w:r>
                </w:p>
              </w:tc>
              <w:tc>
                <w:tcPr>
                  <w:tcW w:w="1013" w:type="dxa"/>
                </w:tcPr>
                <w:p w:rsidR="00B70637" w:rsidRDefault="00B70637" w:rsidP="00FD5173">
                  <w:pPr>
                    <w:pStyle w:val="TableBodyText"/>
                    <w:tabs>
                      <w:tab w:val="left" w:pos="1065"/>
                    </w:tabs>
                    <w:spacing w:before="40"/>
                    <w:ind w:left="57"/>
                  </w:pPr>
                  <w:r>
                    <w:t>Mar 2014</w:t>
                  </w:r>
                </w:p>
              </w:tc>
            </w:tr>
            <w:tr w:rsidR="00B70637" w:rsidTr="00387DC2">
              <w:tc>
                <w:tcPr>
                  <w:tcW w:w="6379" w:type="dxa"/>
                </w:tcPr>
                <w:p w:rsidR="00B70637" w:rsidRPr="00A05305" w:rsidRDefault="00B70637" w:rsidP="00FD5173">
                  <w:pPr>
                    <w:pStyle w:val="TableBodyText"/>
                    <w:tabs>
                      <w:tab w:val="left" w:pos="1065"/>
                    </w:tabs>
                    <w:spacing w:before="40"/>
                    <w:ind w:left="57"/>
                    <w:jc w:val="left"/>
                  </w:pPr>
                  <w:r w:rsidRPr="00A05305">
                    <w:t>Philanthropy Australia Affinity Group meeting, Melbourne</w:t>
                  </w:r>
                </w:p>
              </w:tc>
              <w:tc>
                <w:tcPr>
                  <w:tcW w:w="6217" w:type="dxa"/>
                </w:tcPr>
                <w:p w:rsidR="00B70637" w:rsidRPr="00A05305" w:rsidRDefault="00B70637" w:rsidP="00FD5173">
                  <w:pPr>
                    <w:pStyle w:val="TableBodyText"/>
                    <w:tabs>
                      <w:tab w:val="left" w:pos="1065"/>
                    </w:tabs>
                    <w:spacing w:before="40"/>
                    <w:ind w:left="57"/>
                    <w:jc w:val="left"/>
                  </w:pPr>
                  <w:r w:rsidRPr="00A05305">
                    <w:t>Ageing and disadvantage</w:t>
                  </w:r>
                </w:p>
              </w:tc>
              <w:tc>
                <w:tcPr>
                  <w:tcW w:w="1013" w:type="dxa"/>
                </w:tcPr>
                <w:p w:rsidR="00B70637" w:rsidRDefault="00B70637" w:rsidP="00FD5173">
                  <w:pPr>
                    <w:pStyle w:val="TableBodyText"/>
                    <w:tabs>
                      <w:tab w:val="left" w:pos="1065"/>
                    </w:tabs>
                    <w:spacing w:before="40"/>
                    <w:ind w:left="57"/>
                  </w:pPr>
                  <w:r>
                    <w:t>Mar 2014</w:t>
                  </w:r>
                </w:p>
              </w:tc>
            </w:tr>
            <w:tr w:rsidR="00B70637" w:rsidTr="00387DC2">
              <w:tc>
                <w:tcPr>
                  <w:tcW w:w="6379" w:type="dxa"/>
                </w:tcPr>
                <w:p w:rsidR="00B70637" w:rsidRPr="00A05305" w:rsidRDefault="00B70637" w:rsidP="00FD5173">
                  <w:pPr>
                    <w:pStyle w:val="TableBodyText"/>
                    <w:tabs>
                      <w:tab w:val="left" w:pos="1065"/>
                    </w:tabs>
                    <w:spacing w:before="40"/>
                    <w:ind w:left="57"/>
                    <w:jc w:val="left"/>
                  </w:pPr>
                  <w:r w:rsidRPr="00A05305">
                    <w:t xml:space="preserve">2014 </w:t>
                  </w:r>
                  <w:proofErr w:type="spellStart"/>
                  <w:r w:rsidRPr="00A05305">
                    <w:t>APPEA</w:t>
                  </w:r>
                  <w:proofErr w:type="spellEnd"/>
                  <w:r w:rsidRPr="00A05305">
                    <w:t xml:space="preserve"> Conference &amp; Exhibition, Perth (Mike Woods)</w:t>
                  </w:r>
                </w:p>
              </w:tc>
              <w:tc>
                <w:tcPr>
                  <w:tcW w:w="6217" w:type="dxa"/>
                </w:tcPr>
                <w:p w:rsidR="00B70637" w:rsidRPr="00A05305" w:rsidRDefault="00B70637" w:rsidP="00FD5173">
                  <w:pPr>
                    <w:pStyle w:val="TableBodyText"/>
                    <w:tabs>
                      <w:tab w:val="left" w:pos="1065"/>
                    </w:tabs>
                    <w:spacing w:before="40"/>
                    <w:ind w:left="57"/>
                    <w:jc w:val="left"/>
                  </w:pPr>
                  <w:r w:rsidRPr="00A05305">
                    <w:t>Guest speaker: Policy in consistency across energy markets: the case for a wide-scale review</w:t>
                  </w:r>
                </w:p>
              </w:tc>
              <w:tc>
                <w:tcPr>
                  <w:tcW w:w="1013" w:type="dxa"/>
                </w:tcPr>
                <w:p w:rsidR="00B70637" w:rsidRDefault="00B70637" w:rsidP="00FD5173">
                  <w:pPr>
                    <w:pStyle w:val="TableBodyText"/>
                    <w:tabs>
                      <w:tab w:val="left" w:pos="1065"/>
                    </w:tabs>
                    <w:spacing w:before="40"/>
                    <w:ind w:left="57"/>
                  </w:pPr>
                  <w:r>
                    <w:t>April 2014</w:t>
                  </w:r>
                </w:p>
              </w:tc>
            </w:tr>
            <w:tr w:rsidR="00B70637" w:rsidTr="00387DC2">
              <w:tc>
                <w:tcPr>
                  <w:tcW w:w="6379" w:type="dxa"/>
                </w:tcPr>
                <w:p w:rsidR="00B70637" w:rsidRPr="00A05305" w:rsidRDefault="00B70637" w:rsidP="00FD5173">
                  <w:pPr>
                    <w:pStyle w:val="TableBodyText"/>
                    <w:tabs>
                      <w:tab w:val="left" w:pos="1065"/>
                    </w:tabs>
                    <w:spacing w:before="40"/>
                    <w:ind w:left="57"/>
                    <w:jc w:val="left"/>
                  </w:pPr>
                  <w:r w:rsidRPr="00A05305">
                    <w:t>Timeliness in the Justice System: Ideas and Innovations Forum, Melbourne (Warren Mundy)</w:t>
                  </w:r>
                </w:p>
              </w:tc>
              <w:tc>
                <w:tcPr>
                  <w:tcW w:w="6217" w:type="dxa"/>
                </w:tcPr>
                <w:p w:rsidR="00B70637" w:rsidRPr="00A05305" w:rsidRDefault="00B70637" w:rsidP="00FD5173">
                  <w:pPr>
                    <w:pStyle w:val="TableBodyText"/>
                    <w:tabs>
                      <w:tab w:val="left" w:pos="1065"/>
                    </w:tabs>
                    <w:spacing w:before="40"/>
                    <w:ind w:left="57"/>
                    <w:jc w:val="left"/>
                  </w:pPr>
                  <w:r w:rsidRPr="00A05305">
                    <w:t>Panellist: Issues in Timeliness</w:t>
                  </w:r>
                </w:p>
              </w:tc>
              <w:tc>
                <w:tcPr>
                  <w:tcW w:w="1013" w:type="dxa"/>
                </w:tcPr>
                <w:p w:rsidR="00B70637" w:rsidRDefault="00B70637" w:rsidP="00FD5173">
                  <w:pPr>
                    <w:pStyle w:val="TableBodyText"/>
                    <w:tabs>
                      <w:tab w:val="left" w:pos="1065"/>
                    </w:tabs>
                    <w:spacing w:before="40"/>
                    <w:ind w:left="57"/>
                  </w:pPr>
                  <w:r>
                    <w:t>May 2014</w:t>
                  </w:r>
                </w:p>
              </w:tc>
            </w:tr>
            <w:tr w:rsidR="00B70637" w:rsidTr="00387DC2">
              <w:tc>
                <w:tcPr>
                  <w:tcW w:w="6379" w:type="dxa"/>
                </w:tcPr>
                <w:p w:rsidR="00B70637" w:rsidRPr="00A05305" w:rsidRDefault="00B70637" w:rsidP="00FD5173">
                  <w:pPr>
                    <w:pStyle w:val="TableBodyText"/>
                    <w:tabs>
                      <w:tab w:val="left" w:pos="1065"/>
                    </w:tabs>
                    <w:spacing w:before="40"/>
                    <w:ind w:left="57"/>
                    <w:jc w:val="left"/>
                  </w:pPr>
                  <w:proofErr w:type="spellStart"/>
                  <w:r w:rsidRPr="00663AFE">
                    <w:t>ANU</w:t>
                  </w:r>
                  <w:proofErr w:type="spellEnd"/>
                  <w:r w:rsidRPr="00663AFE">
                    <w:t xml:space="preserve"> College of Law, Canberra</w:t>
                  </w:r>
                  <w:r>
                    <w:t xml:space="preserve"> (Warren Mundy)</w:t>
                  </w:r>
                </w:p>
              </w:tc>
              <w:tc>
                <w:tcPr>
                  <w:tcW w:w="6217" w:type="dxa"/>
                </w:tcPr>
                <w:p w:rsidR="00B70637" w:rsidRDefault="00B70637" w:rsidP="00FD5173">
                  <w:pPr>
                    <w:pStyle w:val="TableBodyText"/>
                    <w:tabs>
                      <w:tab w:val="left" w:pos="1065"/>
                    </w:tabs>
                    <w:spacing w:before="40"/>
                    <w:ind w:left="57"/>
                    <w:jc w:val="left"/>
                    <w:rPr>
                      <w:rFonts w:asciiTheme="minorHAnsi" w:hAnsiTheme="minorHAnsi" w:cstheme="minorHAnsi"/>
                      <w:sz w:val="22"/>
                      <w:szCs w:val="22"/>
                    </w:rPr>
                  </w:pPr>
                  <w:r w:rsidRPr="00663AFE">
                    <w:t>Commission’s draft report on Access to Justice</w:t>
                  </w:r>
                </w:p>
              </w:tc>
              <w:tc>
                <w:tcPr>
                  <w:tcW w:w="1013" w:type="dxa"/>
                </w:tcPr>
                <w:p w:rsidR="00B70637" w:rsidRDefault="00B70637" w:rsidP="00FD5173">
                  <w:pPr>
                    <w:pStyle w:val="TableBodyText"/>
                    <w:tabs>
                      <w:tab w:val="left" w:pos="1065"/>
                    </w:tabs>
                    <w:spacing w:before="40"/>
                    <w:ind w:left="57"/>
                  </w:pPr>
                  <w:r>
                    <w:t>May 2014</w:t>
                  </w:r>
                </w:p>
              </w:tc>
            </w:tr>
            <w:tr w:rsidR="00B70637" w:rsidTr="00387DC2">
              <w:tc>
                <w:tcPr>
                  <w:tcW w:w="6379" w:type="dxa"/>
                </w:tcPr>
                <w:p w:rsidR="00B70637" w:rsidRPr="00663AFE" w:rsidRDefault="00B70637" w:rsidP="00FD5173">
                  <w:pPr>
                    <w:pStyle w:val="TableBodyText"/>
                    <w:tabs>
                      <w:tab w:val="left" w:pos="1065"/>
                    </w:tabs>
                    <w:spacing w:before="40"/>
                    <w:ind w:left="57"/>
                    <w:jc w:val="left"/>
                  </w:pPr>
                  <w:r w:rsidRPr="00663AFE">
                    <w:t>Luncheon Forum with Julia Irwin, Rowntree Foundation, Melbourne</w:t>
                  </w:r>
                </w:p>
              </w:tc>
              <w:tc>
                <w:tcPr>
                  <w:tcW w:w="6217" w:type="dxa"/>
                </w:tcPr>
                <w:p w:rsidR="00B70637" w:rsidRPr="00663AFE" w:rsidRDefault="00B70637" w:rsidP="00FD5173">
                  <w:pPr>
                    <w:pStyle w:val="TableBodyText"/>
                    <w:tabs>
                      <w:tab w:val="left" w:pos="1065"/>
                    </w:tabs>
                    <w:spacing w:before="40"/>
                    <w:ind w:left="57"/>
                    <w:jc w:val="left"/>
                  </w:pPr>
                  <w:r w:rsidRPr="00663AFE">
                    <w:t>Poverty and Inequality</w:t>
                  </w:r>
                </w:p>
              </w:tc>
              <w:tc>
                <w:tcPr>
                  <w:tcW w:w="1013" w:type="dxa"/>
                </w:tcPr>
                <w:p w:rsidR="00B70637" w:rsidRDefault="00B70637" w:rsidP="00FD5173">
                  <w:pPr>
                    <w:pStyle w:val="TableBodyText"/>
                    <w:tabs>
                      <w:tab w:val="left" w:pos="1065"/>
                    </w:tabs>
                    <w:spacing w:before="40"/>
                    <w:ind w:left="57"/>
                  </w:pPr>
                  <w:r>
                    <w:t>May 2014</w:t>
                  </w:r>
                </w:p>
              </w:tc>
            </w:tr>
            <w:tr w:rsidR="00B70637" w:rsidTr="00387DC2">
              <w:tc>
                <w:tcPr>
                  <w:tcW w:w="6379" w:type="dxa"/>
                </w:tcPr>
                <w:p w:rsidR="00B70637" w:rsidRPr="00663AFE" w:rsidRDefault="00B70637" w:rsidP="00FD5173">
                  <w:pPr>
                    <w:pStyle w:val="TableBodyText"/>
                    <w:tabs>
                      <w:tab w:val="left" w:pos="1065"/>
                    </w:tabs>
                    <w:spacing w:before="40"/>
                    <w:ind w:left="57"/>
                    <w:jc w:val="left"/>
                  </w:pPr>
                  <w:r w:rsidRPr="00663AFE">
                    <w:t>Enhancing the investment environment in APEC and ASEAN capacity building training program, Melbourne</w:t>
                  </w:r>
                  <w:r>
                    <w:t xml:space="preserve"> ( Jonathan Coppel)</w:t>
                  </w:r>
                </w:p>
              </w:tc>
              <w:tc>
                <w:tcPr>
                  <w:tcW w:w="6217" w:type="dxa"/>
                </w:tcPr>
                <w:p w:rsidR="00B70637" w:rsidRPr="00663AFE" w:rsidRDefault="00B70637" w:rsidP="00FD5173">
                  <w:pPr>
                    <w:pStyle w:val="TableBodyText"/>
                    <w:tabs>
                      <w:tab w:val="left" w:pos="1065"/>
                    </w:tabs>
                    <w:spacing w:before="40"/>
                    <w:ind w:left="57"/>
                    <w:jc w:val="left"/>
                  </w:pPr>
                  <w:r w:rsidRPr="00663AFE">
                    <w:t>Evaluating the value of using quantitative and qualitative indicators for APEC economies</w:t>
                  </w:r>
                </w:p>
              </w:tc>
              <w:tc>
                <w:tcPr>
                  <w:tcW w:w="1013" w:type="dxa"/>
                </w:tcPr>
                <w:p w:rsidR="00B70637" w:rsidRDefault="00B70637" w:rsidP="00FD5173">
                  <w:pPr>
                    <w:pStyle w:val="TableBodyText"/>
                    <w:tabs>
                      <w:tab w:val="left" w:pos="1065"/>
                    </w:tabs>
                    <w:spacing w:before="40"/>
                    <w:ind w:left="57"/>
                  </w:pPr>
                  <w:r>
                    <w:t>June 2014</w:t>
                  </w:r>
                </w:p>
              </w:tc>
            </w:tr>
            <w:tr w:rsidR="00B70637" w:rsidTr="00387DC2">
              <w:tc>
                <w:tcPr>
                  <w:tcW w:w="6379" w:type="dxa"/>
                </w:tcPr>
                <w:p w:rsidR="00B70637" w:rsidRPr="00663AFE" w:rsidRDefault="00B70637" w:rsidP="00FD5173">
                  <w:pPr>
                    <w:pStyle w:val="TableBodyText"/>
                    <w:tabs>
                      <w:tab w:val="left" w:pos="1065"/>
                    </w:tabs>
                    <w:spacing w:before="40"/>
                    <w:ind w:left="57"/>
                    <w:jc w:val="left"/>
                  </w:pPr>
                  <w:proofErr w:type="spellStart"/>
                  <w:r>
                    <w:t>ANU</w:t>
                  </w:r>
                  <w:proofErr w:type="spellEnd"/>
                  <w:r>
                    <w:t xml:space="preserve"> Risk and Uncertainty Management, Melbourne (Jonathan Coppel)</w:t>
                  </w:r>
                </w:p>
              </w:tc>
              <w:tc>
                <w:tcPr>
                  <w:tcW w:w="6217" w:type="dxa"/>
                </w:tcPr>
                <w:p w:rsidR="00B70637" w:rsidRPr="00663AFE" w:rsidRDefault="00B70637" w:rsidP="00FD5173">
                  <w:pPr>
                    <w:pStyle w:val="TableBodyText"/>
                    <w:tabs>
                      <w:tab w:val="left" w:pos="1065"/>
                    </w:tabs>
                    <w:spacing w:before="40"/>
                    <w:ind w:left="57"/>
                    <w:jc w:val="left"/>
                  </w:pPr>
                  <w:r>
                    <w:t xml:space="preserve">Commission’s inquiry into Natural Disaster Funding </w:t>
                  </w:r>
                </w:p>
              </w:tc>
              <w:tc>
                <w:tcPr>
                  <w:tcW w:w="1013" w:type="dxa"/>
                </w:tcPr>
                <w:p w:rsidR="00B70637" w:rsidRDefault="00B70637" w:rsidP="00FD5173">
                  <w:pPr>
                    <w:pStyle w:val="TableBodyText"/>
                    <w:tabs>
                      <w:tab w:val="left" w:pos="1065"/>
                    </w:tabs>
                    <w:spacing w:before="40"/>
                    <w:ind w:left="57"/>
                  </w:pPr>
                  <w:r>
                    <w:t>June 2014</w:t>
                  </w:r>
                </w:p>
              </w:tc>
            </w:tr>
            <w:tr w:rsidR="00B70637" w:rsidTr="00387DC2">
              <w:tc>
                <w:tcPr>
                  <w:tcW w:w="6379" w:type="dxa"/>
                </w:tcPr>
                <w:p w:rsidR="00B70637" w:rsidRDefault="00B70637" w:rsidP="00FD5173">
                  <w:pPr>
                    <w:keepNext/>
                    <w:keepLines/>
                    <w:spacing w:before="40" w:after="40"/>
                    <w:rPr>
                      <w:rFonts w:asciiTheme="minorHAnsi" w:hAnsiTheme="minorHAnsi" w:cstheme="minorHAnsi"/>
                      <w:i/>
                      <w:sz w:val="22"/>
                      <w:szCs w:val="22"/>
                    </w:rPr>
                  </w:pPr>
                  <w:r>
                    <w:rPr>
                      <w:rFonts w:ascii="Arial" w:hAnsi="Arial"/>
                      <w:sz w:val="18"/>
                      <w:szCs w:val="20"/>
                    </w:rPr>
                    <w:t xml:space="preserve"> </w:t>
                  </w:r>
                  <w:r w:rsidRPr="00663AFE">
                    <w:rPr>
                      <w:rFonts w:ascii="Arial" w:hAnsi="Arial"/>
                      <w:sz w:val="18"/>
                      <w:szCs w:val="20"/>
                    </w:rPr>
                    <w:t>Australian Small Business White Paper Summit, Canberra (Warren Mundy)</w:t>
                  </w:r>
                </w:p>
              </w:tc>
              <w:tc>
                <w:tcPr>
                  <w:tcW w:w="6217" w:type="dxa"/>
                </w:tcPr>
                <w:p w:rsidR="00B70637" w:rsidRPr="0014202F" w:rsidRDefault="0014202F" w:rsidP="00FD5173">
                  <w:pPr>
                    <w:pStyle w:val="TableBodyText"/>
                    <w:tabs>
                      <w:tab w:val="left" w:pos="1065"/>
                    </w:tabs>
                    <w:spacing w:before="40"/>
                    <w:ind w:left="57"/>
                    <w:jc w:val="left"/>
                  </w:pPr>
                  <w:r w:rsidRPr="0014202F">
                    <w:t>Keynote speaker</w:t>
                  </w:r>
                </w:p>
              </w:tc>
              <w:tc>
                <w:tcPr>
                  <w:tcW w:w="1013" w:type="dxa"/>
                </w:tcPr>
                <w:p w:rsidR="00B70637" w:rsidRDefault="00B70637" w:rsidP="00FD5173">
                  <w:pPr>
                    <w:pStyle w:val="TableBodyText"/>
                    <w:tabs>
                      <w:tab w:val="left" w:pos="1065"/>
                    </w:tabs>
                    <w:spacing w:before="40"/>
                    <w:ind w:left="57"/>
                  </w:pPr>
                  <w:r>
                    <w:t>June 2014</w:t>
                  </w:r>
                </w:p>
              </w:tc>
            </w:tr>
            <w:tr w:rsidR="00B70637" w:rsidTr="00387DC2">
              <w:tc>
                <w:tcPr>
                  <w:tcW w:w="6379" w:type="dxa"/>
                </w:tcPr>
                <w:p w:rsidR="00B70637" w:rsidRDefault="00B70637" w:rsidP="00FD5173">
                  <w:pPr>
                    <w:pStyle w:val="TableBodyText"/>
                    <w:tabs>
                      <w:tab w:val="left" w:pos="1065"/>
                    </w:tabs>
                    <w:spacing w:before="40"/>
                    <w:ind w:left="57"/>
                    <w:jc w:val="left"/>
                  </w:pPr>
                  <w:r>
                    <w:t>Digital Rural Futures Conference, Toowoomba (Wendy Craik)</w:t>
                  </w:r>
                </w:p>
              </w:tc>
              <w:tc>
                <w:tcPr>
                  <w:tcW w:w="6217" w:type="dxa"/>
                </w:tcPr>
                <w:p w:rsidR="00B70637" w:rsidRDefault="00B70637" w:rsidP="00FD5173">
                  <w:pPr>
                    <w:spacing w:before="40" w:after="40"/>
                    <w:rPr>
                      <w:rFonts w:ascii="Arial" w:hAnsi="Arial"/>
                      <w:sz w:val="18"/>
                      <w:szCs w:val="20"/>
                    </w:rPr>
                  </w:pPr>
                  <w:r w:rsidRPr="00A05305">
                    <w:rPr>
                      <w:rFonts w:ascii="Arial" w:hAnsi="Arial"/>
                      <w:sz w:val="18"/>
                      <w:szCs w:val="20"/>
                    </w:rPr>
                    <w:t>Reflections on Regional Futures: Adjustment and Change in Agriculture and Regions</w:t>
                  </w:r>
                </w:p>
              </w:tc>
              <w:tc>
                <w:tcPr>
                  <w:tcW w:w="1013" w:type="dxa"/>
                </w:tcPr>
                <w:p w:rsidR="00B70637" w:rsidRDefault="00B70637" w:rsidP="00FD5173">
                  <w:pPr>
                    <w:pStyle w:val="TableBodyText"/>
                    <w:tabs>
                      <w:tab w:val="left" w:pos="1065"/>
                    </w:tabs>
                    <w:spacing w:before="40"/>
                    <w:ind w:left="57"/>
                  </w:pPr>
                  <w:r>
                    <w:t>June 2014</w:t>
                  </w:r>
                </w:p>
              </w:tc>
            </w:tr>
            <w:tr w:rsidR="00FD5173" w:rsidTr="00387DC2">
              <w:tc>
                <w:tcPr>
                  <w:tcW w:w="6379" w:type="dxa"/>
                </w:tcPr>
                <w:p w:rsidR="00FD5173" w:rsidRPr="00F9617A" w:rsidRDefault="008B701A" w:rsidP="00FD5173">
                  <w:pPr>
                    <w:pStyle w:val="TableBodyText"/>
                    <w:spacing w:before="120" w:after="0"/>
                    <w:ind w:left="57"/>
                    <w:jc w:val="left"/>
                    <w:rPr>
                      <w:b/>
                    </w:rPr>
                  </w:pPr>
                  <w:r>
                    <w:rPr>
                      <w:b/>
                    </w:rPr>
                    <w:t>Staff</w:t>
                  </w:r>
                </w:p>
              </w:tc>
              <w:tc>
                <w:tcPr>
                  <w:tcW w:w="6217" w:type="dxa"/>
                </w:tcPr>
                <w:p w:rsidR="00FD5173" w:rsidRPr="00F9617A" w:rsidRDefault="00FD5173" w:rsidP="00FD5173">
                  <w:pPr>
                    <w:pStyle w:val="TableBodyText"/>
                    <w:spacing w:before="120" w:after="0"/>
                    <w:ind w:left="57"/>
                    <w:jc w:val="left"/>
                    <w:rPr>
                      <w:b/>
                    </w:rPr>
                  </w:pPr>
                </w:p>
              </w:tc>
              <w:tc>
                <w:tcPr>
                  <w:tcW w:w="1013" w:type="dxa"/>
                </w:tcPr>
                <w:p w:rsidR="00FD5173" w:rsidRPr="00F9617A" w:rsidRDefault="00FD5173" w:rsidP="00FD5173">
                  <w:pPr>
                    <w:pStyle w:val="TableBodyText"/>
                    <w:spacing w:before="120" w:after="0"/>
                    <w:ind w:left="57"/>
                    <w:rPr>
                      <w:b/>
                    </w:rPr>
                  </w:pPr>
                </w:p>
              </w:tc>
            </w:tr>
            <w:tr w:rsidR="00FD5173" w:rsidTr="008B701A">
              <w:tc>
                <w:tcPr>
                  <w:tcW w:w="6379" w:type="dxa"/>
                </w:tcPr>
                <w:p w:rsidR="00FD5173" w:rsidRPr="00BB73F9" w:rsidRDefault="00FD5173" w:rsidP="00FD5173">
                  <w:pPr>
                    <w:pStyle w:val="TableBodyText"/>
                    <w:tabs>
                      <w:tab w:val="left" w:pos="1065"/>
                    </w:tabs>
                    <w:spacing w:before="40"/>
                    <w:ind w:left="57"/>
                    <w:jc w:val="left"/>
                  </w:pPr>
                  <w:r>
                    <w:t>42</w:t>
                  </w:r>
                  <w:r w:rsidRPr="00400A7C">
                    <w:rPr>
                      <w:vertAlign w:val="superscript"/>
                    </w:rPr>
                    <w:t>nd</w:t>
                  </w:r>
                  <w:r>
                    <w:t xml:space="preserve"> Australian Conference of Economists, Perth (Tim Murray)</w:t>
                  </w:r>
                </w:p>
              </w:tc>
              <w:tc>
                <w:tcPr>
                  <w:tcW w:w="6217" w:type="dxa"/>
                </w:tcPr>
                <w:p w:rsidR="00FD5173" w:rsidRPr="00BB73F9" w:rsidRDefault="00FD5173" w:rsidP="00FD5173">
                  <w:pPr>
                    <w:pStyle w:val="TableBodyText"/>
                    <w:spacing w:before="40"/>
                    <w:ind w:left="57"/>
                    <w:jc w:val="left"/>
                  </w:pPr>
                  <w:r>
                    <w:t>The role of modelling in evaluating Trans-Tasman recognition of imputation credits</w:t>
                  </w:r>
                </w:p>
              </w:tc>
              <w:tc>
                <w:tcPr>
                  <w:tcW w:w="1013" w:type="dxa"/>
                </w:tcPr>
                <w:p w:rsidR="00FD5173" w:rsidRPr="00BB73F9" w:rsidRDefault="00FD5173" w:rsidP="00FD5173">
                  <w:pPr>
                    <w:pStyle w:val="TableBodyText"/>
                    <w:spacing w:before="40"/>
                    <w:ind w:left="57"/>
                  </w:pPr>
                  <w:r>
                    <w:t>July 2013</w:t>
                  </w:r>
                </w:p>
              </w:tc>
            </w:tr>
            <w:tr w:rsidR="00FD5173" w:rsidTr="008B701A">
              <w:tc>
                <w:tcPr>
                  <w:tcW w:w="6379" w:type="dxa"/>
                  <w:tcBorders>
                    <w:bottom w:val="single" w:sz="6" w:space="0" w:color="BFBFBF"/>
                  </w:tcBorders>
                </w:tcPr>
                <w:p w:rsidR="00FD5173" w:rsidRPr="002058C9" w:rsidRDefault="00FD5173" w:rsidP="00FD5173">
                  <w:pPr>
                    <w:pStyle w:val="TableBodyText"/>
                    <w:tabs>
                      <w:tab w:val="left" w:pos="1065"/>
                    </w:tabs>
                    <w:spacing w:before="40"/>
                    <w:ind w:left="57"/>
                    <w:jc w:val="left"/>
                  </w:pPr>
                  <w:r w:rsidRPr="002058C9">
                    <w:t>Inaugural meeting of the Expert Advisory Group for the Australian Gambling Research Centre, Melbourne(Ralph Lattimore)</w:t>
                  </w:r>
                </w:p>
              </w:tc>
              <w:tc>
                <w:tcPr>
                  <w:tcW w:w="6217" w:type="dxa"/>
                  <w:tcBorders>
                    <w:bottom w:val="single" w:sz="6" w:space="0" w:color="BFBFBF"/>
                  </w:tcBorders>
                </w:tcPr>
                <w:p w:rsidR="00FD5173" w:rsidRPr="002058C9" w:rsidRDefault="00FD5173" w:rsidP="00FD5173">
                  <w:pPr>
                    <w:pStyle w:val="TableBodyText"/>
                    <w:tabs>
                      <w:tab w:val="left" w:pos="1065"/>
                    </w:tabs>
                    <w:spacing w:before="40"/>
                    <w:ind w:left="57"/>
                    <w:jc w:val="left"/>
                  </w:pPr>
                  <w:r w:rsidRPr="002058C9">
                    <w:t>Priorities and opportunities in gambling research</w:t>
                  </w:r>
                </w:p>
              </w:tc>
              <w:tc>
                <w:tcPr>
                  <w:tcW w:w="1013" w:type="dxa"/>
                  <w:tcBorders>
                    <w:bottom w:val="single" w:sz="6" w:space="0" w:color="BFBFBF"/>
                  </w:tcBorders>
                </w:tcPr>
                <w:p w:rsidR="00FD5173" w:rsidRPr="00BB73F9" w:rsidRDefault="00FD5173" w:rsidP="00FD5173">
                  <w:pPr>
                    <w:pStyle w:val="TableBodyText"/>
                    <w:spacing w:before="40"/>
                    <w:ind w:left="57"/>
                  </w:pPr>
                  <w:r>
                    <w:t>July 2013</w:t>
                  </w:r>
                </w:p>
              </w:tc>
            </w:tr>
          </w:tbl>
          <w:p w:rsidR="00B70637" w:rsidRDefault="00B70637" w:rsidP="00387DC2">
            <w:pPr>
              <w:pStyle w:val="Box"/>
            </w:pPr>
          </w:p>
        </w:tc>
      </w:tr>
      <w:tr w:rsidR="00B70637" w:rsidTr="00387DC2">
        <w:trPr>
          <w:cantSplit/>
        </w:trPr>
        <w:tc>
          <w:tcPr>
            <w:tcW w:w="5000" w:type="pct"/>
            <w:tcBorders>
              <w:top w:val="nil"/>
              <w:left w:val="nil"/>
              <w:bottom w:val="nil"/>
              <w:right w:val="nil"/>
            </w:tcBorders>
            <w:shd w:val="clear" w:color="auto" w:fill="auto"/>
          </w:tcPr>
          <w:p w:rsidR="00B70637" w:rsidRDefault="00B70637" w:rsidP="00FD5173">
            <w:pPr>
              <w:pStyle w:val="Continued"/>
              <w:spacing w:before="120"/>
            </w:pPr>
            <w:r>
              <w:t>(continued next page)</w:t>
            </w:r>
          </w:p>
        </w:tc>
      </w:tr>
      <w:tr w:rsidR="00B70637" w:rsidTr="00387DC2">
        <w:trPr>
          <w:cantSplit/>
        </w:trPr>
        <w:tc>
          <w:tcPr>
            <w:tcW w:w="5000" w:type="pct"/>
            <w:tcBorders>
              <w:top w:val="nil"/>
              <w:left w:val="nil"/>
              <w:bottom w:val="single" w:sz="6" w:space="0" w:color="78A22F"/>
              <w:right w:val="nil"/>
            </w:tcBorders>
            <w:shd w:val="clear" w:color="auto" w:fill="auto"/>
          </w:tcPr>
          <w:p w:rsidR="00B70637" w:rsidRDefault="00B70637" w:rsidP="00387DC2">
            <w:pPr>
              <w:pStyle w:val="Box"/>
              <w:spacing w:before="0" w:line="120" w:lineRule="exact"/>
            </w:pPr>
          </w:p>
        </w:tc>
      </w:tr>
      <w:tr w:rsidR="00B70637" w:rsidRPr="000863A5" w:rsidTr="00387DC2">
        <w:tc>
          <w:tcPr>
            <w:tcW w:w="5000" w:type="pct"/>
            <w:tcBorders>
              <w:top w:val="single" w:sz="6" w:space="0" w:color="78A22F"/>
              <w:left w:val="nil"/>
              <w:bottom w:val="nil"/>
              <w:right w:val="nil"/>
            </w:tcBorders>
          </w:tcPr>
          <w:p w:rsidR="00B70637" w:rsidRPr="00626D32" w:rsidRDefault="00B70637" w:rsidP="00387DC2">
            <w:pPr>
              <w:pStyle w:val="BoxSpaceBelow"/>
            </w:pPr>
          </w:p>
        </w:tc>
      </w:tr>
    </w:tbl>
    <w:p w:rsidR="00FD5173" w:rsidRDefault="00FD5173" w:rsidP="00FD5173">
      <w:pPr>
        <w:pStyle w:val="BoxSpaceAbove"/>
      </w:pPr>
    </w:p>
    <w:tbl>
      <w:tblPr>
        <w:tblW w:w="5000" w:type="pct"/>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13893"/>
      </w:tblGrid>
      <w:tr w:rsidR="00FD5173" w:rsidTr="00387DC2">
        <w:tc>
          <w:tcPr>
            <w:tcW w:w="5000" w:type="pct"/>
            <w:tcBorders>
              <w:top w:val="single" w:sz="6" w:space="0" w:color="78A22F"/>
              <w:left w:val="nil"/>
              <w:bottom w:val="nil"/>
              <w:right w:val="nil"/>
            </w:tcBorders>
            <w:shd w:val="clear" w:color="auto" w:fill="auto"/>
          </w:tcPr>
          <w:p w:rsidR="00FD5173" w:rsidRPr="00784A05" w:rsidRDefault="00FD5173" w:rsidP="008B701A">
            <w:pPr>
              <w:pStyle w:val="TableTitle"/>
            </w:pPr>
            <w:r>
              <w:rPr>
                <w:b w:val="0"/>
              </w:rPr>
              <w:t xml:space="preserve">Table </w:t>
            </w:r>
            <w:proofErr w:type="spellStart"/>
            <w:r w:rsidR="008B701A" w:rsidRPr="008B701A">
              <w:rPr>
                <w:b w:val="0"/>
              </w:rPr>
              <w:t>E.1</w:t>
            </w:r>
            <w:proofErr w:type="spellEnd"/>
            <w:r>
              <w:tab/>
            </w:r>
            <w:r w:rsidRPr="00887BAC">
              <w:rPr>
                <w:sz w:val="20"/>
                <w:szCs w:val="20"/>
              </w:rPr>
              <w:t>(continued)</w:t>
            </w:r>
          </w:p>
        </w:tc>
      </w:tr>
      <w:tr w:rsidR="00FD5173" w:rsidTr="00387DC2">
        <w:trPr>
          <w:cantSplit/>
          <w:trHeight w:val="6917"/>
        </w:trPr>
        <w:tc>
          <w:tcPr>
            <w:tcW w:w="5000" w:type="pct"/>
            <w:tcBorders>
              <w:top w:val="nil"/>
              <w:left w:val="nil"/>
              <w:bottom w:val="nil"/>
              <w:right w:val="nil"/>
            </w:tcBorders>
            <w:shd w:val="clear" w:color="auto" w:fill="auto"/>
          </w:tcPr>
          <w:tbl>
            <w:tblPr>
              <w:tblW w:w="0" w:type="auto"/>
              <w:tblLayout w:type="fixed"/>
              <w:tblCellMar>
                <w:top w:w="28" w:type="dxa"/>
                <w:left w:w="0" w:type="dxa"/>
                <w:right w:w="0" w:type="dxa"/>
              </w:tblCellMar>
              <w:tblLook w:val="0000" w:firstRow="0" w:lastRow="0" w:firstColumn="0" w:lastColumn="0" w:noHBand="0" w:noVBand="0"/>
            </w:tblPr>
            <w:tblGrid>
              <w:gridCol w:w="6379"/>
              <w:gridCol w:w="6217"/>
              <w:gridCol w:w="1013"/>
            </w:tblGrid>
            <w:tr w:rsidR="00FD5173" w:rsidTr="004103F0">
              <w:tc>
                <w:tcPr>
                  <w:tcW w:w="6379" w:type="dxa"/>
                  <w:tcBorders>
                    <w:top w:val="single" w:sz="6" w:space="0" w:color="BFBFBF"/>
                    <w:bottom w:val="single" w:sz="6" w:space="0" w:color="BFBFBF"/>
                  </w:tcBorders>
                  <w:shd w:val="clear" w:color="auto" w:fill="auto"/>
                  <w:tcMar>
                    <w:top w:w="28" w:type="dxa"/>
                  </w:tcMar>
                </w:tcPr>
                <w:p w:rsidR="00FD5173" w:rsidRPr="009A2B37" w:rsidRDefault="00FD5173" w:rsidP="00387DC2">
                  <w:pPr>
                    <w:pStyle w:val="TableColumnHeading"/>
                    <w:jc w:val="left"/>
                  </w:pPr>
                  <w:r w:rsidRPr="009A2B37">
                    <w:t>Organisation/event</w:t>
                  </w:r>
                </w:p>
              </w:tc>
              <w:tc>
                <w:tcPr>
                  <w:tcW w:w="6217" w:type="dxa"/>
                  <w:tcBorders>
                    <w:top w:val="single" w:sz="6" w:space="0" w:color="BFBFBF"/>
                    <w:bottom w:val="single" w:sz="6" w:space="0" w:color="BFBFBF"/>
                  </w:tcBorders>
                  <w:shd w:val="clear" w:color="auto" w:fill="auto"/>
                  <w:tcMar>
                    <w:top w:w="28" w:type="dxa"/>
                  </w:tcMar>
                </w:tcPr>
                <w:p w:rsidR="00FD5173" w:rsidRPr="009A2B37" w:rsidRDefault="00FD5173" w:rsidP="00387DC2">
                  <w:pPr>
                    <w:pStyle w:val="TableColumnHeading"/>
                    <w:jc w:val="left"/>
                  </w:pPr>
                  <w:r w:rsidRPr="009A2B37">
                    <w:t>Topic</w:t>
                  </w:r>
                </w:p>
              </w:tc>
              <w:tc>
                <w:tcPr>
                  <w:tcW w:w="1013" w:type="dxa"/>
                  <w:tcBorders>
                    <w:top w:val="single" w:sz="6" w:space="0" w:color="BFBFBF"/>
                    <w:bottom w:val="single" w:sz="6" w:space="0" w:color="BFBFBF"/>
                  </w:tcBorders>
                </w:tcPr>
                <w:p w:rsidR="00FD5173" w:rsidRPr="009A2B37" w:rsidRDefault="00FD5173" w:rsidP="00387DC2">
                  <w:pPr>
                    <w:pStyle w:val="TableColumnHeading"/>
                    <w:jc w:val="left"/>
                  </w:pPr>
                  <w:r w:rsidRPr="009A2B37">
                    <w:t>Date</w:t>
                  </w:r>
                </w:p>
              </w:tc>
            </w:tr>
            <w:tr w:rsidR="00FD5173" w:rsidTr="004103F0">
              <w:tc>
                <w:tcPr>
                  <w:tcW w:w="6379" w:type="dxa"/>
                  <w:tcBorders>
                    <w:top w:val="single" w:sz="6" w:space="0" w:color="BFBFBF"/>
                  </w:tcBorders>
                </w:tcPr>
                <w:p w:rsidR="00FD5173" w:rsidRPr="008B701A" w:rsidRDefault="00FD5173" w:rsidP="008B701A">
                  <w:pPr>
                    <w:pStyle w:val="TableBodyText"/>
                    <w:spacing w:before="120" w:after="0"/>
                    <w:ind w:left="57"/>
                    <w:jc w:val="left"/>
                    <w:rPr>
                      <w:i/>
                    </w:rPr>
                  </w:pPr>
                  <w:r w:rsidRPr="00F9617A">
                    <w:rPr>
                      <w:b/>
                    </w:rPr>
                    <w:t>Staff</w:t>
                  </w:r>
                  <w:r w:rsidR="008B701A">
                    <w:rPr>
                      <w:b/>
                    </w:rPr>
                    <w:t xml:space="preserve"> </w:t>
                  </w:r>
                  <w:r w:rsidR="008B701A">
                    <w:rPr>
                      <w:i/>
                    </w:rPr>
                    <w:t>(continued)</w:t>
                  </w:r>
                </w:p>
              </w:tc>
              <w:tc>
                <w:tcPr>
                  <w:tcW w:w="6217" w:type="dxa"/>
                  <w:tcBorders>
                    <w:top w:val="single" w:sz="6" w:space="0" w:color="BFBFBF"/>
                  </w:tcBorders>
                </w:tcPr>
                <w:p w:rsidR="00FD5173" w:rsidRPr="00F9617A" w:rsidRDefault="00FD5173" w:rsidP="00387DC2">
                  <w:pPr>
                    <w:pStyle w:val="TableBodyText"/>
                    <w:spacing w:before="120" w:after="0"/>
                    <w:ind w:left="57"/>
                    <w:jc w:val="left"/>
                    <w:rPr>
                      <w:b/>
                    </w:rPr>
                  </w:pPr>
                </w:p>
              </w:tc>
              <w:tc>
                <w:tcPr>
                  <w:tcW w:w="1013" w:type="dxa"/>
                  <w:tcBorders>
                    <w:top w:val="single" w:sz="6" w:space="0" w:color="BFBFBF"/>
                  </w:tcBorders>
                </w:tcPr>
                <w:p w:rsidR="00FD5173" w:rsidRPr="00F9617A" w:rsidRDefault="00FD5173" w:rsidP="00387DC2">
                  <w:pPr>
                    <w:pStyle w:val="TableBodyText"/>
                    <w:spacing w:before="120" w:after="0"/>
                    <w:ind w:left="57"/>
                    <w:rPr>
                      <w:b/>
                    </w:rPr>
                  </w:pPr>
                </w:p>
              </w:tc>
            </w:tr>
            <w:tr w:rsidR="00FD5173" w:rsidTr="00387DC2">
              <w:tc>
                <w:tcPr>
                  <w:tcW w:w="6379" w:type="dxa"/>
                </w:tcPr>
                <w:p w:rsidR="00FD5173" w:rsidRPr="00BB73F9" w:rsidRDefault="00FD5173" w:rsidP="00387DC2">
                  <w:pPr>
                    <w:pStyle w:val="TableBodyText"/>
                    <w:tabs>
                      <w:tab w:val="left" w:pos="1065"/>
                    </w:tabs>
                    <w:spacing w:before="40"/>
                    <w:ind w:left="57"/>
                    <w:jc w:val="left"/>
                  </w:pPr>
                  <w:r>
                    <w:t>42</w:t>
                  </w:r>
                  <w:r w:rsidRPr="00400A7C">
                    <w:rPr>
                      <w:vertAlign w:val="superscript"/>
                    </w:rPr>
                    <w:t>nd</w:t>
                  </w:r>
                  <w:r>
                    <w:t xml:space="preserve"> Australian Conference of Economists, Perth (Tim Murray)</w:t>
                  </w:r>
                </w:p>
              </w:tc>
              <w:tc>
                <w:tcPr>
                  <w:tcW w:w="6217" w:type="dxa"/>
                </w:tcPr>
                <w:p w:rsidR="00FD5173" w:rsidRPr="00BB73F9" w:rsidRDefault="00FD5173" w:rsidP="00387DC2">
                  <w:pPr>
                    <w:pStyle w:val="TableBodyText"/>
                    <w:spacing w:before="40"/>
                    <w:ind w:left="57"/>
                    <w:jc w:val="left"/>
                  </w:pPr>
                  <w:r>
                    <w:t>The role of modelling in evaluating Trans-Tasman recognition of imputation credits</w:t>
                  </w:r>
                </w:p>
              </w:tc>
              <w:tc>
                <w:tcPr>
                  <w:tcW w:w="1013" w:type="dxa"/>
                </w:tcPr>
                <w:p w:rsidR="00FD5173" w:rsidRPr="00BB73F9" w:rsidRDefault="00FD5173" w:rsidP="00387DC2">
                  <w:pPr>
                    <w:pStyle w:val="TableBodyText"/>
                    <w:spacing w:before="40"/>
                    <w:ind w:left="57"/>
                  </w:pPr>
                  <w:r>
                    <w:t>July 2013</w:t>
                  </w:r>
                </w:p>
              </w:tc>
            </w:tr>
            <w:tr w:rsidR="00FD5173" w:rsidTr="00387DC2">
              <w:tc>
                <w:tcPr>
                  <w:tcW w:w="6379" w:type="dxa"/>
                </w:tcPr>
                <w:p w:rsidR="00FD5173" w:rsidRPr="002058C9" w:rsidRDefault="00FD5173" w:rsidP="00387DC2">
                  <w:pPr>
                    <w:pStyle w:val="TableBodyText"/>
                    <w:tabs>
                      <w:tab w:val="left" w:pos="1065"/>
                    </w:tabs>
                    <w:spacing w:before="40"/>
                    <w:ind w:left="57"/>
                    <w:jc w:val="left"/>
                  </w:pPr>
                  <w:r w:rsidRPr="002058C9">
                    <w:t>Inaugural meeting of the Expert Advisory Group for the Australian Gambling Research Centre, Melbourne(Ralph Lattimore)</w:t>
                  </w:r>
                </w:p>
              </w:tc>
              <w:tc>
                <w:tcPr>
                  <w:tcW w:w="6217" w:type="dxa"/>
                </w:tcPr>
                <w:p w:rsidR="00FD5173" w:rsidRPr="002058C9" w:rsidRDefault="00FD5173" w:rsidP="00387DC2">
                  <w:pPr>
                    <w:pStyle w:val="TableBodyText"/>
                    <w:tabs>
                      <w:tab w:val="left" w:pos="1065"/>
                    </w:tabs>
                    <w:spacing w:before="40"/>
                    <w:ind w:left="57"/>
                    <w:jc w:val="left"/>
                  </w:pPr>
                  <w:r w:rsidRPr="002058C9">
                    <w:t>Priorities and opportunities in gambling research</w:t>
                  </w:r>
                </w:p>
              </w:tc>
              <w:tc>
                <w:tcPr>
                  <w:tcW w:w="1013" w:type="dxa"/>
                </w:tcPr>
                <w:p w:rsidR="00FD5173" w:rsidRPr="00BB73F9" w:rsidRDefault="00FD5173" w:rsidP="00387DC2">
                  <w:pPr>
                    <w:pStyle w:val="TableBodyText"/>
                    <w:spacing w:before="40"/>
                    <w:ind w:left="57"/>
                  </w:pPr>
                  <w:r>
                    <w:t>July 2013</w:t>
                  </w:r>
                </w:p>
              </w:tc>
            </w:tr>
            <w:tr w:rsidR="00FD5173" w:rsidTr="00387DC2">
              <w:tc>
                <w:tcPr>
                  <w:tcW w:w="6379" w:type="dxa"/>
                </w:tcPr>
                <w:p w:rsidR="00FD5173" w:rsidRPr="00FD5173" w:rsidRDefault="00FD5173" w:rsidP="00FD5173">
                  <w:pPr>
                    <w:pStyle w:val="TableBodyText"/>
                    <w:tabs>
                      <w:tab w:val="left" w:pos="1065"/>
                    </w:tabs>
                    <w:spacing w:before="40"/>
                    <w:ind w:left="57"/>
                    <w:jc w:val="left"/>
                  </w:pPr>
                  <w:r w:rsidRPr="00FD5173">
                    <w:t>Melbourne Institute Public Economics Forum, Canberra (Meredith Baker)</w:t>
                  </w:r>
                </w:p>
              </w:tc>
              <w:tc>
                <w:tcPr>
                  <w:tcW w:w="6217" w:type="dxa"/>
                </w:tcPr>
                <w:p w:rsidR="00FD5173" w:rsidRPr="00FD5173" w:rsidRDefault="00FD5173" w:rsidP="00FD5173">
                  <w:pPr>
                    <w:pStyle w:val="TableBodyText"/>
                    <w:tabs>
                      <w:tab w:val="left" w:pos="1065"/>
                    </w:tabs>
                    <w:spacing w:before="40"/>
                    <w:ind w:left="57"/>
                    <w:jc w:val="left"/>
                  </w:pPr>
                  <w:r w:rsidRPr="00FD5173">
                    <w:t>Education and training investments: do young people make good decisions?</w:t>
                  </w:r>
                </w:p>
              </w:tc>
              <w:tc>
                <w:tcPr>
                  <w:tcW w:w="1013" w:type="dxa"/>
                </w:tcPr>
                <w:p w:rsidR="00FD5173" w:rsidRPr="00FD5173" w:rsidRDefault="00FD5173" w:rsidP="00FD5173">
                  <w:pPr>
                    <w:pStyle w:val="TableBodyText"/>
                    <w:spacing w:before="40"/>
                    <w:ind w:left="57"/>
                  </w:pPr>
                  <w:r w:rsidRPr="00FD5173">
                    <w:t>July 2013</w:t>
                  </w:r>
                </w:p>
              </w:tc>
            </w:tr>
            <w:tr w:rsidR="00FD5173" w:rsidTr="00387DC2">
              <w:tc>
                <w:tcPr>
                  <w:tcW w:w="6379" w:type="dxa"/>
                </w:tcPr>
                <w:p w:rsidR="00FD5173" w:rsidRPr="00FD5173" w:rsidRDefault="00FD5173" w:rsidP="00FD5173">
                  <w:pPr>
                    <w:pStyle w:val="TableBodyText"/>
                    <w:tabs>
                      <w:tab w:val="left" w:pos="1065"/>
                    </w:tabs>
                    <w:spacing w:before="40"/>
                    <w:ind w:left="57"/>
                    <w:jc w:val="left"/>
                  </w:pPr>
                  <w:r w:rsidRPr="00FD5173">
                    <w:t>Singapore Senior Management Program Dialogue, Canberra (Alan Johnston &amp; Colin Clarke)</w:t>
                  </w:r>
                </w:p>
              </w:tc>
              <w:tc>
                <w:tcPr>
                  <w:tcW w:w="6217" w:type="dxa"/>
                </w:tcPr>
                <w:p w:rsidR="00FD5173" w:rsidRPr="00FD5173" w:rsidRDefault="00FD5173" w:rsidP="00FD5173">
                  <w:pPr>
                    <w:pStyle w:val="TableBodyText"/>
                    <w:tabs>
                      <w:tab w:val="left" w:pos="1065"/>
                    </w:tabs>
                    <w:spacing w:before="40"/>
                    <w:ind w:left="57"/>
                    <w:jc w:val="left"/>
                  </w:pPr>
                  <w:r w:rsidRPr="00FD5173">
                    <w:t>A productive &amp; resilient Australian economy in the Asian Century</w:t>
                  </w:r>
                </w:p>
              </w:tc>
              <w:tc>
                <w:tcPr>
                  <w:tcW w:w="1013" w:type="dxa"/>
                </w:tcPr>
                <w:p w:rsidR="00FD5173" w:rsidRPr="00FD5173" w:rsidRDefault="00FD5173" w:rsidP="00FD5173">
                  <w:pPr>
                    <w:pStyle w:val="TableBodyText"/>
                    <w:spacing w:before="40"/>
                    <w:ind w:left="57"/>
                  </w:pPr>
                  <w:r w:rsidRPr="00FD5173">
                    <w:t>July 2013</w:t>
                  </w:r>
                </w:p>
              </w:tc>
            </w:tr>
            <w:tr w:rsidR="00FD5173" w:rsidTr="00387DC2">
              <w:tc>
                <w:tcPr>
                  <w:tcW w:w="6379" w:type="dxa"/>
                </w:tcPr>
                <w:p w:rsidR="00FD5173" w:rsidRPr="00FD5173" w:rsidRDefault="00FD5173" w:rsidP="00FD5173">
                  <w:pPr>
                    <w:pStyle w:val="TableBodyText"/>
                    <w:tabs>
                      <w:tab w:val="left" w:pos="1065"/>
                    </w:tabs>
                    <w:spacing w:before="40"/>
                    <w:ind w:left="57"/>
                    <w:jc w:val="left"/>
                  </w:pPr>
                  <w:r w:rsidRPr="00FD5173">
                    <w:t>Treasury Seminar, Canberra (Ralph Lattimore)</w:t>
                  </w:r>
                </w:p>
              </w:tc>
              <w:tc>
                <w:tcPr>
                  <w:tcW w:w="6217" w:type="dxa"/>
                </w:tcPr>
                <w:p w:rsidR="00FD5173" w:rsidRPr="00FD5173" w:rsidRDefault="00FD5173" w:rsidP="00FD5173">
                  <w:pPr>
                    <w:pStyle w:val="TableBodyText"/>
                    <w:tabs>
                      <w:tab w:val="left" w:pos="1065"/>
                    </w:tabs>
                    <w:spacing w:before="40"/>
                    <w:ind w:left="57"/>
                    <w:jc w:val="left"/>
                  </w:pPr>
                  <w:r w:rsidRPr="00FD5173">
                    <w:t>Innovation</w:t>
                  </w:r>
                </w:p>
              </w:tc>
              <w:tc>
                <w:tcPr>
                  <w:tcW w:w="1013" w:type="dxa"/>
                </w:tcPr>
                <w:p w:rsidR="00FD5173" w:rsidRPr="00FD5173" w:rsidRDefault="00FD5173" w:rsidP="00FD5173">
                  <w:pPr>
                    <w:pStyle w:val="TableBodyText"/>
                    <w:spacing w:before="40"/>
                    <w:ind w:left="57"/>
                  </w:pPr>
                  <w:r w:rsidRPr="00FD5173">
                    <w:t>Aug 2013</w:t>
                  </w:r>
                </w:p>
              </w:tc>
            </w:tr>
            <w:tr w:rsidR="00FD5173" w:rsidTr="00387DC2">
              <w:tc>
                <w:tcPr>
                  <w:tcW w:w="6379" w:type="dxa"/>
                </w:tcPr>
                <w:p w:rsidR="00FD5173" w:rsidRPr="002058C9" w:rsidRDefault="00FD5173" w:rsidP="00FD5173">
                  <w:pPr>
                    <w:pStyle w:val="TableBodyText"/>
                    <w:tabs>
                      <w:tab w:val="left" w:pos="1065"/>
                    </w:tabs>
                    <w:spacing w:before="40"/>
                    <w:ind w:left="57"/>
                    <w:jc w:val="left"/>
                  </w:pPr>
                  <w:r w:rsidRPr="002058C9">
                    <w:t>HILDA Survey Research Conference 2013, Melbourne (Jane Fry &amp; Clare Boulton)</w:t>
                  </w:r>
                </w:p>
              </w:tc>
              <w:tc>
                <w:tcPr>
                  <w:tcW w:w="6217" w:type="dxa"/>
                </w:tcPr>
                <w:p w:rsidR="00FD5173" w:rsidRPr="002058C9" w:rsidRDefault="00FD5173" w:rsidP="00FD5173">
                  <w:pPr>
                    <w:pStyle w:val="TableBodyText"/>
                    <w:tabs>
                      <w:tab w:val="left" w:pos="1065"/>
                    </w:tabs>
                    <w:spacing w:before="40"/>
                    <w:ind w:left="57"/>
                    <w:jc w:val="left"/>
                  </w:pPr>
                  <w:r w:rsidRPr="002058C9">
                    <w:t>Transition pathways in HILDA using optimal matching and cluster analysis</w:t>
                  </w:r>
                </w:p>
              </w:tc>
              <w:tc>
                <w:tcPr>
                  <w:tcW w:w="1013" w:type="dxa"/>
                </w:tcPr>
                <w:p w:rsidR="00FD5173" w:rsidRDefault="00FD5173" w:rsidP="00FD5173">
                  <w:pPr>
                    <w:pStyle w:val="TableBodyText"/>
                    <w:spacing w:before="40"/>
                    <w:ind w:left="57"/>
                  </w:pPr>
                  <w:r>
                    <w:t>Oct 2013</w:t>
                  </w:r>
                </w:p>
              </w:tc>
            </w:tr>
            <w:tr w:rsidR="00FD5173" w:rsidTr="00387DC2">
              <w:tc>
                <w:tcPr>
                  <w:tcW w:w="6379" w:type="dxa"/>
                </w:tcPr>
                <w:p w:rsidR="00FD5173" w:rsidRPr="00A23340" w:rsidRDefault="00FD5173" w:rsidP="00FD5173">
                  <w:pPr>
                    <w:pStyle w:val="TableBodyText"/>
                    <w:tabs>
                      <w:tab w:val="left" w:pos="1065"/>
                    </w:tabs>
                    <w:spacing w:before="40"/>
                    <w:ind w:left="57"/>
                    <w:jc w:val="left"/>
                  </w:pPr>
                  <w:r w:rsidRPr="00A23340">
                    <w:t>Monash University Problem Gambling: An Interdisciplinary Dialogue, Melbourne (Ralph Lattimore)</w:t>
                  </w:r>
                </w:p>
              </w:tc>
              <w:tc>
                <w:tcPr>
                  <w:tcW w:w="6217" w:type="dxa"/>
                </w:tcPr>
                <w:p w:rsidR="00FD5173" w:rsidRPr="00A23340" w:rsidRDefault="00FD5173" w:rsidP="00FD5173">
                  <w:pPr>
                    <w:pStyle w:val="TableBodyText"/>
                    <w:tabs>
                      <w:tab w:val="left" w:pos="1065"/>
                    </w:tabs>
                    <w:spacing w:before="40"/>
                    <w:ind w:left="57"/>
                    <w:jc w:val="left"/>
                  </w:pPr>
                  <w:r w:rsidRPr="00A23340">
                    <w:t>An overview of gambling in Australia</w:t>
                  </w:r>
                </w:p>
              </w:tc>
              <w:tc>
                <w:tcPr>
                  <w:tcW w:w="1013" w:type="dxa"/>
                </w:tcPr>
                <w:p w:rsidR="00FD5173" w:rsidRDefault="00FD5173" w:rsidP="00FD5173">
                  <w:pPr>
                    <w:pStyle w:val="TableBodyText"/>
                    <w:spacing w:before="40"/>
                    <w:ind w:left="57"/>
                  </w:pPr>
                  <w:r>
                    <w:t>Oct 2013</w:t>
                  </w:r>
                </w:p>
              </w:tc>
            </w:tr>
            <w:tr w:rsidR="00FD5173" w:rsidTr="00387DC2">
              <w:tc>
                <w:tcPr>
                  <w:tcW w:w="6379" w:type="dxa"/>
                </w:tcPr>
                <w:p w:rsidR="00FD5173" w:rsidRPr="002058C9" w:rsidRDefault="00FD5173" w:rsidP="00FD5173">
                  <w:pPr>
                    <w:pStyle w:val="TableBodyText"/>
                    <w:tabs>
                      <w:tab w:val="left" w:pos="1065"/>
                    </w:tabs>
                    <w:spacing w:before="40"/>
                    <w:ind w:left="57"/>
                    <w:jc w:val="left"/>
                  </w:pPr>
                  <w:r w:rsidRPr="002058C9">
                    <w:t>Australian Housing and Urban Research Institute (</w:t>
                  </w:r>
                  <w:proofErr w:type="spellStart"/>
                  <w:r w:rsidRPr="002058C9">
                    <w:t>AHURI</w:t>
                  </w:r>
                  <w:proofErr w:type="spellEnd"/>
                  <w:r w:rsidRPr="002058C9">
                    <w:t>) National Housing Conference 2013, Adelaide (Tina Samardzija)</w:t>
                  </w:r>
                </w:p>
              </w:tc>
              <w:tc>
                <w:tcPr>
                  <w:tcW w:w="6217" w:type="dxa"/>
                </w:tcPr>
                <w:p w:rsidR="00FD5173" w:rsidRPr="002058C9" w:rsidRDefault="00FD5173" w:rsidP="00FD5173">
                  <w:pPr>
                    <w:pStyle w:val="TableBodyText"/>
                    <w:tabs>
                      <w:tab w:val="left" w:pos="1065"/>
                    </w:tabs>
                    <w:spacing w:before="40"/>
                    <w:ind w:left="57"/>
                    <w:jc w:val="left"/>
                  </w:pPr>
                  <w:r w:rsidRPr="002058C9">
                    <w:t>Affordable housing research, policy and practice</w:t>
                  </w:r>
                </w:p>
              </w:tc>
              <w:tc>
                <w:tcPr>
                  <w:tcW w:w="1013" w:type="dxa"/>
                </w:tcPr>
                <w:p w:rsidR="00FD5173" w:rsidRDefault="00FD5173" w:rsidP="00FD5173">
                  <w:pPr>
                    <w:pStyle w:val="TableBodyText"/>
                    <w:spacing w:before="40"/>
                    <w:ind w:left="57"/>
                  </w:pPr>
                  <w:r>
                    <w:t>Oct 2013</w:t>
                  </w:r>
                </w:p>
              </w:tc>
            </w:tr>
            <w:tr w:rsidR="00FD5173" w:rsidTr="00387DC2">
              <w:tc>
                <w:tcPr>
                  <w:tcW w:w="6379" w:type="dxa"/>
                </w:tcPr>
                <w:p w:rsidR="00FD5173" w:rsidRPr="00C462AC" w:rsidRDefault="00FD5173" w:rsidP="00FD5173">
                  <w:pPr>
                    <w:pStyle w:val="TableBodyText"/>
                    <w:tabs>
                      <w:tab w:val="left" w:pos="1065"/>
                    </w:tabs>
                    <w:spacing w:before="40"/>
                    <w:ind w:left="57"/>
                    <w:jc w:val="left"/>
                  </w:pPr>
                  <w:r w:rsidRPr="00C462AC">
                    <w:t>Department of Employment, Education and Workplace Relations Seminar Series, Canberra (Rosalie McLachlan &amp; Geoff Gilfil</w:t>
                  </w:r>
                  <w:r w:rsidR="00A36CFE">
                    <w:t>l</w:t>
                  </w:r>
                  <w:r w:rsidRPr="00C462AC">
                    <w:t>an)</w:t>
                  </w:r>
                </w:p>
              </w:tc>
              <w:tc>
                <w:tcPr>
                  <w:tcW w:w="6217" w:type="dxa"/>
                </w:tcPr>
                <w:p w:rsidR="00FD5173" w:rsidRPr="00C462AC" w:rsidRDefault="00FD5173" w:rsidP="00FD5173">
                  <w:pPr>
                    <w:pStyle w:val="TableBodyText"/>
                    <w:tabs>
                      <w:tab w:val="left" w:pos="1065"/>
                    </w:tabs>
                    <w:spacing w:before="40"/>
                    <w:ind w:left="57"/>
                    <w:jc w:val="left"/>
                  </w:pPr>
                  <w:r w:rsidRPr="00C462AC">
                    <w:t xml:space="preserve">Commission’s </w:t>
                  </w:r>
                  <w:proofErr w:type="spellStart"/>
                  <w:r w:rsidRPr="00C462AC">
                    <w:t>SWP</w:t>
                  </w:r>
                  <w:proofErr w:type="spellEnd"/>
                  <w:r w:rsidRPr="00C462AC">
                    <w:t xml:space="preserve"> on Deep &amp; Persistent Disadvantage in Australia</w:t>
                  </w:r>
                </w:p>
              </w:tc>
              <w:tc>
                <w:tcPr>
                  <w:tcW w:w="1013" w:type="dxa"/>
                </w:tcPr>
                <w:p w:rsidR="00FD5173" w:rsidRDefault="00FD5173" w:rsidP="00FD5173">
                  <w:pPr>
                    <w:pStyle w:val="TableBodyText"/>
                    <w:spacing w:before="40"/>
                    <w:ind w:left="57"/>
                  </w:pPr>
                  <w:r>
                    <w:t>Nov 2013</w:t>
                  </w:r>
                </w:p>
              </w:tc>
            </w:tr>
            <w:tr w:rsidR="00FD5173" w:rsidTr="00387DC2">
              <w:tc>
                <w:tcPr>
                  <w:tcW w:w="6379" w:type="dxa"/>
                </w:tcPr>
                <w:p w:rsidR="00FD5173" w:rsidRPr="00C462AC" w:rsidRDefault="00FD5173" w:rsidP="00FD5173">
                  <w:pPr>
                    <w:pStyle w:val="TableBodyText"/>
                    <w:tabs>
                      <w:tab w:val="left" w:pos="1065"/>
                    </w:tabs>
                    <w:spacing w:before="40"/>
                    <w:ind w:left="57"/>
                    <w:jc w:val="left"/>
                  </w:pPr>
                  <w:r w:rsidRPr="00C462AC">
                    <w:t>2013 Workshop on Public Sector Human Resource Management, China (Greg Murtough)</w:t>
                  </w:r>
                </w:p>
              </w:tc>
              <w:tc>
                <w:tcPr>
                  <w:tcW w:w="6217" w:type="dxa"/>
                </w:tcPr>
                <w:p w:rsidR="00FD5173" w:rsidRPr="00C462AC" w:rsidRDefault="00FD5173" w:rsidP="00FD5173">
                  <w:pPr>
                    <w:pStyle w:val="TableBodyText"/>
                    <w:tabs>
                      <w:tab w:val="left" w:pos="1065"/>
                    </w:tabs>
                    <w:spacing w:before="40"/>
                    <w:ind w:left="57"/>
                    <w:jc w:val="left"/>
                  </w:pPr>
                  <w:r w:rsidRPr="00C462AC">
                    <w:t>Performance management of teachers</w:t>
                  </w:r>
                </w:p>
              </w:tc>
              <w:tc>
                <w:tcPr>
                  <w:tcW w:w="1013" w:type="dxa"/>
                </w:tcPr>
                <w:p w:rsidR="00FD5173" w:rsidRDefault="00FD5173" w:rsidP="00FD5173">
                  <w:pPr>
                    <w:pStyle w:val="TableBodyText"/>
                    <w:spacing w:before="40"/>
                    <w:ind w:left="57"/>
                  </w:pPr>
                  <w:r>
                    <w:t>Nov 2013</w:t>
                  </w:r>
                </w:p>
              </w:tc>
            </w:tr>
            <w:tr w:rsidR="00FD5173" w:rsidTr="00387DC2">
              <w:tc>
                <w:tcPr>
                  <w:tcW w:w="6379" w:type="dxa"/>
                </w:tcPr>
                <w:p w:rsidR="00FD5173" w:rsidRPr="00C462AC" w:rsidRDefault="00FD5173" w:rsidP="00FD5173">
                  <w:pPr>
                    <w:pStyle w:val="TableBodyText"/>
                    <w:tabs>
                      <w:tab w:val="left" w:pos="1065"/>
                    </w:tabs>
                    <w:spacing w:before="40"/>
                    <w:ind w:left="57"/>
                    <w:jc w:val="left"/>
                  </w:pPr>
                  <w:r w:rsidRPr="00C462AC">
                    <w:t>Australian Association of Gerontology ACT Division Christmas Breakfast, Canberra (Rosalie McLachlan)</w:t>
                  </w:r>
                </w:p>
              </w:tc>
              <w:tc>
                <w:tcPr>
                  <w:tcW w:w="6217" w:type="dxa"/>
                </w:tcPr>
                <w:p w:rsidR="00FD5173" w:rsidRPr="00C462AC" w:rsidRDefault="00FD5173" w:rsidP="00FD5173">
                  <w:pPr>
                    <w:pStyle w:val="TableBodyText"/>
                    <w:tabs>
                      <w:tab w:val="left" w:pos="1065"/>
                    </w:tabs>
                    <w:spacing w:before="40"/>
                    <w:ind w:left="57"/>
                    <w:jc w:val="left"/>
                  </w:pPr>
                  <w:r w:rsidRPr="00C462AC">
                    <w:t xml:space="preserve">Commission’s </w:t>
                  </w:r>
                  <w:proofErr w:type="spellStart"/>
                  <w:r w:rsidRPr="00C462AC">
                    <w:t>SWP</w:t>
                  </w:r>
                  <w:proofErr w:type="spellEnd"/>
                  <w:r w:rsidRPr="00C462AC">
                    <w:t xml:space="preserve"> on Deep &amp; Persistent Disadvantage in Australia: How do older people fare?</w:t>
                  </w:r>
                </w:p>
              </w:tc>
              <w:tc>
                <w:tcPr>
                  <w:tcW w:w="1013" w:type="dxa"/>
                </w:tcPr>
                <w:p w:rsidR="00FD5173" w:rsidRDefault="00FD5173" w:rsidP="00FD5173">
                  <w:pPr>
                    <w:pStyle w:val="TableBodyText"/>
                    <w:spacing w:before="40"/>
                    <w:ind w:left="57"/>
                  </w:pPr>
                  <w:r>
                    <w:t>Dec 2013</w:t>
                  </w:r>
                </w:p>
              </w:tc>
            </w:tr>
            <w:tr w:rsidR="00FD5173" w:rsidTr="008B701A">
              <w:tc>
                <w:tcPr>
                  <w:tcW w:w="6379" w:type="dxa"/>
                </w:tcPr>
                <w:p w:rsidR="00FD5173" w:rsidRPr="00C462AC" w:rsidRDefault="00FD5173" w:rsidP="00FD5173">
                  <w:pPr>
                    <w:pStyle w:val="TableBodyText"/>
                    <w:tabs>
                      <w:tab w:val="left" w:pos="1065"/>
                    </w:tabs>
                    <w:spacing w:before="40"/>
                    <w:ind w:left="57"/>
                    <w:jc w:val="left"/>
                  </w:pPr>
                  <w:r w:rsidRPr="00C462AC">
                    <w:t xml:space="preserve">Australian </w:t>
                  </w:r>
                  <w:proofErr w:type="spellStart"/>
                  <w:r w:rsidRPr="00C462AC">
                    <w:t>Children¹s</w:t>
                  </w:r>
                  <w:proofErr w:type="spellEnd"/>
                  <w:r w:rsidRPr="00C462AC">
                    <w:t xml:space="preserve"> Education &amp; Care Quality Authority Forum, Sydney (Rosalyn Bell)</w:t>
                  </w:r>
                </w:p>
              </w:tc>
              <w:tc>
                <w:tcPr>
                  <w:tcW w:w="6217" w:type="dxa"/>
                </w:tcPr>
                <w:p w:rsidR="00FD5173" w:rsidRPr="00C462AC" w:rsidRDefault="00FD5173" w:rsidP="00FD5173">
                  <w:pPr>
                    <w:pStyle w:val="TableBodyText"/>
                    <w:tabs>
                      <w:tab w:val="left" w:pos="1065"/>
                    </w:tabs>
                    <w:spacing w:before="40"/>
                    <w:ind w:left="57"/>
                    <w:jc w:val="left"/>
                  </w:pPr>
                  <w:r w:rsidRPr="00C462AC">
                    <w:t>Commission’s inquiry into Childcare and Early Learning</w:t>
                  </w:r>
                </w:p>
              </w:tc>
              <w:tc>
                <w:tcPr>
                  <w:tcW w:w="1013" w:type="dxa"/>
                </w:tcPr>
                <w:p w:rsidR="00FD5173" w:rsidRDefault="00FD5173" w:rsidP="00FD5173">
                  <w:pPr>
                    <w:pStyle w:val="TableBodyText"/>
                    <w:spacing w:before="40"/>
                    <w:ind w:left="57"/>
                  </w:pPr>
                  <w:r>
                    <w:t>Dec 2013</w:t>
                  </w:r>
                </w:p>
              </w:tc>
            </w:tr>
            <w:tr w:rsidR="008B701A" w:rsidTr="008B701A">
              <w:tc>
                <w:tcPr>
                  <w:tcW w:w="6379" w:type="dxa"/>
                  <w:tcBorders>
                    <w:left w:val="single" w:sz="6" w:space="0" w:color="F2F2F2"/>
                    <w:bottom w:val="single" w:sz="6" w:space="0" w:color="BFBFBF"/>
                  </w:tcBorders>
                </w:tcPr>
                <w:p w:rsidR="008B701A" w:rsidRPr="008B701A" w:rsidRDefault="008B701A" w:rsidP="008B701A">
                  <w:pPr>
                    <w:pStyle w:val="TableBodyText"/>
                    <w:tabs>
                      <w:tab w:val="left" w:pos="1065"/>
                    </w:tabs>
                    <w:spacing w:before="40"/>
                    <w:ind w:left="57"/>
                    <w:jc w:val="left"/>
                  </w:pPr>
                  <w:r w:rsidRPr="008B701A">
                    <w:t>Excessive Gambling: prevention and harm reduction, Switzerland (Ralph Lattimore)</w:t>
                  </w:r>
                </w:p>
              </w:tc>
              <w:tc>
                <w:tcPr>
                  <w:tcW w:w="6217" w:type="dxa"/>
                  <w:tcBorders>
                    <w:bottom w:val="single" w:sz="6" w:space="0" w:color="BFBFBF"/>
                  </w:tcBorders>
                </w:tcPr>
                <w:p w:rsidR="008B701A" w:rsidRPr="008B701A" w:rsidRDefault="008B701A" w:rsidP="008B701A">
                  <w:pPr>
                    <w:pStyle w:val="TableBodyText"/>
                    <w:tabs>
                      <w:tab w:val="left" w:pos="1065"/>
                    </w:tabs>
                    <w:spacing w:before="40"/>
                    <w:ind w:left="57"/>
                    <w:jc w:val="left"/>
                  </w:pPr>
                  <w:r w:rsidRPr="008B701A">
                    <w:t>Costs and benefits of gambling, from the Commission’s 2010 Inquiry into Gambling</w:t>
                  </w:r>
                </w:p>
              </w:tc>
              <w:tc>
                <w:tcPr>
                  <w:tcW w:w="1013" w:type="dxa"/>
                  <w:tcBorders>
                    <w:bottom w:val="single" w:sz="6" w:space="0" w:color="BFBFBF"/>
                    <w:right w:val="single" w:sz="6" w:space="0" w:color="F2F2F2"/>
                  </w:tcBorders>
                </w:tcPr>
                <w:p w:rsidR="008B701A" w:rsidRPr="008B701A" w:rsidRDefault="008B701A" w:rsidP="008B701A">
                  <w:pPr>
                    <w:pStyle w:val="TableBodyText"/>
                    <w:spacing w:before="40"/>
                    <w:ind w:left="57"/>
                  </w:pPr>
                  <w:r w:rsidRPr="008B701A">
                    <w:t>Jan 2014</w:t>
                  </w:r>
                </w:p>
              </w:tc>
            </w:tr>
          </w:tbl>
          <w:p w:rsidR="00FD5173" w:rsidRDefault="00FD5173" w:rsidP="00387DC2">
            <w:pPr>
              <w:pStyle w:val="Box"/>
            </w:pPr>
          </w:p>
        </w:tc>
      </w:tr>
      <w:tr w:rsidR="00FD5173" w:rsidTr="00387DC2">
        <w:trPr>
          <w:cantSplit/>
        </w:trPr>
        <w:tc>
          <w:tcPr>
            <w:tcW w:w="5000" w:type="pct"/>
            <w:tcBorders>
              <w:top w:val="nil"/>
              <w:left w:val="nil"/>
              <w:bottom w:val="nil"/>
              <w:right w:val="nil"/>
            </w:tcBorders>
            <w:shd w:val="clear" w:color="auto" w:fill="auto"/>
          </w:tcPr>
          <w:p w:rsidR="00FD5173" w:rsidRDefault="00FD5173" w:rsidP="00387DC2">
            <w:pPr>
              <w:pStyle w:val="Continued"/>
              <w:spacing w:before="120"/>
            </w:pPr>
            <w:r>
              <w:t>(continued next page)</w:t>
            </w:r>
          </w:p>
        </w:tc>
      </w:tr>
      <w:tr w:rsidR="00FD5173" w:rsidTr="00387DC2">
        <w:trPr>
          <w:cantSplit/>
        </w:trPr>
        <w:tc>
          <w:tcPr>
            <w:tcW w:w="5000" w:type="pct"/>
            <w:tcBorders>
              <w:top w:val="nil"/>
              <w:left w:val="nil"/>
              <w:bottom w:val="single" w:sz="6" w:space="0" w:color="78A22F"/>
              <w:right w:val="nil"/>
            </w:tcBorders>
            <w:shd w:val="clear" w:color="auto" w:fill="auto"/>
          </w:tcPr>
          <w:p w:rsidR="00FD5173" w:rsidRDefault="00FD5173" w:rsidP="00387DC2">
            <w:pPr>
              <w:pStyle w:val="Box"/>
              <w:spacing w:before="0" w:line="120" w:lineRule="exact"/>
            </w:pPr>
          </w:p>
        </w:tc>
      </w:tr>
      <w:tr w:rsidR="00FD5173" w:rsidRPr="000863A5" w:rsidTr="00387DC2">
        <w:tc>
          <w:tcPr>
            <w:tcW w:w="5000" w:type="pct"/>
            <w:tcBorders>
              <w:top w:val="single" w:sz="6" w:space="0" w:color="78A22F"/>
              <w:left w:val="nil"/>
              <w:bottom w:val="nil"/>
              <w:right w:val="nil"/>
            </w:tcBorders>
          </w:tcPr>
          <w:p w:rsidR="00FD5173" w:rsidRPr="00626D32" w:rsidRDefault="00FD5173" w:rsidP="00387DC2">
            <w:pPr>
              <w:pStyle w:val="BoxSpaceBelow"/>
            </w:pPr>
          </w:p>
        </w:tc>
      </w:tr>
    </w:tbl>
    <w:p w:rsidR="008B701A" w:rsidRDefault="008B701A" w:rsidP="008B701A">
      <w:pPr>
        <w:pStyle w:val="BoxSpaceAbove"/>
      </w:pPr>
    </w:p>
    <w:tbl>
      <w:tblPr>
        <w:tblW w:w="5000" w:type="pct"/>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13893"/>
      </w:tblGrid>
      <w:tr w:rsidR="008B701A" w:rsidTr="00387DC2">
        <w:tc>
          <w:tcPr>
            <w:tcW w:w="5000" w:type="pct"/>
            <w:tcBorders>
              <w:top w:val="single" w:sz="6" w:space="0" w:color="78A22F"/>
              <w:left w:val="nil"/>
              <w:bottom w:val="nil"/>
              <w:right w:val="nil"/>
            </w:tcBorders>
            <w:shd w:val="clear" w:color="auto" w:fill="auto"/>
          </w:tcPr>
          <w:p w:rsidR="008B701A" w:rsidRPr="00784A05" w:rsidRDefault="008B701A" w:rsidP="008B701A">
            <w:pPr>
              <w:pStyle w:val="TableTitle"/>
            </w:pPr>
            <w:r>
              <w:rPr>
                <w:b w:val="0"/>
              </w:rPr>
              <w:t>Table</w:t>
            </w:r>
            <w:r w:rsidRPr="008B701A">
              <w:rPr>
                <w:b w:val="0"/>
              </w:rPr>
              <w:t xml:space="preserve"> </w:t>
            </w:r>
            <w:proofErr w:type="spellStart"/>
            <w:r w:rsidRPr="008B701A">
              <w:rPr>
                <w:b w:val="0"/>
              </w:rPr>
              <w:t>E.1</w:t>
            </w:r>
            <w:proofErr w:type="spellEnd"/>
            <w:r>
              <w:tab/>
            </w:r>
            <w:r w:rsidRPr="00887BAC">
              <w:rPr>
                <w:sz w:val="20"/>
                <w:szCs w:val="20"/>
              </w:rPr>
              <w:t>(continued)</w:t>
            </w:r>
          </w:p>
        </w:tc>
      </w:tr>
      <w:tr w:rsidR="008B701A" w:rsidTr="008B701A">
        <w:trPr>
          <w:cantSplit/>
          <w:trHeight w:val="5526"/>
        </w:trPr>
        <w:tc>
          <w:tcPr>
            <w:tcW w:w="5000" w:type="pct"/>
            <w:tcBorders>
              <w:top w:val="nil"/>
              <w:left w:val="nil"/>
              <w:bottom w:val="nil"/>
              <w:right w:val="nil"/>
            </w:tcBorders>
            <w:shd w:val="clear" w:color="auto" w:fill="auto"/>
          </w:tcPr>
          <w:tbl>
            <w:tblPr>
              <w:tblW w:w="0" w:type="auto"/>
              <w:tblLayout w:type="fixed"/>
              <w:tblCellMar>
                <w:top w:w="28" w:type="dxa"/>
                <w:left w:w="0" w:type="dxa"/>
                <w:right w:w="0" w:type="dxa"/>
              </w:tblCellMar>
              <w:tblLook w:val="0000" w:firstRow="0" w:lastRow="0" w:firstColumn="0" w:lastColumn="0" w:noHBand="0" w:noVBand="0"/>
            </w:tblPr>
            <w:tblGrid>
              <w:gridCol w:w="6379"/>
              <w:gridCol w:w="6217"/>
              <w:gridCol w:w="1013"/>
            </w:tblGrid>
            <w:tr w:rsidR="008B701A" w:rsidTr="004103F0">
              <w:tc>
                <w:tcPr>
                  <w:tcW w:w="6379" w:type="dxa"/>
                  <w:tcBorders>
                    <w:top w:val="single" w:sz="6" w:space="0" w:color="BFBFBF"/>
                    <w:bottom w:val="single" w:sz="6" w:space="0" w:color="BFBFBF"/>
                  </w:tcBorders>
                  <w:shd w:val="clear" w:color="auto" w:fill="auto"/>
                  <w:tcMar>
                    <w:top w:w="28" w:type="dxa"/>
                  </w:tcMar>
                </w:tcPr>
                <w:p w:rsidR="008B701A" w:rsidRPr="009A2B37" w:rsidRDefault="008B701A" w:rsidP="00387DC2">
                  <w:pPr>
                    <w:pStyle w:val="TableColumnHeading"/>
                    <w:jc w:val="left"/>
                  </w:pPr>
                  <w:r w:rsidRPr="009A2B37">
                    <w:t>Organisation/event</w:t>
                  </w:r>
                </w:p>
              </w:tc>
              <w:tc>
                <w:tcPr>
                  <w:tcW w:w="6217" w:type="dxa"/>
                  <w:tcBorders>
                    <w:top w:val="single" w:sz="6" w:space="0" w:color="BFBFBF"/>
                    <w:bottom w:val="single" w:sz="6" w:space="0" w:color="BFBFBF"/>
                  </w:tcBorders>
                  <w:shd w:val="clear" w:color="auto" w:fill="auto"/>
                  <w:tcMar>
                    <w:top w:w="28" w:type="dxa"/>
                  </w:tcMar>
                </w:tcPr>
                <w:p w:rsidR="008B701A" w:rsidRPr="009A2B37" w:rsidRDefault="008B701A" w:rsidP="00387DC2">
                  <w:pPr>
                    <w:pStyle w:val="TableColumnHeading"/>
                    <w:jc w:val="left"/>
                  </w:pPr>
                  <w:r w:rsidRPr="009A2B37">
                    <w:t>Topic</w:t>
                  </w:r>
                </w:p>
              </w:tc>
              <w:tc>
                <w:tcPr>
                  <w:tcW w:w="1013" w:type="dxa"/>
                  <w:tcBorders>
                    <w:top w:val="single" w:sz="6" w:space="0" w:color="BFBFBF"/>
                    <w:bottom w:val="single" w:sz="6" w:space="0" w:color="BFBFBF"/>
                  </w:tcBorders>
                </w:tcPr>
                <w:p w:rsidR="008B701A" w:rsidRPr="009A2B37" w:rsidRDefault="008B701A" w:rsidP="00387DC2">
                  <w:pPr>
                    <w:pStyle w:val="TableColumnHeading"/>
                    <w:jc w:val="left"/>
                  </w:pPr>
                  <w:r w:rsidRPr="009A2B37">
                    <w:t>Date</w:t>
                  </w:r>
                </w:p>
              </w:tc>
            </w:tr>
            <w:tr w:rsidR="008B701A" w:rsidTr="004103F0">
              <w:tc>
                <w:tcPr>
                  <w:tcW w:w="6379" w:type="dxa"/>
                  <w:tcBorders>
                    <w:top w:val="single" w:sz="6" w:space="0" w:color="BFBFBF"/>
                  </w:tcBorders>
                </w:tcPr>
                <w:p w:rsidR="008B701A" w:rsidRPr="008B701A" w:rsidRDefault="008B701A" w:rsidP="00387DC2">
                  <w:pPr>
                    <w:pStyle w:val="TableBodyText"/>
                    <w:spacing w:before="120" w:after="0"/>
                    <w:ind w:left="57"/>
                    <w:jc w:val="left"/>
                    <w:rPr>
                      <w:i/>
                    </w:rPr>
                  </w:pPr>
                  <w:r>
                    <w:rPr>
                      <w:b/>
                    </w:rPr>
                    <w:t xml:space="preserve">Staff </w:t>
                  </w:r>
                  <w:r>
                    <w:rPr>
                      <w:i/>
                    </w:rPr>
                    <w:t>(continued)</w:t>
                  </w:r>
                </w:p>
              </w:tc>
              <w:tc>
                <w:tcPr>
                  <w:tcW w:w="6217" w:type="dxa"/>
                  <w:tcBorders>
                    <w:top w:val="single" w:sz="6" w:space="0" w:color="BFBFBF"/>
                  </w:tcBorders>
                </w:tcPr>
                <w:p w:rsidR="008B701A" w:rsidRPr="00F9617A" w:rsidRDefault="008B701A" w:rsidP="00387DC2">
                  <w:pPr>
                    <w:pStyle w:val="TableBodyText"/>
                    <w:spacing w:before="120" w:after="0"/>
                    <w:ind w:left="57"/>
                    <w:jc w:val="left"/>
                    <w:rPr>
                      <w:b/>
                    </w:rPr>
                  </w:pPr>
                </w:p>
              </w:tc>
              <w:tc>
                <w:tcPr>
                  <w:tcW w:w="1013" w:type="dxa"/>
                  <w:tcBorders>
                    <w:top w:val="single" w:sz="6" w:space="0" w:color="BFBFBF"/>
                  </w:tcBorders>
                </w:tcPr>
                <w:p w:rsidR="008B701A" w:rsidRPr="00F9617A" w:rsidRDefault="008B701A" w:rsidP="00387DC2">
                  <w:pPr>
                    <w:pStyle w:val="TableBodyText"/>
                    <w:spacing w:before="120" w:after="0"/>
                    <w:ind w:left="57"/>
                    <w:rPr>
                      <w:b/>
                    </w:rPr>
                  </w:pPr>
                </w:p>
              </w:tc>
            </w:tr>
            <w:tr w:rsidR="008B701A" w:rsidTr="00387DC2">
              <w:tc>
                <w:tcPr>
                  <w:tcW w:w="6379" w:type="dxa"/>
                </w:tcPr>
                <w:p w:rsidR="008B701A" w:rsidRPr="00C462AC" w:rsidRDefault="008B701A" w:rsidP="008B701A">
                  <w:pPr>
                    <w:pStyle w:val="TableBodyText"/>
                    <w:tabs>
                      <w:tab w:val="left" w:pos="1065"/>
                    </w:tabs>
                    <w:spacing w:before="40"/>
                    <w:ind w:left="57"/>
                    <w:jc w:val="left"/>
                  </w:pPr>
                  <w:r w:rsidRPr="00C462AC">
                    <w:t xml:space="preserve">3rd International </w:t>
                  </w:r>
                  <w:proofErr w:type="spellStart"/>
                  <w:r w:rsidRPr="00C462AC">
                    <w:t>mulitidisciplinary</w:t>
                  </w:r>
                  <w:proofErr w:type="spellEnd"/>
                  <w:r w:rsidRPr="00C462AC">
                    <w:t xml:space="preserve"> symposium on Excessive Gambling: Prevention and harm reduction, Switzerland (Ralph Lattimore)</w:t>
                  </w:r>
                </w:p>
              </w:tc>
              <w:tc>
                <w:tcPr>
                  <w:tcW w:w="6217" w:type="dxa"/>
                </w:tcPr>
                <w:p w:rsidR="008B701A" w:rsidRPr="00C462AC" w:rsidRDefault="008B701A" w:rsidP="008B701A">
                  <w:pPr>
                    <w:pStyle w:val="TableBodyText"/>
                    <w:tabs>
                      <w:tab w:val="left" w:pos="1065"/>
                    </w:tabs>
                    <w:spacing w:before="40"/>
                    <w:ind w:left="57"/>
                    <w:jc w:val="left"/>
                  </w:pPr>
                  <w:r w:rsidRPr="00C462AC">
                    <w:t xml:space="preserve">Economics of gambling: An Australian Perspective </w:t>
                  </w:r>
                </w:p>
              </w:tc>
              <w:tc>
                <w:tcPr>
                  <w:tcW w:w="1013" w:type="dxa"/>
                </w:tcPr>
                <w:p w:rsidR="008B701A" w:rsidRDefault="008B701A" w:rsidP="008B701A">
                  <w:pPr>
                    <w:pStyle w:val="TableBodyText"/>
                    <w:spacing w:before="40"/>
                    <w:ind w:left="57"/>
                  </w:pPr>
                  <w:r>
                    <w:t>Jan 2014</w:t>
                  </w:r>
                </w:p>
              </w:tc>
            </w:tr>
            <w:tr w:rsidR="008B701A" w:rsidTr="00387DC2">
              <w:tc>
                <w:tcPr>
                  <w:tcW w:w="6379" w:type="dxa"/>
                </w:tcPr>
                <w:p w:rsidR="008B701A" w:rsidRPr="00C462AC" w:rsidRDefault="008B701A" w:rsidP="008B701A">
                  <w:pPr>
                    <w:pStyle w:val="TableBodyText"/>
                    <w:tabs>
                      <w:tab w:val="left" w:pos="1065"/>
                    </w:tabs>
                    <w:spacing w:before="40"/>
                    <w:ind w:left="57"/>
                    <w:jc w:val="left"/>
                  </w:pPr>
                  <w:r w:rsidRPr="00C462AC">
                    <w:t>Australian Agriculture and Resource Economic Society Annual Conference, Port Macquarie(Rick Baker)</w:t>
                  </w:r>
                </w:p>
              </w:tc>
              <w:tc>
                <w:tcPr>
                  <w:tcW w:w="6217" w:type="dxa"/>
                </w:tcPr>
                <w:p w:rsidR="008B701A" w:rsidRPr="00C462AC" w:rsidRDefault="008B701A" w:rsidP="008B701A">
                  <w:pPr>
                    <w:pStyle w:val="TableBodyText"/>
                    <w:tabs>
                      <w:tab w:val="left" w:pos="1065"/>
                    </w:tabs>
                    <w:spacing w:before="40"/>
                    <w:ind w:left="57"/>
                    <w:jc w:val="left"/>
                  </w:pPr>
                  <w:r w:rsidRPr="00C462AC">
                    <w:t>Environmental Policy Analysis: A Guide to Non</w:t>
                  </w:r>
                  <w:r w:rsidRPr="00C462AC">
                    <w:noBreakHyphen/>
                    <w:t>Market Valuation</w:t>
                  </w:r>
                </w:p>
              </w:tc>
              <w:tc>
                <w:tcPr>
                  <w:tcW w:w="1013" w:type="dxa"/>
                </w:tcPr>
                <w:p w:rsidR="008B701A" w:rsidRDefault="008B701A" w:rsidP="008B701A">
                  <w:pPr>
                    <w:pStyle w:val="TableBodyText"/>
                    <w:spacing w:before="40"/>
                    <w:ind w:left="57"/>
                  </w:pPr>
                  <w:r>
                    <w:t>Feb 2014</w:t>
                  </w:r>
                </w:p>
              </w:tc>
            </w:tr>
            <w:tr w:rsidR="008B701A" w:rsidTr="00387DC2">
              <w:tc>
                <w:tcPr>
                  <w:tcW w:w="6379" w:type="dxa"/>
                </w:tcPr>
                <w:p w:rsidR="008B701A" w:rsidRPr="00C462AC" w:rsidRDefault="008B701A" w:rsidP="008B701A">
                  <w:pPr>
                    <w:pStyle w:val="TableBodyText"/>
                    <w:tabs>
                      <w:tab w:val="left" w:pos="1065"/>
                    </w:tabs>
                    <w:spacing w:before="40"/>
                    <w:ind w:left="57"/>
                    <w:jc w:val="left"/>
                  </w:pPr>
                  <w:r w:rsidRPr="00C462AC">
                    <w:t>From Knowledge to Action - Australian Early Development Index (</w:t>
                  </w:r>
                  <w:proofErr w:type="spellStart"/>
                  <w:r w:rsidRPr="00C462AC">
                    <w:t>AEDI</w:t>
                  </w:r>
                  <w:proofErr w:type="spellEnd"/>
                  <w:r w:rsidRPr="00C462AC">
                    <w:t>) Symposium, Melbourne (Jackie De Vries)</w:t>
                  </w:r>
                </w:p>
              </w:tc>
              <w:tc>
                <w:tcPr>
                  <w:tcW w:w="6217" w:type="dxa"/>
                </w:tcPr>
                <w:p w:rsidR="008B701A" w:rsidRPr="00C462AC" w:rsidRDefault="008B701A" w:rsidP="008B701A">
                  <w:pPr>
                    <w:pStyle w:val="TableBodyText"/>
                    <w:tabs>
                      <w:tab w:val="left" w:pos="1065"/>
                    </w:tabs>
                    <w:spacing w:before="40"/>
                    <w:ind w:left="57"/>
                    <w:jc w:val="left"/>
                  </w:pPr>
                  <w:r w:rsidRPr="00C462AC">
                    <w:t>Early Childhood Development</w:t>
                  </w:r>
                </w:p>
              </w:tc>
              <w:tc>
                <w:tcPr>
                  <w:tcW w:w="1013" w:type="dxa"/>
                </w:tcPr>
                <w:p w:rsidR="008B701A" w:rsidRDefault="008B701A" w:rsidP="008B701A">
                  <w:pPr>
                    <w:pStyle w:val="TableBodyText"/>
                    <w:spacing w:before="40"/>
                    <w:ind w:left="57"/>
                  </w:pPr>
                  <w:r>
                    <w:t>Feb 2014</w:t>
                  </w:r>
                </w:p>
              </w:tc>
            </w:tr>
            <w:tr w:rsidR="008B701A" w:rsidTr="00387DC2">
              <w:tc>
                <w:tcPr>
                  <w:tcW w:w="6379" w:type="dxa"/>
                </w:tcPr>
                <w:p w:rsidR="008B701A" w:rsidRPr="00C462AC" w:rsidRDefault="008B701A" w:rsidP="00A5681A">
                  <w:pPr>
                    <w:pStyle w:val="TableBodyText"/>
                    <w:tabs>
                      <w:tab w:val="left" w:pos="1065"/>
                    </w:tabs>
                    <w:spacing w:before="40"/>
                    <w:ind w:left="57"/>
                    <w:jc w:val="left"/>
                  </w:pPr>
                  <w:r w:rsidRPr="00C462AC">
                    <w:t xml:space="preserve">Australasian Rail Association Constructors </w:t>
                  </w:r>
                  <w:r w:rsidR="00A5681A">
                    <w:t>G</w:t>
                  </w:r>
                  <w:r w:rsidRPr="00C462AC">
                    <w:t>roup, Melbourne (Anthony Housego)</w:t>
                  </w:r>
                </w:p>
              </w:tc>
              <w:tc>
                <w:tcPr>
                  <w:tcW w:w="6217" w:type="dxa"/>
                </w:tcPr>
                <w:p w:rsidR="008B701A" w:rsidRPr="00C462AC" w:rsidRDefault="008B701A" w:rsidP="008B701A">
                  <w:pPr>
                    <w:pStyle w:val="TableBodyText"/>
                    <w:tabs>
                      <w:tab w:val="left" w:pos="1065"/>
                    </w:tabs>
                    <w:spacing w:before="40"/>
                    <w:ind w:left="57"/>
                    <w:jc w:val="left"/>
                  </w:pPr>
                  <w:r w:rsidRPr="00C462AC">
                    <w:t>Infrastructure construction costs and the Productivity Commission’s recent Draft Report on Public Infrastructure</w:t>
                  </w:r>
                </w:p>
              </w:tc>
              <w:tc>
                <w:tcPr>
                  <w:tcW w:w="1013" w:type="dxa"/>
                </w:tcPr>
                <w:p w:rsidR="008B701A" w:rsidRDefault="008B701A" w:rsidP="008B701A">
                  <w:pPr>
                    <w:pStyle w:val="TableBodyText"/>
                    <w:spacing w:before="40"/>
                    <w:ind w:left="57"/>
                  </w:pPr>
                  <w:r>
                    <w:t>Mar 2014</w:t>
                  </w:r>
                </w:p>
              </w:tc>
            </w:tr>
            <w:tr w:rsidR="008B701A" w:rsidTr="00387DC2">
              <w:tc>
                <w:tcPr>
                  <w:tcW w:w="6379" w:type="dxa"/>
                </w:tcPr>
                <w:p w:rsidR="008B701A" w:rsidRPr="00C462AC" w:rsidRDefault="008B701A" w:rsidP="008B701A">
                  <w:pPr>
                    <w:pStyle w:val="TableBodyText"/>
                    <w:tabs>
                      <w:tab w:val="left" w:pos="1065"/>
                    </w:tabs>
                    <w:spacing w:before="40"/>
                    <w:ind w:left="57"/>
                    <w:jc w:val="left"/>
                  </w:pPr>
                  <w:r w:rsidRPr="00C462AC">
                    <w:t xml:space="preserve">Adult Learning Australia forum: From </w:t>
                  </w:r>
                  <w:proofErr w:type="spellStart"/>
                  <w:r w:rsidRPr="00C462AC">
                    <w:t>LLN</w:t>
                  </w:r>
                  <w:proofErr w:type="spellEnd"/>
                  <w:r w:rsidRPr="00C462AC">
                    <w:t xml:space="preserve"> to Foundation Skills, Melbourne (Anthony Shomos)</w:t>
                  </w:r>
                </w:p>
              </w:tc>
              <w:tc>
                <w:tcPr>
                  <w:tcW w:w="6217" w:type="dxa"/>
                </w:tcPr>
                <w:p w:rsidR="008B701A" w:rsidRPr="00C462AC" w:rsidRDefault="008B701A" w:rsidP="00287A31">
                  <w:pPr>
                    <w:pStyle w:val="TableBodyText"/>
                    <w:tabs>
                      <w:tab w:val="left" w:pos="1065"/>
                    </w:tabs>
                    <w:spacing w:before="40"/>
                    <w:ind w:left="57"/>
                    <w:jc w:val="left"/>
                  </w:pPr>
                  <w:r w:rsidRPr="00C462AC">
                    <w:t xml:space="preserve">Commission’s </w:t>
                  </w:r>
                  <w:proofErr w:type="spellStart"/>
                  <w:r w:rsidRPr="00C462AC">
                    <w:t>SWP</w:t>
                  </w:r>
                  <w:proofErr w:type="spellEnd"/>
                  <w:r w:rsidRPr="00C462AC">
                    <w:t xml:space="preserve"> on </w:t>
                  </w:r>
                  <w:r w:rsidR="00287A31">
                    <w:t>l</w:t>
                  </w:r>
                  <w:r w:rsidRPr="00C462AC">
                    <w:t>iteracy and numeracy skills</w:t>
                  </w:r>
                </w:p>
              </w:tc>
              <w:tc>
                <w:tcPr>
                  <w:tcW w:w="1013" w:type="dxa"/>
                </w:tcPr>
                <w:p w:rsidR="008B701A" w:rsidRDefault="008B701A" w:rsidP="008B701A">
                  <w:pPr>
                    <w:pStyle w:val="TableBodyText"/>
                    <w:spacing w:before="40"/>
                    <w:ind w:left="57"/>
                  </w:pPr>
                  <w:r>
                    <w:t>Mar 2014</w:t>
                  </w:r>
                </w:p>
              </w:tc>
            </w:tr>
            <w:tr w:rsidR="008B701A" w:rsidTr="00387DC2">
              <w:tc>
                <w:tcPr>
                  <w:tcW w:w="6379" w:type="dxa"/>
                </w:tcPr>
                <w:p w:rsidR="008B701A" w:rsidRPr="00C462AC" w:rsidRDefault="008B701A" w:rsidP="008B701A">
                  <w:pPr>
                    <w:pStyle w:val="TableBodyText"/>
                    <w:tabs>
                      <w:tab w:val="left" w:pos="1065"/>
                    </w:tabs>
                    <w:spacing w:before="40"/>
                    <w:ind w:left="57"/>
                    <w:jc w:val="left"/>
                  </w:pPr>
                  <w:r w:rsidRPr="00C462AC">
                    <w:t>International Seminar  Australia-Indonesia High Level Policy Dialogue 2014, Jakarta (Jenny Gordon)</w:t>
                  </w:r>
                </w:p>
              </w:tc>
              <w:tc>
                <w:tcPr>
                  <w:tcW w:w="6217" w:type="dxa"/>
                </w:tcPr>
                <w:p w:rsidR="008B701A" w:rsidRPr="00C462AC" w:rsidRDefault="008B701A" w:rsidP="008B701A">
                  <w:pPr>
                    <w:pStyle w:val="TableBodyText"/>
                    <w:tabs>
                      <w:tab w:val="left" w:pos="1065"/>
                    </w:tabs>
                    <w:spacing w:before="40"/>
                    <w:ind w:left="57"/>
                    <w:jc w:val="left"/>
                  </w:pPr>
                  <w:r w:rsidRPr="00C462AC">
                    <w:t>Managing Structural Reform: Lesson Learn from Australia</w:t>
                  </w:r>
                </w:p>
              </w:tc>
              <w:tc>
                <w:tcPr>
                  <w:tcW w:w="1013" w:type="dxa"/>
                </w:tcPr>
                <w:p w:rsidR="008B701A" w:rsidRDefault="008B701A" w:rsidP="008B701A">
                  <w:pPr>
                    <w:pStyle w:val="TableBodyText"/>
                    <w:spacing w:before="40"/>
                    <w:ind w:left="57"/>
                  </w:pPr>
                  <w:r>
                    <w:t>April 2014</w:t>
                  </w:r>
                </w:p>
              </w:tc>
            </w:tr>
            <w:tr w:rsidR="008B701A" w:rsidTr="00387DC2">
              <w:tc>
                <w:tcPr>
                  <w:tcW w:w="6379" w:type="dxa"/>
                </w:tcPr>
                <w:p w:rsidR="008B701A" w:rsidRPr="00C462AC" w:rsidRDefault="008B701A" w:rsidP="008B701A">
                  <w:pPr>
                    <w:pStyle w:val="TableBodyText"/>
                    <w:tabs>
                      <w:tab w:val="left" w:pos="1065"/>
                    </w:tabs>
                    <w:spacing w:before="40"/>
                    <w:ind w:left="57"/>
                    <w:jc w:val="left"/>
                  </w:pPr>
                  <w:r w:rsidRPr="00C462AC">
                    <w:t>Office of Regional Economic Integration Workshop and Asian Development Bank Seminar, Manila (</w:t>
                  </w:r>
                  <w:proofErr w:type="spellStart"/>
                  <w:r w:rsidRPr="00C462AC">
                    <w:t>Xiao-guang</w:t>
                  </w:r>
                  <w:proofErr w:type="spellEnd"/>
                  <w:r w:rsidRPr="00C462AC">
                    <w:t xml:space="preserve"> Zhang)</w:t>
                  </w:r>
                </w:p>
              </w:tc>
              <w:tc>
                <w:tcPr>
                  <w:tcW w:w="6217" w:type="dxa"/>
                </w:tcPr>
                <w:p w:rsidR="008B701A" w:rsidRPr="00C462AC" w:rsidRDefault="008B701A" w:rsidP="008B701A">
                  <w:pPr>
                    <w:pStyle w:val="TableBodyText"/>
                    <w:tabs>
                      <w:tab w:val="left" w:pos="1065"/>
                    </w:tabs>
                    <w:spacing w:before="40"/>
                    <w:ind w:left="57"/>
                    <w:jc w:val="left"/>
                  </w:pPr>
                  <w:r w:rsidRPr="00C462AC">
                    <w:t xml:space="preserve">Workshop on </w:t>
                  </w:r>
                  <w:proofErr w:type="spellStart"/>
                  <w:r w:rsidRPr="00C462AC">
                    <w:t>CGE</w:t>
                  </w:r>
                  <w:proofErr w:type="spellEnd"/>
                  <w:r w:rsidRPr="00C462AC">
                    <w:t xml:space="preserve"> models and regional economic integration</w:t>
                  </w:r>
                  <w:r w:rsidRPr="00C462AC">
                    <w:br/>
                    <w:t>and the seminar on  Modelling economic integration and income distribution</w:t>
                  </w:r>
                </w:p>
              </w:tc>
              <w:tc>
                <w:tcPr>
                  <w:tcW w:w="1013" w:type="dxa"/>
                </w:tcPr>
                <w:p w:rsidR="008B701A" w:rsidRDefault="008B701A" w:rsidP="008B701A">
                  <w:pPr>
                    <w:pStyle w:val="TableBodyText"/>
                    <w:spacing w:before="40"/>
                    <w:ind w:left="57"/>
                  </w:pPr>
                  <w:r>
                    <w:t>May 2014</w:t>
                  </w:r>
                </w:p>
              </w:tc>
            </w:tr>
            <w:tr w:rsidR="008B701A" w:rsidTr="008B701A">
              <w:tc>
                <w:tcPr>
                  <w:tcW w:w="6379" w:type="dxa"/>
                </w:tcPr>
                <w:p w:rsidR="008B701A" w:rsidRPr="00C462AC" w:rsidRDefault="008B701A" w:rsidP="008B701A">
                  <w:pPr>
                    <w:pStyle w:val="TableBodyText"/>
                    <w:tabs>
                      <w:tab w:val="left" w:pos="1065"/>
                    </w:tabs>
                    <w:spacing w:before="40"/>
                    <w:ind w:left="57"/>
                    <w:jc w:val="left"/>
                  </w:pPr>
                  <w:r w:rsidRPr="00C462AC">
                    <w:t>National Regulators, Canberra (Daryl Quinlivan)</w:t>
                  </w:r>
                </w:p>
              </w:tc>
              <w:tc>
                <w:tcPr>
                  <w:tcW w:w="6217" w:type="dxa"/>
                </w:tcPr>
                <w:p w:rsidR="008B701A" w:rsidRPr="00A36CFE" w:rsidRDefault="00A36CFE" w:rsidP="00A36CFE">
                  <w:pPr>
                    <w:pStyle w:val="TableBodyText"/>
                    <w:tabs>
                      <w:tab w:val="left" w:pos="1065"/>
                    </w:tabs>
                    <w:spacing w:before="40"/>
                    <w:ind w:left="57"/>
                    <w:jc w:val="left"/>
                  </w:pPr>
                  <w:r w:rsidRPr="00A36CFE">
                    <w:t>Information: the currency of the digital economy</w:t>
                  </w:r>
                </w:p>
              </w:tc>
              <w:tc>
                <w:tcPr>
                  <w:tcW w:w="1013" w:type="dxa"/>
                </w:tcPr>
                <w:p w:rsidR="008B701A" w:rsidRPr="00A36CFE" w:rsidRDefault="008B701A" w:rsidP="008B701A">
                  <w:pPr>
                    <w:pStyle w:val="TableBodyText"/>
                    <w:spacing w:before="40"/>
                    <w:ind w:left="57"/>
                  </w:pPr>
                  <w:r w:rsidRPr="00A36CFE">
                    <w:t>May 2014</w:t>
                  </w:r>
                </w:p>
              </w:tc>
            </w:tr>
            <w:tr w:rsidR="008B701A" w:rsidTr="008B701A">
              <w:tc>
                <w:tcPr>
                  <w:tcW w:w="6379" w:type="dxa"/>
                  <w:tcBorders>
                    <w:bottom w:val="single" w:sz="6" w:space="0" w:color="BFBFBF"/>
                  </w:tcBorders>
                </w:tcPr>
                <w:p w:rsidR="008B701A" w:rsidRPr="00C462AC" w:rsidRDefault="008B701A" w:rsidP="008B701A">
                  <w:pPr>
                    <w:pStyle w:val="TableBodyText"/>
                    <w:tabs>
                      <w:tab w:val="left" w:pos="1065"/>
                    </w:tabs>
                    <w:spacing w:before="40"/>
                    <w:ind w:left="57"/>
                    <w:jc w:val="left"/>
                  </w:pPr>
                  <w:proofErr w:type="spellStart"/>
                  <w:r w:rsidRPr="00C462AC">
                    <w:t>IPPA</w:t>
                  </w:r>
                  <w:proofErr w:type="spellEnd"/>
                  <w:r w:rsidRPr="00C462AC">
                    <w:t xml:space="preserve"> Victoria’s State Summit, Melbourne (Jenny Gordon)</w:t>
                  </w:r>
                </w:p>
              </w:tc>
              <w:tc>
                <w:tcPr>
                  <w:tcW w:w="6217" w:type="dxa"/>
                  <w:tcBorders>
                    <w:bottom w:val="single" w:sz="6" w:space="0" w:color="BFBFBF"/>
                  </w:tcBorders>
                </w:tcPr>
                <w:p w:rsidR="008B701A" w:rsidRPr="00C462AC" w:rsidRDefault="008B701A" w:rsidP="008B701A">
                  <w:pPr>
                    <w:pStyle w:val="TableBodyText"/>
                    <w:tabs>
                      <w:tab w:val="left" w:pos="1065"/>
                    </w:tabs>
                    <w:spacing w:before="40"/>
                    <w:ind w:left="57"/>
                    <w:jc w:val="left"/>
                  </w:pPr>
                  <w:r w:rsidRPr="00C462AC">
                    <w:t>Guest Speaker: Session – Productivity or efficiency?</w:t>
                  </w:r>
                </w:p>
              </w:tc>
              <w:tc>
                <w:tcPr>
                  <w:tcW w:w="1013" w:type="dxa"/>
                  <w:tcBorders>
                    <w:bottom w:val="single" w:sz="6" w:space="0" w:color="BFBFBF"/>
                  </w:tcBorders>
                </w:tcPr>
                <w:p w:rsidR="008B701A" w:rsidRDefault="008B701A" w:rsidP="008B701A">
                  <w:pPr>
                    <w:pStyle w:val="TableBodyText"/>
                    <w:spacing w:before="40"/>
                    <w:ind w:left="57"/>
                  </w:pPr>
                  <w:r>
                    <w:t>June 2014</w:t>
                  </w:r>
                </w:p>
              </w:tc>
            </w:tr>
          </w:tbl>
          <w:p w:rsidR="008B701A" w:rsidRDefault="008B701A" w:rsidP="00387DC2">
            <w:pPr>
              <w:pStyle w:val="Box"/>
            </w:pPr>
          </w:p>
        </w:tc>
      </w:tr>
      <w:tr w:rsidR="008B701A" w:rsidTr="00387DC2">
        <w:trPr>
          <w:cantSplit/>
        </w:trPr>
        <w:tc>
          <w:tcPr>
            <w:tcW w:w="5000" w:type="pct"/>
            <w:tcBorders>
              <w:top w:val="nil"/>
              <w:left w:val="nil"/>
              <w:bottom w:val="single" w:sz="6" w:space="0" w:color="78A22F"/>
              <w:right w:val="nil"/>
            </w:tcBorders>
            <w:shd w:val="clear" w:color="auto" w:fill="auto"/>
          </w:tcPr>
          <w:p w:rsidR="008B701A" w:rsidRDefault="008B701A" w:rsidP="00387DC2">
            <w:pPr>
              <w:pStyle w:val="Box"/>
              <w:spacing w:before="0" w:line="120" w:lineRule="exact"/>
            </w:pPr>
          </w:p>
        </w:tc>
      </w:tr>
      <w:tr w:rsidR="008B701A" w:rsidRPr="000863A5" w:rsidTr="00387DC2">
        <w:tc>
          <w:tcPr>
            <w:tcW w:w="5000" w:type="pct"/>
            <w:tcBorders>
              <w:top w:val="single" w:sz="6" w:space="0" w:color="78A22F"/>
              <w:left w:val="nil"/>
              <w:bottom w:val="nil"/>
              <w:right w:val="nil"/>
            </w:tcBorders>
          </w:tcPr>
          <w:p w:rsidR="008B701A" w:rsidRPr="00626D32" w:rsidRDefault="008B701A" w:rsidP="00387DC2">
            <w:pPr>
              <w:pStyle w:val="BoxSpaceBelow"/>
            </w:pPr>
          </w:p>
        </w:tc>
      </w:tr>
    </w:tbl>
    <w:p w:rsidR="00887BAC" w:rsidRDefault="00887BAC" w:rsidP="00887BAC">
      <w:pPr>
        <w:pStyle w:val="BodyText"/>
      </w:pPr>
    </w:p>
    <w:p w:rsidR="008B701A" w:rsidRDefault="008B701A" w:rsidP="004267DB">
      <w:pPr>
        <w:pStyle w:val="BoxSpaceAbove"/>
      </w:pPr>
    </w:p>
    <w:tbl>
      <w:tblPr>
        <w:tblW w:w="5000" w:type="pct"/>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13893"/>
      </w:tblGrid>
      <w:tr w:rsidR="008B701A" w:rsidTr="004103F0">
        <w:tc>
          <w:tcPr>
            <w:tcW w:w="5000" w:type="pct"/>
            <w:tcBorders>
              <w:top w:val="single" w:sz="6" w:space="0" w:color="78A22F"/>
              <w:left w:val="nil"/>
              <w:bottom w:val="nil"/>
              <w:right w:val="nil"/>
            </w:tcBorders>
            <w:shd w:val="clear" w:color="auto" w:fill="auto"/>
          </w:tcPr>
          <w:p w:rsidR="008B701A" w:rsidRPr="00784A05" w:rsidRDefault="008B701A" w:rsidP="008B701A">
            <w:pPr>
              <w:pStyle w:val="TableTitle"/>
            </w:pPr>
            <w:r>
              <w:rPr>
                <w:b w:val="0"/>
              </w:rPr>
              <w:t xml:space="preserve">Table </w:t>
            </w:r>
            <w:r>
              <w:rPr>
                <w:b w:val="0"/>
              </w:rPr>
              <w:fldChar w:fldCharType="begin"/>
            </w:r>
            <w:r>
              <w:rPr>
                <w:b w:val="0"/>
              </w:rPr>
              <w:instrText xml:space="preserve"> COMMENTS  \* MERGEFORMAT </w:instrText>
            </w:r>
            <w:r>
              <w:rPr>
                <w:b w:val="0"/>
              </w:rPr>
              <w:fldChar w:fldCharType="separate"/>
            </w:r>
            <w:proofErr w:type="spellStart"/>
            <w:r w:rsidR="008A14CE">
              <w:rPr>
                <w:b w:val="0"/>
              </w:rPr>
              <w:t>E.</w:t>
            </w:r>
            <w:r>
              <w:rPr>
                <w:b w:val="0"/>
              </w:rPr>
              <w:fldChar w:fldCharType="end"/>
            </w:r>
            <w:r>
              <w:rPr>
                <w:b w:val="0"/>
              </w:rPr>
              <w:fldChar w:fldCharType="begin"/>
            </w:r>
            <w:r>
              <w:rPr>
                <w:b w:val="0"/>
              </w:rPr>
              <w:instrText xml:space="preserve"> SEQ Table \* ARABIC </w:instrText>
            </w:r>
            <w:r>
              <w:rPr>
                <w:b w:val="0"/>
              </w:rPr>
              <w:fldChar w:fldCharType="separate"/>
            </w:r>
            <w:r w:rsidR="00997332">
              <w:rPr>
                <w:b w:val="0"/>
                <w:noProof/>
              </w:rPr>
              <w:t>2</w:t>
            </w:r>
            <w:proofErr w:type="spellEnd"/>
            <w:r>
              <w:rPr>
                <w:b w:val="0"/>
              </w:rPr>
              <w:fldChar w:fldCharType="end"/>
            </w:r>
            <w:r>
              <w:tab/>
            </w:r>
            <w:r w:rsidRPr="00286CD8">
              <w:t>International delegations and visitors, 201</w:t>
            </w:r>
            <w:r>
              <w:t>3</w:t>
            </w:r>
            <w:r w:rsidRPr="00286CD8">
              <w:t>-1</w:t>
            </w:r>
            <w:r>
              <w:t>4</w:t>
            </w:r>
          </w:p>
        </w:tc>
      </w:tr>
      <w:tr w:rsidR="008B701A" w:rsidTr="008B701A">
        <w:trPr>
          <w:cantSplit/>
        </w:trPr>
        <w:tc>
          <w:tcPr>
            <w:tcW w:w="5000" w:type="pct"/>
            <w:tcBorders>
              <w:top w:val="nil"/>
              <w:left w:val="nil"/>
              <w:bottom w:val="nil"/>
              <w:right w:val="nil"/>
            </w:tcBorders>
            <w:shd w:val="clear" w:color="auto" w:fill="auto"/>
          </w:tcPr>
          <w:tbl>
            <w:tblPr>
              <w:tblW w:w="0" w:type="auto"/>
              <w:tblCellMar>
                <w:top w:w="28" w:type="dxa"/>
                <w:left w:w="0" w:type="dxa"/>
                <w:right w:w="0" w:type="dxa"/>
              </w:tblCellMar>
              <w:tblLook w:val="0000" w:firstRow="0" w:lastRow="0" w:firstColumn="0" w:lastColumn="0" w:noHBand="0" w:noVBand="0"/>
            </w:tblPr>
            <w:tblGrid>
              <w:gridCol w:w="6521"/>
              <w:gridCol w:w="5670"/>
              <w:gridCol w:w="1418"/>
            </w:tblGrid>
            <w:tr w:rsidR="008B701A" w:rsidTr="004103F0">
              <w:tc>
                <w:tcPr>
                  <w:tcW w:w="6521" w:type="dxa"/>
                  <w:tcBorders>
                    <w:top w:val="single" w:sz="6" w:space="0" w:color="BFBFBF"/>
                    <w:bottom w:val="single" w:sz="6" w:space="0" w:color="BFBFBF"/>
                  </w:tcBorders>
                  <w:shd w:val="clear" w:color="auto" w:fill="auto"/>
                  <w:tcMar>
                    <w:top w:w="28" w:type="dxa"/>
                  </w:tcMar>
                </w:tcPr>
                <w:p w:rsidR="008B701A" w:rsidRPr="00D23929" w:rsidRDefault="008B701A" w:rsidP="00387DC2">
                  <w:pPr>
                    <w:pStyle w:val="TableColumnHeading"/>
                    <w:spacing w:before="60" w:after="40" w:line="220" w:lineRule="exact"/>
                    <w:ind w:left="57"/>
                    <w:jc w:val="left"/>
                  </w:pPr>
                  <w:r w:rsidRPr="00D23929">
                    <w:t>Organisation/delegation</w:t>
                  </w:r>
                </w:p>
              </w:tc>
              <w:tc>
                <w:tcPr>
                  <w:tcW w:w="5670" w:type="dxa"/>
                  <w:tcBorders>
                    <w:top w:val="single" w:sz="6" w:space="0" w:color="BFBFBF"/>
                    <w:bottom w:val="single" w:sz="6" w:space="0" w:color="BFBFBF"/>
                  </w:tcBorders>
                  <w:shd w:val="clear" w:color="auto" w:fill="auto"/>
                  <w:tcMar>
                    <w:top w:w="28" w:type="dxa"/>
                  </w:tcMar>
                </w:tcPr>
                <w:p w:rsidR="008B701A" w:rsidRPr="00D23929" w:rsidRDefault="008B701A" w:rsidP="00387DC2">
                  <w:pPr>
                    <w:pStyle w:val="TableColumnHeading"/>
                    <w:spacing w:before="60" w:after="40" w:line="220" w:lineRule="exact"/>
                    <w:ind w:left="57"/>
                    <w:jc w:val="left"/>
                  </w:pPr>
                  <w:r w:rsidRPr="00D23929">
                    <w:t>Briefing/discussion purpose of visit</w:t>
                  </w:r>
                </w:p>
              </w:tc>
              <w:tc>
                <w:tcPr>
                  <w:tcW w:w="1418" w:type="dxa"/>
                  <w:tcBorders>
                    <w:top w:val="single" w:sz="6" w:space="0" w:color="BFBFBF"/>
                    <w:bottom w:val="single" w:sz="6" w:space="0" w:color="BFBFBF"/>
                  </w:tcBorders>
                  <w:shd w:val="clear" w:color="auto" w:fill="auto"/>
                  <w:tcMar>
                    <w:top w:w="28" w:type="dxa"/>
                  </w:tcMar>
                </w:tcPr>
                <w:p w:rsidR="008B701A" w:rsidRPr="00D23929" w:rsidRDefault="008B701A" w:rsidP="004103F0">
                  <w:pPr>
                    <w:pStyle w:val="TableColumnHeading"/>
                    <w:spacing w:before="60"/>
                    <w:ind w:left="0" w:right="0"/>
                  </w:pPr>
                  <w:r w:rsidRPr="00D23929">
                    <w:t>Date/location</w:t>
                  </w:r>
                </w:p>
              </w:tc>
            </w:tr>
            <w:tr w:rsidR="004103F0" w:rsidTr="004103F0">
              <w:tc>
                <w:tcPr>
                  <w:tcW w:w="6521" w:type="dxa"/>
                  <w:tcBorders>
                    <w:top w:val="single" w:sz="6" w:space="0" w:color="BFBFBF"/>
                  </w:tcBorders>
                  <w:shd w:val="clear" w:color="auto" w:fill="auto"/>
                </w:tcPr>
                <w:p w:rsidR="004103F0" w:rsidRPr="00F214A2" w:rsidRDefault="004103F0" w:rsidP="004103F0">
                  <w:pPr>
                    <w:pStyle w:val="TableBodyText"/>
                    <w:spacing w:before="80"/>
                    <w:jc w:val="left"/>
                  </w:pPr>
                  <w:r>
                    <w:t xml:space="preserve">Mr </w:t>
                  </w:r>
                  <w:r w:rsidRPr="00F214A2">
                    <w:t>York Yaw-Chung, Director-General, Department of Economics, Energy and Agriculture for the Cabinet, Taiwan</w:t>
                  </w:r>
                </w:p>
              </w:tc>
              <w:tc>
                <w:tcPr>
                  <w:tcW w:w="5670" w:type="dxa"/>
                  <w:tcBorders>
                    <w:top w:val="single" w:sz="6" w:space="0" w:color="BFBFBF"/>
                  </w:tcBorders>
                  <w:shd w:val="clear" w:color="auto" w:fill="auto"/>
                </w:tcPr>
                <w:p w:rsidR="004103F0" w:rsidRPr="00F214A2" w:rsidRDefault="004103F0" w:rsidP="004103F0">
                  <w:pPr>
                    <w:pStyle w:val="TableBodyText"/>
                    <w:spacing w:before="80"/>
                    <w:jc w:val="left"/>
                  </w:pPr>
                  <w:r>
                    <w:t xml:space="preserve">Structural reform </w:t>
                  </w:r>
                  <w:r w:rsidRPr="00F214A2">
                    <w:t>in Australia</w:t>
                  </w:r>
                </w:p>
              </w:tc>
              <w:tc>
                <w:tcPr>
                  <w:tcW w:w="1418" w:type="dxa"/>
                  <w:tcBorders>
                    <w:top w:val="single" w:sz="6" w:space="0" w:color="BFBFBF"/>
                  </w:tcBorders>
                  <w:shd w:val="clear" w:color="auto" w:fill="auto"/>
                </w:tcPr>
                <w:p w:rsidR="004103F0" w:rsidRPr="00F214A2" w:rsidRDefault="004103F0" w:rsidP="004103F0">
                  <w:pPr>
                    <w:pStyle w:val="TableColumnHeading"/>
                    <w:spacing w:after="40"/>
                    <w:ind w:right="57"/>
                  </w:pPr>
                  <w:r w:rsidRPr="00F214A2">
                    <w:t>July 2013 (C)</w:t>
                  </w:r>
                </w:p>
              </w:tc>
            </w:tr>
            <w:tr w:rsidR="004103F0" w:rsidTr="004103F0">
              <w:tc>
                <w:tcPr>
                  <w:tcW w:w="6521" w:type="dxa"/>
                  <w:shd w:val="clear" w:color="auto" w:fill="auto"/>
                </w:tcPr>
                <w:p w:rsidR="004103F0" w:rsidRPr="00F214A2" w:rsidRDefault="004103F0" w:rsidP="004103F0">
                  <w:pPr>
                    <w:pStyle w:val="TableBodyText"/>
                    <w:spacing w:before="80"/>
                    <w:jc w:val="left"/>
                  </w:pPr>
                  <w:r>
                    <w:t xml:space="preserve">Mr </w:t>
                  </w:r>
                  <w:proofErr w:type="spellStart"/>
                  <w:r w:rsidRPr="00F214A2">
                    <w:t>Bernardina</w:t>
                  </w:r>
                  <w:proofErr w:type="spellEnd"/>
                  <w:r w:rsidRPr="00F214A2">
                    <w:t xml:space="preserve"> da Costa Pereira, Timor </w:t>
                  </w:r>
                  <w:proofErr w:type="spellStart"/>
                  <w:r w:rsidRPr="00F214A2">
                    <w:t>Leste</w:t>
                  </w:r>
                  <w:proofErr w:type="spellEnd"/>
                  <w:r w:rsidRPr="00F214A2">
                    <w:t xml:space="preserve"> Ministry of Finance</w:t>
                  </w:r>
                </w:p>
              </w:tc>
              <w:tc>
                <w:tcPr>
                  <w:tcW w:w="5670" w:type="dxa"/>
                  <w:shd w:val="clear" w:color="auto" w:fill="auto"/>
                </w:tcPr>
                <w:p w:rsidR="004103F0" w:rsidRPr="00F214A2" w:rsidRDefault="004103F0" w:rsidP="004103F0">
                  <w:pPr>
                    <w:pStyle w:val="TableBodyText"/>
                    <w:spacing w:before="80"/>
                    <w:jc w:val="left"/>
                  </w:pPr>
                  <w:r>
                    <w:t xml:space="preserve">The </w:t>
                  </w:r>
                  <w:r w:rsidRPr="00F214A2">
                    <w:t>Commission</w:t>
                  </w:r>
                  <w:r>
                    <w:t>’s</w:t>
                  </w:r>
                  <w:r w:rsidRPr="00F214A2">
                    <w:t xml:space="preserve"> role &amp; activities</w:t>
                  </w:r>
                </w:p>
              </w:tc>
              <w:tc>
                <w:tcPr>
                  <w:tcW w:w="1418" w:type="dxa"/>
                  <w:shd w:val="clear" w:color="auto" w:fill="auto"/>
                </w:tcPr>
                <w:p w:rsidR="004103F0" w:rsidRPr="00F214A2" w:rsidRDefault="004103F0" w:rsidP="004103F0">
                  <w:pPr>
                    <w:pStyle w:val="TableColumnHeading"/>
                    <w:spacing w:after="40"/>
                    <w:ind w:right="57"/>
                  </w:pPr>
                  <w:r w:rsidRPr="00F214A2">
                    <w:t>July 2013 (C)</w:t>
                  </w:r>
                </w:p>
              </w:tc>
            </w:tr>
            <w:tr w:rsidR="004103F0" w:rsidTr="004103F0">
              <w:tc>
                <w:tcPr>
                  <w:tcW w:w="6521" w:type="dxa"/>
                  <w:shd w:val="clear" w:color="auto" w:fill="auto"/>
                </w:tcPr>
                <w:p w:rsidR="004103F0" w:rsidRPr="00F214A2" w:rsidRDefault="004103F0" w:rsidP="004103F0">
                  <w:pPr>
                    <w:pStyle w:val="TableBodyText"/>
                    <w:spacing w:before="80"/>
                    <w:jc w:val="left"/>
                  </w:pPr>
                  <w:r w:rsidRPr="00F214A2">
                    <w:t>Lao</w:t>
                  </w:r>
                  <w:r>
                    <w:t xml:space="preserve"> PDR</w:t>
                  </w:r>
                  <w:r w:rsidRPr="00F214A2">
                    <w:t xml:space="preserve"> Ministerial </w:t>
                  </w:r>
                  <w:r>
                    <w:t>delegation</w:t>
                  </w:r>
                </w:p>
              </w:tc>
              <w:tc>
                <w:tcPr>
                  <w:tcW w:w="5670" w:type="dxa"/>
                  <w:shd w:val="clear" w:color="auto" w:fill="auto"/>
                </w:tcPr>
                <w:p w:rsidR="004103F0" w:rsidRPr="00F214A2" w:rsidRDefault="004103F0" w:rsidP="004103F0">
                  <w:pPr>
                    <w:pStyle w:val="TableBodyText"/>
                    <w:spacing w:before="80"/>
                    <w:jc w:val="left"/>
                  </w:pPr>
                  <w:r w:rsidRPr="00F214A2">
                    <w:t xml:space="preserve">Economic assessment and Regulatory Impact Analysis. Lessons from </w:t>
                  </w:r>
                  <w:proofErr w:type="spellStart"/>
                  <w:r w:rsidRPr="00F214A2">
                    <w:t>RIA</w:t>
                  </w:r>
                  <w:proofErr w:type="spellEnd"/>
                  <w:r w:rsidRPr="00F214A2">
                    <w:t xml:space="preserve"> implementation in Australia</w:t>
                  </w:r>
                </w:p>
              </w:tc>
              <w:tc>
                <w:tcPr>
                  <w:tcW w:w="1418" w:type="dxa"/>
                  <w:shd w:val="clear" w:color="auto" w:fill="auto"/>
                </w:tcPr>
                <w:p w:rsidR="004103F0" w:rsidRPr="00F214A2" w:rsidRDefault="004103F0" w:rsidP="004103F0">
                  <w:pPr>
                    <w:pStyle w:val="TableColumnHeading"/>
                    <w:spacing w:after="40"/>
                    <w:ind w:right="57"/>
                  </w:pPr>
                  <w:r w:rsidRPr="00F214A2">
                    <w:t>Aug 2013 (c)</w:t>
                  </w:r>
                </w:p>
              </w:tc>
            </w:tr>
            <w:tr w:rsidR="004103F0" w:rsidTr="004103F0">
              <w:tc>
                <w:tcPr>
                  <w:tcW w:w="6521" w:type="dxa"/>
                  <w:shd w:val="clear" w:color="auto" w:fill="auto"/>
                </w:tcPr>
                <w:p w:rsidR="004103F0" w:rsidRPr="00F214A2" w:rsidRDefault="004103F0" w:rsidP="004103F0">
                  <w:pPr>
                    <w:pStyle w:val="TableBodyText"/>
                    <w:spacing w:before="80"/>
                    <w:jc w:val="left"/>
                  </w:pPr>
                  <w:r w:rsidRPr="00F214A2">
                    <w:t xml:space="preserve">Dr </w:t>
                  </w:r>
                  <w:proofErr w:type="spellStart"/>
                  <w:r w:rsidRPr="00F214A2">
                    <w:t>Wah</w:t>
                  </w:r>
                  <w:proofErr w:type="spellEnd"/>
                  <w:r w:rsidRPr="00F214A2">
                    <w:t xml:space="preserve"> </w:t>
                  </w:r>
                  <w:proofErr w:type="spellStart"/>
                  <w:r w:rsidRPr="00F214A2">
                    <w:t>Wah</w:t>
                  </w:r>
                  <w:proofErr w:type="spellEnd"/>
                  <w:r w:rsidRPr="00F214A2">
                    <w:t xml:space="preserve"> </w:t>
                  </w:r>
                  <w:proofErr w:type="spellStart"/>
                  <w:r w:rsidRPr="00F214A2">
                    <w:t>Maung</w:t>
                  </w:r>
                  <w:proofErr w:type="spellEnd"/>
                  <w:r w:rsidRPr="00F214A2">
                    <w:t>, Deputy Director General</w:t>
                  </w:r>
                  <w:r>
                    <w:t xml:space="preserve">, </w:t>
                  </w:r>
                  <w:r w:rsidRPr="00F214A2">
                    <w:t>Foreign Economic Relations Department, Ministry of National Planning and Economic Development</w:t>
                  </w:r>
                  <w:r>
                    <w:t>, Myanmar</w:t>
                  </w:r>
                </w:p>
              </w:tc>
              <w:tc>
                <w:tcPr>
                  <w:tcW w:w="5670" w:type="dxa"/>
                  <w:shd w:val="clear" w:color="auto" w:fill="auto"/>
                </w:tcPr>
                <w:p w:rsidR="004103F0" w:rsidRPr="00F214A2" w:rsidRDefault="004103F0" w:rsidP="004103F0">
                  <w:pPr>
                    <w:pStyle w:val="TableBodyText"/>
                    <w:spacing w:before="80"/>
                    <w:jc w:val="left"/>
                  </w:pPr>
                  <w:r>
                    <w:t xml:space="preserve">The </w:t>
                  </w:r>
                  <w:r w:rsidRPr="00F214A2">
                    <w:t>Commission</w:t>
                  </w:r>
                  <w:r>
                    <w:t>’s</w:t>
                  </w:r>
                  <w:r w:rsidRPr="00F214A2">
                    <w:t xml:space="preserve"> role &amp; activities</w:t>
                  </w:r>
                </w:p>
              </w:tc>
              <w:tc>
                <w:tcPr>
                  <w:tcW w:w="1418" w:type="dxa"/>
                  <w:shd w:val="clear" w:color="auto" w:fill="auto"/>
                </w:tcPr>
                <w:p w:rsidR="004103F0" w:rsidRPr="00F214A2" w:rsidRDefault="004103F0" w:rsidP="004103F0">
                  <w:pPr>
                    <w:pStyle w:val="TableColumnHeading"/>
                    <w:spacing w:after="40"/>
                    <w:ind w:right="57"/>
                  </w:pPr>
                  <w:r w:rsidRPr="00F214A2">
                    <w:t>Aug</w:t>
                  </w:r>
                  <w:r>
                    <w:t xml:space="preserve"> </w:t>
                  </w:r>
                  <w:r w:rsidRPr="00F214A2">
                    <w:t>2013 (C)</w:t>
                  </w:r>
                </w:p>
              </w:tc>
            </w:tr>
            <w:tr w:rsidR="004103F0" w:rsidTr="004103F0">
              <w:tc>
                <w:tcPr>
                  <w:tcW w:w="6521" w:type="dxa"/>
                  <w:shd w:val="clear" w:color="auto" w:fill="auto"/>
                </w:tcPr>
                <w:p w:rsidR="004103F0" w:rsidRPr="00F214A2" w:rsidRDefault="004103F0" w:rsidP="004103F0">
                  <w:pPr>
                    <w:pStyle w:val="TableBodyText"/>
                    <w:spacing w:before="80"/>
                    <w:jc w:val="left"/>
                  </w:pPr>
                  <w:r w:rsidRPr="00F214A2">
                    <w:t>Myanmar</w:t>
                  </w:r>
                  <w:r>
                    <w:t xml:space="preserve"> delegation</w:t>
                  </w:r>
                </w:p>
              </w:tc>
              <w:tc>
                <w:tcPr>
                  <w:tcW w:w="5670" w:type="dxa"/>
                  <w:shd w:val="clear" w:color="auto" w:fill="auto"/>
                </w:tcPr>
                <w:p w:rsidR="004103F0" w:rsidRPr="00F214A2" w:rsidRDefault="004103F0" w:rsidP="004103F0">
                  <w:pPr>
                    <w:pStyle w:val="TableBodyText"/>
                    <w:spacing w:before="80"/>
                    <w:jc w:val="left"/>
                  </w:pPr>
                  <w:r>
                    <w:t xml:space="preserve">The </w:t>
                  </w:r>
                  <w:r w:rsidRPr="00F214A2">
                    <w:t>Commission</w:t>
                  </w:r>
                  <w:r>
                    <w:t>’s</w:t>
                  </w:r>
                  <w:r w:rsidRPr="00F214A2">
                    <w:t xml:space="preserve"> role &amp; activities</w:t>
                  </w:r>
                </w:p>
              </w:tc>
              <w:tc>
                <w:tcPr>
                  <w:tcW w:w="1418" w:type="dxa"/>
                  <w:shd w:val="clear" w:color="auto" w:fill="auto"/>
                </w:tcPr>
                <w:p w:rsidR="004103F0" w:rsidRPr="00F214A2" w:rsidRDefault="004103F0" w:rsidP="004103F0">
                  <w:pPr>
                    <w:pStyle w:val="TableColumnHeading"/>
                    <w:spacing w:after="40"/>
                    <w:ind w:right="57"/>
                  </w:pPr>
                  <w:r w:rsidRPr="00F214A2">
                    <w:t>Aug</w:t>
                  </w:r>
                  <w:r>
                    <w:t xml:space="preserve"> </w:t>
                  </w:r>
                  <w:r w:rsidRPr="00F214A2">
                    <w:t>2013 (C)</w:t>
                  </w:r>
                </w:p>
              </w:tc>
            </w:tr>
            <w:tr w:rsidR="004103F0" w:rsidTr="004103F0">
              <w:tc>
                <w:tcPr>
                  <w:tcW w:w="6521" w:type="dxa"/>
                  <w:shd w:val="clear" w:color="auto" w:fill="auto"/>
                </w:tcPr>
                <w:p w:rsidR="004103F0" w:rsidRPr="00F214A2" w:rsidRDefault="004103F0" w:rsidP="004103F0">
                  <w:pPr>
                    <w:pStyle w:val="TableBodyText"/>
                    <w:spacing w:before="80"/>
                    <w:jc w:val="left"/>
                  </w:pPr>
                  <w:r>
                    <w:t>Liberian Government delegation</w:t>
                  </w:r>
                  <w:bookmarkStart w:id="6" w:name="_GoBack"/>
                  <w:bookmarkEnd w:id="6"/>
                </w:p>
              </w:tc>
              <w:tc>
                <w:tcPr>
                  <w:tcW w:w="5670" w:type="dxa"/>
                  <w:shd w:val="clear" w:color="auto" w:fill="auto"/>
                </w:tcPr>
                <w:p w:rsidR="004103F0" w:rsidRPr="00F214A2" w:rsidRDefault="004103F0" w:rsidP="004103F0">
                  <w:pPr>
                    <w:pStyle w:val="TableBodyText"/>
                    <w:spacing w:before="80"/>
                    <w:jc w:val="left"/>
                  </w:pPr>
                  <w:r>
                    <w:t>The Commission’s role and activities</w:t>
                  </w:r>
                </w:p>
              </w:tc>
              <w:tc>
                <w:tcPr>
                  <w:tcW w:w="1418" w:type="dxa"/>
                  <w:shd w:val="clear" w:color="auto" w:fill="auto"/>
                </w:tcPr>
                <w:p w:rsidR="004103F0" w:rsidRPr="00F214A2" w:rsidRDefault="004103F0" w:rsidP="004103F0">
                  <w:pPr>
                    <w:pStyle w:val="TableColumnHeading"/>
                    <w:spacing w:after="40"/>
                    <w:ind w:right="57"/>
                  </w:pPr>
                  <w:r w:rsidRPr="00F214A2">
                    <w:t>Sept 2013 (C)</w:t>
                  </w:r>
                </w:p>
              </w:tc>
            </w:tr>
            <w:tr w:rsidR="004103F0" w:rsidTr="004103F0">
              <w:tc>
                <w:tcPr>
                  <w:tcW w:w="6521" w:type="dxa"/>
                  <w:shd w:val="clear" w:color="auto" w:fill="auto"/>
                </w:tcPr>
                <w:p w:rsidR="004103F0" w:rsidRPr="00F214A2" w:rsidRDefault="004103F0" w:rsidP="004103F0">
                  <w:pPr>
                    <w:pStyle w:val="TableBodyText"/>
                    <w:spacing w:before="80"/>
                    <w:jc w:val="left"/>
                  </w:pPr>
                  <w:r w:rsidRPr="00F214A2">
                    <w:t xml:space="preserve">Mr </w:t>
                  </w:r>
                  <w:proofErr w:type="spellStart"/>
                  <w:r w:rsidRPr="00F214A2">
                    <w:t>Dedi</w:t>
                  </w:r>
                  <w:proofErr w:type="spellEnd"/>
                  <w:r w:rsidRPr="00F214A2">
                    <w:t xml:space="preserve"> </w:t>
                  </w:r>
                  <w:proofErr w:type="spellStart"/>
                  <w:r w:rsidRPr="00F214A2">
                    <w:t>Riyadi</w:t>
                  </w:r>
                  <w:proofErr w:type="spellEnd"/>
                  <w:r>
                    <w:t>,</w:t>
                  </w:r>
                  <w:r w:rsidRPr="00F214A2">
                    <w:t xml:space="preserve"> Executive Secretary</w:t>
                  </w:r>
                  <w:r>
                    <w:t>,</w:t>
                  </w:r>
                  <w:r w:rsidRPr="00F214A2">
                    <w:t xml:space="preserve"> Indonesia Ministry of Planning</w:t>
                  </w:r>
                  <w:r>
                    <w:t xml:space="preserve"> (</w:t>
                  </w:r>
                  <w:proofErr w:type="spellStart"/>
                  <w:r w:rsidRPr="00F214A2">
                    <w:t>BAPPENAS</w:t>
                  </w:r>
                  <w:proofErr w:type="spellEnd"/>
                  <w:r>
                    <w:t>)</w:t>
                  </w:r>
                </w:p>
              </w:tc>
              <w:tc>
                <w:tcPr>
                  <w:tcW w:w="5670" w:type="dxa"/>
                  <w:shd w:val="clear" w:color="auto" w:fill="auto"/>
                </w:tcPr>
                <w:p w:rsidR="004103F0" w:rsidRPr="00F214A2" w:rsidRDefault="004103F0" w:rsidP="004103F0">
                  <w:pPr>
                    <w:pStyle w:val="TableBodyText"/>
                    <w:spacing w:before="80"/>
                    <w:jc w:val="left"/>
                  </w:pPr>
                  <w:r>
                    <w:t xml:space="preserve">The </w:t>
                  </w:r>
                  <w:r w:rsidRPr="00F214A2">
                    <w:t>Commission</w:t>
                  </w:r>
                  <w:r>
                    <w:t>’s</w:t>
                  </w:r>
                  <w:r w:rsidRPr="00F214A2">
                    <w:t xml:space="preserve"> role &amp; activities</w:t>
                  </w:r>
                  <w:r>
                    <w:t>. P</w:t>
                  </w:r>
                  <w:r w:rsidRPr="00F214A2">
                    <w:t>erformance monitoring</w:t>
                  </w:r>
                  <w:r>
                    <w:t>. C</w:t>
                  </w:r>
                  <w:r w:rsidRPr="00F214A2">
                    <w:t>ase studies on labour markets, trade</w:t>
                  </w:r>
                  <w:r>
                    <w:t xml:space="preserve"> and natural resources</w:t>
                  </w:r>
                </w:p>
              </w:tc>
              <w:tc>
                <w:tcPr>
                  <w:tcW w:w="1418" w:type="dxa"/>
                  <w:shd w:val="clear" w:color="auto" w:fill="auto"/>
                </w:tcPr>
                <w:p w:rsidR="004103F0" w:rsidRPr="00F214A2" w:rsidRDefault="004103F0" w:rsidP="004103F0">
                  <w:pPr>
                    <w:pStyle w:val="TableColumnHeading"/>
                    <w:spacing w:after="40"/>
                    <w:ind w:right="57"/>
                  </w:pPr>
                  <w:r>
                    <w:t>Sept</w:t>
                  </w:r>
                  <w:r w:rsidRPr="00F214A2">
                    <w:t xml:space="preserve"> 2013 (C)</w:t>
                  </w:r>
                </w:p>
              </w:tc>
            </w:tr>
            <w:tr w:rsidR="004103F0" w:rsidTr="004103F0">
              <w:tc>
                <w:tcPr>
                  <w:tcW w:w="6521" w:type="dxa"/>
                  <w:shd w:val="clear" w:color="auto" w:fill="auto"/>
                </w:tcPr>
                <w:p w:rsidR="004103F0" w:rsidRPr="00F214A2" w:rsidRDefault="004103F0" w:rsidP="004103F0">
                  <w:pPr>
                    <w:pStyle w:val="TableBodyText"/>
                    <w:spacing w:before="80"/>
                    <w:jc w:val="left"/>
                  </w:pPr>
                  <w:r w:rsidRPr="00F214A2">
                    <w:t>L</w:t>
                  </w:r>
                  <w:r>
                    <w:t>egislative Affairs Office of the State Council of China</w:t>
                  </w:r>
                </w:p>
              </w:tc>
              <w:tc>
                <w:tcPr>
                  <w:tcW w:w="5670" w:type="dxa"/>
                  <w:shd w:val="clear" w:color="auto" w:fill="auto"/>
                </w:tcPr>
                <w:p w:rsidR="004103F0" w:rsidRPr="00F214A2" w:rsidRDefault="004103F0" w:rsidP="004103F0">
                  <w:pPr>
                    <w:pStyle w:val="TableBodyText"/>
                    <w:spacing w:before="80"/>
                    <w:jc w:val="left"/>
                  </w:pPr>
                  <w:r>
                    <w:t>The Commission’s role and activities</w:t>
                  </w:r>
                </w:p>
              </w:tc>
              <w:tc>
                <w:tcPr>
                  <w:tcW w:w="1418" w:type="dxa"/>
                  <w:shd w:val="clear" w:color="auto" w:fill="auto"/>
                </w:tcPr>
                <w:p w:rsidR="004103F0" w:rsidRPr="00F214A2" w:rsidRDefault="004103F0" w:rsidP="004103F0">
                  <w:pPr>
                    <w:pStyle w:val="TableColumnHeading"/>
                    <w:spacing w:after="40"/>
                    <w:ind w:right="57"/>
                  </w:pPr>
                  <w:r w:rsidRPr="00F214A2">
                    <w:t>Nov 2013 (C)</w:t>
                  </w:r>
                </w:p>
              </w:tc>
            </w:tr>
            <w:tr w:rsidR="004103F0" w:rsidTr="004103F0">
              <w:tc>
                <w:tcPr>
                  <w:tcW w:w="6521" w:type="dxa"/>
                  <w:shd w:val="clear" w:color="auto" w:fill="auto"/>
                </w:tcPr>
                <w:p w:rsidR="004103F0" w:rsidRPr="00F214A2" w:rsidRDefault="004103F0" w:rsidP="004103F0">
                  <w:pPr>
                    <w:pStyle w:val="TableBodyText"/>
                    <w:spacing w:before="80"/>
                    <w:jc w:val="left"/>
                  </w:pPr>
                  <w:r>
                    <w:t xml:space="preserve">Mr </w:t>
                  </w:r>
                  <w:proofErr w:type="spellStart"/>
                  <w:r>
                    <w:t>Charnchao</w:t>
                  </w:r>
                  <w:proofErr w:type="spellEnd"/>
                  <w:r>
                    <w:t xml:space="preserve"> </w:t>
                  </w:r>
                  <w:proofErr w:type="spellStart"/>
                  <w:r>
                    <w:t>Chaiyanukij</w:t>
                  </w:r>
                  <w:proofErr w:type="spellEnd"/>
                  <w:r>
                    <w:t>, Deputy Permanent Secretary for Justice, Thailand</w:t>
                  </w:r>
                </w:p>
              </w:tc>
              <w:tc>
                <w:tcPr>
                  <w:tcW w:w="5670" w:type="dxa"/>
                  <w:shd w:val="clear" w:color="auto" w:fill="auto"/>
                </w:tcPr>
                <w:p w:rsidR="004103F0" w:rsidRDefault="004103F0" w:rsidP="004103F0">
                  <w:pPr>
                    <w:pStyle w:val="TableBodyText"/>
                    <w:spacing w:before="80"/>
                    <w:jc w:val="left"/>
                  </w:pPr>
                  <w:r>
                    <w:t xml:space="preserve">Structural reform </w:t>
                  </w:r>
                  <w:r w:rsidRPr="00F214A2">
                    <w:t>in Australia</w:t>
                  </w:r>
                  <w:r>
                    <w:t xml:space="preserve"> and the role of the Commission</w:t>
                  </w:r>
                </w:p>
              </w:tc>
              <w:tc>
                <w:tcPr>
                  <w:tcW w:w="1418" w:type="dxa"/>
                  <w:shd w:val="clear" w:color="auto" w:fill="auto"/>
                </w:tcPr>
                <w:p w:rsidR="004103F0" w:rsidRPr="00F214A2" w:rsidRDefault="004103F0" w:rsidP="004103F0">
                  <w:pPr>
                    <w:pStyle w:val="TableColumnHeading"/>
                    <w:spacing w:after="40"/>
                    <w:ind w:right="57"/>
                  </w:pPr>
                  <w:r>
                    <w:t>Nov 2013 (C)</w:t>
                  </w:r>
                </w:p>
              </w:tc>
            </w:tr>
            <w:tr w:rsidR="004103F0" w:rsidTr="004103F0">
              <w:tc>
                <w:tcPr>
                  <w:tcW w:w="6521" w:type="dxa"/>
                  <w:shd w:val="clear" w:color="auto" w:fill="auto"/>
                </w:tcPr>
                <w:p w:rsidR="004103F0" w:rsidRPr="00F214A2" w:rsidRDefault="004103F0" w:rsidP="004103F0">
                  <w:pPr>
                    <w:pStyle w:val="TableBodyText"/>
                    <w:spacing w:before="80"/>
                    <w:jc w:val="left"/>
                  </w:pPr>
                  <w:r w:rsidRPr="00F214A2">
                    <w:t>Korean Fair Trade Commission</w:t>
                  </w:r>
                </w:p>
              </w:tc>
              <w:tc>
                <w:tcPr>
                  <w:tcW w:w="5670" w:type="dxa"/>
                  <w:shd w:val="clear" w:color="auto" w:fill="auto"/>
                </w:tcPr>
                <w:p w:rsidR="004103F0" w:rsidRPr="00F214A2" w:rsidRDefault="004103F0" w:rsidP="004103F0">
                  <w:pPr>
                    <w:pStyle w:val="TableBodyText"/>
                    <w:spacing w:before="80"/>
                    <w:jc w:val="left"/>
                  </w:pPr>
                  <w:r>
                    <w:t>R</w:t>
                  </w:r>
                  <w:r w:rsidRPr="00F214A2">
                    <w:t xml:space="preserve">egulation </w:t>
                  </w:r>
                  <w:r>
                    <w:t>r</w:t>
                  </w:r>
                  <w:r w:rsidRPr="00F214A2">
                    <w:t xml:space="preserve">eform and </w:t>
                  </w:r>
                  <w:r>
                    <w:t>the e</w:t>
                  </w:r>
                  <w:r w:rsidRPr="00F214A2">
                    <w:t xml:space="preserve">nergy </w:t>
                  </w:r>
                  <w:r>
                    <w:t>s</w:t>
                  </w:r>
                  <w:r w:rsidRPr="00F214A2">
                    <w:t>ector</w:t>
                  </w:r>
                </w:p>
              </w:tc>
              <w:tc>
                <w:tcPr>
                  <w:tcW w:w="1418" w:type="dxa"/>
                  <w:shd w:val="clear" w:color="auto" w:fill="auto"/>
                </w:tcPr>
                <w:p w:rsidR="004103F0" w:rsidRPr="00F214A2" w:rsidRDefault="004103F0" w:rsidP="004103F0">
                  <w:pPr>
                    <w:pStyle w:val="TableColumnHeading"/>
                    <w:spacing w:after="40"/>
                    <w:ind w:right="57"/>
                  </w:pPr>
                  <w:r w:rsidRPr="00F214A2">
                    <w:t>Dec 2013 (M)</w:t>
                  </w:r>
                </w:p>
              </w:tc>
            </w:tr>
            <w:tr w:rsidR="004103F0" w:rsidTr="004103F0">
              <w:tc>
                <w:tcPr>
                  <w:tcW w:w="6521" w:type="dxa"/>
                  <w:shd w:val="clear" w:color="auto" w:fill="auto"/>
                </w:tcPr>
                <w:p w:rsidR="004103F0" w:rsidRPr="00F214A2" w:rsidRDefault="004103F0" w:rsidP="004103F0">
                  <w:pPr>
                    <w:pStyle w:val="TableBodyText"/>
                    <w:spacing w:before="80"/>
                    <w:jc w:val="left"/>
                  </w:pPr>
                  <w:r w:rsidRPr="00F214A2">
                    <w:t xml:space="preserve">Mr Pradeep Mehta, (founder) Secretary General &amp; Mr </w:t>
                  </w:r>
                  <w:proofErr w:type="spellStart"/>
                  <w:r w:rsidRPr="00F214A2">
                    <w:t>Dipul</w:t>
                  </w:r>
                  <w:proofErr w:type="spellEnd"/>
                  <w:r w:rsidRPr="00F214A2">
                    <w:t xml:space="preserve"> Chatterjee, Deputy Executive Director</w:t>
                  </w:r>
                  <w:r>
                    <w:t xml:space="preserve">, </w:t>
                  </w:r>
                  <w:r w:rsidRPr="00F214A2">
                    <w:t xml:space="preserve">Consumer Unity &amp; Trust Society (CUTS) International, </w:t>
                  </w:r>
                  <w:r>
                    <w:t>India</w:t>
                  </w:r>
                </w:p>
              </w:tc>
              <w:tc>
                <w:tcPr>
                  <w:tcW w:w="5670" w:type="dxa"/>
                  <w:shd w:val="clear" w:color="auto" w:fill="auto"/>
                </w:tcPr>
                <w:p w:rsidR="004103F0" w:rsidRPr="00F214A2" w:rsidRDefault="004103F0" w:rsidP="004103F0">
                  <w:pPr>
                    <w:pStyle w:val="TableBodyText"/>
                    <w:spacing w:before="80"/>
                    <w:jc w:val="left"/>
                  </w:pPr>
                  <w:r w:rsidRPr="00F214A2">
                    <w:t>Economic reform in federal systems</w:t>
                  </w:r>
                </w:p>
              </w:tc>
              <w:tc>
                <w:tcPr>
                  <w:tcW w:w="1418" w:type="dxa"/>
                  <w:shd w:val="clear" w:color="auto" w:fill="auto"/>
                </w:tcPr>
                <w:p w:rsidR="004103F0" w:rsidRPr="00F214A2" w:rsidRDefault="004103F0" w:rsidP="004103F0">
                  <w:pPr>
                    <w:pStyle w:val="TableColumnHeading"/>
                    <w:spacing w:after="40"/>
                    <w:ind w:right="57"/>
                  </w:pPr>
                  <w:r w:rsidRPr="00F214A2">
                    <w:t>Feb 2014 (C)</w:t>
                  </w:r>
                </w:p>
                <w:p w:rsidR="004103F0" w:rsidRPr="00F214A2" w:rsidRDefault="004103F0" w:rsidP="004103F0">
                  <w:pPr>
                    <w:pStyle w:val="TableColumnHeading"/>
                    <w:spacing w:after="40"/>
                    <w:ind w:right="57"/>
                  </w:pPr>
                </w:p>
              </w:tc>
            </w:tr>
            <w:tr w:rsidR="004103F0" w:rsidTr="004103F0">
              <w:tc>
                <w:tcPr>
                  <w:tcW w:w="6521" w:type="dxa"/>
                  <w:shd w:val="clear" w:color="auto" w:fill="auto"/>
                </w:tcPr>
                <w:p w:rsidR="004103F0" w:rsidRPr="00F214A2" w:rsidRDefault="004103F0" w:rsidP="004103F0">
                  <w:pPr>
                    <w:pStyle w:val="TableBodyText"/>
                    <w:spacing w:before="80"/>
                    <w:jc w:val="left"/>
                  </w:pPr>
                  <w:r>
                    <w:t>Mr Kenichi Kawasaki, National Graduate Institute for Policy Studies, Japan</w:t>
                  </w:r>
                </w:p>
              </w:tc>
              <w:tc>
                <w:tcPr>
                  <w:tcW w:w="5670" w:type="dxa"/>
                  <w:shd w:val="clear" w:color="auto" w:fill="auto"/>
                </w:tcPr>
                <w:p w:rsidR="004103F0" w:rsidRPr="00F214A2" w:rsidRDefault="004103F0" w:rsidP="004103F0">
                  <w:pPr>
                    <w:pStyle w:val="TableBodyText"/>
                    <w:spacing w:before="80"/>
                    <w:jc w:val="left"/>
                  </w:pPr>
                  <w:r>
                    <w:t>Bilateral and Regional Trade Agreements</w:t>
                  </w:r>
                </w:p>
              </w:tc>
              <w:tc>
                <w:tcPr>
                  <w:tcW w:w="1418" w:type="dxa"/>
                  <w:shd w:val="clear" w:color="auto" w:fill="auto"/>
                </w:tcPr>
                <w:p w:rsidR="004103F0" w:rsidRPr="00F214A2" w:rsidRDefault="004103F0" w:rsidP="004103F0">
                  <w:pPr>
                    <w:pStyle w:val="TableColumnHeading"/>
                    <w:spacing w:after="40"/>
                    <w:ind w:right="57"/>
                  </w:pPr>
                  <w:r>
                    <w:t>Mar 2014 (C)</w:t>
                  </w:r>
                </w:p>
              </w:tc>
            </w:tr>
            <w:tr w:rsidR="004103F0" w:rsidTr="004103F0">
              <w:tc>
                <w:tcPr>
                  <w:tcW w:w="6521" w:type="dxa"/>
                  <w:shd w:val="clear" w:color="auto" w:fill="auto"/>
                </w:tcPr>
                <w:p w:rsidR="004103F0" w:rsidRPr="00F214A2" w:rsidRDefault="004103F0" w:rsidP="004103F0">
                  <w:pPr>
                    <w:pStyle w:val="TableBodyText"/>
                    <w:spacing w:before="80"/>
                    <w:jc w:val="left"/>
                  </w:pPr>
                  <w:r w:rsidRPr="00F214A2">
                    <w:t xml:space="preserve">Dr Hoang Xuan </w:t>
                  </w:r>
                  <w:proofErr w:type="spellStart"/>
                  <w:r w:rsidRPr="00F214A2">
                    <w:t>Hoa</w:t>
                  </w:r>
                  <w:proofErr w:type="spellEnd"/>
                  <w:r w:rsidRPr="00F214A2">
                    <w:t>, Director-General, Department of Economics, Economic Commission of the Communist Party of Vietnam’s Central Committee</w:t>
                  </w:r>
                </w:p>
              </w:tc>
              <w:tc>
                <w:tcPr>
                  <w:tcW w:w="5670" w:type="dxa"/>
                  <w:shd w:val="clear" w:color="auto" w:fill="auto"/>
                </w:tcPr>
                <w:p w:rsidR="004103F0" w:rsidRPr="00F214A2" w:rsidRDefault="004103F0" w:rsidP="004103F0">
                  <w:pPr>
                    <w:pStyle w:val="TableBodyText"/>
                    <w:spacing w:before="80"/>
                    <w:jc w:val="left"/>
                  </w:pPr>
                  <w:r>
                    <w:t>The Commission’s role and activities</w:t>
                  </w:r>
                </w:p>
              </w:tc>
              <w:tc>
                <w:tcPr>
                  <w:tcW w:w="1418" w:type="dxa"/>
                  <w:shd w:val="clear" w:color="auto" w:fill="auto"/>
                </w:tcPr>
                <w:p w:rsidR="004103F0" w:rsidRPr="00F214A2" w:rsidRDefault="004103F0" w:rsidP="004103F0">
                  <w:pPr>
                    <w:pStyle w:val="TableColumnHeading"/>
                    <w:spacing w:after="40"/>
                    <w:ind w:right="57"/>
                  </w:pPr>
                  <w:r w:rsidRPr="00F214A2">
                    <w:t>June 2014 (C)</w:t>
                  </w:r>
                </w:p>
              </w:tc>
            </w:tr>
            <w:tr w:rsidR="004103F0" w:rsidTr="004103F0">
              <w:tc>
                <w:tcPr>
                  <w:tcW w:w="6521" w:type="dxa"/>
                  <w:tcBorders>
                    <w:bottom w:val="single" w:sz="6" w:space="0" w:color="C8C8C8"/>
                  </w:tcBorders>
                  <w:shd w:val="clear" w:color="auto" w:fill="auto"/>
                </w:tcPr>
                <w:p w:rsidR="004103F0" w:rsidRDefault="004103F0" w:rsidP="004103F0">
                  <w:pPr>
                    <w:pStyle w:val="TableBodyText"/>
                    <w:spacing w:before="80"/>
                    <w:jc w:val="left"/>
                  </w:pPr>
                  <w:r>
                    <w:t>OECD Delegation</w:t>
                  </w:r>
                </w:p>
              </w:tc>
              <w:tc>
                <w:tcPr>
                  <w:tcW w:w="5670" w:type="dxa"/>
                  <w:tcBorders>
                    <w:bottom w:val="single" w:sz="6" w:space="0" w:color="C8C8C8"/>
                  </w:tcBorders>
                  <w:shd w:val="clear" w:color="auto" w:fill="auto"/>
                </w:tcPr>
                <w:p w:rsidR="004103F0" w:rsidRDefault="004103F0" w:rsidP="004103F0">
                  <w:pPr>
                    <w:pStyle w:val="TableBodyText"/>
                    <w:spacing w:before="80"/>
                    <w:jc w:val="left"/>
                  </w:pPr>
                  <w:r>
                    <w:t>OECD Economic Survey of Australia</w:t>
                  </w:r>
                </w:p>
              </w:tc>
              <w:tc>
                <w:tcPr>
                  <w:tcW w:w="1418" w:type="dxa"/>
                  <w:tcBorders>
                    <w:bottom w:val="single" w:sz="6" w:space="0" w:color="C8C8C8"/>
                  </w:tcBorders>
                  <w:shd w:val="clear" w:color="auto" w:fill="auto"/>
                </w:tcPr>
                <w:p w:rsidR="004103F0" w:rsidRDefault="004103F0" w:rsidP="004103F0">
                  <w:pPr>
                    <w:pStyle w:val="TableColumnHeading"/>
                    <w:spacing w:after="40"/>
                    <w:ind w:right="57"/>
                  </w:pPr>
                  <w:r>
                    <w:t>June 2014 (M)</w:t>
                  </w:r>
                </w:p>
              </w:tc>
            </w:tr>
          </w:tbl>
          <w:p w:rsidR="008B701A" w:rsidRDefault="008B701A" w:rsidP="00846637">
            <w:pPr>
              <w:pStyle w:val="Box"/>
            </w:pPr>
          </w:p>
        </w:tc>
      </w:tr>
      <w:tr w:rsidR="008B701A" w:rsidTr="004103F0">
        <w:trPr>
          <w:cantSplit/>
        </w:trPr>
        <w:tc>
          <w:tcPr>
            <w:tcW w:w="5000" w:type="pct"/>
            <w:tcBorders>
              <w:top w:val="nil"/>
              <w:left w:val="nil"/>
              <w:bottom w:val="nil"/>
              <w:right w:val="nil"/>
            </w:tcBorders>
            <w:shd w:val="clear" w:color="auto" w:fill="auto"/>
          </w:tcPr>
          <w:p w:rsidR="008B701A" w:rsidRDefault="004103F0" w:rsidP="004103F0">
            <w:pPr>
              <w:pStyle w:val="Note"/>
              <w:rPr>
                <w:i/>
              </w:rPr>
            </w:pPr>
            <w:r>
              <w:t>(C)   Canberra    (M)   Melbourne</w:t>
            </w:r>
          </w:p>
        </w:tc>
      </w:tr>
      <w:tr w:rsidR="008B701A" w:rsidTr="004103F0">
        <w:trPr>
          <w:cantSplit/>
        </w:trPr>
        <w:tc>
          <w:tcPr>
            <w:tcW w:w="5000" w:type="pct"/>
            <w:tcBorders>
              <w:top w:val="nil"/>
              <w:left w:val="nil"/>
              <w:bottom w:val="single" w:sz="6" w:space="0" w:color="78A22F"/>
              <w:right w:val="nil"/>
            </w:tcBorders>
            <w:shd w:val="clear" w:color="auto" w:fill="auto"/>
          </w:tcPr>
          <w:p w:rsidR="008B701A" w:rsidRDefault="008B701A" w:rsidP="00846637">
            <w:pPr>
              <w:pStyle w:val="Box"/>
              <w:spacing w:before="0" w:line="120" w:lineRule="exact"/>
            </w:pPr>
          </w:p>
        </w:tc>
      </w:tr>
      <w:tr w:rsidR="008B701A" w:rsidRPr="000863A5" w:rsidTr="004103F0">
        <w:tc>
          <w:tcPr>
            <w:tcW w:w="5000" w:type="pct"/>
            <w:tcBorders>
              <w:top w:val="single" w:sz="6" w:space="0" w:color="78A22F"/>
              <w:left w:val="nil"/>
              <w:bottom w:val="nil"/>
              <w:right w:val="nil"/>
            </w:tcBorders>
          </w:tcPr>
          <w:p w:rsidR="008B701A" w:rsidRPr="00626D32" w:rsidRDefault="008B701A" w:rsidP="00784A05">
            <w:pPr>
              <w:pStyle w:val="BoxSpaceBelow"/>
            </w:pPr>
          </w:p>
        </w:tc>
      </w:tr>
    </w:tbl>
    <w:p w:rsidR="00F9617A" w:rsidRDefault="00F9617A">
      <w:pPr>
        <w:rPr>
          <w:rFonts w:ascii="Arial" w:hAnsi="Arial"/>
        </w:rPr>
      </w:pPr>
    </w:p>
    <w:sectPr w:rsidR="00F9617A" w:rsidSect="00887BAC">
      <w:headerReference w:type="even" r:id="rId12"/>
      <w:headerReference w:type="default" r:id="rId13"/>
      <w:footerReference w:type="even" r:id="rId14"/>
      <w:footerReference w:type="default" r:id="rId15"/>
      <w:headerReference w:type="first" r:id="rId16"/>
      <w:footerReference w:type="first" r:id="rId17"/>
      <w:pgSz w:w="16840" w:h="11907" w:orient="landscape" w:code="9"/>
      <w:pgMar w:top="1814" w:right="1984" w:bottom="1304" w:left="1247" w:header="1701" w:footer="397" w:gutter="0"/>
      <w:pgNumType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2B37" w:rsidRDefault="009A2B37">
      <w:r>
        <w:separator/>
      </w:r>
    </w:p>
  </w:endnote>
  <w:endnote w:type="continuationSeparator" w:id="0">
    <w:p w:rsidR="009A2B37" w:rsidRDefault="009A2B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GoudyOlSt BT">
    <w:altName w:val="Georgia"/>
    <w:charset w:val="00"/>
    <w:family w:val="roman"/>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Goudy Old Style">
    <w:panose1 w:val="02020502050305020303"/>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9A2B37" w:rsidTr="009A2B37">
      <w:trPr>
        <w:trHeight w:hRule="exact" w:val="567"/>
      </w:trPr>
      <w:tc>
        <w:tcPr>
          <w:tcW w:w="510" w:type="dxa"/>
        </w:tcPr>
        <w:p w:rsidR="009A2B37" w:rsidRPr="00A24443" w:rsidRDefault="009A2B37" w:rsidP="009A2B37">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6B6AC7">
            <w:rPr>
              <w:rStyle w:val="PageNumber"/>
              <w:caps w:val="0"/>
              <w:noProof/>
            </w:rPr>
            <w:t>110</w:t>
          </w:r>
          <w:r w:rsidRPr="00A24443">
            <w:rPr>
              <w:rStyle w:val="PageNumber"/>
              <w:caps w:val="0"/>
            </w:rPr>
            <w:fldChar w:fldCharType="end"/>
          </w:r>
        </w:p>
      </w:tc>
      <w:tc>
        <w:tcPr>
          <w:tcW w:w="7767" w:type="dxa"/>
        </w:tcPr>
        <w:p w:rsidR="009A2B37" w:rsidRPr="0013739A" w:rsidRDefault="009A2B37" w:rsidP="009A2B37">
          <w:pPr>
            <w:pStyle w:val="Footer"/>
            <w:rPr>
              <w:rFonts w:cs="Arial"/>
            </w:rPr>
          </w:pPr>
          <w:r w:rsidRPr="00BA5B14">
            <w:rPr>
              <w:rFonts w:cs="Arial"/>
            </w:rPr>
            <w:fldChar w:fldCharType="begin"/>
          </w:r>
          <w:r w:rsidRPr="00BA5B14">
            <w:rPr>
              <w:rFonts w:cs="Arial"/>
            </w:rPr>
            <w:instrText xml:space="preserve"> SUBJECT  \* MERGEFORMAT </w:instrText>
          </w:r>
          <w:r w:rsidRPr="00BA5B14">
            <w:rPr>
              <w:rFonts w:cs="Arial"/>
            </w:rPr>
            <w:fldChar w:fldCharType="separate"/>
          </w:r>
          <w:r w:rsidR="00997332">
            <w:rPr>
              <w:rFonts w:cs="Arial"/>
            </w:rPr>
            <w:t>Annual Report 2013-14</w:t>
          </w:r>
          <w:r w:rsidRPr="00BA5B14">
            <w:rPr>
              <w:rFonts w:cs="Arial"/>
            </w:rPr>
            <w:fldChar w:fldCharType="end"/>
          </w:r>
          <w:bookmarkStart w:id="4" w:name="DraftReportEven"/>
          <w:bookmarkEnd w:id="4"/>
        </w:p>
      </w:tc>
      <w:tc>
        <w:tcPr>
          <w:tcW w:w="510" w:type="dxa"/>
        </w:tcPr>
        <w:p w:rsidR="009A2B37" w:rsidRDefault="009A2B37" w:rsidP="009A2B37">
          <w:pPr>
            <w:pStyle w:val="Footer"/>
          </w:pPr>
        </w:p>
      </w:tc>
    </w:tr>
  </w:tbl>
  <w:p w:rsidR="009A2B37" w:rsidRDefault="009A2B37" w:rsidP="009A2B37">
    <w:pPr>
      <w:pStyle w:val="FooterEnd"/>
    </w:pPr>
  </w:p>
  <w:p w:rsidR="009A2B37" w:rsidRDefault="009A2B37">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9A2B37" w:rsidTr="009A2B37">
      <w:trPr>
        <w:trHeight w:hRule="exact" w:val="567"/>
      </w:trPr>
      <w:tc>
        <w:tcPr>
          <w:tcW w:w="510" w:type="dxa"/>
        </w:tcPr>
        <w:p w:rsidR="009A2B37" w:rsidRDefault="009A2B37">
          <w:pPr>
            <w:pStyle w:val="Footer"/>
            <w:ind w:right="360" w:firstLine="360"/>
          </w:pPr>
        </w:p>
      </w:tc>
      <w:tc>
        <w:tcPr>
          <w:tcW w:w="7767" w:type="dxa"/>
        </w:tcPr>
        <w:p w:rsidR="009A2B37" w:rsidRPr="00BA5B14" w:rsidRDefault="009A2B37" w:rsidP="009A2B37">
          <w:pPr>
            <w:pStyle w:val="Footer"/>
            <w:jc w:val="right"/>
            <w:rPr>
              <w:rFonts w:cs="Arial"/>
            </w:rPr>
          </w:pPr>
          <w:r w:rsidRPr="00BA5B14">
            <w:rPr>
              <w:rFonts w:cs="Arial"/>
            </w:rPr>
            <w:fldChar w:fldCharType="begin"/>
          </w:r>
          <w:r w:rsidRPr="00BA5B14">
            <w:rPr>
              <w:rFonts w:cs="Arial"/>
            </w:rPr>
            <w:instrText xml:space="preserve"> TITLE  \* MERGEFORMAT </w:instrText>
          </w:r>
          <w:r w:rsidRPr="00BA5B14">
            <w:rPr>
              <w:rFonts w:cs="Arial"/>
            </w:rPr>
            <w:fldChar w:fldCharType="separate"/>
          </w:r>
          <w:r w:rsidR="00997332">
            <w:rPr>
              <w:rFonts w:cs="Arial"/>
            </w:rPr>
            <w:t>Supporting research and related activities</w:t>
          </w:r>
          <w:r w:rsidRPr="00BA5B14">
            <w:rPr>
              <w:rFonts w:cs="Arial"/>
            </w:rPr>
            <w:fldChar w:fldCharType="end"/>
          </w:r>
        </w:p>
      </w:tc>
      <w:tc>
        <w:tcPr>
          <w:tcW w:w="510" w:type="dxa"/>
        </w:tcPr>
        <w:p w:rsidR="009A2B37" w:rsidRPr="00A24443" w:rsidRDefault="009A2B37">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6B6AC7">
            <w:rPr>
              <w:rStyle w:val="PageNumber"/>
              <w:caps w:val="0"/>
              <w:noProof/>
            </w:rPr>
            <w:t>111</w:t>
          </w:r>
          <w:r w:rsidRPr="00A24443">
            <w:rPr>
              <w:rStyle w:val="PageNumber"/>
              <w:caps w:val="0"/>
            </w:rPr>
            <w:fldChar w:fldCharType="end"/>
          </w:r>
        </w:p>
      </w:tc>
    </w:tr>
  </w:tbl>
  <w:p w:rsidR="009A2B37" w:rsidRDefault="009A2B37">
    <w:pPr>
      <w:pStyle w:val="FooterEnd"/>
    </w:pPr>
  </w:p>
  <w:p w:rsidR="009A2B37" w:rsidRDefault="009A2B37">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2B37" w:rsidRDefault="009A2B37">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2B37" w:rsidRDefault="009A2B37">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2B37" w:rsidRDefault="009A2B3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2B37" w:rsidRDefault="009A2B37">
      <w:r>
        <w:separator/>
      </w:r>
    </w:p>
  </w:footnote>
  <w:footnote w:type="continuationSeparator" w:id="0">
    <w:p w:rsidR="009A2B37" w:rsidRDefault="009A2B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9A2B37">
      <w:tc>
        <w:tcPr>
          <w:tcW w:w="2155" w:type="dxa"/>
          <w:tcBorders>
            <w:top w:val="single" w:sz="24" w:space="0" w:color="auto"/>
          </w:tcBorders>
        </w:tcPr>
        <w:p w:rsidR="009A2B37" w:rsidRDefault="009A2B37">
          <w:pPr>
            <w:pStyle w:val="HeaderEven"/>
          </w:pPr>
        </w:p>
      </w:tc>
      <w:tc>
        <w:tcPr>
          <w:tcW w:w="6634" w:type="dxa"/>
          <w:tcBorders>
            <w:top w:val="single" w:sz="6" w:space="0" w:color="auto"/>
          </w:tcBorders>
        </w:tcPr>
        <w:p w:rsidR="009A2B37" w:rsidRDefault="009A2B37">
          <w:pPr>
            <w:pStyle w:val="HeaderEven"/>
          </w:pPr>
        </w:p>
      </w:tc>
    </w:tr>
  </w:tbl>
  <w:p w:rsidR="009A2B37" w:rsidRDefault="009A2B37">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9A2B37">
      <w:tc>
        <w:tcPr>
          <w:tcW w:w="6634" w:type="dxa"/>
          <w:tcBorders>
            <w:top w:val="single" w:sz="6" w:space="0" w:color="auto"/>
          </w:tcBorders>
        </w:tcPr>
        <w:p w:rsidR="009A2B37" w:rsidRDefault="009A2B37">
          <w:pPr>
            <w:pStyle w:val="HeaderOdd"/>
          </w:pPr>
        </w:p>
      </w:tc>
      <w:tc>
        <w:tcPr>
          <w:tcW w:w="2155" w:type="dxa"/>
          <w:tcBorders>
            <w:top w:val="single" w:sz="24" w:space="0" w:color="auto"/>
          </w:tcBorders>
        </w:tcPr>
        <w:p w:rsidR="009A2B37" w:rsidRDefault="009A2B37">
          <w:pPr>
            <w:pStyle w:val="HeaderOdd"/>
          </w:pPr>
        </w:p>
      </w:tc>
    </w:tr>
  </w:tbl>
  <w:p w:rsidR="009A2B37" w:rsidRDefault="009A2B37">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2B37" w:rsidRDefault="009A2B37">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2B37" w:rsidRDefault="009A2B37">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2B37" w:rsidRDefault="009A2B3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7C25724"/>
    <w:multiLevelType w:val="multilevel"/>
    <w:tmpl w:val="9B080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0BEF0901"/>
    <w:multiLevelType w:val="multilevel"/>
    <w:tmpl w:val="2B5852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9">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21">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3">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4">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5">
    <w:nsid w:val="3C7B07DC"/>
    <w:multiLevelType w:val="multilevel"/>
    <w:tmpl w:val="8A72CD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3E852CF7"/>
    <w:multiLevelType w:val="multilevel"/>
    <w:tmpl w:val="724674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9">
    <w:nsid w:val="4D8F315E"/>
    <w:multiLevelType w:val="multilevel"/>
    <w:tmpl w:val="363E33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1F74561"/>
    <w:multiLevelType w:val="singleLevel"/>
    <w:tmpl w:val="ED98921A"/>
    <w:lvl w:ilvl="0">
      <w:start w:val="1"/>
      <w:numFmt w:val="decimal"/>
      <w:lvlText w:val="%1."/>
      <w:legacy w:legacy="1" w:legacySpace="0" w:legacyIndent="340"/>
      <w:lvlJc w:val="left"/>
      <w:pPr>
        <w:ind w:left="340" w:hanging="340"/>
      </w:pPr>
    </w:lvl>
  </w:abstractNum>
  <w:abstractNum w:abstractNumId="31">
    <w:nsid w:val="52221B3E"/>
    <w:multiLevelType w:val="singleLevel"/>
    <w:tmpl w:val="80C453A6"/>
    <w:lvl w:ilvl="0">
      <w:start w:val="1"/>
      <w:numFmt w:val="bullet"/>
      <w:lvlText w:val=""/>
      <w:lvlJc w:val="left"/>
      <w:pPr>
        <w:tabs>
          <w:tab w:val="num" w:pos="360"/>
        </w:tabs>
        <w:ind w:left="284" w:hanging="284"/>
      </w:pPr>
      <w:rPr>
        <w:rFonts w:ascii="Symbol" w:hAnsi="Symbol" w:hint="default"/>
        <w:sz w:val="18"/>
      </w:rPr>
    </w:lvl>
  </w:abstractNum>
  <w:abstractNum w:abstractNumId="32">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33">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34">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3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6">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7">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8">
    <w:nsid w:val="5A096576"/>
    <w:multiLevelType w:val="singleLevel"/>
    <w:tmpl w:val="ED98921A"/>
    <w:lvl w:ilvl="0">
      <w:start w:val="1"/>
      <w:numFmt w:val="decimal"/>
      <w:lvlText w:val="%1."/>
      <w:legacy w:legacy="1" w:legacySpace="0" w:legacyIndent="340"/>
      <w:lvlJc w:val="left"/>
      <w:pPr>
        <w:ind w:left="340" w:hanging="340"/>
      </w:pPr>
    </w:lvl>
  </w:abstractNum>
  <w:abstractNum w:abstractNumId="39">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nsid w:val="60055F7F"/>
    <w:multiLevelType w:val="singleLevel"/>
    <w:tmpl w:val="ED98921A"/>
    <w:lvl w:ilvl="0">
      <w:start w:val="1"/>
      <w:numFmt w:val="decimal"/>
      <w:lvlText w:val="%1."/>
      <w:legacy w:legacy="1" w:legacySpace="0" w:legacyIndent="340"/>
      <w:lvlJc w:val="left"/>
      <w:pPr>
        <w:ind w:left="340" w:hanging="340"/>
      </w:pPr>
    </w:lvl>
  </w:abstractNum>
  <w:abstractNum w:abstractNumId="41">
    <w:nsid w:val="608E741E"/>
    <w:multiLevelType w:val="singleLevel"/>
    <w:tmpl w:val="ED98921A"/>
    <w:lvl w:ilvl="0">
      <w:start w:val="1"/>
      <w:numFmt w:val="decimal"/>
      <w:lvlText w:val="%1."/>
      <w:legacy w:legacy="1" w:legacySpace="0" w:legacyIndent="340"/>
      <w:lvlJc w:val="left"/>
      <w:pPr>
        <w:ind w:left="340" w:hanging="340"/>
      </w:pPr>
    </w:lvl>
  </w:abstractNum>
  <w:abstractNum w:abstractNumId="42">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nsid w:val="61320C1E"/>
    <w:multiLevelType w:val="singleLevel"/>
    <w:tmpl w:val="C444122C"/>
    <w:lvl w:ilvl="0">
      <w:start w:val="1"/>
      <w:numFmt w:val="decimal"/>
      <w:lvlText w:val="%1."/>
      <w:legacy w:legacy="1" w:legacySpace="0" w:legacyIndent="284"/>
      <w:lvlJc w:val="left"/>
      <w:pPr>
        <w:ind w:left="284" w:hanging="284"/>
      </w:pPr>
    </w:lvl>
  </w:abstractNum>
  <w:abstractNum w:abstractNumId="44">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45">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46">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7">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8">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50">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51">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52">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45"/>
  </w:num>
  <w:num w:numId="2">
    <w:abstractNumId w:val="10"/>
  </w:num>
  <w:num w:numId="3">
    <w:abstractNumId w:val="18"/>
  </w:num>
  <w:num w:numId="4">
    <w:abstractNumId w:val="32"/>
  </w:num>
  <w:num w:numId="5">
    <w:abstractNumId w:val="23"/>
  </w:num>
  <w:num w:numId="6">
    <w:abstractNumId w:val="50"/>
  </w:num>
  <w:num w:numId="7">
    <w:abstractNumId w:val="51"/>
  </w:num>
  <w:num w:numId="8">
    <w:abstractNumId w:val="20"/>
  </w:num>
  <w:num w:numId="9">
    <w:abstractNumId w:val="33"/>
  </w:num>
  <w:num w:numId="10">
    <w:abstractNumId w:val="9"/>
  </w:num>
  <w:num w:numId="11">
    <w:abstractNumId w:val="35"/>
  </w:num>
  <w:num w:numId="12">
    <w:abstractNumId w:val="7"/>
  </w:num>
  <w:num w:numId="13">
    <w:abstractNumId w:val="17"/>
  </w:num>
  <w:num w:numId="14">
    <w:abstractNumId w:val="16"/>
  </w:num>
  <w:num w:numId="15">
    <w:abstractNumId w:val="22"/>
  </w:num>
  <w:num w:numId="16">
    <w:abstractNumId w:val="27"/>
  </w:num>
  <w:num w:numId="17">
    <w:abstractNumId w:val="37"/>
  </w:num>
  <w:num w:numId="18">
    <w:abstractNumId w:val="5"/>
  </w:num>
  <w:num w:numId="19">
    <w:abstractNumId w:val="3"/>
  </w:num>
  <w:num w:numId="20">
    <w:abstractNumId w:val="2"/>
  </w:num>
  <w:num w:numId="21">
    <w:abstractNumId w:val="4"/>
  </w:num>
  <w:num w:numId="22">
    <w:abstractNumId w:val="1"/>
  </w:num>
  <w:num w:numId="23">
    <w:abstractNumId w:val="0"/>
  </w:num>
  <w:num w:numId="24">
    <w:abstractNumId w:val="12"/>
  </w:num>
  <w:num w:numId="25">
    <w:abstractNumId w:val="41"/>
  </w:num>
  <w:num w:numId="26">
    <w:abstractNumId w:val="44"/>
  </w:num>
  <w:num w:numId="27">
    <w:abstractNumId w:val="30"/>
  </w:num>
  <w:num w:numId="28">
    <w:abstractNumId w:val="34"/>
  </w:num>
  <w:num w:numId="29">
    <w:abstractNumId w:val="36"/>
  </w:num>
  <w:num w:numId="30">
    <w:abstractNumId w:val="49"/>
  </w:num>
  <w:num w:numId="31">
    <w:abstractNumId w:val="40"/>
  </w:num>
  <w:num w:numId="32">
    <w:abstractNumId w:val="46"/>
  </w:num>
  <w:num w:numId="33">
    <w:abstractNumId w:val="47"/>
  </w:num>
  <w:num w:numId="34">
    <w:abstractNumId w:val="38"/>
  </w:num>
  <w:num w:numId="35">
    <w:abstractNumId w:val="24"/>
  </w:num>
  <w:num w:numId="36">
    <w:abstractNumId w:val="52"/>
  </w:num>
  <w:num w:numId="37">
    <w:abstractNumId w:val="8"/>
  </w:num>
  <w:num w:numId="38">
    <w:abstractNumId w:val="21"/>
  </w:num>
  <w:num w:numId="39">
    <w:abstractNumId w:val="48"/>
  </w:num>
  <w:num w:numId="40">
    <w:abstractNumId w:val="39"/>
  </w:num>
  <w:num w:numId="41">
    <w:abstractNumId w:val="13"/>
  </w:num>
  <w:num w:numId="42">
    <w:abstractNumId w:val="43"/>
  </w:num>
  <w:num w:numId="43">
    <w:abstractNumId w:val="28"/>
  </w:num>
  <w:num w:numId="44">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5">
    <w:abstractNumId w:val="11"/>
  </w:num>
  <w:num w:numId="46">
    <w:abstractNumId w:val="31"/>
  </w:num>
  <w:num w:numId="47">
    <w:abstractNumId w:val="10"/>
  </w:num>
  <w:num w:numId="48">
    <w:abstractNumId w:val="23"/>
  </w:num>
  <w:num w:numId="49">
    <w:abstractNumId w:val="15"/>
  </w:num>
  <w:num w:numId="50">
    <w:abstractNumId w:val="14"/>
  </w:num>
  <w:num w:numId="51">
    <w:abstractNumId w:val="26"/>
  </w:num>
  <w:num w:numId="52">
    <w:abstractNumId w:val="25"/>
  </w:num>
  <w:num w:numId="53">
    <w:abstractNumId w:val="29"/>
  </w:num>
  <w:num w:numId="54">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55">
    <w:abstractNumId w:val="42"/>
  </w:num>
  <w:num w:numId="56">
    <w:abstractNumId w:val="1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mirrorMargins/>
  <w:activeWritingStyle w:appName="MSWord" w:lang="en-AU" w:vendorID="8" w:dllVersion="513" w:checkStyle="1"/>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34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EvenFooter" w:val="0"/>
    <w:docVar w:name="_HasChapterNumber" w:val="1"/>
    <w:docVar w:name="_NumberByChapter" w:val="0"/>
    <w:docVar w:name="_Separator" w:val="."/>
    <w:docVar w:name="AppendixNumber" w:val="E"/>
    <w:docVar w:name="DocType" w:val="0"/>
    <w:docVar w:name="FindingOptions" w:val="1"/>
    <w:docVar w:name="LongChapterTitle" w:val="Chapter"/>
    <w:docVar w:name="LongReportTitle" w:val="Report title"/>
    <w:docVar w:name="RecOptions" w:val="111"/>
    <w:docVar w:name="ShortChapterTitle" w:val="Supporting research and related activities"/>
    <w:docVar w:name="ShortReportTitle" w:val="Annual Report 2013-14"/>
    <w:docVar w:name="SideNote" w:val="1"/>
    <w:docVar w:name="UseShortChapter" w:val="0"/>
    <w:docVar w:name="UseShortReport" w:val="0"/>
  </w:docVars>
  <w:rsids>
    <w:rsidRoot w:val="00EF2271"/>
    <w:rsid w:val="00000768"/>
    <w:rsid w:val="000019DA"/>
    <w:rsid w:val="00004A34"/>
    <w:rsid w:val="00005CCD"/>
    <w:rsid w:val="000065E4"/>
    <w:rsid w:val="000168CF"/>
    <w:rsid w:val="00025212"/>
    <w:rsid w:val="0003066F"/>
    <w:rsid w:val="00034028"/>
    <w:rsid w:val="000345D3"/>
    <w:rsid w:val="000372D9"/>
    <w:rsid w:val="000510A6"/>
    <w:rsid w:val="00052315"/>
    <w:rsid w:val="00056100"/>
    <w:rsid w:val="00063C5E"/>
    <w:rsid w:val="000742F3"/>
    <w:rsid w:val="00074B41"/>
    <w:rsid w:val="00076511"/>
    <w:rsid w:val="00080E73"/>
    <w:rsid w:val="00081263"/>
    <w:rsid w:val="000960CB"/>
    <w:rsid w:val="000965A1"/>
    <w:rsid w:val="000A2684"/>
    <w:rsid w:val="000A6BD9"/>
    <w:rsid w:val="000B7764"/>
    <w:rsid w:val="000C76B4"/>
    <w:rsid w:val="000D2909"/>
    <w:rsid w:val="000D46B7"/>
    <w:rsid w:val="000E2D49"/>
    <w:rsid w:val="000F0CB5"/>
    <w:rsid w:val="000F45A9"/>
    <w:rsid w:val="000F4CF8"/>
    <w:rsid w:val="00100811"/>
    <w:rsid w:val="001017DB"/>
    <w:rsid w:val="00107453"/>
    <w:rsid w:val="001100B9"/>
    <w:rsid w:val="001170CF"/>
    <w:rsid w:val="001332A8"/>
    <w:rsid w:val="001353C7"/>
    <w:rsid w:val="0014202F"/>
    <w:rsid w:val="00144688"/>
    <w:rsid w:val="00144BF7"/>
    <w:rsid w:val="00160594"/>
    <w:rsid w:val="00160CF5"/>
    <w:rsid w:val="00163035"/>
    <w:rsid w:val="00165381"/>
    <w:rsid w:val="00165A15"/>
    <w:rsid w:val="00165AF0"/>
    <w:rsid w:val="00170E77"/>
    <w:rsid w:val="00170ECD"/>
    <w:rsid w:val="0017186D"/>
    <w:rsid w:val="00181A1C"/>
    <w:rsid w:val="001835ED"/>
    <w:rsid w:val="0018376E"/>
    <w:rsid w:val="001838A3"/>
    <w:rsid w:val="00184D8E"/>
    <w:rsid w:val="00185076"/>
    <w:rsid w:val="001854D6"/>
    <w:rsid w:val="00192322"/>
    <w:rsid w:val="0019240D"/>
    <w:rsid w:val="00193F16"/>
    <w:rsid w:val="00195FFA"/>
    <w:rsid w:val="00196EE2"/>
    <w:rsid w:val="001A455F"/>
    <w:rsid w:val="001A5C54"/>
    <w:rsid w:val="001A5E9F"/>
    <w:rsid w:val="001B7778"/>
    <w:rsid w:val="001C07EE"/>
    <w:rsid w:val="001D0529"/>
    <w:rsid w:val="001D2594"/>
    <w:rsid w:val="001D3DD9"/>
    <w:rsid w:val="001D4889"/>
    <w:rsid w:val="001D767C"/>
    <w:rsid w:val="001E3D2C"/>
    <w:rsid w:val="001F2FE5"/>
    <w:rsid w:val="001F3CC5"/>
    <w:rsid w:val="00202AA1"/>
    <w:rsid w:val="002031DC"/>
    <w:rsid w:val="00204544"/>
    <w:rsid w:val="00204CEE"/>
    <w:rsid w:val="002058C9"/>
    <w:rsid w:val="0020609B"/>
    <w:rsid w:val="00206B81"/>
    <w:rsid w:val="00207B53"/>
    <w:rsid w:val="00207C7D"/>
    <w:rsid w:val="002104E1"/>
    <w:rsid w:val="0021619E"/>
    <w:rsid w:val="002176F2"/>
    <w:rsid w:val="00222DAE"/>
    <w:rsid w:val="002238E1"/>
    <w:rsid w:val="00227576"/>
    <w:rsid w:val="00235EA1"/>
    <w:rsid w:val="00243287"/>
    <w:rsid w:val="00250662"/>
    <w:rsid w:val="00250C9E"/>
    <w:rsid w:val="00251E8B"/>
    <w:rsid w:val="00251FF6"/>
    <w:rsid w:val="00252AD8"/>
    <w:rsid w:val="00253436"/>
    <w:rsid w:val="00254365"/>
    <w:rsid w:val="00255914"/>
    <w:rsid w:val="0026119D"/>
    <w:rsid w:val="00263F5E"/>
    <w:rsid w:val="0027035D"/>
    <w:rsid w:val="0028327A"/>
    <w:rsid w:val="00286CD8"/>
    <w:rsid w:val="00287A31"/>
    <w:rsid w:val="00287BA5"/>
    <w:rsid w:val="0029586A"/>
    <w:rsid w:val="00297891"/>
    <w:rsid w:val="002A759E"/>
    <w:rsid w:val="002B60DB"/>
    <w:rsid w:val="002B6F0B"/>
    <w:rsid w:val="002C4249"/>
    <w:rsid w:val="002D7BC1"/>
    <w:rsid w:val="002F3099"/>
    <w:rsid w:val="00302CDA"/>
    <w:rsid w:val="00302FD5"/>
    <w:rsid w:val="00304BF8"/>
    <w:rsid w:val="003070AA"/>
    <w:rsid w:val="0031252F"/>
    <w:rsid w:val="00323833"/>
    <w:rsid w:val="00327310"/>
    <w:rsid w:val="003336B7"/>
    <w:rsid w:val="00337C94"/>
    <w:rsid w:val="00342560"/>
    <w:rsid w:val="00344245"/>
    <w:rsid w:val="00350F3A"/>
    <w:rsid w:val="00351334"/>
    <w:rsid w:val="003535A7"/>
    <w:rsid w:val="003628AB"/>
    <w:rsid w:val="003742CE"/>
    <w:rsid w:val="00375A6F"/>
    <w:rsid w:val="003772E9"/>
    <w:rsid w:val="00380897"/>
    <w:rsid w:val="00382935"/>
    <w:rsid w:val="00384C78"/>
    <w:rsid w:val="003900DB"/>
    <w:rsid w:val="00392798"/>
    <w:rsid w:val="003A5D48"/>
    <w:rsid w:val="003B09D4"/>
    <w:rsid w:val="003B165A"/>
    <w:rsid w:val="003B32BA"/>
    <w:rsid w:val="003B3419"/>
    <w:rsid w:val="003C121A"/>
    <w:rsid w:val="003D5608"/>
    <w:rsid w:val="003D56E0"/>
    <w:rsid w:val="003D7082"/>
    <w:rsid w:val="003E5A36"/>
    <w:rsid w:val="00400A7C"/>
    <w:rsid w:val="00401B03"/>
    <w:rsid w:val="004042FD"/>
    <w:rsid w:val="00405AB9"/>
    <w:rsid w:val="00410266"/>
    <w:rsid w:val="004103F0"/>
    <w:rsid w:val="0041598E"/>
    <w:rsid w:val="00417245"/>
    <w:rsid w:val="00421480"/>
    <w:rsid w:val="00427B01"/>
    <w:rsid w:val="00430C1F"/>
    <w:rsid w:val="00431483"/>
    <w:rsid w:val="00432EFB"/>
    <w:rsid w:val="0043517C"/>
    <w:rsid w:val="00442032"/>
    <w:rsid w:val="00443B1A"/>
    <w:rsid w:val="00463565"/>
    <w:rsid w:val="00471E07"/>
    <w:rsid w:val="004721C8"/>
    <w:rsid w:val="00474617"/>
    <w:rsid w:val="004754E5"/>
    <w:rsid w:val="004803A3"/>
    <w:rsid w:val="004843B6"/>
    <w:rsid w:val="00491FA0"/>
    <w:rsid w:val="0049590F"/>
    <w:rsid w:val="00496D01"/>
    <w:rsid w:val="0049737F"/>
    <w:rsid w:val="004A55E7"/>
    <w:rsid w:val="004B52D0"/>
    <w:rsid w:val="004B5E60"/>
    <w:rsid w:val="004B73DF"/>
    <w:rsid w:val="004C212E"/>
    <w:rsid w:val="004C239F"/>
    <w:rsid w:val="004C6ADD"/>
    <w:rsid w:val="004C6DD1"/>
    <w:rsid w:val="004D2DCB"/>
    <w:rsid w:val="004D6726"/>
    <w:rsid w:val="004D6784"/>
    <w:rsid w:val="004D68C8"/>
    <w:rsid w:val="004D798C"/>
    <w:rsid w:val="004E142C"/>
    <w:rsid w:val="004F14C4"/>
    <w:rsid w:val="004F237E"/>
    <w:rsid w:val="004F6369"/>
    <w:rsid w:val="004F707A"/>
    <w:rsid w:val="004F7A58"/>
    <w:rsid w:val="005013B5"/>
    <w:rsid w:val="005013C6"/>
    <w:rsid w:val="00507F95"/>
    <w:rsid w:val="00507FB4"/>
    <w:rsid w:val="00515EC3"/>
    <w:rsid w:val="005174B1"/>
    <w:rsid w:val="0052295B"/>
    <w:rsid w:val="00525983"/>
    <w:rsid w:val="005278C9"/>
    <w:rsid w:val="00530752"/>
    <w:rsid w:val="005319EE"/>
    <w:rsid w:val="00536DE5"/>
    <w:rsid w:val="005413D5"/>
    <w:rsid w:val="0054236F"/>
    <w:rsid w:val="005432B7"/>
    <w:rsid w:val="0055035A"/>
    <w:rsid w:val="00554439"/>
    <w:rsid w:val="00555B36"/>
    <w:rsid w:val="005618C7"/>
    <w:rsid w:val="00561CC5"/>
    <w:rsid w:val="005648CF"/>
    <w:rsid w:val="00570BE8"/>
    <w:rsid w:val="00570C28"/>
    <w:rsid w:val="00570E92"/>
    <w:rsid w:val="00571CE0"/>
    <w:rsid w:val="00577FEF"/>
    <w:rsid w:val="0058455F"/>
    <w:rsid w:val="00584AD0"/>
    <w:rsid w:val="005916E1"/>
    <w:rsid w:val="00592159"/>
    <w:rsid w:val="00593FC7"/>
    <w:rsid w:val="00594F2D"/>
    <w:rsid w:val="005A0C65"/>
    <w:rsid w:val="005A0D3A"/>
    <w:rsid w:val="005A49E1"/>
    <w:rsid w:val="005B0091"/>
    <w:rsid w:val="005B020C"/>
    <w:rsid w:val="005B24E1"/>
    <w:rsid w:val="005D7E27"/>
    <w:rsid w:val="005E0AF2"/>
    <w:rsid w:val="005E4D1F"/>
    <w:rsid w:val="005F0B2A"/>
    <w:rsid w:val="005F50E5"/>
    <w:rsid w:val="00603652"/>
    <w:rsid w:val="00604EEE"/>
    <w:rsid w:val="00612F6D"/>
    <w:rsid w:val="006153FE"/>
    <w:rsid w:val="00615624"/>
    <w:rsid w:val="00616B1B"/>
    <w:rsid w:val="0062143D"/>
    <w:rsid w:val="00621663"/>
    <w:rsid w:val="0062677F"/>
    <w:rsid w:val="00633411"/>
    <w:rsid w:val="0063784B"/>
    <w:rsid w:val="00643D06"/>
    <w:rsid w:val="00646F7C"/>
    <w:rsid w:val="00647157"/>
    <w:rsid w:val="00650A05"/>
    <w:rsid w:val="0065148F"/>
    <w:rsid w:val="00651589"/>
    <w:rsid w:val="006608D1"/>
    <w:rsid w:val="00661509"/>
    <w:rsid w:val="0066156F"/>
    <w:rsid w:val="006616E0"/>
    <w:rsid w:val="00661BA0"/>
    <w:rsid w:val="00663AFE"/>
    <w:rsid w:val="00670EB0"/>
    <w:rsid w:val="00671F1C"/>
    <w:rsid w:val="00672838"/>
    <w:rsid w:val="006737F9"/>
    <w:rsid w:val="0067603D"/>
    <w:rsid w:val="006807B3"/>
    <w:rsid w:val="00684ABA"/>
    <w:rsid w:val="00684CDA"/>
    <w:rsid w:val="006850A0"/>
    <w:rsid w:val="00685C2D"/>
    <w:rsid w:val="00686957"/>
    <w:rsid w:val="006920E6"/>
    <w:rsid w:val="00692C8D"/>
    <w:rsid w:val="006A4876"/>
    <w:rsid w:val="006A63AA"/>
    <w:rsid w:val="006A69EC"/>
    <w:rsid w:val="006A75BE"/>
    <w:rsid w:val="006B6AC7"/>
    <w:rsid w:val="006C2C28"/>
    <w:rsid w:val="006C3133"/>
    <w:rsid w:val="006C512D"/>
    <w:rsid w:val="006D088C"/>
    <w:rsid w:val="006D2F0A"/>
    <w:rsid w:val="006D3849"/>
    <w:rsid w:val="006D3BD8"/>
    <w:rsid w:val="006D40A3"/>
    <w:rsid w:val="006D7423"/>
    <w:rsid w:val="006E168D"/>
    <w:rsid w:val="006E2C6A"/>
    <w:rsid w:val="006F4979"/>
    <w:rsid w:val="00704569"/>
    <w:rsid w:val="0073060E"/>
    <w:rsid w:val="00734A2B"/>
    <w:rsid w:val="00735A0E"/>
    <w:rsid w:val="00735F78"/>
    <w:rsid w:val="00737958"/>
    <w:rsid w:val="0075051C"/>
    <w:rsid w:val="0075147C"/>
    <w:rsid w:val="00752574"/>
    <w:rsid w:val="0075397E"/>
    <w:rsid w:val="007548BA"/>
    <w:rsid w:val="00755744"/>
    <w:rsid w:val="007558CD"/>
    <w:rsid w:val="00762D5B"/>
    <w:rsid w:val="00764C77"/>
    <w:rsid w:val="00766F0F"/>
    <w:rsid w:val="00770840"/>
    <w:rsid w:val="00782381"/>
    <w:rsid w:val="007850FD"/>
    <w:rsid w:val="0079125A"/>
    <w:rsid w:val="007A1317"/>
    <w:rsid w:val="007A533C"/>
    <w:rsid w:val="007A7B54"/>
    <w:rsid w:val="007B6EF4"/>
    <w:rsid w:val="007C669F"/>
    <w:rsid w:val="007C70D7"/>
    <w:rsid w:val="007D36FA"/>
    <w:rsid w:val="007E1CFB"/>
    <w:rsid w:val="007E212D"/>
    <w:rsid w:val="007E25AB"/>
    <w:rsid w:val="007E4F0A"/>
    <w:rsid w:val="00802CF9"/>
    <w:rsid w:val="008052EE"/>
    <w:rsid w:val="00807379"/>
    <w:rsid w:val="00807BDF"/>
    <w:rsid w:val="00813AF2"/>
    <w:rsid w:val="00814771"/>
    <w:rsid w:val="00815211"/>
    <w:rsid w:val="00821CA4"/>
    <w:rsid w:val="00825645"/>
    <w:rsid w:val="00832EC9"/>
    <w:rsid w:val="00844F0E"/>
    <w:rsid w:val="00850BB7"/>
    <w:rsid w:val="008518DF"/>
    <w:rsid w:val="00853793"/>
    <w:rsid w:val="008541D2"/>
    <w:rsid w:val="0085640E"/>
    <w:rsid w:val="00857FC4"/>
    <w:rsid w:val="00864770"/>
    <w:rsid w:val="0086684A"/>
    <w:rsid w:val="0087133D"/>
    <w:rsid w:val="00872A5E"/>
    <w:rsid w:val="00882DF8"/>
    <w:rsid w:val="00884467"/>
    <w:rsid w:val="00887A97"/>
    <w:rsid w:val="00887BAC"/>
    <w:rsid w:val="00893535"/>
    <w:rsid w:val="0089563C"/>
    <w:rsid w:val="00895895"/>
    <w:rsid w:val="008A14CE"/>
    <w:rsid w:val="008A774B"/>
    <w:rsid w:val="008B5398"/>
    <w:rsid w:val="008B701A"/>
    <w:rsid w:val="008C46E0"/>
    <w:rsid w:val="008C70F0"/>
    <w:rsid w:val="008C7EFE"/>
    <w:rsid w:val="008D0F1A"/>
    <w:rsid w:val="008D12BF"/>
    <w:rsid w:val="008D3F68"/>
    <w:rsid w:val="008D66C7"/>
    <w:rsid w:val="008E360E"/>
    <w:rsid w:val="008F1148"/>
    <w:rsid w:val="008F5516"/>
    <w:rsid w:val="0090487E"/>
    <w:rsid w:val="009201CE"/>
    <w:rsid w:val="009217B8"/>
    <w:rsid w:val="00926A1D"/>
    <w:rsid w:val="00934166"/>
    <w:rsid w:val="00935997"/>
    <w:rsid w:val="00944AD7"/>
    <w:rsid w:val="0094559B"/>
    <w:rsid w:val="00950F15"/>
    <w:rsid w:val="00955C1F"/>
    <w:rsid w:val="0095702B"/>
    <w:rsid w:val="00960587"/>
    <w:rsid w:val="00961064"/>
    <w:rsid w:val="00961B44"/>
    <w:rsid w:val="0096405F"/>
    <w:rsid w:val="00972179"/>
    <w:rsid w:val="009750B2"/>
    <w:rsid w:val="00983DE7"/>
    <w:rsid w:val="00990EB7"/>
    <w:rsid w:val="0099299A"/>
    <w:rsid w:val="00997332"/>
    <w:rsid w:val="00997AF3"/>
    <w:rsid w:val="009A2B37"/>
    <w:rsid w:val="009A342D"/>
    <w:rsid w:val="009A344B"/>
    <w:rsid w:val="009A3584"/>
    <w:rsid w:val="009B0533"/>
    <w:rsid w:val="009B072A"/>
    <w:rsid w:val="009B2878"/>
    <w:rsid w:val="009B7CB7"/>
    <w:rsid w:val="009C4444"/>
    <w:rsid w:val="009C4595"/>
    <w:rsid w:val="009C7729"/>
    <w:rsid w:val="009D2238"/>
    <w:rsid w:val="009D5AAC"/>
    <w:rsid w:val="009D7078"/>
    <w:rsid w:val="009D7D73"/>
    <w:rsid w:val="009E1ED1"/>
    <w:rsid w:val="009E2B55"/>
    <w:rsid w:val="009F3343"/>
    <w:rsid w:val="009F7B9B"/>
    <w:rsid w:val="00A02B1D"/>
    <w:rsid w:val="00A05305"/>
    <w:rsid w:val="00A10DA2"/>
    <w:rsid w:val="00A125F7"/>
    <w:rsid w:val="00A1450D"/>
    <w:rsid w:val="00A204AB"/>
    <w:rsid w:val="00A23340"/>
    <w:rsid w:val="00A26188"/>
    <w:rsid w:val="00A272D8"/>
    <w:rsid w:val="00A33B72"/>
    <w:rsid w:val="00A36CFE"/>
    <w:rsid w:val="00A41FE4"/>
    <w:rsid w:val="00A44535"/>
    <w:rsid w:val="00A46873"/>
    <w:rsid w:val="00A4771D"/>
    <w:rsid w:val="00A5303A"/>
    <w:rsid w:val="00A5681A"/>
    <w:rsid w:val="00A57DAC"/>
    <w:rsid w:val="00A653F1"/>
    <w:rsid w:val="00A65E52"/>
    <w:rsid w:val="00A717B9"/>
    <w:rsid w:val="00A77525"/>
    <w:rsid w:val="00A8066F"/>
    <w:rsid w:val="00A9102B"/>
    <w:rsid w:val="00A935DE"/>
    <w:rsid w:val="00A93C02"/>
    <w:rsid w:val="00A9712A"/>
    <w:rsid w:val="00AA512B"/>
    <w:rsid w:val="00AB492C"/>
    <w:rsid w:val="00AB5CDE"/>
    <w:rsid w:val="00AB65DD"/>
    <w:rsid w:val="00AC31D8"/>
    <w:rsid w:val="00AC65E6"/>
    <w:rsid w:val="00AD259B"/>
    <w:rsid w:val="00AD5182"/>
    <w:rsid w:val="00AE0BCE"/>
    <w:rsid w:val="00AE4A0B"/>
    <w:rsid w:val="00AE7381"/>
    <w:rsid w:val="00AE770E"/>
    <w:rsid w:val="00AF0B15"/>
    <w:rsid w:val="00AF0B91"/>
    <w:rsid w:val="00AF0FB2"/>
    <w:rsid w:val="00AF61C5"/>
    <w:rsid w:val="00B104C2"/>
    <w:rsid w:val="00B162A6"/>
    <w:rsid w:val="00B3105A"/>
    <w:rsid w:val="00B338AD"/>
    <w:rsid w:val="00B34333"/>
    <w:rsid w:val="00B34907"/>
    <w:rsid w:val="00B34E16"/>
    <w:rsid w:val="00B3509B"/>
    <w:rsid w:val="00B364C7"/>
    <w:rsid w:val="00B3715D"/>
    <w:rsid w:val="00B45C9C"/>
    <w:rsid w:val="00B4666D"/>
    <w:rsid w:val="00B46FFE"/>
    <w:rsid w:val="00B5521E"/>
    <w:rsid w:val="00B61021"/>
    <w:rsid w:val="00B64FE7"/>
    <w:rsid w:val="00B6585F"/>
    <w:rsid w:val="00B65CBD"/>
    <w:rsid w:val="00B70300"/>
    <w:rsid w:val="00B70637"/>
    <w:rsid w:val="00B72D76"/>
    <w:rsid w:val="00B75C06"/>
    <w:rsid w:val="00B90759"/>
    <w:rsid w:val="00BB3CF6"/>
    <w:rsid w:val="00BB73F9"/>
    <w:rsid w:val="00BC2B3D"/>
    <w:rsid w:val="00BC5558"/>
    <w:rsid w:val="00BC595B"/>
    <w:rsid w:val="00BC74B9"/>
    <w:rsid w:val="00BD0DF3"/>
    <w:rsid w:val="00BD24E8"/>
    <w:rsid w:val="00BD43F2"/>
    <w:rsid w:val="00BE4A9A"/>
    <w:rsid w:val="00BF399F"/>
    <w:rsid w:val="00BF68FB"/>
    <w:rsid w:val="00C045F3"/>
    <w:rsid w:val="00C05C0E"/>
    <w:rsid w:val="00C078C9"/>
    <w:rsid w:val="00C13722"/>
    <w:rsid w:val="00C161D2"/>
    <w:rsid w:val="00C179B2"/>
    <w:rsid w:val="00C213F5"/>
    <w:rsid w:val="00C30C5A"/>
    <w:rsid w:val="00C34BAA"/>
    <w:rsid w:val="00C458A2"/>
    <w:rsid w:val="00C462AC"/>
    <w:rsid w:val="00C53A0E"/>
    <w:rsid w:val="00C55611"/>
    <w:rsid w:val="00C60238"/>
    <w:rsid w:val="00C607C4"/>
    <w:rsid w:val="00C7001D"/>
    <w:rsid w:val="00C713EE"/>
    <w:rsid w:val="00C73363"/>
    <w:rsid w:val="00C74582"/>
    <w:rsid w:val="00C75E8C"/>
    <w:rsid w:val="00C80782"/>
    <w:rsid w:val="00C92182"/>
    <w:rsid w:val="00C95EAA"/>
    <w:rsid w:val="00CA29C6"/>
    <w:rsid w:val="00CA6BC6"/>
    <w:rsid w:val="00CB0438"/>
    <w:rsid w:val="00CB0D1E"/>
    <w:rsid w:val="00CB38CC"/>
    <w:rsid w:val="00CB53B7"/>
    <w:rsid w:val="00CB56BC"/>
    <w:rsid w:val="00CB6AAB"/>
    <w:rsid w:val="00CB6BBB"/>
    <w:rsid w:val="00CB711A"/>
    <w:rsid w:val="00CB7549"/>
    <w:rsid w:val="00CC0C2A"/>
    <w:rsid w:val="00CC4254"/>
    <w:rsid w:val="00CC654E"/>
    <w:rsid w:val="00CD3971"/>
    <w:rsid w:val="00CE6CA2"/>
    <w:rsid w:val="00D02361"/>
    <w:rsid w:val="00D064D8"/>
    <w:rsid w:val="00D17F88"/>
    <w:rsid w:val="00D22F4B"/>
    <w:rsid w:val="00D23929"/>
    <w:rsid w:val="00D24DBD"/>
    <w:rsid w:val="00D324C0"/>
    <w:rsid w:val="00D360C8"/>
    <w:rsid w:val="00D425B2"/>
    <w:rsid w:val="00D46EC1"/>
    <w:rsid w:val="00D53599"/>
    <w:rsid w:val="00D54617"/>
    <w:rsid w:val="00D55FF0"/>
    <w:rsid w:val="00D614AF"/>
    <w:rsid w:val="00D629A1"/>
    <w:rsid w:val="00D645EB"/>
    <w:rsid w:val="00D64F90"/>
    <w:rsid w:val="00D6604F"/>
    <w:rsid w:val="00D671CD"/>
    <w:rsid w:val="00D71312"/>
    <w:rsid w:val="00D81286"/>
    <w:rsid w:val="00D83729"/>
    <w:rsid w:val="00D8401B"/>
    <w:rsid w:val="00D96EE7"/>
    <w:rsid w:val="00D978F8"/>
    <w:rsid w:val="00DA2EA5"/>
    <w:rsid w:val="00DA4125"/>
    <w:rsid w:val="00DA68A5"/>
    <w:rsid w:val="00DB2EB8"/>
    <w:rsid w:val="00DB58CC"/>
    <w:rsid w:val="00DC0F7E"/>
    <w:rsid w:val="00DC27A2"/>
    <w:rsid w:val="00DC51A8"/>
    <w:rsid w:val="00DE0678"/>
    <w:rsid w:val="00DF1186"/>
    <w:rsid w:val="00DF1DB5"/>
    <w:rsid w:val="00DF3015"/>
    <w:rsid w:val="00DF3935"/>
    <w:rsid w:val="00E161EF"/>
    <w:rsid w:val="00E221B2"/>
    <w:rsid w:val="00E2364D"/>
    <w:rsid w:val="00E3222C"/>
    <w:rsid w:val="00E33BBA"/>
    <w:rsid w:val="00E352CA"/>
    <w:rsid w:val="00E3570A"/>
    <w:rsid w:val="00E36335"/>
    <w:rsid w:val="00E43CB8"/>
    <w:rsid w:val="00E446C8"/>
    <w:rsid w:val="00E515EA"/>
    <w:rsid w:val="00E52F0A"/>
    <w:rsid w:val="00E557C5"/>
    <w:rsid w:val="00E56D29"/>
    <w:rsid w:val="00E57898"/>
    <w:rsid w:val="00E67E6E"/>
    <w:rsid w:val="00E71198"/>
    <w:rsid w:val="00E72746"/>
    <w:rsid w:val="00E756BE"/>
    <w:rsid w:val="00E763AB"/>
    <w:rsid w:val="00E85F55"/>
    <w:rsid w:val="00E8785D"/>
    <w:rsid w:val="00E9479B"/>
    <w:rsid w:val="00E950A4"/>
    <w:rsid w:val="00E9675A"/>
    <w:rsid w:val="00EA3464"/>
    <w:rsid w:val="00EB48CA"/>
    <w:rsid w:val="00EB77D1"/>
    <w:rsid w:val="00EC35D4"/>
    <w:rsid w:val="00EC4D5E"/>
    <w:rsid w:val="00EC6674"/>
    <w:rsid w:val="00ED1208"/>
    <w:rsid w:val="00ED25EA"/>
    <w:rsid w:val="00ED3226"/>
    <w:rsid w:val="00EF2271"/>
    <w:rsid w:val="00EF7805"/>
    <w:rsid w:val="00F12AC0"/>
    <w:rsid w:val="00F14978"/>
    <w:rsid w:val="00F20581"/>
    <w:rsid w:val="00F214A2"/>
    <w:rsid w:val="00F25D09"/>
    <w:rsid w:val="00F27A82"/>
    <w:rsid w:val="00F3046F"/>
    <w:rsid w:val="00F3115A"/>
    <w:rsid w:val="00F31E51"/>
    <w:rsid w:val="00F32A4A"/>
    <w:rsid w:val="00F36632"/>
    <w:rsid w:val="00F36D42"/>
    <w:rsid w:val="00F37A5D"/>
    <w:rsid w:val="00F40928"/>
    <w:rsid w:val="00F67C7C"/>
    <w:rsid w:val="00F71830"/>
    <w:rsid w:val="00F73E48"/>
    <w:rsid w:val="00F75302"/>
    <w:rsid w:val="00F75D59"/>
    <w:rsid w:val="00F76101"/>
    <w:rsid w:val="00F761B9"/>
    <w:rsid w:val="00F85DE0"/>
    <w:rsid w:val="00F85F45"/>
    <w:rsid w:val="00F9262C"/>
    <w:rsid w:val="00F9302D"/>
    <w:rsid w:val="00F951C4"/>
    <w:rsid w:val="00F9617A"/>
    <w:rsid w:val="00F97639"/>
    <w:rsid w:val="00F97B14"/>
    <w:rsid w:val="00FA1638"/>
    <w:rsid w:val="00FA4A18"/>
    <w:rsid w:val="00FA4E64"/>
    <w:rsid w:val="00FB2072"/>
    <w:rsid w:val="00FB47E9"/>
    <w:rsid w:val="00FC4E9F"/>
    <w:rsid w:val="00FC62AE"/>
    <w:rsid w:val="00FC65BC"/>
    <w:rsid w:val="00FD2F57"/>
    <w:rsid w:val="00FD37D4"/>
    <w:rsid w:val="00FD5173"/>
    <w:rsid w:val="00FD721C"/>
    <w:rsid w:val="00FD72CD"/>
    <w:rsid w:val="00FD783E"/>
    <w:rsid w:val="00FF2836"/>
    <w:rsid w:val="00FF3C35"/>
    <w:rsid w:val="00FF53F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rmal (Web)" w:uiPriority="99"/>
    <w:lsdException w:name="HTML Acronym" w:uiPriority="99"/>
    <w:lsdException w:name="HTML Cite"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6B6AC7"/>
    <w:rPr>
      <w:sz w:val="24"/>
      <w:szCs w:val="24"/>
    </w:rPr>
  </w:style>
  <w:style w:type="paragraph" w:styleId="Heading1">
    <w:name w:val="heading 1"/>
    <w:basedOn w:val="BodyText"/>
    <w:next w:val="BodyText"/>
    <w:rsid w:val="006B6AC7"/>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6B6AC7"/>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6B6AC7"/>
    <w:pPr>
      <w:spacing w:before="560" w:line="320" w:lineRule="exact"/>
      <w:ind w:left="0" w:firstLine="0"/>
      <w:outlineLvl w:val="2"/>
    </w:pPr>
    <w:rPr>
      <w:sz w:val="26"/>
    </w:rPr>
  </w:style>
  <w:style w:type="paragraph" w:styleId="Heading4">
    <w:name w:val="heading 4"/>
    <w:basedOn w:val="Heading3"/>
    <w:next w:val="BodyText"/>
    <w:qFormat/>
    <w:rsid w:val="006B6AC7"/>
    <w:pPr>
      <w:spacing w:before="480"/>
      <w:outlineLvl w:val="3"/>
    </w:pPr>
    <w:rPr>
      <w:b w:val="0"/>
      <w:sz w:val="24"/>
    </w:rPr>
  </w:style>
  <w:style w:type="paragraph" w:styleId="Heading5">
    <w:name w:val="heading 5"/>
    <w:basedOn w:val="Heading4"/>
    <w:next w:val="BodyText"/>
    <w:link w:val="Heading5Char"/>
    <w:qFormat/>
    <w:rsid w:val="006B6AC7"/>
    <w:pPr>
      <w:outlineLvl w:val="4"/>
    </w:pPr>
    <w:rPr>
      <w:i/>
      <w:sz w:val="22"/>
    </w:rPr>
  </w:style>
  <w:style w:type="paragraph" w:styleId="Heading6">
    <w:name w:val="heading 6"/>
    <w:basedOn w:val="BodyText"/>
    <w:next w:val="BodyText"/>
    <w:rsid w:val="006B6AC7"/>
    <w:pPr>
      <w:spacing w:after="60"/>
      <w:jc w:val="left"/>
      <w:outlineLvl w:val="5"/>
    </w:pPr>
    <w:rPr>
      <w:i/>
      <w:sz w:val="22"/>
    </w:rPr>
  </w:style>
  <w:style w:type="paragraph" w:styleId="Heading7">
    <w:name w:val="heading 7"/>
    <w:basedOn w:val="BodyText"/>
    <w:next w:val="BodyText"/>
    <w:rsid w:val="006B6AC7"/>
    <w:pPr>
      <w:spacing w:after="60" w:line="240" w:lineRule="auto"/>
      <w:jc w:val="left"/>
      <w:outlineLvl w:val="6"/>
    </w:pPr>
    <w:rPr>
      <w:rFonts w:ascii="Arial" w:hAnsi="Arial"/>
      <w:sz w:val="20"/>
    </w:rPr>
  </w:style>
  <w:style w:type="paragraph" w:styleId="Heading8">
    <w:name w:val="heading 8"/>
    <w:basedOn w:val="BodyText"/>
    <w:next w:val="BodyText"/>
    <w:rsid w:val="006B6AC7"/>
    <w:pPr>
      <w:spacing w:after="60" w:line="240" w:lineRule="auto"/>
      <w:jc w:val="left"/>
      <w:outlineLvl w:val="7"/>
    </w:pPr>
    <w:rPr>
      <w:rFonts w:ascii="Arial" w:hAnsi="Arial"/>
      <w:i/>
      <w:sz w:val="20"/>
    </w:rPr>
  </w:style>
  <w:style w:type="paragraph" w:styleId="Heading9">
    <w:name w:val="heading 9"/>
    <w:basedOn w:val="BodyText"/>
    <w:next w:val="BodyText"/>
    <w:rsid w:val="006B6AC7"/>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6B6AC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B6AC7"/>
  </w:style>
  <w:style w:type="paragraph" w:styleId="BodyText">
    <w:name w:val="Body Text"/>
    <w:link w:val="BodyTextChar"/>
    <w:qFormat/>
    <w:rsid w:val="006B6AC7"/>
    <w:pPr>
      <w:spacing w:before="240" w:line="300" w:lineRule="atLeast"/>
      <w:jc w:val="both"/>
    </w:pPr>
    <w:rPr>
      <w:sz w:val="24"/>
    </w:rPr>
  </w:style>
  <w:style w:type="paragraph" w:customStyle="1" w:styleId="Chapter">
    <w:name w:val="Chapter"/>
    <w:basedOn w:val="Heading1"/>
    <w:next w:val="BodyText"/>
    <w:rsid w:val="006B6AC7"/>
    <w:pPr>
      <w:ind w:left="0" w:firstLine="0"/>
      <w:outlineLvl w:val="9"/>
    </w:pPr>
  </w:style>
  <w:style w:type="paragraph" w:customStyle="1" w:styleId="SequenceInfo">
    <w:name w:val="Sequence Info"/>
    <w:basedOn w:val="BodyText"/>
    <w:rsid w:val="006B6AC7"/>
    <w:rPr>
      <w:vanish/>
      <w:sz w:val="16"/>
    </w:rPr>
  </w:style>
  <w:style w:type="character" w:styleId="CommentReference">
    <w:name w:val="annotation reference"/>
    <w:basedOn w:val="DefaultParagraphFont"/>
    <w:semiHidden/>
    <w:rsid w:val="006B6AC7"/>
    <w:rPr>
      <w:b/>
      <w:vanish/>
      <w:color w:val="FF00FF"/>
      <w:sz w:val="20"/>
    </w:rPr>
  </w:style>
  <w:style w:type="paragraph" w:styleId="CommentText">
    <w:name w:val="annotation text"/>
    <w:basedOn w:val="Normal"/>
    <w:semiHidden/>
    <w:rsid w:val="006B6AC7"/>
    <w:pPr>
      <w:spacing w:before="120" w:line="240" w:lineRule="atLeast"/>
      <w:ind w:left="567" w:hanging="567"/>
    </w:pPr>
    <w:rPr>
      <w:sz w:val="20"/>
    </w:rPr>
  </w:style>
  <w:style w:type="paragraph" w:customStyle="1" w:styleId="Abbreviation">
    <w:name w:val="Abbreviation"/>
    <w:basedOn w:val="BodyText"/>
    <w:rsid w:val="006B6AC7"/>
    <w:pPr>
      <w:spacing w:before="120"/>
      <w:ind w:left="2381" w:hanging="2381"/>
      <w:jc w:val="left"/>
    </w:pPr>
  </w:style>
  <w:style w:type="paragraph" w:customStyle="1" w:styleId="Box">
    <w:name w:val="Box"/>
    <w:basedOn w:val="BodyText"/>
    <w:qFormat/>
    <w:rsid w:val="006B6AC7"/>
    <w:pPr>
      <w:keepNext/>
      <w:spacing w:before="120" w:line="260" w:lineRule="atLeast"/>
    </w:pPr>
    <w:rPr>
      <w:rFonts w:ascii="Arial" w:hAnsi="Arial"/>
      <w:sz w:val="20"/>
    </w:rPr>
  </w:style>
  <w:style w:type="paragraph" w:customStyle="1" w:styleId="QuoteBullet">
    <w:name w:val="Quote Bullet"/>
    <w:basedOn w:val="Quote"/>
    <w:rsid w:val="006B6AC7"/>
    <w:pPr>
      <w:numPr>
        <w:numId w:val="11"/>
      </w:numPr>
    </w:pPr>
  </w:style>
  <w:style w:type="paragraph" w:customStyle="1" w:styleId="BoxListBullet">
    <w:name w:val="Box List Bullet"/>
    <w:basedOn w:val="BodyText"/>
    <w:link w:val="BoxListBulletChar"/>
    <w:rsid w:val="006B6AC7"/>
    <w:pPr>
      <w:keepNext/>
      <w:numPr>
        <w:numId w:val="5"/>
      </w:numPr>
      <w:spacing w:before="100" w:line="260" w:lineRule="atLeast"/>
    </w:pPr>
    <w:rPr>
      <w:rFonts w:ascii="Arial" w:hAnsi="Arial"/>
      <w:sz w:val="20"/>
    </w:rPr>
  </w:style>
  <w:style w:type="paragraph" w:customStyle="1" w:styleId="BoxListBullet2">
    <w:name w:val="Box List Bullet 2"/>
    <w:basedOn w:val="BoxListBullet"/>
    <w:link w:val="BoxListBullet2Char"/>
    <w:rsid w:val="006B6AC7"/>
    <w:pPr>
      <w:numPr>
        <w:numId w:val="2"/>
      </w:numPr>
      <w:ind w:left="568" w:hanging="284"/>
    </w:pPr>
  </w:style>
  <w:style w:type="paragraph" w:customStyle="1" w:styleId="BoxListNumber">
    <w:name w:val="Box List Number"/>
    <w:basedOn w:val="BodyText"/>
    <w:rsid w:val="006B6AC7"/>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6B6AC7"/>
    <w:pPr>
      <w:numPr>
        <w:ilvl w:val="1"/>
      </w:numPr>
      <w:ind w:left="681" w:hanging="397"/>
    </w:pPr>
  </w:style>
  <w:style w:type="paragraph" w:customStyle="1" w:styleId="BoxQuote">
    <w:name w:val="Box Quote"/>
    <w:basedOn w:val="BodyText"/>
    <w:next w:val="Box"/>
    <w:qFormat/>
    <w:rsid w:val="006B6AC7"/>
    <w:pPr>
      <w:keepNext/>
      <w:spacing w:before="60" w:line="240" w:lineRule="exact"/>
      <w:ind w:left="284"/>
    </w:pPr>
    <w:rPr>
      <w:rFonts w:ascii="Arial" w:hAnsi="Arial"/>
      <w:sz w:val="18"/>
    </w:rPr>
  </w:style>
  <w:style w:type="paragraph" w:customStyle="1" w:styleId="BoxSource">
    <w:name w:val="Box Source"/>
    <w:basedOn w:val="Source"/>
    <w:next w:val="BodyText"/>
    <w:rsid w:val="006B6AC7"/>
    <w:pPr>
      <w:spacing w:before="120"/>
    </w:pPr>
  </w:style>
  <w:style w:type="paragraph" w:customStyle="1" w:styleId="BoxSpace">
    <w:name w:val="Box Space"/>
    <w:basedOn w:val="BodyText"/>
    <w:rsid w:val="002176F2"/>
    <w:pPr>
      <w:keepNext/>
      <w:spacing w:before="360" w:line="80" w:lineRule="exact"/>
      <w:jc w:val="left"/>
    </w:pPr>
  </w:style>
  <w:style w:type="paragraph" w:customStyle="1" w:styleId="BoxSubtitle">
    <w:name w:val="Box Subtitle"/>
    <w:basedOn w:val="BoxTitle"/>
    <w:next w:val="Normal"/>
    <w:rsid w:val="006B6AC7"/>
    <w:pPr>
      <w:spacing w:after="80" w:line="200" w:lineRule="exact"/>
      <w:ind w:firstLine="0"/>
    </w:pPr>
    <w:rPr>
      <w:b w:val="0"/>
      <w:sz w:val="20"/>
    </w:rPr>
  </w:style>
  <w:style w:type="paragraph" w:customStyle="1" w:styleId="BoxTitle">
    <w:name w:val="Box Title"/>
    <w:basedOn w:val="Caption"/>
    <w:next w:val="BoxSubtitle"/>
    <w:rsid w:val="006B6AC7"/>
    <w:pPr>
      <w:spacing w:before="120" w:after="0"/>
    </w:pPr>
  </w:style>
  <w:style w:type="paragraph" w:styleId="Caption">
    <w:name w:val="caption"/>
    <w:basedOn w:val="Normal"/>
    <w:next w:val="BodyText"/>
    <w:rsid w:val="006B6AC7"/>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6B6AC7"/>
    <w:pPr>
      <w:spacing w:line="280" w:lineRule="atLeast"/>
      <w:ind w:left="907"/>
    </w:pPr>
    <w:rPr>
      <w:rFonts w:ascii="Arial" w:hAnsi="Arial"/>
      <w:b/>
      <w:sz w:val="20"/>
    </w:rPr>
  </w:style>
  <w:style w:type="character" w:customStyle="1" w:styleId="DocumentInfo">
    <w:name w:val="Document Info"/>
    <w:basedOn w:val="DefaultParagraphFont"/>
    <w:rsid w:val="006B6AC7"/>
    <w:rPr>
      <w:rFonts w:ascii="Arial" w:hAnsi="Arial"/>
      <w:sz w:val="14"/>
    </w:rPr>
  </w:style>
  <w:style w:type="paragraph" w:styleId="Footer">
    <w:name w:val="footer"/>
    <w:basedOn w:val="BodyText"/>
    <w:link w:val="FooterChar"/>
    <w:rsid w:val="006B6AC7"/>
    <w:pPr>
      <w:spacing w:before="80" w:line="200" w:lineRule="exact"/>
      <w:ind w:right="6"/>
      <w:jc w:val="left"/>
    </w:pPr>
    <w:rPr>
      <w:rFonts w:ascii="Arial" w:hAnsi="Arial"/>
      <w:caps/>
      <w:spacing w:val="-4"/>
      <w:sz w:val="16"/>
    </w:rPr>
  </w:style>
  <w:style w:type="character" w:customStyle="1" w:styleId="DraftingNote">
    <w:name w:val="Drafting Note"/>
    <w:basedOn w:val="DefaultParagraphFont"/>
    <w:rsid w:val="006B6AC7"/>
    <w:rPr>
      <w:b/>
      <w:color w:val="FF0000"/>
      <w:sz w:val="24"/>
      <w:u w:val="dotted"/>
    </w:rPr>
  </w:style>
  <w:style w:type="paragraph" w:customStyle="1" w:styleId="Default">
    <w:name w:val="Default"/>
    <w:rsid w:val="00BB3CF6"/>
    <w:pPr>
      <w:autoSpaceDE w:val="0"/>
      <w:autoSpaceDN w:val="0"/>
      <w:adjustRightInd w:val="0"/>
    </w:pPr>
    <w:rPr>
      <w:rFonts w:ascii="GoudyOlSt BT" w:hAnsi="GoudyOlSt BT" w:cs="GoudyOlSt BT"/>
      <w:color w:val="000000"/>
      <w:sz w:val="24"/>
      <w:szCs w:val="24"/>
      <w:lang w:val="en-US" w:eastAsia="en-US"/>
    </w:rPr>
  </w:style>
  <w:style w:type="paragraph" w:customStyle="1" w:styleId="Figure">
    <w:name w:val="Figure"/>
    <w:basedOn w:val="BodyText"/>
    <w:rsid w:val="006B6AC7"/>
    <w:pPr>
      <w:keepNext/>
      <w:spacing w:before="120" w:after="120" w:line="240" w:lineRule="atLeast"/>
      <w:jc w:val="center"/>
    </w:pPr>
  </w:style>
  <w:style w:type="paragraph" w:customStyle="1" w:styleId="FigureTitle">
    <w:name w:val="Figure Title"/>
    <w:basedOn w:val="Caption"/>
    <w:next w:val="Subtitle"/>
    <w:rsid w:val="006B6AC7"/>
    <w:pPr>
      <w:spacing w:before="120"/>
    </w:pPr>
  </w:style>
  <w:style w:type="paragraph" w:styleId="Subtitle">
    <w:name w:val="Subtitle"/>
    <w:basedOn w:val="Caption"/>
    <w:link w:val="SubtitleChar"/>
    <w:qFormat/>
    <w:rsid w:val="006B6AC7"/>
    <w:pPr>
      <w:spacing w:before="0" w:line="200" w:lineRule="exact"/>
      <w:ind w:firstLine="0"/>
    </w:pPr>
    <w:rPr>
      <w:b w:val="0"/>
      <w:sz w:val="20"/>
    </w:rPr>
  </w:style>
  <w:style w:type="paragraph" w:customStyle="1" w:styleId="Finding">
    <w:name w:val="Finding"/>
    <w:basedOn w:val="BodyText"/>
    <w:rsid w:val="006B6AC7"/>
    <w:pPr>
      <w:keepLines/>
      <w:spacing w:before="120" w:line="280" w:lineRule="atLeast"/>
    </w:pPr>
    <w:rPr>
      <w:rFonts w:ascii="Arial" w:hAnsi="Arial"/>
      <w:sz w:val="22"/>
    </w:rPr>
  </w:style>
  <w:style w:type="paragraph" w:customStyle="1" w:styleId="FindingBullet">
    <w:name w:val="Finding Bullet"/>
    <w:basedOn w:val="Finding"/>
    <w:rsid w:val="006B6AC7"/>
    <w:pPr>
      <w:numPr>
        <w:numId w:val="6"/>
      </w:numPr>
      <w:spacing w:before="80"/>
    </w:pPr>
  </w:style>
  <w:style w:type="paragraph" w:customStyle="1" w:styleId="FindingNoTitle">
    <w:name w:val="Finding NoTitle"/>
    <w:basedOn w:val="Finding"/>
    <w:rsid w:val="006B6AC7"/>
    <w:pPr>
      <w:spacing w:before="240"/>
    </w:pPr>
  </w:style>
  <w:style w:type="paragraph" w:customStyle="1" w:styleId="FindingTitle">
    <w:name w:val="Finding Title"/>
    <w:basedOn w:val="RecTitle"/>
    <w:next w:val="Finding"/>
    <w:rsid w:val="006B6AC7"/>
  </w:style>
  <w:style w:type="paragraph" w:customStyle="1" w:styleId="FooterEnd">
    <w:name w:val="Footer End"/>
    <w:basedOn w:val="Footer"/>
    <w:rsid w:val="006B6AC7"/>
    <w:pPr>
      <w:spacing w:before="0" w:line="20" w:lineRule="exact"/>
    </w:pPr>
  </w:style>
  <w:style w:type="character" w:styleId="FootnoteReference">
    <w:name w:val="footnote reference"/>
    <w:basedOn w:val="DefaultParagraphFont"/>
    <w:semiHidden/>
    <w:rsid w:val="006B6AC7"/>
    <w:rPr>
      <w:rFonts w:ascii="Times New Roman" w:hAnsi="Times New Roman"/>
      <w:position w:val="6"/>
      <w:sz w:val="20"/>
      <w:vertAlign w:val="baseline"/>
    </w:rPr>
  </w:style>
  <w:style w:type="paragraph" w:styleId="FootnoteText">
    <w:name w:val="footnote text"/>
    <w:basedOn w:val="BodyText"/>
    <w:rsid w:val="006B6AC7"/>
    <w:pPr>
      <w:tabs>
        <w:tab w:val="left" w:pos="284"/>
      </w:tabs>
      <w:spacing w:before="80" w:line="240" w:lineRule="exact"/>
      <w:ind w:left="284" w:hanging="284"/>
    </w:pPr>
    <w:rPr>
      <w:sz w:val="20"/>
    </w:rPr>
  </w:style>
  <w:style w:type="paragraph" w:styleId="Header">
    <w:name w:val="header"/>
    <w:basedOn w:val="BodyText"/>
    <w:rsid w:val="006B6AC7"/>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6B6AC7"/>
    <w:pPr>
      <w:spacing w:line="20" w:lineRule="exact"/>
    </w:pPr>
    <w:rPr>
      <w:sz w:val="16"/>
    </w:rPr>
  </w:style>
  <w:style w:type="paragraph" w:customStyle="1" w:styleId="HeaderEven">
    <w:name w:val="Header Even"/>
    <w:basedOn w:val="Header"/>
    <w:rsid w:val="006B6AC7"/>
  </w:style>
  <w:style w:type="paragraph" w:customStyle="1" w:styleId="HeaderOdd">
    <w:name w:val="Header Odd"/>
    <w:basedOn w:val="Header"/>
    <w:rsid w:val="006B6AC7"/>
  </w:style>
  <w:style w:type="paragraph" w:customStyle="1" w:styleId="InformationRequest">
    <w:name w:val="Information Request"/>
    <w:basedOn w:val="Finding"/>
    <w:next w:val="BodyText"/>
    <w:rsid w:val="006B6AC7"/>
    <w:rPr>
      <w:i/>
    </w:rPr>
  </w:style>
  <w:style w:type="paragraph" w:styleId="ListBullet">
    <w:name w:val="List Bullet"/>
    <w:basedOn w:val="BodyText"/>
    <w:rsid w:val="006B6AC7"/>
    <w:pPr>
      <w:numPr>
        <w:numId w:val="4"/>
      </w:numPr>
      <w:spacing w:before="120"/>
    </w:pPr>
  </w:style>
  <w:style w:type="paragraph" w:styleId="ListBullet2">
    <w:name w:val="List Bullet 2"/>
    <w:basedOn w:val="BodyText"/>
    <w:link w:val="ListBullet2Char"/>
    <w:rsid w:val="006B6AC7"/>
    <w:pPr>
      <w:numPr>
        <w:numId w:val="10"/>
      </w:numPr>
      <w:spacing w:before="120"/>
    </w:pPr>
  </w:style>
  <w:style w:type="paragraph" w:styleId="ListBullet3">
    <w:name w:val="List Bullet 3"/>
    <w:basedOn w:val="BodyText"/>
    <w:rsid w:val="006B6AC7"/>
    <w:pPr>
      <w:numPr>
        <w:numId w:val="1"/>
      </w:numPr>
      <w:spacing w:before="120"/>
      <w:ind w:left="1020" w:hanging="340"/>
    </w:pPr>
  </w:style>
  <w:style w:type="paragraph" w:styleId="ListNumber">
    <w:name w:val="List Number"/>
    <w:basedOn w:val="BodyText"/>
    <w:rsid w:val="006B6AC7"/>
    <w:pPr>
      <w:numPr>
        <w:numId w:val="13"/>
      </w:numPr>
      <w:spacing w:before="120"/>
    </w:pPr>
  </w:style>
  <w:style w:type="paragraph" w:styleId="ListNumber2">
    <w:name w:val="List Number 2"/>
    <w:basedOn w:val="ListNumber"/>
    <w:rsid w:val="006B6AC7"/>
    <w:pPr>
      <w:numPr>
        <w:ilvl w:val="1"/>
      </w:numPr>
    </w:pPr>
  </w:style>
  <w:style w:type="paragraph" w:styleId="ListNumber3">
    <w:name w:val="List Number 3"/>
    <w:basedOn w:val="ListNumber2"/>
    <w:rsid w:val="006B6AC7"/>
    <w:pPr>
      <w:numPr>
        <w:ilvl w:val="2"/>
      </w:numPr>
    </w:pPr>
  </w:style>
  <w:style w:type="paragraph" w:customStyle="1" w:styleId="Note">
    <w:name w:val="Note"/>
    <w:basedOn w:val="BodyText"/>
    <w:next w:val="BodyText"/>
    <w:rsid w:val="006B6AC7"/>
    <w:pPr>
      <w:keepLines/>
      <w:spacing w:before="80" w:line="220" w:lineRule="exact"/>
    </w:pPr>
    <w:rPr>
      <w:rFonts w:ascii="Arial" w:hAnsi="Arial"/>
      <w:sz w:val="18"/>
    </w:rPr>
  </w:style>
  <w:style w:type="character" w:customStyle="1" w:styleId="NoteLabel">
    <w:name w:val="Note Label"/>
    <w:basedOn w:val="DefaultParagraphFont"/>
    <w:rsid w:val="006B6AC7"/>
    <w:rPr>
      <w:rFonts w:ascii="Arial" w:hAnsi="Arial"/>
      <w:b/>
      <w:position w:val="6"/>
      <w:sz w:val="18"/>
    </w:rPr>
  </w:style>
  <w:style w:type="character" w:styleId="PageNumber">
    <w:name w:val="page number"/>
    <w:basedOn w:val="DefaultParagraphFont"/>
    <w:rsid w:val="006B6AC7"/>
    <w:rPr>
      <w:rFonts w:ascii="Arial" w:hAnsi="Arial"/>
      <w:b/>
      <w:sz w:val="16"/>
    </w:rPr>
  </w:style>
  <w:style w:type="paragraph" w:customStyle="1" w:styleId="PartDivider">
    <w:name w:val="Part Divider"/>
    <w:basedOn w:val="BodyText"/>
    <w:next w:val="BodyText"/>
    <w:rsid w:val="006B6AC7"/>
    <w:pPr>
      <w:spacing w:before="0" w:line="40" w:lineRule="exact"/>
      <w:jc w:val="right"/>
    </w:pPr>
    <w:rPr>
      <w:smallCaps/>
      <w:sz w:val="16"/>
    </w:rPr>
  </w:style>
  <w:style w:type="paragraph" w:customStyle="1" w:styleId="PartNumber">
    <w:name w:val="Part Number"/>
    <w:basedOn w:val="BodyText"/>
    <w:next w:val="BodyText"/>
    <w:rsid w:val="006B6AC7"/>
    <w:pPr>
      <w:spacing w:before="4000" w:line="320" w:lineRule="exact"/>
      <w:ind w:left="6634"/>
      <w:jc w:val="right"/>
    </w:pPr>
    <w:rPr>
      <w:smallCaps/>
      <w:spacing w:val="60"/>
      <w:sz w:val="32"/>
    </w:rPr>
  </w:style>
  <w:style w:type="paragraph" w:customStyle="1" w:styleId="PartTitle">
    <w:name w:val="Part Title"/>
    <w:basedOn w:val="BodyText"/>
    <w:rsid w:val="006B6AC7"/>
    <w:pPr>
      <w:spacing w:before="160" w:after="1360" w:line="520" w:lineRule="exact"/>
      <w:ind w:right="2381"/>
      <w:jc w:val="right"/>
    </w:pPr>
    <w:rPr>
      <w:smallCaps/>
      <w:sz w:val="52"/>
    </w:rPr>
  </w:style>
  <w:style w:type="paragraph" w:styleId="Quote">
    <w:name w:val="Quote"/>
    <w:basedOn w:val="BodyText"/>
    <w:next w:val="BodyText"/>
    <w:qFormat/>
    <w:rsid w:val="006B6AC7"/>
    <w:pPr>
      <w:spacing w:before="120" w:line="280" w:lineRule="exact"/>
      <w:ind w:left="340"/>
    </w:pPr>
    <w:rPr>
      <w:sz w:val="22"/>
    </w:rPr>
  </w:style>
  <w:style w:type="paragraph" w:customStyle="1" w:styleId="Rec">
    <w:name w:val="Rec"/>
    <w:basedOn w:val="BodyText"/>
    <w:qFormat/>
    <w:rsid w:val="006B6AC7"/>
    <w:pPr>
      <w:keepLines/>
      <w:spacing w:before="120" w:line="280" w:lineRule="atLeast"/>
    </w:pPr>
    <w:rPr>
      <w:rFonts w:ascii="Arial" w:hAnsi="Arial"/>
      <w:sz w:val="22"/>
    </w:rPr>
  </w:style>
  <w:style w:type="paragraph" w:customStyle="1" w:styleId="RecBullet">
    <w:name w:val="Rec Bullet"/>
    <w:basedOn w:val="Rec"/>
    <w:rsid w:val="006B6AC7"/>
    <w:pPr>
      <w:numPr>
        <w:numId w:val="7"/>
      </w:numPr>
      <w:spacing w:before="80"/>
    </w:pPr>
  </w:style>
  <w:style w:type="paragraph" w:customStyle="1" w:styleId="RecTitle">
    <w:name w:val="Rec Title"/>
    <w:basedOn w:val="BodyText"/>
    <w:next w:val="Rec"/>
    <w:qFormat/>
    <w:rsid w:val="006B6AC7"/>
    <w:pPr>
      <w:keepNext/>
      <w:keepLines/>
      <w:spacing w:line="280" w:lineRule="atLeast"/>
    </w:pPr>
    <w:rPr>
      <w:rFonts w:ascii="Arial" w:hAnsi="Arial"/>
      <w:caps/>
      <w:sz w:val="18"/>
    </w:rPr>
  </w:style>
  <w:style w:type="paragraph" w:customStyle="1" w:styleId="RecB">
    <w:name w:val="RecB"/>
    <w:basedOn w:val="Normal"/>
    <w:rsid w:val="006B6AC7"/>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6B6AC7"/>
    <w:pPr>
      <w:numPr>
        <w:numId w:val="8"/>
      </w:numPr>
      <w:spacing w:before="80"/>
    </w:pPr>
  </w:style>
  <w:style w:type="paragraph" w:customStyle="1" w:styleId="RecBNoTitle">
    <w:name w:val="RecB NoTitle"/>
    <w:basedOn w:val="RecB"/>
    <w:rsid w:val="006B6AC7"/>
    <w:pPr>
      <w:spacing w:before="240"/>
    </w:pPr>
  </w:style>
  <w:style w:type="paragraph" w:customStyle="1" w:styleId="Reference">
    <w:name w:val="Reference"/>
    <w:basedOn w:val="BodyText"/>
    <w:rsid w:val="006B6AC7"/>
    <w:pPr>
      <w:spacing w:before="120"/>
      <w:ind w:left="340" w:hanging="340"/>
    </w:pPr>
  </w:style>
  <w:style w:type="paragraph" w:customStyle="1" w:styleId="SideNote">
    <w:name w:val="Side Note"/>
    <w:basedOn w:val="BodyText"/>
    <w:next w:val="BodyText"/>
    <w:rsid w:val="006B6AC7"/>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rsid w:val="006B6AC7"/>
    <w:pPr>
      <w:framePr w:wrap="around"/>
      <w:numPr>
        <w:numId w:val="3"/>
      </w:numPr>
      <w:tabs>
        <w:tab w:val="left" w:pos="227"/>
      </w:tabs>
    </w:pPr>
  </w:style>
  <w:style w:type="paragraph" w:customStyle="1" w:styleId="SideNoteGraphic">
    <w:name w:val="Side Note Graphic"/>
    <w:basedOn w:val="SideNote"/>
    <w:next w:val="BodyText"/>
    <w:rsid w:val="006B6AC7"/>
    <w:pPr>
      <w:framePr w:wrap="around"/>
    </w:pPr>
  </w:style>
  <w:style w:type="paragraph" w:customStyle="1" w:styleId="Source">
    <w:name w:val="Source"/>
    <w:basedOn w:val="Normal"/>
    <w:next w:val="BodyText"/>
    <w:rsid w:val="006B6AC7"/>
    <w:pPr>
      <w:keepLines/>
      <w:spacing w:before="80" w:line="220" w:lineRule="exact"/>
      <w:jc w:val="both"/>
    </w:pPr>
    <w:rPr>
      <w:rFonts w:ascii="Arial" w:hAnsi="Arial"/>
      <w:sz w:val="18"/>
      <w:szCs w:val="20"/>
    </w:rPr>
  </w:style>
  <w:style w:type="paragraph" w:customStyle="1" w:styleId="TableBodyText">
    <w:name w:val="Table Body Text"/>
    <w:basedOn w:val="BodyText"/>
    <w:rsid w:val="006B6AC7"/>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6B6AC7"/>
    <w:pPr>
      <w:numPr>
        <w:numId w:val="9"/>
      </w:numPr>
      <w:jc w:val="left"/>
    </w:pPr>
  </w:style>
  <w:style w:type="paragraph" w:customStyle="1" w:styleId="TableColumnHeading">
    <w:name w:val="Table Column Heading"/>
    <w:basedOn w:val="TableBodyText"/>
    <w:rsid w:val="006B6AC7"/>
    <w:pPr>
      <w:spacing w:before="80" w:after="80"/>
    </w:pPr>
    <w:rPr>
      <w:i/>
    </w:rPr>
  </w:style>
  <w:style w:type="paragraph" w:styleId="TableofFigures">
    <w:name w:val="table of figures"/>
    <w:basedOn w:val="TOC3"/>
    <w:next w:val="BodyText"/>
    <w:semiHidden/>
    <w:rsid w:val="006B6AC7"/>
    <w:pPr>
      <w:ind w:left="737" w:hanging="737"/>
    </w:pPr>
  </w:style>
  <w:style w:type="paragraph" w:styleId="TOC3">
    <w:name w:val="toc 3"/>
    <w:basedOn w:val="TOC2"/>
    <w:rsid w:val="006B6AC7"/>
    <w:pPr>
      <w:spacing w:before="60"/>
      <w:ind w:left="1190" w:hanging="680"/>
    </w:pPr>
  </w:style>
  <w:style w:type="paragraph" w:customStyle="1" w:styleId="TableTitle">
    <w:name w:val="Table Title"/>
    <w:basedOn w:val="Caption"/>
    <w:next w:val="Subtitle"/>
    <w:qFormat/>
    <w:rsid w:val="006B6AC7"/>
    <w:pPr>
      <w:spacing w:before="120"/>
    </w:pPr>
  </w:style>
  <w:style w:type="paragraph" w:customStyle="1" w:styleId="TableUnitsRow">
    <w:name w:val="Table Units Row"/>
    <w:basedOn w:val="TableBodyText"/>
    <w:rsid w:val="006B6AC7"/>
    <w:pPr>
      <w:spacing w:before="40"/>
    </w:pPr>
  </w:style>
  <w:style w:type="paragraph" w:styleId="TOC1">
    <w:name w:val="toc 1"/>
    <w:basedOn w:val="Normal"/>
    <w:next w:val="TOC2"/>
    <w:link w:val="TOC1Char"/>
    <w:rsid w:val="006B6AC7"/>
    <w:pPr>
      <w:tabs>
        <w:tab w:val="right" w:pos="8789"/>
      </w:tabs>
      <w:spacing w:before="120" w:line="320" w:lineRule="exact"/>
      <w:ind w:left="510" w:right="851" w:hanging="510"/>
    </w:pPr>
    <w:rPr>
      <w:rFonts w:ascii="Arial" w:hAnsi="Arial"/>
      <w:b/>
      <w:sz w:val="26"/>
      <w:szCs w:val="26"/>
      <w:lang w:eastAsia="en-US"/>
    </w:rPr>
  </w:style>
  <w:style w:type="paragraph" w:styleId="TOC2">
    <w:name w:val="toc 2"/>
    <w:basedOn w:val="TOC1"/>
    <w:rsid w:val="006B6AC7"/>
    <w:pPr>
      <w:ind w:left="1134" w:hanging="624"/>
    </w:pPr>
    <w:rPr>
      <w:b w:val="0"/>
    </w:rPr>
  </w:style>
  <w:style w:type="paragraph" w:styleId="TOC4">
    <w:name w:val="toc 4"/>
    <w:basedOn w:val="TOC3"/>
    <w:semiHidden/>
    <w:rsid w:val="006B6AC7"/>
    <w:pPr>
      <w:ind w:left="1191" w:firstLine="0"/>
    </w:pPr>
  </w:style>
  <w:style w:type="paragraph" w:customStyle="1" w:styleId="BoxContinued">
    <w:name w:val="Box Continued"/>
    <w:basedOn w:val="BodyText"/>
    <w:next w:val="BodyText"/>
    <w:rsid w:val="006B6AC7"/>
    <w:pPr>
      <w:spacing w:before="180" w:line="220" w:lineRule="exact"/>
      <w:jc w:val="right"/>
    </w:pPr>
    <w:rPr>
      <w:rFonts w:ascii="Arial" w:hAnsi="Arial"/>
      <w:sz w:val="18"/>
    </w:rPr>
  </w:style>
  <w:style w:type="paragraph" w:customStyle="1" w:styleId="Continued">
    <w:name w:val="Continued"/>
    <w:basedOn w:val="BoxContinued"/>
    <w:next w:val="BodyText"/>
    <w:rsid w:val="006B6AC7"/>
  </w:style>
  <w:style w:type="paragraph" w:customStyle="1" w:styleId="BoxHeading1">
    <w:name w:val="Box Heading 1"/>
    <w:basedOn w:val="BodyText"/>
    <w:next w:val="Box"/>
    <w:rsid w:val="006B6AC7"/>
    <w:pPr>
      <w:keepNext/>
      <w:spacing w:before="200" w:line="280" w:lineRule="atLeast"/>
    </w:pPr>
    <w:rPr>
      <w:rFonts w:ascii="Arial" w:hAnsi="Arial"/>
      <w:b/>
      <w:sz w:val="22"/>
    </w:rPr>
  </w:style>
  <w:style w:type="paragraph" w:customStyle="1" w:styleId="BoxHeading2">
    <w:name w:val="Box Heading 2"/>
    <w:basedOn w:val="BoxHeading1"/>
    <w:next w:val="Normal"/>
    <w:rsid w:val="006B6AC7"/>
    <w:rPr>
      <w:b w:val="0"/>
      <w:i/>
    </w:rPr>
  </w:style>
  <w:style w:type="character" w:styleId="Hyperlink">
    <w:name w:val="Hyperlink"/>
    <w:rsid w:val="00A33B72"/>
    <w:rPr>
      <w:color w:val="0000FF"/>
      <w:u w:val="single"/>
    </w:rPr>
  </w:style>
  <w:style w:type="paragraph" w:styleId="NormalWeb">
    <w:name w:val="Normal (Web)"/>
    <w:basedOn w:val="Normal"/>
    <w:uiPriority w:val="99"/>
    <w:rsid w:val="00DF1186"/>
    <w:pPr>
      <w:spacing w:before="100" w:beforeAutospacing="1" w:after="100" w:afterAutospacing="1"/>
    </w:pPr>
    <w:rPr>
      <w:rFonts w:ascii="Arial" w:hAnsi="Arial" w:cs="Arial"/>
      <w:color w:val="000000"/>
      <w:lang w:eastAsia="ko-KR"/>
    </w:rPr>
  </w:style>
  <w:style w:type="paragraph" w:styleId="Date">
    <w:name w:val="Date"/>
    <w:basedOn w:val="Normal"/>
    <w:next w:val="Normal"/>
    <w:rsid w:val="007C70D7"/>
  </w:style>
  <w:style w:type="character" w:customStyle="1" w:styleId="BodyTextChar">
    <w:name w:val="Body Text Char"/>
    <w:basedOn w:val="DefaultParagraphFont"/>
    <w:link w:val="BodyText"/>
    <w:rsid w:val="006B6AC7"/>
    <w:rPr>
      <w:sz w:val="24"/>
    </w:rPr>
  </w:style>
  <w:style w:type="character" w:customStyle="1" w:styleId="ListBullet2Char">
    <w:name w:val="List Bullet 2 Char"/>
    <w:basedOn w:val="BodyTextChar"/>
    <w:link w:val="ListBullet2"/>
    <w:rsid w:val="00263F5E"/>
    <w:rPr>
      <w:sz w:val="24"/>
    </w:rPr>
  </w:style>
  <w:style w:type="character" w:customStyle="1" w:styleId="BoxListBulletChar">
    <w:name w:val="Box List Bullet Char"/>
    <w:link w:val="BoxListBullet"/>
    <w:rsid w:val="00243287"/>
    <w:rPr>
      <w:rFonts w:ascii="Arial" w:hAnsi="Arial"/>
    </w:rPr>
  </w:style>
  <w:style w:type="character" w:customStyle="1" w:styleId="BoxListBullet2Char">
    <w:name w:val="Box List Bullet 2 Char"/>
    <w:link w:val="BoxListBullet2"/>
    <w:rsid w:val="00243287"/>
    <w:rPr>
      <w:rFonts w:ascii="Arial" w:hAnsi="Arial"/>
    </w:rPr>
  </w:style>
  <w:style w:type="paragraph" w:styleId="BalloonText">
    <w:name w:val="Balloon Text"/>
    <w:basedOn w:val="Normal"/>
    <w:link w:val="BalloonTextChar"/>
    <w:rsid w:val="006B6AC7"/>
    <w:rPr>
      <w:rFonts w:ascii="Tahoma" w:hAnsi="Tahoma" w:cs="Tahoma"/>
      <w:sz w:val="16"/>
      <w:szCs w:val="16"/>
    </w:rPr>
  </w:style>
  <w:style w:type="character" w:customStyle="1" w:styleId="CharChar">
    <w:name w:val="Char Char"/>
    <w:rsid w:val="00144BF7"/>
    <w:rPr>
      <w:color w:val="000000"/>
      <w:sz w:val="26"/>
      <w:lang w:val="en-AU" w:eastAsia="en-US" w:bidi="ar-SA"/>
    </w:rPr>
  </w:style>
  <w:style w:type="paragraph" w:customStyle="1" w:styleId="Jurisdictioncommentsbodytext">
    <w:name w:val="Jurisdiction comments body text"/>
    <w:rsid w:val="006B6AC7"/>
    <w:pPr>
      <w:spacing w:after="140"/>
      <w:jc w:val="both"/>
    </w:pPr>
    <w:rPr>
      <w:rFonts w:ascii="Arial" w:hAnsi="Arial"/>
      <w:sz w:val="24"/>
      <w:lang w:eastAsia="en-US"/>
    </w:rPr>
  </w:style>
  <w:style w:type="paragraph" w:customStyle="1" w:styleId="Jurisdictioncommentsheading">
    <w:name w:val="Jurisdiction comments heading"/>
    <w:rsid w:val="006B6AC7"/>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6B6AC7"/>
    <w:pPr>
      <w:numPr>
        <w:numId w:val="12"/>
      </w:numPr>
      <w:spacing w:after="140"/>
      <w:jc w:val="both"/>
    </w:pPr>
    <w:rPr>
      <w:rFonts w:ascii="Arial" w:hAnsi="Arial"/>
      <w:sz w:val="24"/>
      <w:lang w:eastAsia="en-US"/>
    </w:rPr>
  </w:style>
  <w:style w:type="character" w:styleId="Emphasis">
    <w:name w:val="Emphasis"/>
    <w:basedOn w:val="DefaultParagraphFont"/>
    <w:rsid w:val="006B6AC7"/>
    <w:rPr>
      <w:i/>
      <w:iCs/>
    </w:rPr>
  </w:style>
  <w:style w:type="paragraph" w:styleId="Title">
    <w:name w:val="Title"/>
    <w:basedOn w:val="Normal"/>
    <w:qFormat/>
    <w:rsid w:val="006C2C28"/>
    <w:pPr>
      <w:spacing w:after="120"/>
      <w:jc w:val="center"/>
    </w:pPr>
    <w:rPr>
      <w:b/>
      <w:bCs/>
      <w:sz w:val="20"/>
    </w:rPr>
  </w:style>
  <w:style w:type="character" w:customStyle="1" w:styleId="searchword">
    <w:name w:val="searchword"/>
    <w:basedOn w:val="DefaultParagraphFont"/>
    <w:rsid w:val="00432EFB"/>
  </w:style>
  <w:style w:type="paragraph" w:customStyle="1" w:styleId="RecBBullet2">
    <w:name w:val="RecB Bullet 2"/>
    <w:basedOn w:val="ListBullet2"/>
    <w:semiHidden/>
    <w:rsid w:val="006B6AC7"/>
    <w:pPr>
      <w:pBdr>
        <w:left w:val="single" w:sz="24" w:space="29" w:color="C0C0C0"/>
      </w:pBdr>
    </w:pPr>
    <w:rPr>
      <w:b/>
      <w:i/>
    </w:rPr>
  </w:style>
  <w:style w:type="character" w:customStyle="1" w:styleId="BalloonTextChar">
    <w:name w:val="Balloon Text Char"/>
    <w:basedOn w:val="DefaultParagraphFont"/>
    <w:link w:val="BalloonText"/>
    <w:rsid w:val="006B6AC7"/>
    <w:rPr>
      <w:rFonts w:ascii="Tahoma" w:hAnsi="Tahoma" w:cs="Tahoma"/>
      <w:sz w:val="16"/>
      <w:szCs w:val="16"/>
    </w:rPr>
  </w:style>
  <w:style w:type="character" w:customStyle="1" w:styleId="SubtitleChar">
    <w:name w:val="Subtitle Char"/>
    <w:basedOn w:val="DefaultParagraphFont"/>
    <w:link w:val="Subtitle"/>
    <w:rsid w:val="006B6AC7"/>
    <w:rPr>
      <w:rFonts w:ascii="Arial" w:hAnsi="Arial"/>
      <w:szCs w:val="24"/>
    </w:rPr>
  </w:style>
  <w:style w:type="paragraph" w:customStyle="1" w:styleId="BoxListBullet3">
    <w:name w:val="Box List Bullet 3"/>
    <w:basedOn w:val="ListBullet3"/>
    <w:rsid w:val="006B6AC7"/>
    <w:pPr>
      <w:numPr>
        <w:numId w:val="17"/>
      </w:numPr>
      <w:tabs>
        <w:tab w:val="left" w:pos="907"/>
      </w:tabs>
      <w:spacing w:before="60" w:line="260" w:lineRule="atLeast"/>
      <w:ind w:left="907" w:hanging="340"/>
    </w:pPr>
    <w:rPr>
      <w:rFonts w:ascii="Arial" w:hAnsi="Arial"/>
      <w:sz w:val="20"/>
    </w:rPr>
  </w:style>
  <w:style w:type="paragraph" w:customStyle="1" w:styleId="BoxQuoteBullet">
    <w:name w:val="Box Quote Bullet"/>
    <w:basedOn w:val="BoxQuote"/>
    <w:next w:val="Box"/>
    <w:rsid w:val="006B6AC7"/>
    <w:pPr>
      <w:numPr>
        <w:numId w:val="15"/>
      </w:numPr>
      <w:ind w:left="568" w:hanging="284"/>
    </w:pPr>
  </w:style>
  <w:style w:type="paragraph" w:customStyle="1" w:styleId="InformationRequestBullet">
    <w:name w:val="Information Request Bullet"/>
    <w:basedOn w:val="ListBullet"/>
    <w:next w:val="BodyText"/>
    <w:rsid w:val="006B6AC7"/>
    <w:pPr>
      <w:numPr>
        <w:numId w:val="16"/>
      </w:numPr>
      <w:spacing w:before="80" w:line="280" w:lineRule="atLeast"/>
      <w:ind w:left="357" w:hanging="357"/>
    </w:pPr>
    <w:rPr>
      <w:rFonts w:ascii="Arial" w:hAnsi="Arial"/>
      <w:i/>
      <w:sz w:val="22"/>
    </w:rPr>
  </w:style>
  <w:style w:type="paragraph" w:customStyle="1" w:styleId="BoxSpaceAbove">
    <w:name w:val="Box Space Above"/>
    <w:basedOn w:val="BodyText"/>
    <w:rsid w:val="006B6AC7"/>
    <w:pPr>
      <w:keepNext/>
      <w:spacing w:before="360" w:line="80" w:lineRule="exact"/>
      <w:jc w:val="left"/>
    </w:pPr>
  </w:style>
  <w:style w:type="paragraph" w:customStyle="1" w:styleId="BoxSpaceBelow">
    <w:name w:val="Box Space Below"/>
    <w:basedOn w:val="Box"/>
    <w:rsid w:val="006B6AC7"/>
    <w:pPr>
      <w:keepNext w:val="0"/>
      <w:spacing w:before="60" w:after="60" w:line="80" w:lineRule="exact"/>
    </w:pPr>
    <w:rPr>
      <w:sz w:val="14"/>
    </w:rPr>
  </w:style>
  <w:style w:type="paragraph" w:customStyle="1" w:styleId="keypointboxlistbullet">
    <w:name w:val="key point box list bullet"/>
    <w:basedOn w:val="BoxListBullet"/>
    <w:qFormat/>
    <w:rsid w:val="00C078C9"/>
    <w:pPr>
      <w:tabs>
        <w:tab w:val="left" w:pos="284"/>
      </w:tabs>
      <w:spacing w:before="120"/>
    </w:pPr>
    <w:rPr>
      <w:rFonts w:ascii="Goudy Old Style" w:hAnsi="Goudy Old Style"/>
    </w:rPr>
  </w:style>
  <w:style w:type="paragraph" w:customStyle="1" w:styleId="keypointboxlistbullet2">
    <w:name w:val="key point box list bullet 2"/>
    <w:basedOn w:val="BoxListBullet2"/>
    <w:qFormat/>
    <w:rsid w:val="00C078C9"/>
    <w:pPr>
      <w:tabs>
        <w:tab w:val="left" w:pos="284"/>
      </w:tabs>
    </w:pPr>
    <w:rPr>
      <w:rFonts w:ascii="Goudy Old Style" w:hAnsi="Goudy Old Style"/>
    </w:rPr>
  </w:style>
  <w:style w:type="character" w:styleId="HTMLCite">
    <w:name w:val="HTML Cite"/>
    <w:basedOn w:val="DefaultParagraphFont"/>
    <w:uiPriority w:val="99"/>
    <w:unhideWhenUsed/>
    <w:rsid w:val="00DF3015"/>
    <w:rPr>
      <w:i/>
      <w:iCs/>
    </w:rPr>
  </w:style>
  <w:style w:type="character" w:styleId="HTMLAcronym">
    <w:name w:val="HTML Acronym"/>
    <w:basedOn w:val="DefaultParagraphFont"/>
    <w:uiPriority w:val="99"/>
    <w:unhideWhenUsed/>
    <w:rsid w:val="000965A1"/>
  </w:style>
  <w:style w:type="paragraph" w:customStyle="1" w:styleId="KeyPointsListBullet">
    <w:name w:val="Key Points List Bullet"/>
    <w:basedOn w:val="Normal"/>
    <w:qFormat/>
    <w:rsid w:val="006B6AC7"/>
    <w:pPr>
      <w:keepNext/>
      <w:numPr>
        <w:numId w:val="55"/>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6B6AC7"/>
    <w:pPr>
      <w:numPr>
        <w:numId w:val="56"/>
      </w:numPr>
      <w:ind w:left="568" w:hanging="284"/>
    </w:pPr>
  </w:style>
  <w:style w:type="paragraph" w:customStyle="1" w:styleId="InformationRequestTitle">
    <w:name w:val="Information Request Title"/>
    <w:basedOn w:val="FindingTitle"/>
    <w:next w:val="InformationRequest"/>
    <w:rsid w:val="006B6AC7"/>
    <w:rPr>
      <w:i/>
    </w:rPr>
  </w:style>
  <w:style w:type="paragraph" w:customStyle="1" w:styleId="Space">
    <w:name w:val="Space"/>
    <w:basedOn w:val="Normal"/>
    <w:rsid w:val="006B6AC7"/>
    <w:pPr>
      <w:keepNext/>
      <w:spacing w:line="120" w:lineRule="exact"/>
      <w:jc w:val="both"/>
    </w:pPr>
    <w:rPr>
      <w:rFonts w:ascii="Arial" w:hAnsi="Arial"/>
      <w:sz w:val="20"/>
      <w:szCs w:val="20"/>
    </w:rPr>
  </w:style>
  <w:style w:type="paragraph" w:customStyle="1" w:styleId="Heading1nochapterno">
    <w:name w:val="Heading 1 (no chapter no.)"/>
    <w:basedOn w:val="Heading1"/>
    <w:rsid w:val="006B6AC7"/>
    <w:pPr>
      <w:spacing w:before="0"/>
      <w:ind w:left="0" w:firstLine="0"/>
    </w:pPr>
  </w:style>
  <w:style w:type="paragraph" w:customStyle="1" w:styleId="Heading2nosectionno">
    <w:name w:val="Heading 2 (no section no.)"/>
    <w:basedOn w:val="Heading2"/>
    <w:rsid w:val="006B6AC7"/>
    <w:pPr>
      <w:ind w:left="0" w:firstLine="0"/>
    </w:pPr>
  </w:style>
  <w:style w:type="character" w:customStyle="1" w:styleId="Heading5Char">
    <w:name w:val="Heading 5 Char"/>
    <w:basedOn w:val="DefaultParagraphFont"/>
    <w:link w:val="Heading5"/>
    <w:rsid w:val="006B6AC7"/>
    <w:rPr>
      <w:rFonts w:ascii="Arial" w:hAnsi="Arial"/>
      <w:i/>
      <w:sz w:val="22"/>
    </w:rPr>
  </w:style>
  <w:style w:type="paragraph" w:customStyle="1" w:styleId="Figurespace">
    <w:name w:val="Figure space"/>
    <w:basedOn w:val="Box"/>
    <w:rsid w:val="006B6AC7"/>
    <w:pPr>
      <w:spacing w:before="0" w:line="120" w:lineRule="exact"/>
    </w:pPr>
  </w:style>
  <w:style w:type="paragraph" w:customStyle="1" w:styleId="FooterDraftReport">
    <w:name w:val="FooterDraftReport"/>
    <w:basedOn w:val="Footer"/>
    <w:link w:val="FooterDraftReportChar"/>
    <w:rsid w:val="006B6AC7"/>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6B6AC7"/>
    <w:rPr>
      <w:rFonts w:ascii="Arial" w:hAnsi="Arial"/>
      <w:caps/>
      <w:spacing w:val="-4"/>
      <w:sz w:val="16"/>
    </w:rPr>
  </w:style>
  <w:style w:type="character" w:customStyle="1" w:styleId="FooterDraftReportChar">
    <w:name w:val="FooterDraftReport Char"/>
    <w:basedOn w:val="FooterChar"/>
    <w:link w:val="FooterDraftReport"/>
    <w:rsid w:val="006B6AC7"/>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B6A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6B6AC7"/>
    <w:rPr>
      <w:rFonts w:ascii="Arial" w:hAnsi="Arial"/>
      <w:b/>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rmal (Web)" w:uiPriority="99"/>
    <w:lsdException w:name="HTML Acronym" w:uiPriority="99"/>
    <w:lsdException w:name="HTML Cite"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6B6AC7"/>
    <w:rPr>
      <w:sz w:val="24"/>
      <w:szCs w:val="24"/>
    </w:rPr>
  </w:style>
  <w:style w:type="paragraph" w:styleId="Heading1">
    <w:name w:val="heading 1"/>
    <w:basedOn w:val="BodyText"/>
    <w:next w:val="BodyText"/>
    <w:rsid w:val="006B6AC7"/>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6B6AC7"/>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6B6AC7"/>
    <w:pPr>
      <w:spacing w:before="560" w:line="320" w:lineRule="exact"/>
      <w:ind w:left="0" w:firstLine="0"/>
      <w:outlineLvl w:val="2"/>
    </w:pPr>
    <w:rPr>
      <w:sz w:val="26"/>
    </w:rPr>
  </w:style>
  <w:style w:type="paragraph" w:styleId="Heading4">
    <w:name w:val="heading 4"/>
    <w:basedOn w:val="Heading3"/>
    <w:next w:val="BodyText"/>
    <w:qFormat/>
    <w:rsid w:val="006B6AC7"/>
    <w:pPr>
      <w:spacing w:before="480"/>
      <w:outlineLvl w:val="3"/>
    </w:pPr>
    <w:rPr>
      <w:b w:val="0"/>
      <w:sz w:val="24"/>
    </w:rPr>
  </w:style>
  <w:style w:type="paragraph" w:styleId="Heading5">
    <w:name w:val="heading 5"/>
    <w:basedOn w:val="Heading4"/>
    <w:next w:val="BodyText"/>
    <w:link w:val="Heading5Char"/>
    <w:qFormat/>
    <w:rsid w:val="006B6AC7"/>
    <w:pPr>
      <w:outlineLvl w:val="4"/>
    </w:pPr>
    <w:rPr>
      <w:i/>
      <w:sz w:val="22"/>
    </w:rPr>
  </w:style>
  <w:style w:type="paragraph" w:styleId="Heading6">
    <w:name w:val="heading 6"/>
    <w:basedOn w:val="BodyText"/>
    <w:next w:val="BodyText"/>
    <w:rsid w:val="006B6AC7"/>
    <w:pPr>
      <w:spacing w:after="60"/>
      <w:jc w:val="left"/>
      <w:outlineLvl w:val="5"/>
    </w:pPr>
    <w:rPr>
      <w:i/>
      <w:sz w:val="22"/>
    </w:rPr>
  </w:style>
  <w:style w:type="paragraph" w:styleId="Heading7">
    <w:name w:val="heading 7"/>
    <w:basedOn w:val="BodyText"/>
    <w:next w:val="BodyText"/>
    <w:rsid w:val="006B6AC7"/>
    <w:pPr>
      <w:spacing w:after="60" w:line="240" w:lineRule="auto"/>
      <w:jc w:val="left"/>
      <w:outlineLvl w:val="6"/>
    </w:pPr>
    <w:rPr>
      <w:rFonts w:ascii="Arial" w:hAnsi="Arial"/>
      <w:sz w:val="20"/>
    </w:rPr>
  </w:style>
  <w:style w:type="paragraph" w:styleId="Heading8">
    <w:name w:val="heading 8"/>
    <w:basedOn w:val="BodyText"/>
    <w:next w:val="BodyText"/>
    <w:rsid w:val="006B6AC7"/>
    <w:pPr>
      <w:spacing w:after="60" w:line="240" w:lineRule="auto"/>
      <w:jc w:val="left"/>
      <w:outlineLvl w:val="7"/>
    </w:pPr>
    <w:rPr>
      <w:rFonts w:ascii="Arial" w:hAnsi="Arial"/>
      <w:i/>
      <w:sz w:val="20"/>
    </w:rPr>
  </w:style>
  <w:style w:type="paragraph" w:styleId="Heading9">
    <w:name w:val="heading 9"/>
    <w:basedOn w:val="BodyText"/>
    <w:next w:val="BodyText"/>
    <w:rsid w:val="006B6AC7"/>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6B6AC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B6AC7"/>
  </w:style>
  <w:style w:type="paragraph" w:styleId="BodyText">
    <w:name w:val="Body Text"/>
    <w:link w:val="BodyTextChar"/>
    <w:qFormat/>
    <w:rsid w:val="006B6AC7"/>
    <w:pPr>
      <w:spacing w:before="240" w:line="300" w:lineRule="atLeast"/>
      <w:jc w:val="both"/>
    </w:pPr>
    <w:rPr>
      <w:sz w:val="24"/>
    </w:rPr>
  </w:style>
  <w:style w:type="paragraph" w:customStyle="1" w:styleId="Chapter">
    <w:name w:val="Chapter"/>
    <w:basedOn w:val="Heading1"/>
    <w:next w:val="BodyText"/>
    <w:rsid w:val="006B6AC7"/>
    <w:pPr>
      <w:ind w:left="0" w:firstLine="0"/>
      <w:outlineLvl w:val="9"/>
    </w:pPr>
  </w:style>
  <w:style w:type="paragraph" w:customStyle="1" w:styleId="SequenceInfo">
    <w:name w:val="Sequence Info"/>
    <w:basedOn w:val="BodyText"/>
    <w:rsid w:val="006B6AC7"/>
    <w:rPr>
      <w:vanish/>
      <w:sz w:val="16"/>
    </w:rPr>
  </w:style>
  <w:style w:type="character" w:styleId="CommentReference">
    <w:name w:val="annotation reference"/>
    <w:basedOn w:val="DefaultParagraphFont"/>
    <w:semiHidden/>
    <w:rsid w:val="006B6AC7"/>
    <w:rPr>
      <w:b/>
      <w:vanish/>
      <w:color w:val="FF00FF"/>
      <w:sz w:val="20"/>
    </w:rPr>
  </w:style>
  <w:style w:type="paragraph" w:styleId="CommentText">
    <w:name w:val="annotation text"/>
    <w:basedOn w:val="Normal"/>
    <w:semiHidden/>
    <w:rsid w:val="006B6AC7"/>
    <w:pPr>
      <w:spacing w:before="120" w:line="240" w:lineRule="atLeast"/>
      <w:ind w:left="567" w:hanging="567"/>
    </w:pPr>
    <w:rPr>
      <w:sz w:val="20"/>
    </w:rPr>
  </w:style>
  <w:style w:type="paragraph" w:customStyle="1" w:styleId="Abbreviation">
    <w:name w:val="Abbreviation"/>
    <w:basedOn w:val="BodyText"/>
    <w:rsid w:val="006B6AC7"/>
    <w:pPr>
      <w:spacing w:before="120"/>
      <w:ind w:left="2381" w:hanging="2381"/>
      <w:jc w:val="left"/>
    </w:pPr>
  </w:style>
  <w:style w:type="paragraph" w:customStyle="1" w:styleId="Box">
    <w:name w:val="Box"/>
    <w:basedOn w:val="BodyText"/>
    <w:qFormat/>
    <w:rsid w:val="006B6AC7"/>
    <w:pPr>
      <w:keepNext/>
      <w:spacing w:before="120" w:line="260" w:lineRule="atLeast"/>
    </w:pPr>
    <w:rPr>
      <w:rFonts w:ascii="Arial" w:hAnsi="Arial"/>
      <w:sz w:val="20"/>
    </w:rPr>
  </w:style>
  <w:style w:type="paragraph" w:customStyle="1" w:styleId="QuoteBullet">
    <w:name w:val="Quote Bullet"/>
    <w:basedOn w:val="Quote"/>
    <w:rsid w:val="006B6AC7"/>
    <w:pPr>
      <w:numPr>
        <w:numId w:val="11"/>
      </w:numPr>
    </w:pPr>
  </w:style>
  <w:style w:type="paragraph" w:customStyle="1" w:styleId="BoxListBullet">
    <w:name w:val="Box List Bullet"/>
    <w:basedOn w:val="BodyText"/>
    <w:link w:val="BoxListBulletChar"/>
    <w:rsid w:val="006B6AC7"/>
    <w:pPr>
      <w:keepNext/>
      <w:numPr>
        <w:numId w:val="5"/>
      </w:numPr>
      <w:spacing w:before="100" w:line="260" w:lineRule="atLeast"/>
    </w:pPr>
    <w:rPr>
      <w:rFonts w:ascii="Arial" w:hAnsi="Arial"/>
      <w:sz w:val="20"/>
    </w:rPr>
  </w:style>
  <w:style w:type="paragraph" w:customStyle="1" w:styleId="BoxListBullet2">
    <w:name w:val="Box List Bullet 2"/>
    <w:basedOn w:val="BoxListBullet"/>
    <w:link w:val="BoxListBullet2Char"/>
    <w:rsid w:val="006B6AC7"/>
    <w:pPr>
      <w:numPr>
        <w:numId w:val="2"/>
      </w:numPr>
      <w:ind w:left="568" w:hanging="284"/>
    </w:pPr>
  </w:style>
  <w:style w:type="paragraph" w:customStyle="1" w:styleId="BoxListNumber">
    <w:name w:val="Box List Number"/>
    <w:basedOn w:val="BodyText"/>
    <w:rsid w:val="006B6AC7"/>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6B6AC7"/>
    <w:pPr>
      <w:numPr>
        <w:ilvl w:val="1"/>
      </w:numPr>
      <w:ind w:left="681" w:hanging="397"/>
    </w:pPr>
  </w:style>
  <w:style w:type="paragraph" w:customStyle="1" w:styleId="BoxQuote">
    <w:name w:val="Box Quote"/>
    <w:basedOn w:val="BodyText"/>
    <w:next w:val="Box"/>
    <w:qFormat/>
    <w:rsid w:val="006B6AC7"/>
    <w:pPr>
      <w:keepNext/>
      <w:spacing w:before="60" w:line="240" w:lineRule="exact"/>
      <w:ind w:left="284"/>
    </w:pPr>
    <w:rPr>
      <w:rFonts w:ascii="Arial" w:hAnsi="Arial"/>
      <w:sz w:val="18"/>
    </w:rPr>
  </w:style>
  <w:style w:type="paragraph" w:customStyle="1" w:styleId="BoxSource">
    <w:name w:val="Box Source"/>
    <w:basedOn w:val="Source"/>
    <w:next w:val="BodyText"/>
    <w:rsid w:val="006B6AC7"/>
    <w:pPr>
      <w:spacing w:before="120"/>
    </w:pPr>
  </w:style>
  <w:style w:type="paragraph" w:customStyle="1" w:styleId="BoxSpace">
    <w:name w:val="Box Space"/>
    <w:basedOn w:val="BodyText"/>
    <w:rsid w:val="002176F2"/>
    <w:pPr>
      <w:keepNext/>
      <w:spacing w:before="360" w:line="80" w:lineRule="exact"/>
      <w:jc w:val="left"/>
    </w:pPr>
  </w:style>
  <w:style w:type="paragraph" w:customStyle="1" w:styleId="BoxSubtitle">
    <w:name w:val="Box Subtitle"/>
    <w:basedOn w:val="BoxTitle"/>
    <w:next w:val="Normal"/>
    <w:rsid w:val="006B6AC7"/>
    <w:pPr>
      <w:spacing w:after="80" w:line="200" w:lineRule="exact"/>
      <w:ind w:firstLine="0"/>
    </w:pPr>
    <w:rPr>
      <w:b w:val="0"/>
      <w:sz w:val="20"/>
    </w:rPr>
  </w:style>
  <w:style w:type="paragraph" w:customStyle="1" w:styleId="BoxTitle">
    <w:name w:val="Box Title"/>
    <w:basedOn w:val="Caption"/>
    <w:next w:val="BoxSubtitle"/>
    <w:rsid w:val="006B6AC7"/>
    <w:pPr>
      <w:spacing w:before="120" w:after="0"/>
    </w:pPr>
  </w:style>
  <w:style w:type="paragraph" w:styleId="Caption">
    <w:name w:val="caption"/>
    <w:basedOn w:val="Normal"/>
    <w:next w:val="BodyText"/>
    <w:rsid w:val="006B6AC7"/>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6B6AC7"/>
    <w:pPr>
      <w:spacing w:line="280" w:lineRule="atLeast"/>
      <w:ind w:left="907"/>
    </w:pPr>
    <w:rPr>
      <w:rFonts w:ascii="Arial" w:hAnsi="Arial"/>
      <w:b/>
      <w:sz w:val="20"/>
    </w:rPr>
  </w:style>
  <w:style w:type="character" w:customStyle="1" w:styleId="DocumentInfo">
    <w:name w:val="Document Info"/>
    <w:basedOn w:val="DefaultParagraphFont"/>
    <w:rsid w:val="006B6AC7"/>
    <w:rPr>
      <w:rFonts w:ascii="Arial" w:hAnsi="Arial"/>
      <w:sz w:val="14"/>
    </w:rPr>
  </w:style>
  <w:style w:type="paragraph" w:styleId="Footer">
    <w:name w:val="footer"/>
    <w:basedOn w:val="BodyText"/>
    <w:link w:val="FooterChar"/>
    <w:rsid w:val="006B6AC7"/>
    <w:pPr>
      <w:spacing w:before="80" w:line="200" w:lineRule="exact"/>
      <w:ind w:right="6"/>
      <w:jc w:val="left"/>
    </w:pPr>
    <w:rPr>
      <w:rFonts w:ascii="Arial" w:hAnsi="Arial"/>
      <w:caps/>
      <w:spacing w:val="-4"/>
      <w:sz w:val="16"/>
    </w:rPr>
  </w:style>
  <w:style w:type="character" w:customStyle="1" w:styleId="DraftingNote">
    <w:name w:val="Drafting Note"/>
    <w:basedOn w:val="DefaultParagraphFont"/>
    <w:rsid w:val="006B6AC7"/>
    <w:rPr>
      <w:b/>
      <w:color w:val="FF0000"/>
      <w:sz w:val="24"/>
      <w:u w:val="dotted"/>
    </w:rPr>
  </w:style>
  <w:style w:type="paragraph" w:customStyle="1" w:styleId="Default">
    <w:name w:val="Default"/>
    <w:rsid w:val="00BB3CF6"/>
    <w:pPr>
      <w:autoSpaceDE w:val="0"/>
      <w:autoSpaceDN w:val="0"/>
      <w:adjustRightInd w:val="0"/>
    </w:pPr>
    <w:rPr>
      <w:rFonts w:ascii="GoudyOlSt BT" w:hAnsi="GoudyOlSt BT" w:cs="GoudyOlSt BT"/>
      <w:color w:val="000000"/>
      <w:sz w:val="24"/>
      <w:szCs w:val="24"/>
      <w:lang w:val="en-US" w:eastAsia="en-US"/>
    </w:rPr>
  </w:style>
  <w:style w:type="paragraph" w:customStyle="1" w:styleId="Figure">
    <w:name w:val="Figure"/>
    <w:basedOn w:val="BodyText"/>
    <w:rsid w:val="006B6AC7"/>
    <w:pPr>
      <w:keepNext/>
      <w:spacing w:before="120" w:after="120" w:line="240" w:lineRule="atLeast"/>
      <w:jc w:val="center"/>
    </w:pPr>
  </w:style>
  <w:style w:type="paragraph" w:customStyle="1" w:styleId="FigureTitle">
    <w:name w:val="Figure Title"/>
    <w:basedOn w:val="Caption"/>
    <w:next w:val="Subtitle"/>
    <w:rsid w:val="006B6AC7"/>
    <w:pPr>
      <w:spacing w:before="120"/>
    </w:pPr>
  </w:style>
  <w:style w:type="paragraph" w:styleId="Subtitle">
    <w:name w:val="Subtitle"/>
    <w:basedOn w:val="Caption"/>
    <w:link w:val="SubtitleChar"/>
    <w:qFormat/>
    <w:rsid w:val="006B6AC7"/>
    <w:pPr>
      <w:spacing w:before="0" w:line="200" w:lineRule="exact"/>
      <w:ind w:firstLine="0"/>
    </w:pPr>
    <w:rPr>
      <w:b w:val="0"/>
      <w:sz w:val="20"/>
    </w:rPr>
  </w:style>
  <w:style w:type="paragraph" w:customStyle="1" w:styleId="Finding">
    <w:name w:val="Finding"/>
    <w:basedOn w:val="BodyText"/>
    <w:rsid w:val="006B6AC7"/>
    <w:pPr>
      <w:keepLines/>
      <w:spacing w:before="120" w:line="280" w:lineRule="atLeast"/>
    </w:pPr>
    <w:rPr>
      <w:rFonts w:ascii="Arial" w:hAnsi="Arial"/>
      <w:sz w:val="22"/>
    </w:rPr>
  </w:style>
  <w:style w:type="paragraph" w:customStyle="1" w:styleId="FindingBullet">
    <w:name w:val="Finding Bullet"/>
    <w:basedOn w:val="Finding"/>
    <w:rsid w:val="006B6AC7"/>
    <w:pPr>
      <w:numPr>
        <w:numId w:val="6"/>
      </w:numPr>
      <w:spacing w:before="80"/>
    </w:pPr>
  </w:style>
  <w:style w:type="paragraph" w:customStyle="1" w:styleId="FindingNoTitle">
    <w:name w:val="Finding NoTitle"/>
    <w:basedOn w:val="Finding"/>
    <w:rsid w:val="006B6AC7"/>
    <w:pPr>
      <w:spacing w:before="240"/>
    </w:pPr>
  </w:style>
  <w:style w:type="paragraph" w:customStyle="1" w:styleId="FindingTitle">
    <w:name w:val="Finding Title"/>
    <w:basedOn w:val="RecTitle"/>
    <w:next w:val="Finding"/>
    <w:rsid w:val="006B6AC7"/>
  </w:style>
  <w:style w:type="paragraph" w:customStyle="1" w:styleId="FooterEnd">
    <w:name w:val="Footer End"/>
    <w:basedOn w:val="Footer"/>
    <w:rsid w:val="006B6AC7"/>
    <w:pPr>
      <w:spacing w:before="0" w:line="20" w:lineRule="exact"/>
    </w:pPr>
  </w:style>
  <w:style w:type="character" w:styleId="FootnoteReference">
    <w:name w:val="footnote reference"/>
    <w:basedOn w:val="DefaultParagraphFont"/>
    <w:semiHidden/>
    <w:rsid w:val="006B6AC7"/>
    <w:rPr>
      <w:rFonts w:ascii="Times New Roman" w:hAnsi="Times New Roman"/>
      <w:position w:val="6"/>
      <w:sz w:val="20"/>
      <w:vertAlign w:val="baseline"/>
    </w:rPr>
  </w:style>
  <w:style w:type="paragraph" w:styleId="FootnoteText">
    <w:name w:val="footnote text"/>
    <w:basedOn w:val="BodyText"/>
    <w:rsid w:val="006B6AC7"/>
    <w:pPr>
      <w:tabs>
        <w:tab w:val="left" w:pos="284"/>
      </w:tabs>
      <w:spacing w:before="80" w:line="240" w:lineRule="exact"/>
      <w:ind w:left="284" w:hanging="284"/>
    </w:pPr>
    <w:rPr>
      <w:sz w:val="20"/>
    </w:rPr>
  </w:style>
  <w:style w:type="paragraph" w:styleId="Header">
    <w:name w:val="header"/>
    <w:basedOn w:val="BodyText"/>
    <w:rsid w:val="006B6AC7"/>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6B6AC7"/>
    <w:pPr>
      <w:spacing w:line="20" w:lineRule="exact"/>
    </w:pPr>
    <w:rPr>
      <w:sz w:val="16"/>
    </w:rPr>
  </w:style>
  <w:style w:type="paragraph" w:customStyle="1" w:styleId="HeaderEven">
    <w:name w:val="Header Even"/>
    <w:basedOn w:val="Header"/>
    <w:rsid w:val="006B6AC7"/>
  </w:style>
  <w:style w:type="paragraph" w:customStyle="1" w:styleId="HeaderOdd">
    <w:name w:val="Header Odd"/>
    <w:basedOn w:val="Header"/>
    <w:rsid w:val="006B6AC7"/>
  </w:style>
  <w:style w:type="paragraph" w:customStyle="1" w:styleId="InformationRequest">
    <w:name w:val="Information Request"/>
    <w:basedOn w:val="Finding"/>
    <w:next w:val="BodyText"/>
    <w:rsid w:val="006B6AC7"/>
    <w:rPr>
      <w:i/>
    </w:rPr>
  </w:style>
  <w:style w:type="paragraph" w:styleId="ListBullet">
    <w:name w:val="List Bullet"/>
    <w:basedOn w:val="BodyText"/>
    <w:rsid w:val="006B6AC7"/>
    <w:pPr>
      <w:numPr>
        <w:numId w:val="4"/>
      </w:numPr>
      <w:spacing w:before="120"/>
    </w:pPr>
  </w:style>
  <w:style w:type="paragraph" w:styleId="ListBullet2">
    <w:name w:val="List Bullet 2"/>
    <w:basedOn w:val="BodyText"/>
    <w:link w:val="ListBullet2Char"/>
    <w:rsid w:val="006B6AC7"/>
    <w:pPr>
      <w:numPr>
        <w:numId w:val="10"/>
      </w:numPr>
      <w:spacing w:before="120"/>
    </w:pPr>
  </w:style>
  <w:style w:type="paragraph" w:styleId="ListBullet3">
    <w:name w:val="List Bullet 3"/>
    <w:basedOn w:val="BodyText"/>
    <w:rsid w:val="006B6AC7"/>
    <w:pPr>
      <w:numPr>
        <w:numId w:val="1"/>
      </w:numPr>
      <w:spacing w:before="120"/>
      <w:ind w:left="1020" w:hanging="340"/>
    </w:pPr>
  </w:style>
  <w:style w:type="paragraph" w:styleId="ListNumber">
    <w:name w:val="List Number"/>
    <w:basedOn w:val="BodyText"/>
    <w:rsid w:val="006B6AC7"/>
    <w:pPr>
      <w:numPr>
        <w:numId w:val="13"/>
      </w:numPr>
      <w:spacing w:before="120"/>
    </w:pPr>
  </w:style>
  <w:style w:type="paragraph" w:styleId="ListNumber2">
    <w:name w:val="List Number 2"/>
    <w:basedOn w:val="ListNumber"/>
    <w:rsid w:val="006B6AC7"/>
    <w:pPr>
      <w:numPr>
        <w:ilvl w:val="1"/>
      </w:numPr>
    </w:pPr>
  </w:style>
  <w:style w:type="paragraph" w:styleId="ListNumber3">
    <w:name w:val="List Number 3"/>
    <w:basedOn w:val="ListNumber2"/>
    <w:rsid w:val="006B6AC7"/>
    <w:pPr>
      <w:numPr>
        <w:ilvl w:val="2"/>
      </w:numPr>
    </w:pPr>
  </w:style>
  <w:style w:type="paragraph" w:customStyle="1" w:styleId="Note">
    <w:name w:val="Note"/>
    <w:basedOn w:val="BodyText"/>
    <w:next w:val="BodyText"/>
    <w:rsid w:val="006B6AC7"/>
    <w:pPr>
      <w:keepLines/>
      <w:spacing w:before="80" w:line="220" w:lineRule="exact"/>
    </w:pPr>
    <w:rPr>
      <w:rFonts w:ascii="Arial" w:hAnsi="Arial"/>
      <w:sz w:val="18"/>
    </w:rPr>
  </w:style>
  <w:style w:type="character" w:customStyle="1" w:styleId="NoteLabel">
    <w:name w:val="Note Label"/>
    <w:basedOn w:val="DefaultParagraphFont"/>
    <w:rsid w:val="006B6AC7"/>
    <w:rPr>
      <w:rFonts w:ascii="Arial" w:hAnsi="Arial"/>
      <w:b/>
      <w:position w:val="6"/>
      <w:sz w:val="18"/>
    </w:rPr>
  </w:style>
  <w:style w:type="character" w:styleId="PageNumber">
    <w:name w:val="page number"/>
    <w:basedOn w:val="DefaultParagraphFont"/>
    <w:rsid w:val="006B6AC7"/>
    <w:rPr>
      <w:rFonts w:ascii="Arial" w:hAnsi="Arial"/>
      <w:b/>
      <w:sz w:val="16"/>
    </w:rPr>
  </w:style>
  <w:style w:type="paragraph" w:customStyle="1" w:styleId="PartDivider">
    <w:name w:val="Part Divider"/>
    <w:basedOn w:val="BodyText"/>
    <w:next w:val="BodyText"/>
    <w:rsid w:val="006B6AC7"/>
    <w:pPr>
      <w:spacing w:before="0" w:line="40" w:lineRule="exact"/>
      <w:jc w:val="right"/>
    </w:pPr>
    <w:rPr>
      <w:smallCaps/>
      <w:sz w:val="16"/>
    </w:rPr>
  </w:style>
  <w:style w:type="paragraph" w:customStyle="1" w:styleId="PartNumber">
    <w:name w:val="Part Number"/>
    <w:basedOn w:val="BodyText"/>
    <w:next w:val="BodyText"/>
    <w:rsid w:val="006B6AC7"/>
    <w:pPr>
      <w:spacing w:before="4000" w:line="320" w:lineRule="exact"/>
      <w:ind w:left="6634"/>
      <w:jc w:val="right"/>
    </w:pPr>
    <w:rPr>
      <w:smallCaps/>
      <w:spacing w:val="60"/>
      <w:sz w:val="32"/>
    </w:rPr>
  </w:style>
  <w:style w:type="paragraph" w:customStyle="1" w:styleId="PartTitle">
    <w:name w:val="Part Title"/>
    <w:basedOn w:val="BodyText"/>
    <w:rsid w:val="006B6AC7"/>
    <w:pPr>
      <w:spacing w:before="160" w:after="1360" w:line="520" w:lineRule="exact"/>
      <w:ind w:right="2381"/>
      <w:jc w:val="right"/>
    </w:pPr>
    <w:rPr>
      <w:smallCaps/>
      <w:sz w:val="52"/>
    </w:rPr>
  </w:style>
  <w:style w:type="paragraph" w:styleId="Quote">
    <w:name w:val="Quote"/>
    <w:basedOn w:val="BodyText"/>
    <w:next w:val="BodyText"/>
    <w:qFormat/>
    <w:rsid w:val="006B6AC7"/>
    <w:pPr>
      <w:spacing w:before="120" w:line="280" w:lineRule="exact"/>
      <w:ind w:left="340"/>
    </w:pPr>
    <w:rPr>
      <w:sz w:val="22"/>
    </w:rPr>
  </w:style>
  <w:style w:type="paragraph" w:customStyle="1" w:styleId="Rec">
    <w:name w:val="Rec"/>
    <w:basedOn w:val="BodyText"/>
    <w:qFormat/>
    <w:rsid w:val="006B6AC7"/>
    <w:pPr>
      <w:keepLines/>
      <w:spacing w:before="120" w:line="280" w:lineRule="atLeast"/>
    </w:pPr>
    <w:rPr>
      <w:rFonts w:ascii="Arial" w:hAnsi="Arial"/>
      <w:sz w:val="22"/>
    </w:rPr>
  </w:style>
  <w:style w:type="paragraph" w:customStyle="1" w:styleId="RecBullet">
    <w:name w:val="Rec Bullet"/>
    <w:basedOn w:val="Rec"/>
    <w:rsid w:val="006B6AC7"/>
    <w:pPr>
      <w:numPr>
        <w:numId w:val="7"/>
      </w:numPr>
      <w:spacing w:before="80"/>
    </w:pPr>
  </w:style>
  <w:style w:type="paragraph" w:customStyle="1" w:styleId="RecTitle">
    <w:name w:val="Rec Title"/>
    <w:basedOn w:val="BodyText"/>
    <w:next w:val="Rec"/>
    <w:qFormat/>
    <w:rsid w:val="006B6AC7"/>
    <w:pPr>
      <w:keepNext/>
      <w:keepLines/>
      <w:spacing w:line="280" w:lineRule="atLeast"/>
    </w:pPr>
    <w:rPr>
      <w:rFonts w:ascii="Arial" w:hAnsi="Arial"/>
      <w:caps/>
      <w:sz w:val="18"/>
    </w:rPr>
  </w:style>
  <w:style w:type="paragraph" w:customStyle="1" w:styleId="RecB">
    <w:name w:val="RecB"/>
    <w:basedOn w:val="Normal"/>
    <w:rsid w:val="006B6AC7"/>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6B6AC7"/>
    <w:pPr>
      <w:numPr>
        <w:numId w:val="8"/>
      </w:numPr>
      <w:spacing w:before="80"/>
    </w:pPr>
  </w:style>
  <w:style w:type="paragraph" w:customStyle="1" w:styleId="RecBNoTitle">
    <w:name w:val="RecB NoTitle"/>
    <w:basedOn w:val="RecB"/>
    <w:rsid w:val="006B6AC7"/>
    <w:pPr>
      <w:spacing w:before="240"/>
    </w:pPr>
  </w:style>
  <w:style w:type="paragraph" w:customStyle="1" w:styleId="Reference">
    <w:name w:val="Reference"/>
    <w:basedOn w:val="BodyText"/>
    <w:rsid w:val="006B6AC7"/>
    <w:pPr>
      <w:spacing w:before="120"/>
      <w:ind w:left="340" w:hanging="340"/>
    </w:pPr>
  </w:style>
  <w:style w:type="paragraph" w:customStyle="1" w:styleId="SideNote">
    <w:name w:val="Side Note"/>
    <w:basedOn w:val="BodyText"/>
    <w:next w:val="BodyText"/>
    <w:rsid w:val="006B6AC7"/>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rsid w:val="006B6AC7"/>
    <w:pPr>
      <w:framePr w:wrap="around"/>
      <w:numPr>
        <w:numId w:val="3"/>
      </w:numPr>
      <w:tabs>
        <w:tab w:val="left" w:pos="227"/>
      </w:tabs>
    </w:pPr>
  </w:style>
  <w:style w:type="paragraph" w:customStyle="1" w:styleId="SideNoteGraphic">
    <w:name w:val="Side Note Graphic"/>
    <w:basedOn w:val="SideNote"/>
    <w:next w:val="BodyText"/>
    <w:rsid w:val="006B6AC7"/>
    <w:pPr>
      <w:framePr w:wrap="around"/>
    </w:pPr>
  </w:style>
  <w:style w:type="paragraph" w:customStyle="1" w:styleId="Source">
    <w:name w:val="Source"/>
    <w:basedOn w:val="Normal"/>
    <w:next w:val="BodyText"/>
    <w:rsid w:val="006B6AC7"/>
    <w:pPr>
      <w:keepLines/>
      <w:spacing w:before="80" w:line="220" w:lineRule="exact"/>
      <w:jc w:val="both"/>
    </w:pPr>
    <w:rPr>
      <w:rFonts w:ascii="Arial" w:hAnsi="Arial"/>
      <w:sz w:val="18"/>
      <w:szCs w:val="20"/>
    </w:rPr>
  </w:style>
  <w:style w:type="paragraph" w:customStyle="1" w:styleId="TableBodyText">
    <w:name w:val="Table Body Text"/>
    <w:basedOn w:val="BodyText"/>
    <w:rsid w:val="006B6AC7"/>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6B6AC7"/>
    <w:pPr>
      <w:numPr>
        <w:numId w:val="9"/>
      </w:numPr>
      <w:jc w:val="left"/>
    </w:pPr>
  </w:style>
  <w:style w:type="paragraph" w:customStyle="1" w:styleId="TableColumnHeading">
    <w:name w:val="Table Column Heading"/>
    <w:basedOn w:val="TableBodyText"/>
    <w:rsid w:val="006B6AC7"/>
    <w:pPr>
      <w:spacing w:before="80" w:after="80"/>
    </w:pPr>
    <w:rPr>
      <w:i/>
    </w:rPr>
  </w:style>
  <w:style w:type="paragraph" w:styleId="TableofFigures">
    <w:name w:val="table of figures"/>
    <w:basedOn w:val="TOC3"/>
    <w:next w:val="BodyText"/>
    <w:semiHidden/>
    <w:rsid w:val="006B6AC7"/>
    <w:pPr>
      <w:ind w:left="737" w:hanging="737"/>
    </w:pPr>
  </w:style>
  <w:style w:type="paragraph" w:styleId="TOC3">
    <w:name w:val="toc 3"/>
    <w:basedOn w:val="TOC2"/>
    <w:rsid w:val="006B6AC7"/>
    <w:pPr>
      <w:spacing w:before="60"/>
      <w:ind w:left="1190" w:hanging="680"/>
    </w:pPr>
  </w:style>
  <w:style w:type="paragraph" w:customStyle="1" w:styleId="TableTitle">
    <w:name w:val="Table Title"/>
    <w:basedOn w:val="Caption"/>
    <w:next w:val="Subtitle"/>
    <w:qFormat/>
    <w:rsid w:val="006B6AC7"/>
    <w:pPr>
      <w:spacing w:before="120"/>
    </w:pPr>
  </w:style>
  <w:style w:type="paragraph" w:customStyle="1" w:styleId="TableUnitsRow">
    <w:name w:val="Table Units Row"/>
    <w:basedOn w:val="TableBodyText"/>
    <w:rsid w:val="006B6AC7"/>
    <w:pPr>
      <w:spacing w:before="40"/>
    </w:pPr>
  </w:style>
  <w:style w:type="paragraph" w:styleId="TOC1">
    <w:name w:val="toc 1"/>
    <w:basedOn w:val="Normal"/>
    <w:next w:val="TOC2"/>
    <w:link w:val="TOC1Char"/>
    <w:rsid w:val="006B6AC7"/>
    <w:pPr>
      <w:tabs>
        <w:tab w:val="right" w:pos="8789"/>
      </w:tabs>
      <w:spacing w:before="120" w:line="320" w:lineRule="exact"/>
      <w:ind w:left="510" w:right="851" w:hanging="510"/>
    </w:pPr>
    <w:rPr>
      <w:rFonts w:ascii="Arial" w:hAnsi="Arial"/>
      <w:b/>
      <w:sz w:val="26"/>
      <w:szCs w:val="26"/>
      <w:lang w:eastAsia="en-US"/>
    </w:rPr>
  </w:style>
  <w:style w:type="paragraph" w:styleId="TOC2">
    <w:name w:val="toc 2"/>
    <w:basedOn w:val="TOC1"/>
    <w:rsid w:val="006B6AC7"/>
    <w:pPr>
      <w:ind w:left="1134" w:hanging="624"/>
    </w:pPr>
    <w:rPr>
      <w:b w:val="0"/>
    </w:rPr>
  </w:style>
  <w:style w:type="paragraph" w:styleId="TOC4">
    <w:name w:val="toc 4"/>
    <w:basedOn w:val="TOC3"/>
    <w:semiHidden/>
    <w:rsid w:val="006B6AC7"/>
    <w:pPr>
      <w:ind w:left="1191" w:firstLine="0"/>
    </w:pPr>
  </w:style>
  <w:style w:type="paragraph" w:customStyle="1" w:styleId="BoxContinued">
    <w:name w:val="Box Continued"/>
    <w:basedOn w:val="BodyText"/>
    <w:next w:val="BodyText"/>
    <w:rsid w:val="006B6AC7"/>
    <w:pPr>
      <w:spacing w:before="180" w:line="220" w:lineRule="exact"/>
      <w:jc w:val="right"/>
    </w:pPr>
    <w:rPr>
      <w:rFonts w:ascii="Arial" w:hAnsi="Arial"/>
      <w:sz w:val="18"/>
    </w:rPr>
  </w:style>
  <w:style w:type="paragraph" w:customStyle="1" w:styleId="Continued">
    <w:name w:val="Continued"/>
    <w:basedOn w:val="BoxContinued"/>
    <w:next w:val="BodyText"/>
    <w:rsid w:val="006B6AC7"/>
  </w:style>
  <w:style w:type="paragraph" w:customStyle="1" w:styleId="BoxHeading1">
    <w:name w:val="Box Heading 1"/>
    <w:basedOn w:val="BodyText"/>
    <w:next w:val="Box"/>
    <w:rsid w:val="006B6AC7"/>
    <w:pPr>
      <w:keepNext/>
      <w:spacing w:before="200" w:line="280" w:lineRule="atLeast"/>
    </w:pPr>
    <w:rPr>
      <w:rFonts w:ascii="Arial" w:hAnsi="Arial"/>
      <w:b/>
      <w:sz w:val="22"/>
    </w:rPr>
  </w:style>
  <w:style w:type="paragraph" w:customStyle="1" w:styleId="BoxHeading2">
    <w:name w:val="Box Heading 2"/>
    <w:basedOn w:val="BoxHeading1"/>
    <w:next w:val="Normal"/>
    <w:rsid w:val="006B6AC7"/>
    <w:rPr>
      <w:b w:val="0"/>
      <w:i/>
    </w:rPr>
  </w:style>
  <w:style w:type="character" w:styleId="Hyperlink">
    <w:name w:val="Hyperlink"/>
    <w:rsid w:val="00A33B72"/>
    <w:rPr>
      <w:color w:val="0000FF"/>
      <w:u w:val="single"/>
    </w:rPr>
  </w:style>
  <w:style w:type="paragraph" w:styleId="NormalWeb">
    <w:name w:val="Normal (Web)"/>
    <w:basedOn w:val="Normal"/>
    <w:uiPriority w:val="99"/>
    <w:rsid w:val="00DF1186"/>
    <w:pPr>
      <w:spacing w:before="100" w:beforeAutospacing="1" w:after="100" w:afterAutospacing="1"/>
    </w:pPr>
    <w:rPr>
      <w:rFonts w:ascii="Arial" w:hAnsi="Arial" w:cs="Arial"/>
      <w:color w:val="000000"/>
      <w:lang w:eastAsia="ko-KR"/>
    </w:rPr>
  </w:style>
  <w:style w:type="paragraph" w:styleId="Date">
    <w:name w:val="Date"/>
    <w:basedOn w:val="Normal"/>
    <w:next w:val="Normal"/>
    <w:rsid w:val="007C70D7"/>
  </w:style>
  <w:style w:type="character" w:customStyle="1" w:styleId="BodyTextChar">
    <w:name w:val="Body Text Char"/>
    <w:basedOn w:val="DefaultParagraphFont"/>
    <w:link w:val="BodyText"/>
    <w:rsid w:val="006B6AC7"/>
    <w:rPr>
      <w:sz w:val="24"/>
    </w:rPr>
  </w:style>
  <w:style w:type="character" w:customStyle="1" w:styleId="ListBullet2Char">
    <w:name w:val="List Bullet 2 Char"/>
    <w:basedOn w:val="BodyTextChar"/>
    <w:link w:val="ListBullet2"/>
    <w:rsid w:val="00263F5E"/>
    <w:rPr>
      <w:sz w:val="24"/>
    </w:rPr>
  </w:style>
  <w:style w:type="character" w:customStyle="1" w:styleId="BoxListBulletChar">
    <w:name w:val="Box List Bullet Char"/>
    <w:link w:val="BoxListBullet"/>
    <w:rsid w:val="00243287"/>
    <w:rPr>
      <w:rFonts w:ascii="Arial" w:hAnsi="Arial"/>
    </w:rPr>
  </w:style>
  <w:style w:type="character" w:customStyle="1" w:styleId="BoxListBullet2Char">
    <w:name w:val="Box List Bullet 2 Char"/>
    <w:link w:val="BoxListBullet2"/>
    <w:rsid w:val="00243287"/>
    <w:rPr>
      <w:rFonts w:ascii="Arial" w:hAnsi="Arial"/>
    </w:rPr>
  </w:style>
  <w:style w:type="paragraph" w:styleId="BalloonText">
    <w:name w:val="Balloon Text"/>
    <w:basedOn w:val="Normal"/>
    <w:link w:val="BalloonTextChar"/>
    <w:rsid w:val="006B6AC7"/>
    <w:rPr>
      <w:rFonts w:ascii="Tahoma" w:hAnsi="Tahoma" w:cs="Tahoma"/>
      <w:sz w:val="16"/>
      <w:szCs w:val="16"/>
    </w:rPr>
  </w:style>
  <w:style w:type="character" w:customStyle="1" w:styleId="CharChar">
    <w:name w:val="Char Char"/>
    <w:rsid w:val="00144BF7"/>
    <w:rPr>
      <w:color w:val="000000"/>
      <w:sz w:val="26"/>
      <w:lang w:val="en-AU" w:eastAsia="en-US" w:bidi="ar-SA"/>
    </w:rPr>
  </w:style>
  <w:style w:type="paragraph" w:customStyle="1" w:styleId="Jurisdictioncommentsbodytext">
    <w:name w:val="Jurisdiction comments body text"/>
    <w:rsid w:val="006B6AC7"/>
    <w:pPr>
      <w:spacing w:after="140"/>
      <w:jc w:val="both"/>
    </w:pPr>
    <w:rPr>
      <w:rFonts w:ascii="Arial" w:hAnsi="Arial"/>
      <w:sz w:val="24"/>
      <w:lang w:eastAsia="en-US"/>
    </w:rPr>
  </w:style>
  <w:style w:type="paragraph" w:customStyle="1" w:styleId="Jurisdictioncommentsheading">
    <w:name w:val="Jurisdiction comments heading"/>
    <w:rsid w:val="006B6AC7"/>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6B6AC7"/>
    <w:pPr>
      <w:numPr>
        <w:numId w:val="12"/>
      </w:numPr>
      <w:spacing w:after="140"/>
      <w:jc w:val="both"/>
    </w:pPr>
    <w:rPr>
      <w:rFonts w:ascii="Arial" w:hAnsi="Arial"/>
      <w:sz w:val="24"/>
      <w:lang w:eastAsia="en-US"/>
    </w:rPr>
  </w:style>
  <w:style w:type="character" w:styleId="Emphasis">
    <w:name w:val="Emphasis"/>
    <w:basedOn w:val="DefaultParagraphFont"/>
    <w:rsid w:val="006B6AC7"/>
    <w:rPr>
      <w:i/>
      <w:iCs/>
    </w:rPr>
  </w:style>
  <w:style w:type="paragraph" w:styleId="Title">
    <w:name w:val="Title"/>
    <w:basedOn w:val="Normal"/>
    <w:qFormat/>
    <w:rsid w:val="006C2C28"/>
    <w:pPr>
      <w:spacing w:after="120"/>
      <w:jc w:val="center"/>
    </w:pPr>
    <w:rPr>
      <w:b/>
      <w:bCs/>
      <w:sz w:val="20"/>
    </w:rPr>
  </w:style>
  <w:style w:type="character" w:customStyle="1" w:styleId="searchword">
    <w:name w:val="searchword"/>
    <w:basedOn w:val="DefaultParagraphFont"/>
    <w:rsid w:val="00432EFB"/>
  </w:style>
  <w:style w:type="paragraph" w:customStyle="1" w:styleId="RecBBullet2">
    <w:name w:val="RecB Bullet 2"/>
    <w:basedOn w:val="ListBullet2"/>
    <w:semiHidden/>
    <w:rsid w:val="006B6AC7"/>
    <w:pPr>
      <w:pBdr>
        <w:left w:val="single" w:sz="24" w:space="29" w:color="C0C0C0"/>
      </w:pBdr>
    </w:pPr>
    <w:rPr>
      <w:b/>
      <w:i/>
    </w:rPr>
  </w:style>
  <w:style w:type="character" w:customStyle="1" w:styleId="BalloonTextChar">
    <w:name w:val="Balloon Text Char"/>
    <w:basedOn w:val="DefaultParagraphFont"/>
    <w:link w:val="BalloonText"/>
    <w:rsid w:val="006B6AC7"/>
    <w:rPr>
      <w:rFonts w:ascii="Tahoma" w:hAnsi="Tahoma" w:cs="Tahoma"/>
      <w:sz w:val="16"/>
      <w:szCs w:val="16"/>
    </w:rPr>
  </w:style>
  <w:style w:type="character" w:customStyle="1" w:styleId="SubtitleChar">
    <w:name w:val="Subtitle Char"/>
    <w:basedOn w:val="DefaultParagraphFont"/>
    <w:link w:val="Subtitle"/>
    <w:rsid w:val="006B6AC7"/>
    <w:rPr>
      <w:rFonts w:ascii="Arial" w:hAnsi="Arial"/>
      <w:szCs w:val="24"/>
    </w:rPr>
  </w:style>
  <w:style w:type="paragraph" w:customStyle="1" w:styleId="BoxListBullet3">
    <w:name w:val="Box List Bullet 3"/>
    <w:basedOn w:val="ListBullet3"/>
    <w:rsid w:val="006B6AC7"/>
    <w:pPr>
      <w:numPr>
        <w:numId w:val="17"/>
      </w:numPr>
      <w:tabs>
        <w:tab w:val="left" w:pos="907"/>
      </w:tabs>
      <w:spacing w:before="60" w:line="260" w:lineRule="atLeast"/>
      <w:ind w:left="907" w:hanging="340"/>
    </w:pPr>
    <w:rPr>
      <w:rFonts w:ascii="Arial" w:hAnsi="Arial"/>
      <w:sz w:val="20"/>
    </w:rPr>
  </w:style>
  <w:style w:type="paragraph" w:customStyle="1" w:styleId="BoxQuoteBullet">
    <w:name w:val="Box Quote Bullet"/>
    <w:basedOn w:val="BoxQuote"/>
    <w:next w:val="Box"/>
    <w:rsid w:val="006B6AC7"/>
    <w:pPr>
      <w:numPr>
        <w:numId w:val="15"/>
      </w:numPr>
      <w:ind w:left="568" w:hanging="284"/>
    </w:pPr>
  </w:style>
  <w:style w:type="paragraph" w:customStyle="1" w:styleId="InformationRequestBullet">
    <w:name w:val="Information Request Bullet"/>
    <w:basedOn w:val="ListBullet"/>
    <w:next w:val="BodyText"/>
    <w:rsid w:val="006B6AC7"/>
    <w:pPr>
      <w:numPr>
        <w:numId w:val="16"/>
      </w:numPr>
      <w:spacing w:before="80" w:line="280" w:lineRule="atLeast"/>
      <w:ind w:left="357" w:hanging="357"/>
    </w:pPr>
    <w:rPr>
      <w:rFonts w:ascii="Arial" w:hAnsi="Arial"/>
      <w:i/>
      <w:sz w:val="22"/>
    </w:rPr>
  </w:style>
  <w:style w:type="paragraph" w:customStyle="1" w:styleId="BoxSpaceAbove">
    <w:name w:val="Box Space Above"/>
    <w:basedOn w:val="BodyText"/>
    <w:rsid w:val="006B6AC7"/>
    <w:pPr>
      <w:keepNext/>
      <w:spacing w:before="360" w:line="80" w:lineRule="exact"/>
      <w:jc w:val="left"/>
    </w:pPr>
  </w:style>
  <w:style w:type="paragraph" w:customStyle="1" w:styleId="BoxSpaceBelow">
    <w:name w:val="Box Space Below"/>
    <w:basedOn w:val="Box"/>
    <w:rsid w:val="006B6AC7"/>
    <w:pPr>
      <w:keepNext w:val="0"/>
      <w:spacing w:before="60" w:after="60" w:line="80" w:lineRule="exact"/>
    </w:pPr>
    <w:rPr>
      <w:sz w:val="14"/>
    </w:rPr>
  </w:style>
  <w:style w:type="paragraph" w:customStyle="1" w:styleId="keypointboxlistbullet">
    <w:name w:val="key point box list bullet"/>
    <w:basedOn w:val="BoxListBullet"/>
    <w:qFormat/>
    <w:rsid w:val="00C078C9"/>
    <w:pPr>
      <w:tabs>
        <w:tab w:val="left" w:pos="284"/>
      </w:tabs>
      <w:spacing w:before="120"/>
    </w:pPr>
    <w:rPr>
      <w:rFonts w:ascii="Goudy Old Style" w:hAnsi="Goudy Old Style"/>
    </w:rPr>
  </w:style>
  <w:style w:type="paragraph" w:customStyle="1" w:styleId="keypointboxlistbullet2">
    <w:name w:val="key point box list bullet 2"/>
    <w:basedOn w:val="BoxListBullet2"/>
    <w:qFormat/>
    <w:rsid w:val="00C078C9"/>
    <w:pPr>
      <w:tabs>
        <w:tab w:val="left" w:pos="284"/>
      </w:tabs>
    </w:pPr>
    <w:rPr>
      <w:rFonts w:ascii="Goudy Old Style" w:hAnsi="Goudy Old Style"/>
    </w:rPr>
  </w:style>
  <w:style w:type="character" w:styleId="HTMLCite">
    <w:name w:val="HTML Cite"/>
    <w:basedOn w:val="DefaultParagraphFont"/>
    <w:uiPriority w:val="99"/>
    <w:unhideWhenUsed/>
    <w:rsid w:val="00DF3015"/>
    <w:rPr>
      <w:i/>
      <w:iCs/>
    </w:rPr>
  </w:style>
  <w:style w:type="character" w:styleId="HTMLAcronym">
    <w:name w:val="HTML Acronym"/>
    <w:basedOn w:val="DefaultParagraphFont"/>
    <w:uiPriority w:val="99"/>
    <w:unhideWhenUsed/>
    <w:rsid w:val="000965A1"/>
  </w:style>
  <w:style w:type="paragraph" w:customStyle="1" w:styleId="KeyPointsListBullet">
    <w:name w:val="Key Points List Bullet"/>
    <w:basedOn w:val="Normal"/>
    <w:qFormat/>
    <w:rsid w:val="006B6AC7"/>
    <w:pPr>
      <w:keepNext/>
      <w:numPr>
        <w:numId w:val="55"/>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6B6AC7"/>
    <w:pPr>
      <w:numPr>
        <w:numId w:val="56"/>
      </w:numPr>
      <w:ind w:left="568" w:hanging="284"/>
    </w:pPr>
  </w:style>
  <w:style w:type="paragraph" w:customStyle="1" w:styleId="InformationRequestTitle">
    <w:name w:val="Information Request Title"/>
    <w:basedOn w:val="FindingTitle"/>
    <w:next w:val="InformationRequest"/>
    <w:rsid w:val="006B6AC7"/>
    <w:rPr>
      <w:i/>
    </w:rPr>
  </w:style>
  <w:style w:type="paragraph" w:customStyle="1" w:styleId="Space">
    <w:name w:val="Space"/>
    <w:basedOn w:val="Normal"/>
    <w:rsid w:val="006B6AC7"/>
    <w:pPr>
      <w:keepNext/>
      <w:spacing w:line="120" w:lineRule="exact"/>
      <w:jc w:val="both"/>
    </w:pPr>
    <w:rPr>
      <w:rFonts w:ascii="Arial" w:hAnsi="Arial"/>
      <w:sz w:val="20"/>
      <w:szCs w:val="20"/>
    </w:rPr>
  </w:style>
  <w:style w:type="paragraph" w:customStyle="1" w:styleId="Heading1nochapterno">
    <w:name w:val="Heading 1 (no chapter no.)"/>
    <w:basedOn w:val="Heading1"/>
    <w:rsid w:val="006B6AC7"/>
    <w:pPr>
      <w:spacing w:before="0"/>
      <w:ind w:left="0" w:firstLine="0"/>
    </w:pPr>
  </w:style>
  <w:style w:type="paragraph" w:customStyle="1" w:styleId="Heading2nosectionno">
    <w:name w:val="Heading 2 (no section no.)"/>
    <w:basedOn w:val="Heading2"/>
    <w:rsid w:val="006B6AC7"/>
    <w:pPr>
      <w:ind w:left="0" w:firstLine="0"/>
    </w:pPr>
  </w:style>
  <w:style w:type="character" w:customStyle="1" w:styleId="Heading5Char">
    <w:name w:val="Heading 5 Char"/>
    <w:basedOn w:val="DefaultParagraphFont"/>
    <w:link w:val="Heading5"/>
    <w:rsid w:val="006B6AC7"/>
    <w:rPr>
      <w:rFonts w:ascii="Arial" w:hAnsi="Arial"/>
      <w:i/>
      <w:sz w:val="22"/>
    </w:rPr>
  </w:style>
  <w:style w:type="paragraph" w:customStyle="1" w:styleId="Figurespace">
    <w:name w:val="Figure space"/>
    <w:basedOn w:val="Box"/>
    <w:rsid w:val="006B6AC7"/>
    <w:pPr>
      <w:spacing w:before="0" w:line="120" w:lineRule="exact"/>
    </w:pPr>
  </w:style>
  <w:style w:type="paragraph" w:customStyle="1" w:styleId="FooterDraftReport">
    <w:name w:val="FooterDraftReport"/>
    <w:basedOn w:val="Footer"/>
    <w:link w:val="FooterDraftReportChar"/>
    <w:rsid w:val="006B6AC7"/>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6B6AC7"/>
    <w:rPr>
      <w:rFonts w:ascii="Arial" w:hAnsi="Arial"/>
      <w:caps/>
      <w:spacing w:val="-4"/>
      <w:sz w:val="16"/>
    </w:rPr>
  </w:style>
  <w:style w:type="character" w:customStyle="1" w:styleId="FooterDraftReportChar">
    <w:name w:val="FooterDraftReport Char"/>
    <w:basedOn w:val="FooterChar"/>
    <w:link w:val="FooterDraftReport"/>
    <w:rsid w:val="006B6AC7"/>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B6A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6B6AC7"/>
    <w:rPr>
      <w:rFonts w:ascii="Arial" w:hAnsi="Arial"/>
      <w:b/>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85123">
      <w:bodyDiv w:val="1"/>
      <w:marLeft w:val="0"/>
      <w:marRight w:val="0"/>
      <w:marTop w:val="0"/>
      <w:marBottom w:val="0"/>
      <w:divBdr>
        <w:top w:val="none" w:sz="0" w:space="0" w:color="auto"/>
        <w:left w:val="none" w:sz="0" w:space="0" w:color="auto"/>
        <w:bottom w:val="none" w:sz="0" w:space="0" w:color="auto"/>
        <w:right w:val="none" w:sz="0" w:space="0" w:color="auto"/>
      </w:divBdr>
      <w:divsChild>
        <w:div w:id="513689121">
          <w:marLeft w:val="2925"/>
          <w:marRight w:val="0"/>
          <w:marTop w:val="0"/>
          <w:marBottom w:val="0"/>
          <w:divBdr>
            <w:top w:val="none" w:sz="0" w:space="0" w:color="auto"/>
            <w:left w:val="none" w:sz="0" w:space="0" w:color="auto"/>
            <w:bottom w:val="none" w:sz="0" w:space="0" w:color="auto"/>
            <w:right w:val="none" w:sz="0" w:space="0" w:color="auto"/>
          </w:divBdr>
          <w:divsChild>
            <w:div w:id="1618104033">
              <w:marLeft w:val="0"/>
              <w:marRight w:val="0"/>
              <w:marTop w:val="0"/>
              <w:marBottom w:val="0"/>
              <w:divBdr>
                <w:top w:val="none" w:sz="0" w:space="0" w:color="auto"/>
                <w:left w:val="none" w:sz="0" w:space="0" w:color="auto"/>
                <w:bottom w:val="none" w:sz="0" w:space="0" w:color="auto"/>
                <w:right w:val="none" w:sz="0" w:space="0" w:color="auto"/>
              </w:divBdr>
              <w:divsChild>
                <w:div w:id="1011100334">
                  <w:marLeft w:val="0"/>
                  <w:marRight w:val="0"/>
                  <w:marTop w:val="0"/>
                  <w:marBottom w:val="0"/>
                  <w:divBdr>
                    <w:top w:val="none" w:sz="0" w:space="0" w:color="auto"/>
                    <w:left w:val="none" w:sz="0" w:space="0" w:color="auto"/>
                    <w:bottom w:val="none" w:sz="0" w:space="0" w:color="auto"/>
                    <w:right w:val="none" w:sz="0" w:space="0" w:color="auto"/>
                  </w:divBdr>
                  <w:divsChild>
                    <w:div w:id="1430850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931198">
      <w:bodyDiv w:val="1"/>
      <w:marLeft w:val="0"/>
      <w:marRight w:val="0"/>
      <w:marTop w:val="0"/>
      <w:marBottom w:val="0"/>
      <w:divBdr>
        <w:top w:val="none" w:sz="0" w:space="0" w:color="auto"/>
        <w:left w:val="none" w:sz="0" w:space="0" w:color="auto"/>
        <w:bottom w:val="none" w:sz="0" w:space="0" w:color="auto"/>
        <w:right w:val="none" w:sz="0" w:space="0" w:color="auto"/>
      </w:divBdr>
      <w:divsChild>
        <w:div w:id="897325198">
          <w:marLeft w:val="2925"/>
          <w:marRight w:val="0"/>
          <w:marTop w:val="0"/>
          <w:marBottom w:val="0"/>
          <w:divBdr>
            <w:top w:val="none" w:sz="0" w:space="0" w:color="auto"/>
            <w:left w:val="none" w:sz="0" w:space="0" w:color="auto"/>
            <w:bottom w:val="none" w:sz="0" w:space="0" w:color="auto"/>
            <w:right w:val="none" w:sz="0" w:space="0" w:color="auto"/>
          </w:divBdr>
          <w:divsChild>
            <w:div w:id="399401292">
              <w:marLeft w:val="0"/>
              <w:marRight w:val="0"/>
              <w:marTop w:val="0"/>
              <w:marBottom w:val="0"/>
              <w:divBdr>
                <w:top w:val="none" w:sz="0" w:space="0" w:color="auto"/>
                <w:left w:val="none" w:sz="0" w:space="0" w:color="auto"/>
                <w:bottom w:val="none" w:sz="0" w:space="0" w:color="auto"/>
                <w:right w:val="none" w:sz="0" w:space="0" w:color="auto"/>
              </w:divBdr>
              <w:divsChild>
                <w:div w:id="1319963269">
                  <w:marLeft w:val="0"/>
                  <w:marRight w:val="0"/>
                  <w:marTop w:val="0"/>
                  <w:marBottom w:val="0"/>
                  <w:divBdr>
                    <w:top w:val="none" w:sz="0" w:space="0" w:color="auto"/>
                    <w:left w:val="none" w:sz="0" w:space="0" w:color="auto"/>
                    <w:bottom w:val="none" w:sz="0" w:space="0" w:color="auto"/>
                    <w:right w:val="none" w:sz="0" w:space="0" w:color="auto"/>
                  </w:divBdr>
                  <w:divsChild>
                    <w:div w:id="2105302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713320">
      <w:bodyDiv w:val="1"/>
      <w:marLeft w:val="0"/>
      <w:marRight w:val="0"/>
      <w:marTop w:val="0"/>
      <w:marBottom w:val="0"/>
      <w:divBdr>
        <w:top w:val="none" w:sz="0" w:space="0" w:color="auto"/>
        <w:left w:val="none" w:sz="0" w:space="0" w:color="auto"/>
        <w:bottom w:val="none" w:sz="0" w:space="0" w:color="auto"/>
        <w:right w:val="none" w:sz="0" w:space="0" w:color="auto"/>
      </w:divBdr>
    </w:div>
    <w:div w:id="218248851">
      <w:bodyDiv w:val="1"/>
      <w:marLeft w:val="0"/>
      <w:marRight w:val="0"/>
      <w:marTop w:val="0"/>
      <w:marBottom w:val="0"/>
      <w:divBdr>
        <w:top w:val="none" w:sz="0" w:space="0" w:color="auto"/>
        <w:left w:val="none" w:sz="0" w:space="0" w:color="auto"/>
        <w:bottom w:val="none" w:sz="0" w:space="0" w:color="auto"/>
        <w:right w:val="none" w:sz="0" w:space="0" w:color="auto"/>
      </w:divBdr>
      <w:divsChild>
        <w:div w:id="476268873">
          <w:marLeft w:val="2925"/>
          <w:marRight w:val="0"/>
          <w:marTop w:val="0"/>
          <w:marBottom w:val="0"/>
          <w:divBdr>
            <w:top w:val="none" w:sz="0" w:space="0" w:color="auto"/>
            <w:left w:val="none" w:sz="0" w:space="0" w:color="auto"/>
            <w:bottom w:val="none" w:sz="0" w:space="0" w:color="auto"/>
            <w:right w:val="none" w:sz="0" w:space="0" w:color="auto"/>
          </w:divBdr>
          <w:divsChild>
            <w:div w:id="82344289">
              <w:marLeft w:val="0"/>
              <w:marRight w:val="0"/>
              <w:marTop w:val="0"/>
              <w:marBottom w:val="0"/>
              <w:divBdr>
                <w:top w:val="none" w:sz="0" w:space="0" w:color="auto"/>
                <w:left w:val="none" w:sz="0" w:space="0" w:color="auto"/>
                <w:bottom w:val="none" w:sz="0" w:space="0" w:color="auto"/>
                <w:right w:val="none" w:sz="0" w:space="0" w:color="auto"/>
              </w:divBdr>
              <w:divsChild>
                <w:div w:id="1928809074">
                  <w:marLeft w:val="0"/>
                  <w:marRight w:val="0"/>
                  <w:marTop w:val="0"/>
                  <w:marBottom w:val="0"/>
                  <w:divBdr>
                    <w:top w:val="none" w:sz="0" w:space="0" w:color="auto"/>
                    <w:left w:val="none" w:sz="0" w:space="0" w:color="auto"/>
                    <w:bottom w:val="none" w:sz="0" w:space="0" w:color="auto"/>
                    <w:right w:val="none" w:sz="0" w:space="0" w:color="auto"/>
                  </w:divBdr>
                  <w:divsChild>
                    <w:div w:id="1189955075">
                      <w:marLeft w:val="0"/>
                      <w:marRight w:val="0"/>
                      <w:marTop w:val="0"/>
                      <w:marBottom w:val="0"/>
                      <w:divBdr>
                        <w:top w:val="none" w:sz="0" w:space="0" w:color="auto"/>
                        <w:left w:val="none" w:sz="0" w:space="0" w:color="auto"/>
                        <w:bottom w:val="none" w:sz="0" w:space="0" w:color="auto"/>
                        <w:right w:val="none" w:sz="0" w:space="0" w:color="auto"/>
                      </w:divBdr>
                      <w:divsChild>
                        <w:div w:id="1477382781">
                          <w:marLeft w:val="0"/>
                          <w:marRight w:val="0"/>
                          <w:marTop w:val="0"/>
                          <w:marBottom w:val="0"/>
                          <w:divBdr>
                            <w:top w:val="none" w:sz="0" w:space="0" w:color="auto"/>
                            <w:left w:val="none" w:sz="0" w:space="0" w:color="auto"/>
                            <w:bottom w:val="none" w:sz="0" w:space="0" w:color="auto"/>
                            <w:right w:val="none" w:sz="0" w:space="0" w:color="auto"/>
                          </w:divBdr>
                          <w:divsChild>
                            <w:div w:id="374962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1209443">
      <w:bodyDiv w:val="1"/>
      <w:marLeft w:val="0"/>
      <w:marRight w:val="0"/>
      <w:marTop w:val="0"/>
      <w:marBottom w:val="0"/>
      <w:divBdr>
        <w:top w:val="none" w:sz="0" w:space="0" w:color="auto"/>
        <w:left w:val="none" w:sz="0" w:space="0" w:color="auto"/>
        <w:bottom w:val="none" w:sz="0" w:space="0" w:color="auto"/>
        <w:right w:val="none" w:sz="0" w:space="0" w:color="auto"/>
      </w:divBdr>
      <w:divsChild>
        <w:div w:id="1062019775">
          <w:marLeft w:val="2925"/>
          <w:marRight w:val="0"/>
          <w:marTop w:val="0"/>
          <w:marBottom w:val="0"/>
          <w:divBdr>
            <w:top w:val="none" w:sz="0" w:space="0" w:color="auto"/>
            <w:left w:val="none" w:sz="0" w:space="0" w:color="auto"/>
            <w:bottom w:val="none" w:sz="0" w:space="0" w:color="auto"/>
            <w:right w:val="none" w:sz="0" w:space="0" w:color="auto"/>
          </w:divBdr>
          <w:divsChild>
            <w:div w:id="170878654">
              <w:marLeft w:val="0"/>
              <w:marRight w:val="0"/>
              <w:marTop w:val="0"/>
              <w:marBottom w:val="0"/>
              <w:divBdr>
                <w:top w:val="none" w:sz="0" w:space="0" w:color="auto"/>
                <w:left w:val="none" w:sz="0" w:space="0" w:color="auto"/>
                <w:bottom w:val="none" w:sz="0" w:space="0" w:color="auto"/>
                <w:right w:val="none" w:sz="0" w:space="0" w:color="auto"/>
              </w:divBdr>
              <w:divsChild>
                <w:div w:id="1267690777">
                  <w:marLeft w:val="0"/>
                  <w:marRight w:val="0"/>
                  <w:marTop w:val="0"/>
                  <w:marBottom w:val="0"/>
                  <w:divBdr>
                    <w:top w:val="none" w:sz="0" w:space="0" w:color="auto"/>
                    <w:left w:val="none" w:sz="0" w:space="0" w:color="auto"/>
                    <w:bottom w:val="none" w:sz="0" w:space="0" w:color="auto"/>
                    <w:right w:val="none" w:sz="0" w:space="0" w:color="auto"/>
                  </w:divBdr>
                  <w:divsChild>
                    <w:div w:id="519391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726462">
      <w:bodyDiv w:val="1"/>
      <w:marLeft w:val="0"/>
      <w:marRight w:val="0"/>
      <w:marTop w:val="0"/>
      <w:marBottom w:val="0"/>
      <w:divBdr>
        <w:top w:val="none" w:sz="0" w:space="0" w:color="auto"/>
        <w:left w:val="none" w:sz="0" w:space="0" w:color="auto"/>
        <w:bottom w:val="none" w:sz="0" w:space="0" w:color="auto"/>
        <w:right w:val="none" w:sz="0" w:space="0" w:color="auto"/>
      </w:divBdr>
      <w:divsChild>
        <w:div w:id="337586042">
          <w:marLeft w:val="2925"/>
          <w:marRight w:val="0"/>
          <w:marTop w:val="0"/>
          <w:marBottom w:val="0"/>
          <w:divBdr>
            <w:top w:val="none" w:sz="0" w:space="0" w:color="auto"/>
            <w:left w:val="none" w:sz="0" w:space="0" w:color="auto"/>
            <w:bottom w:val="none" w:sz="0" w:space="0" w:color="auto"/>
            <w:right w:val="none" w:sz="0" w:space="0" w:color="auto"/>
          </w:divBdr>
          <w:divsChild>
            <w:div w:id="856503">
              <w:marLeft w:val="0"/>
              <w:marRight w:val="0"/>
              <w:marTop w:val="0"/>
              <w:marBottom w:val="0"/>
              <w:divBdr>
                <w:top w:val="none" w:sz="0" w:space="0" w:color="auto"/>
                <w:left w:val="none" w:sz="0" w:space="0" w:color="auto"/>
                <w:bottom w:val="none" w:sz="0" w:space="0" w:color="auto"/>
                <w:right w:val="none" w:sz="0" w:space="0" w:color="auto"/>
              </w:divBdr>
              <w:divsChild>
                <w:div w:id="605498848">
                  <w:marLeft w:val="0"/>
                  <w:marRight w:val="0"/>
                  <w:marTop w:val="0"/>
                  <w:marBottom w:val="0"/>
                  <w:divBdr>
                    <w:top w:val="none" w:sz="0" w:space="0" w:color="auto"/>
                    <w:left w:val="none" w:sz="0" w:space="0" w:color="auto"/>
                    <w:bottom w:val="none" w:sz="0" w:space="0" w:color="auto"/>
                    <w:right w:val="none" w:sz="0" w:space="0" w:color="auto"/>
                  </w:divBdr>
                  <w:divsChild>
                    <w:div w:id="2066878789">
                      <w:marLeft w:val="0"/>
                      <w:marRight w:val="0"/>
                      <w:marTop w:val="0"/>
                      <w:marBottom w:val="0"/>
                      <w:divBdr>
                        <w:top w:val="none" w:sz="0" w:space="0" w:color="auto"/>
                        <w:left w:val="none" w:sz="0" w:space="0" w:color="auto"/>
                        <w:bottom w:val="none" w:sz="0" w:space="0" w:color="auto"/>
                        <w:right w:val="none" w:sz="0" w:space="0" w:color="auto"/>
                      </w:divBdr>
                      <w:divsChild>
                        <w:div w:id="532573865">
                          <w:marLeft w:val="0"/>
                          <w:marRight w:val="0"/>
                          <w:marTop w:val="0"/>
                          <w:marBottom w:val="0"/>
                          <w:divBdr>
                            <w:top w:val="none" w:sz="0" w:space="0" w:color="auto"/>
                            <w:left w:val="single" w:sz="6" w:space="15" w:color="D8E2E8"/>
                            <w:bottom w:val="single" w:sz="6" w:space="8" w:color="D8E2E8"/>
                            <w:right w:val="single" w:sz="6" w:space="15" w:color="D8E2E8"/>
                          </w:divBdr>
                        </w:div>
                      </w:divsChild>
                    </w:div>
                  </w:divsChild>
                </w:div>
              </w:divsChild>
            </w:div>
          </w:divsChild>
        </w:div>
      </w:divsChild>
    </w:div>
    <w:div w:id="395934315">
      <w:bodyDiv w:val="1"/>
      <w:marLeft w:val="0"/>
      <w:marRight w:val="0"/>
      <w:marTop w:val="0"/>
      <w:marBottom w:val="0"/>
      <w:divBdr>
        <w:top w:val="none" w:sz="0" w:space="0" w:color="auto"/>
        <w:left w:val="none" w:sz="0" w:space="0" w:color="auto"/>
        <w:bottom w:val="none" w:sz="0" w:space="0" w:color="auto"/>
        <w:right w:val="none" w:sz="0" w:space="0" w:color="auto"/>
      </w:divBdr>
      <w:divsChild>
        <w:div w:id="782697142">
          <w:marLeft w:val="2925"/>
          <w:marRight w:val="0"/>
          <w:marTop w:val="0"/>
          <w:marBottom w:val="0"/>
          <w:divBdr>
            <w:top w:val="none" w:sz="0" w:space="0" w:color="auto"/>
            <w:left w:val="none" w:sz="0" w:space="0" w:color="auto"/>
            <w:bottom w:val="none" w:sz="0" w:space="0" w:color="auto"/>
            <w:right w:val="none" w:sz="0" w:space="0" w:color="auto"/>
          </w:divBdr>
          <w:divsChild>
            <w:div w:id="1934239254">
              <w:marLeft w:val="0"/>
              <w:marRight w:val="0"/>
              <w:marTop w:val="0"/>
              <w:marBottom w:val="0"/>
              <w:divBdr>
                <w:top w:val="none" w:sz="0" w:space="0" w:color="auto"/>
                <w:left w:val="none" w:sz="0" w:space="0" w:color="auto"/>
                <w:bottom w:val="none" w:sz="0" w:space="0" w:color="auto"/>
                <w:right w:val="none" w:sz="0" w:space="0" w:color="auto"/>
              </w:divBdr>
              <w:divsChild>
                <w:div w:id="1390109953">
                  <w:marLeft w:val="0"/>
                  <w:marRight w:val="0"/>
                  <w:marTop w:val="0"/>
                  <w:marBottom w:val="0"/>
                  <w:divBdr>
                    <w:top w:val="none" w:sz="0" w:space="0" w:color="auto"/>
                    <w:left w:val="none" w:sz="0" w:space="0" w:color="auto"/>
                    <w:bottom w:val="none" w:sz="0" w:space="0" w:color="auto"/>
                    <w:right w:val="none" w:sz="0" w:space="0" w:color="auto"/>
                  </w:divBdr>
                  <w:divsChild>
                    <w:div w:id="553665653">
                      <w:marLeft w:val="0"/>
                      <w:marRight w:val="0"/>
                      <w:marTop w:val="0"/>
                      <w:marBottom w:val="0"/>
                      <w:divBdr>
                        <w:top w:val="none" w:sz="0" w:space="0" w:color="auto"/>
                        <w:left w:val="none" w:sz="0" w:space="0" w:color="auto"/>
                        <w:bottom w:val="none" w:sz="0" w:space="0" w:color="auto"/>
                        <w:right w:val="none" w:sz="0" w:space="0" w:color="auto"/>
                      </w:divBdr>
                      <w:divsChild>
                        <w:div w:id="1183788676">
                          <w:marLeft w:val="0"/>
                          <w:marRight w:val="0"/>
                          <w:marTop w:val="0"/>
                          <w:marBottom w:val="0"/>
                          <w:divBdr>
                            <w:top w:val="none" w:sz="0" w:space="0" w:color="auto"/>
                            <w:left w:val="single" w:sz="6" w:space="15" w:color="D8E2E8"/>
                            <w:bottom w:val="single" w:sz="6" w:space="8" w:color="D8E2E8"/>
                            <w:right w:val="single" w:sz="6" w:space="15" w:color="D8E2E8"/>
                          </w:divBdr>
                        </w:div>
                      </w:divsChild>
                    </w:div>
                  </w:divsChild>
                </w:div>
              </w:divsChild>
            </w:div>
          </w:divsChild>
        </w:div>
      </w:divsChild>
    </w:div>
    <w:div w:id="406536263">
      <w:bodyDiv w:val="1"/>
      <w:marLeft w:val="0"/>
      <w:marRight w:val="0"/>
      <w:marTop w:val="0"/>
      <w:marBottom w:val="0"/>
      <w:divBdr>
        <w:top w:val="none" w:sz="0" w:space="0" w:color="auto"/>
        <w:left w:val="none" w:sz="0" w:space="0" w:color="auto"/>
        <w:bottom w:val="none" w:sz="0" w:space="0" w:color="auto"/>
        <w:right w:val="none" w:sz="0" w:space="0" w:color="auto"/>
      </w:divBdr>
      <w:divsChild>
        <w:div w:id="1523470549">
          <w:marLeft w:val="2925"/>
          <w:marRight w:val="0"/>
          <w:marTop w:val="0"/>
          <w:marBottom w:val="0"/>
          <w:divBdr>
            <w:top w:val="none" w:sz="0" w:space="0" w:color="auto"/>
            <w:left w:val="none" w:sz="0" w:space="0" w:color="auto"/>
            <w:bottom w:val="none" w:sz="0" w:space="0" w:color="auto"/>
            <w:right w:val="none" w:sz="0" w:space="0" w:color="auto"/>
          </w:divBdr>
          <w:divsChild>
            <w:div w:id="1054546421">
              <w:marLeft w:val="0"/>
              <w:marRight w:val="0"/>
              <w:marTop w:val="0"/>
              <w:marBottom w:val="0"/>
              <w:divBdr>
                <w:top w:val="none" w:sz="0" w:space="0" w:color="auto"/>
                <w:left w:val="none" w:sz="0" w:space="0" w:color="auto"/>
                <w:bottom w:val="none" w:sz="0" w:space="0" w:color="auto"/>
                <w:right w:val="none" w:sz="0" w:space="0" w:color="auto"/>
              </w:divBdr>
              <w:divsChild>
                <w:div w:id="116989692">
                  <w:marLeft w:val="0"/>
                  <w:marRight w:val="0"/>
                  <w:marTop w:val="0"/>
                  <w:marBottom w:val="0"/>
                  <w:divBdr>
                    <w:top w:val="none" w:sz="0" w:space="0" w:color="auto"/>
                    <w:left w:val="none" w:sz="0" w:space="0" w:color="auto"/>
                    <w:bottom w:val="none" w:sz="0" w:space="0" w:color="auto"/>
                    <w:right w:val="none" w:sz="0" w:space="0" w:color="auto"/>
                  </w:divBdr>
                  <w:divsChild>
                    <w:div w:id="1209343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574166">
      <w:bodyDiv w:val="1"/>
      <w:marLeft w:val="0"/>
      <w:marRight w:val="0"/>
      <w:marTop w:val="0"/>
      <w:marBottom w:val="0"/>
      <w:divBdr>
        <w:top w:val="none" w:sz="0" w:space="0" w:color="auto"/>
        <w:left w:val="none" w:sz="0" w:space="0" w:color="auto"/>
        <w:bottom w:val="none" w:sz="0" w:space="0" w:color="auto"/>
        <w:right w:val="none" w:sz="0" w:space="0" w:color="auto"/>
      </w:divBdr>
      <w:divsChild>
        <w:div w:id="1244799209">
          <w:marLeft w:val="2925"/>
          <w:marRight w:val="0"/>
          <w:marTop w:val="0"/>
          <w:marBottom w:val="0"/>
          <w:divBdr>
            <w:top w:val="none" w:sz="0" w:space="0" w:color="auto"/>
            <w:left w:val="none" w:sz="0" w:space="0" w:color="auto"/>
            <w:bottom w:val="none" w:sz="0" w:space="0" w:color="auto"/>
            <w:right w:val="none" w:sz="0" w:space="0" w:color="auto"/>
          </w:divBdr>
          <w:divsChild>
            <w:div w:id="1848713821">
              <w:marLeft w:val="0"/>
              <w:marRight w:val="0"/>
              <w:marTop w:val="0"/>
              <w:marBottom w:val="0"/>
              <w:divBdr>
                <w:top w:val="none" w:sz="0" w:space="0" w:color="auto"/>
                <w:left w:val="none" w:sz="0" w:space="0" w:color="auto"/>
                <w:bottom w:val="none" w:sz="0" w:space="0" w:color="auto"/>
                <w:right w:val="none" w:sz="0" w:space="0" w:color="auto"/>
              </w:divBdr>
              <w:divsChild>
                <w:div w:id="1144156744">
                  <w:marLeft w:val="0"/>
                  <w:marRight w:val="0"/>
                  <w:marTop w:val="0"/>
                  <w:marBottom w:val="0"/>
                  <w:divBdr>
                    <w:top w:val="none" w:sz="0" w:space="0" w:color="auto"/>
                    <w:left w:val="none" w:sz="0" w:space="0" w:color="auto"/>
                    <w:bottom w:val="none" w:sz="0" w:space="0" w:color="auto"/>
                    <w:right w:val="none" w:sz="0" w:space="0" w:color="auto"/>
                  </w:divBdr>
                  <w:divsChild>
                    <w:div w:id="761102240">
                      <w:marLeft w:val="0"/>
                      <w:marRight w:val="0"/>
                      <w:marTop w:val="0"/>
                      <w:marBottom w:val="0"/>
                      <w:divBdr>
                        <w:top w:val="none" w:sz="0" w:space="0" w:color="auto"/>
                        <w:left w:val="none" w:sz="0" w:space="0" w:color="auto"/>
                        <w:bottom w:val="none" w:sz="0" w:space="0" w:color="auto"/>
                        <w:right w:val="none" w:sz="0" w:space="0" w:color="auto"/>
                      </w:divBdr>
                      <w:divsChild>
                        <w:div w:id="1593850545">
                          <w:marLeft w:val="0"/>
                          <w:marRight w:val="0"/>
                          <w:marTop w:val="0"/>
                          <w:marBottom w:val="0"/>
                          <w:divBdr>
                            <w:top w:val="none" w:sz="0" w:space="0" w:color="auto"/>
                            <w:left w:val="none" w:sz="0" w:space="0" w:color="auto"/>
                            <w:bottom w:val="none" w:sz="0" w:space="0" w:color="auto"/>
                            <w:right w:val="none" w:sz="0" w:space="0" w:color="auto"/>
                          </w:divBdr>
                          <w:divsChild>
                            <w:div w:id="667288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0267828">
      <w:bodyDiv w:val="1"/>
      <w:marLeft w:val="0"/>
      <w:marRight w:val="0"/>
      <w:marTop w:val="0"/>
      <w:marBottom w:val="0"/>
      <w:divBdr>
        <w:top w:val="none" w:sz="0" w:space="0" w:color="auto"/>
        <w:left w:val="none" w:sz="0" w:space="0" w:color="auto"/>
        <w:bottom w:val="none" w:sz="0" w:space="0" w:color="auto"/>
        <w:right w:val="none" w:sz="0" w:space="0" w:color="auto"/>
      </w:divBdr>
      <w:divsChild>
        <w:div w:id="148716602">
          <w:marLeft w:val="2925"/>
          <w:marRight w:val="0"/>
          <w:marTop w:val="0"/>
          <w:marBottom w:val="0"/>
          <w:divBdr>
            <w:top w:val="none" w:sz="0" w:space="0" w:color="auto"/>
            <w:left w:val="none" w:sz="0" w:space="0" w:color="auto"/>
            <w:bottom w:val="none" w:sz="0" w:space="0" w:color="auto"/>
            <w:right w:val="none" w:sz="0" w:space="0" w:color="auto"/>
          </w:divBdr>
          <w:divsChild>
            <w:div w:id="1837648391">
              <w:marLeft w:val="0"/>
              <w:marRight w:val="0"/>
              <w:marTop w:val="0"/>
              <w:marBottom w:val="0"/>
              <w:divBdr>
                <w:top w:val="none" w:sz="0" w:space="0" w:color="auto"/>
                <w:left w:val="none" w:sz="0" w:space="0" w:color="auto"/>
                <w:bottom w:val="none" w:sz="0" w:space="0" w:color="auto"/>
                <w:right w:val="none" w:sz="0" w:space="0" w:color="auto"/>
              </w:divBdr>
              <w:divsChild>
                <w:div w:id="842403113">
                  <w:marLeft w:val="0"/>
                  <w:marRight w:val="0"/>
                  <w:marTop w:val="0"/>
                  <w:marBottom w:val="0"/>
                  <w:divBdr>
                    <w:top w:val="none" w:sz="0" w:space="0" w:color="auto"/>
                    <w:left w:val="none" w:sz="0" w:space="0" w:color="auto"/>
                    <w:bottom w:val="none" w:sz="0" w:space="0" w:color="auto"/>
                    <w:right w:val="none" w:sz="0" w:space="0" w:color="auto"/>
                  </w:divBdr>
                  <w:divsChild>
                    <w:div w:id="1412384841">
                      <w:marLeft w:val="0"/>
                      <w:marRight w:val="0"/>
                      <w:marTop w:val="0"/>
                      <w:marBottom w:val="0"/>
                      <w:divBdr>
                        <w:top w:val="none" w:sz="0" w:space="0" w:color="auto"/>
                        <w:left w:val="none" w:sz="0" w:space="0" w:color="auto"/>
                        <w:bottom w:val="none" w:sz="0" w:space="0" w:color="auto"/>
                        <w:right w:val="none" w:sz="0" w:space="0" w:color="auto"/>
                      </w:divBdr>
                      <w:divsChild>
                        <w:div w:id="934021133">
                          <w:marLeft w:val="0"/>
                          <w:marRight w:val="0"/>
                          <w:marTop w:val="0"/>
                          <w:marBottom w:val="0"/>
                          <w:divBdr>
                            <w:top w:val="none" w:sz="0" w:space="0" w:color="auto"/>
                            <w:left w:val="none" w:sz="0" w:space="0" w:color="auto"/>
                            <w:bottom w:val="none" w:sz="0" w:space="0" w:color="auto"/>
                            <w:right w:val="none" w:sz="0" w:space="0" w:color="auto"/>
                          </w:divBdr>
                          <w:divsChild>
                            <w:div w:id="113587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4073781">
      <w:bodyDiv w:val="1"/>
      <w:marLeft w:val="0"/>
      <w:marRight w:val="0"/>
      <w:marTop w:val="0"/>
      <w:marBottom w:val="0"/>
      <w:divBdr>
        <w:top w:val="none" w:sz="0" w:space="0" w:color="auto"/>
        <w:left w:val="none" w:sz="0" w:space="0" w:color="auto"/>
        <w:bottom w:val="none" w:sz="0" w:space="0" w:color="auto"/>
        <w:right w:val="none" w:sz="0" w:space="0" w:color="auto"/>
      </w:divBdr>
      <w:divsChild>
        <w:div w:id="746221750">
          <w:marLeft w:val="2925"/>
          <w:marRight w:val="0"/>
          <w:marTop w:val="0"/>
          <w:marBottom w:val="0"/>
          <w:divBdr>
            <w:top w:val="none" w:sz="0" w:space="0" w:color="auto"/>
            <w:left w:val="none" w:sz="0" w:space="0" w:color="auto"/>
            <w:bottom w:val="none" w:sz="0" w:space="0" w:color="auto"/>
            <w:right w:val="none" w:sz="0" w:space="0" w:color="auto"/>
          </w:divBdr>
          <w:divsChild>
            <w:div w:id="1913158062">
              <w:marLeft w:val="0"/>
              <w:marRight w:val="0"/>
              <w:marTop w:val="0"/>
              <w:marBottom w:val="0"/>
              <w:divBdr>
                <w:top w:val="none" w:sz="0" w:space="0" w:color="auto"/>
                <w:left w:val="none" w:sz="0" w:space="0" w:color="auto"/>
                <w:bottom w:val="none" w:sz="0" w:space="0" w:color="auto"/>
                <w:right w:val="none" w:sz="0" w:space="0" w:color="auto"/>
              </w:divBdr>
              <w:divsChild>
                <w:div w:id="674110922">
                  <w:marLeft w:val="0"/>
                  <w:marRight w:val="0"/>
                  <w:marTop w:val="0"/>
                  <w:marBottom w:val="0"/>
                  <w:divBdr>
                    <w:top w:val="none" w:sz="0" w:space="0" w:color="auto"/>
                    <w:left w:val="none" w:sz="0" w:space="0" w:color="auto"/>
                    <w:bottom w:val="none" w:sz="0" w:space="0" w:color="auto"/>
                    <w:right w:val="none" w:sz="0" w:space="0" w:color="auto"/>
                  </w:divBdr>
                  <w:divsChild>
                    <w:div w:id="106064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415160">
      <w:bodyDiv w:val="1"/>
      <w:marLeft w:val="0"/>
      <w:marRight w:val="0"/>
      <w:marTop w:val="0"/>
      <w:marBottom w:val="0"/>
      <w:divBdr>
        <w:top w:val="none" w:sz="0" w:space="0" w:color="auto"/>
        <w:left w:val="none" w:sz="0" w:space="0" w:color="auto"/>
        <w:bottom w:val="none" w:sz="0" w:space="0" w:color="auto"/>
        <w:right w:val="none" w:sz="0" w:space="0" w:color="auto"/>
      </w:divBdr>
      <w:divsChild>
        <w:div w:id="890730095">
          <w:marLeft w:val="0"/>
          <w:marRight w:val="0"/>
          <w:marTop w:val="0"/>
          <w:marBottom w:val="0"/>
          <w:divBdr>
            <w:top w:val="none" w:sz="0" w:space="0" w:color="auto"/>
            <w:left w:val="none" w:sz="0" w:space="0" w:color="auto"/>
            <w:bottom w:val="none" w:sz="0" w:space="0" w:color="auto"/>
            <w:right w:val="none" w:sz="0" w:space="0" w:color="auto"/>
          </w:divBdr>
        </w:div>
      </w:divsChild>
    </w:div>
    <w:div w:id="689840656">
      <w:bodyDiv w:val="1"/>
      <w:marLeft w:val="0"/>
      <w:marRight w:val="0"/>
      <w:marTop w:val="0"/>
      <w:marBottom w:val="0"/>
      <w:divBdr>
        <w:top w:val="none" w:sz="0" w:space="0" w:color="auto"/>
        <w:left w:val="none" w:sz="0" w:space="0" w:color="auto"/>
        <w:bottom w:val="none" w:sz="0" w:space="0" w:color="auto"/>
        <w:right w:val="none" w:sz="0" w:space="0" w:color="auto"/>
      </w:divBdr>
      <w:divsChild>
        <w:div w:id="1931812253">
          <w:marLeft w:val="2925"/>
          <w:marRight w:val="0"/>
          <w:marTop w:val="0"/>
          <w:marBottom w:val="0"/>
          <w:divBdr>
            <w:top w:val="none" w:sz="0" w:space="0" w:color="auto"/>
            <w:left w:val="none" w:sz="0" w:space="0" w:color="auto"/>
            <w:bottom w:val="none" w:sz="0" w:space="0" w:color="auto"/>
            <w:right w:val="none" w:sz="0" w:space="0" w:color="auto"/>
          </w:divBdr>
          <w:divsChild>
            <w:div w:id="1402096001">
              <w:marLeft w:val="0"/>
              <w:marRight w:val="0"/>
              <w:marTop w:val="0"/>
              <w:marBottom w:val="0"/>
              <w:divBdr>
                <w:top w:val="none" w:sz="0" w:space="0" w:color="auto"/>
                <w:left w:val="none" w:sz="0" w:space="0" w:color="auto"/>
                <w:bottom w:val="none" w:sz="0" w:space="0" w:color="auto"/>
                <w:right w:val="none" w:sz="0" w:space="0" w:color="auto"/>
              </w:divBdr>
              <w:divsChild>
                <w:div w:id="1475247021">
                  <w:marLeft w:val="0"/>
                  <w:marRight w:val="0"/>
                  <w:marTop w:val="0"/>
                  <w:marBottom w:val="0"/>
                  <w:divBdr>
                    <w:top w:val="none" w:sz="0" w:space="0" w:color="auto"/>
                    <w:left w:val="none" w:sz="0" w:space="0" w:color="auto"/>
                    <w:bottom w:val="none" w:sz="0" w:space="0" w:color="auto"/>
                    <w:right w:val="none" w:sz="0" w:space="0" w:color="auto"/>
                  </w:divBdr>
                  <w:divsChild>
                    <w:div w:id="930046041">
                      <w:marLeft w:val="0"/>
                      <w:marRight w:val="0"/>
                      <w:marTop w:val="0"/>
                      <w:marBottom w:val="0"/>
                      <w:divBdr>
                        <w:top w:val="none" w:sz="0" w:space="0" w:color="auto"/>
                        <w:left w:val="none" w:sz="0" w:space="0" w:color="auto"/>
                        <w:bottom w:val="none" w:sz="0" w:space="0" w:color="auto"/>
                        <w:right w:val="none" w:sz="0" w:space="0" w:color="auto"/>
                      </w:divBdr>
                      <w:divsChild>
                        <w:div w:id="1442918645">
                          <w:marLeft w:val="0"/>
                          <w:marRight w:val="0"/>
                          <w:marTop w:val="0"/>
                          <w:marBottom w:val="0"/>
                          <w:divBdr>
                            <w:top w:val="none" w:sz="0" w:space="0" w:color="auto"/>
                            <w:left w:val="none" w:sz="0" w:space="0" w:color="auto"/>
                            <w:bottom w:val="none" w:sz="0" w:space="0" w:color="auto"/>
                            <w:right w:val="none" w:sz="0" w:space="0" w:color="auto"/>
                          </w:divBdr>
                          <w:divsChild>
                            <w:div w:id="44034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0396927">
      <w:bodyDiv w:val="1"/>
      <w:marLeft w:val="0"/>
      <w:marRight w:val="0"/>
      <w:marTop w:val="0"/>
      <w:marBottom w:val="0"/>
      <w:divBdr>
        <w:top w:val="none" w:sz="0" w:space="0" w:color="auto"/>
        <w:left w:val="none" w:sz="0" w:space="0" w:color="auto"/>
        <w:bottom w:val="none" w:sz="0" w:space="0" w:color="auto"/>
        <w:right w:val="none" w:sz="0" w:space="0" w:color="auto"/>
      </w:divBdr>
      <w:divsChild>
        <w:div w:id="918708065">
          <w:marLeft w:val="2442"/>
          <w:marRight w:val="0"/>
          <w:marTop w:val="0"/>
          <w:marBottom w:val="0"/>
          <w:divBdr>
            <w:top w:val="none" w:sz="0" w:space="0" w:color="auto"/>
            <w:left w:val="none" w:sz="0" w:space="0" w:color="auto"/>
            <w:bottom w:val="none" w:sz="0" w:space="0" w:color="auto"/>
            <w:right w:val="none" w:sz="0" w:space="0" w:color="auto"/>
          </w:divBdr>
          <w:divsChild>
            <w:div w:id="1378163265">
              <w:marLeft w:val="0"/>
              <w:marRight w:val="0"/>
              <w:marTop w:val="0"/>
              <w:marBottom w:val="0"/>
              <w:divBdr>
                <w:top w:val="none" w:sz="0" w:space="0" w:color="auto"/>
                <w:left w:val="none" w:sz="0" w:space="0" w:color="auto"/>
                <w:bottom w:val="none" w:sz="0" w:space="0" w:color="auto"/>
                <w:right w:val="none" w:sz="0" w:space="0" w:color="auto"/>
              </w:divBdr>
              <w:divsChild>
                <w:div w:id="1929582566">
                  <w:marLeft w:val="0"/>
                  <w:marRight w:val="0"/>
                  <w:marTop w:val="0"/>
                  <w:marBottom w:val="0"/>
                  <w:divBdr>
                    <w:top w:val="none" w:sz="0" w:space="0" w:color="auto"/>
                    <w:left w:val="none" w:sz="0" w:space="0" w:color="auto"/>
                    <w:bottom w:val="none" w:sz="0" w:space="0" w:color="auto"/>
                    <w:right w:val="none" w:sz="0" w:space="0" w:color="auto"/>
                  </w:divBdr>
                  <w:divsChild>
                    <w:div w:id="2132897699">
                      <w:marLeft w:val="0"/>
                      <w:marRight w:val="0"/>
                      <w:marTop w:val="0"/>
                      <w:marBottom w:val="0"/>
                      <w:divBdr>
                        <w:top w:val="none" w:sz="0" w:space="0" w:color="auto"/>
                        <w:left w:val="none" w:sz="0" w:space="0" w:color="auto"/>
                        <w:bottom w:val="none" w:sz="0" w:space="0" w:color="auto"/>
                        <w:right w:val="none" w:sz="0" w:space="0" w:color="auto"/>
                      </w:divBdr>
                      <w:divsChild>
                        <w:div w:id="30688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0979981">
      <w:bodyDiv w:val="1"/>
      <w:marLeft w:val="0"/>
      <w:marRight w:val="0"/>
      <w:marTop w:val="0"/>
      <w:marBottom w:val="0"/>
      <w:divBdr>
        <w:top w:val="none" w:sz="0" w:space="0" w:color="auto"/>
        <w:left w:val="none" w:sz="0" w:space="0" w:color="auto"/>
        <w:bottom w:val="none" w:sz="0" w:space="0" w:color="auto"/>
        <w:right w:val="none" w:sz="0" w:space="0" w:color="auto"/>
      </w:divBdr>
      <w:divsChild>
        <w:div w:id="1176576277">
          <w:marLeft w:val="2925"/>
          <w:marRight w:val="0"/>
          <w:marTop w:val="0"/>
          <w:marBottom w:val="0"/>
          <w:divBdr>
            <w:top w:val="none" w:sz="0" w:space="0" w:color="auto"/>
            <w:left w:val="none" w:sz="0" w:space="0" w:color="auto"/>
            <w:bottom w:val="none" w:sz="0" w:space="0" w:color="auto"/>
            <w:right w:val="none" w:sz="0" w:space="0" w:color="auto"/>
          </w:divBdr>
          <w:divsChild>
            <w:div w:id="1099258264">
              <w:marLeft w:val="0"/>
              <w:marRight w:val="0"/>
              <w:marTop w:val="0"/>
              <w:marBottom w:val="0"/>
              <w:divBdr>
                <w:top w:val="none" w:sz="0" w:space="0" w:color="auto"/>
                <w:left w:val="none" w:sz="0" w:space="0" w:color="auto"/>
                <w:bottom w:val="none" w:sz="0" w:space="0" w:color="auto"/>
                <w:right w:val="none" w:sz="0" w:space="0" w:color="auto"/>
              </w:divBdr>
              <w:divsChild>
                <w:div w:id="82532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6899238">
      <w:bodyDiv w:val="1"/>
      <w:marLeft w:val="0"/>
      <w:marRight w:val="0"/>
      <w:marTop w:val="0"/>
      <w:marBottom w:val="0"/>
      <w:divBdr>
        <w:top w:val="none" w:sz="0" w:space="0" w:color="auto"/>
        <w:left w:val="none" w:sz="0" w:space="0" w:color="auto"/>
        <w:bottom w:val="none" w:sz="0" w:space="0" w:color="auto"/>
        <w:right w:val="none" w:sz="0" w:space="0" w:color="auto"/>
      </w:divBdr>
      <w:divsChild>
        <w:div w:id="1333876566">
          <w:marLeft w:val="2925"/>
          <w:marRight w:val="0"/>
          <w:marTop w:val="0"/>
          <w:marBottom w:val="0"/>
          <w:divBdr>
            <w:top w:val="none" w:sz="0" w:space="0" w:color="auto"/>
            <w:left w:val="none" w:sz="0" w:space="0" w:color="auto"/>
            <w:bottom w:val="none" w:sz="0" w:space="0" w:color="auto"/>
            <w:right w:val="none" w:sz="0" w:space="0" w:color="auto"/>
          </w:divBdr>
          <w:divsChild>
            <w:div w:id="1537884493">
              <w:marLeft w:val="0"/>
              <w:marRight w:val="0"/>
              <w:marTop w:val="0"/>
              <w:marBottom w:val="0"/>
              <w:divBdr>
                <w:top w:val="none" w:sz="0" w:space="0" w:color="auto"/>
                <w:left w:val="none" w:sz="0" w:space="0" w:color="auto"/>
                <w:bottom w:val="none" w:sz="0" w:space="0" w:color="auto"/>
                <w:right w:val="none" w:sz="0" w:space="0" w:color="auto"/>
              </w:divBdr>
              <w:divsChild>
                <w:div w:id="832644084">
                  <w:marLeft w:val="0"/>
                  <w:marRight w:val="0"/>
                  <w:marTop w:val="0"/>
                  <w:marBottom w:val="0"/>
                  <w:divBdr>
                    <w:top w:val="none" w:sz="0" w:space="0" w:color="auto"/>
                    <w:left w:val="none" w:sz="0" w:space="0" w:color="auto"/>
                    <w:bottom w:val="none" w:sz="0" w:space="0" w:color="auto"/>
                    <w:right w:val="none" w:sz="0" w:space="0" w:color="auto"/>
                  </w:divBdr>
                  <w:divsChild>
                    <w:div w:id="2105227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2351302">
      <w:bodyDiv w:val="1"/>
      <w:marLeft w:val="0"/>
      <w:marRight w:val="0"/>
      <w:marTop w:val="0"/>
      <w:marBottom w:val="0"/>
      <w:divBdr>
        <w:top w:val="none" w:sz="0" w:space="0" w:color="auto"/>
        <w:left w:val="none" w:sz="0" w:space="0" w:color="auto"/>
        <w:bottom w:val="none" w:sz="0" w:space="0" w:color="auto"/>
        <w:right w:val="none" w:sz="0" w:space="0" w:color="auto"/>
      </w:divBdr>
      <w:divsChild>
        <w:div w:id="2108193375">
          <w:marLeft w:val="2925"/>
          <w:marRight w:val="0"/>
          <w:marTop w:val="0"/>
          <w:marBottom w:val="0"/>
          <w:divBdr>
            <w:top w:val="none" w:sz="0" w:space="0" w:color="auto"/>
            <w:left w:val="none" w:sz="0" w:space="0" w:color="auto"/>
            <w:bottom w:val="none" w:sz="0" w:space="0" w:color="auto"/>
            <w:right w:val="none" w:sz="0" w:space="0" w:color="auto"/>
          </w:divBdr>
          <w:divsChild>
            <w:div w:id="2116166398">
              <w:marLeft w:val="0"/>
              <w:marRight w:val="0"/>
              <w:marTop w:val="0"/>
              <w:marBottom w:val="0"/>
              <w:divBdr>
                <w:top w:val="none" w:sz="0" w:space="0" w:color="auto"/>
                <w:left w:val="none" w:sz="0" w:space="0" w:color="auto"/>
                <w:bottom w:val="none" w:sz="0" w:space="0" w:color="auto"/>
                <w:right w:val="none" w:sz="0" w:space="0" w:color="auto"/>
              </w:divBdr>
              <w:divsChild>
                <w:div w:id="683093926">
                  <w:marLeft w:val="0"/>
                  <w:marRight w:val="0"/>
                  <w:marTop w:val="0"/>
                  <w:marBottom w:val="0"/>
                  <w:divBdr>
                    <w:top w:val="none" w:sz="0" w:space="0" w:color="auto"/>
                    <w:left w:val="none" w:sz="0" w:space="0" w:color="auto"/>
                    <w:bottom w:val="none" w:sz="0" w:space="0" w:color="auto"/>
                    <w:right w:val="none" w:sz="0" w:space="0" w:color="auto"/>
                  </w:divBdr>
                  <w:divsChild>
                    <w:div w:id="1841773400">
                      <w:marLeft w:val="0"/>
                      <w:marRight w:val="0"/>
                      <w:marTop w:val="0"/>
                      <w:marBottom w:val="0"/>
                      <w:divBdr>
                        <w:top w:val="none" w:sz="0" w:space="0" w:color="auto"/>
                        <w:left w:val="none" w:sz="0" w:space="0" w:color="auto"/>
                        <w:bottom w:val="none" w:sz="0" w:space="0" w:color="auto"/>
                        <w:right w:val="none" w:sz="0" w:space="0" w:color="auto"/>
                      </w:divBdr>
                      <w:divsChild>
                        <w:div w:id="1546873136">
                          <w:marLeft w:val="0"/>
                          <w:marRight w:val="0"/>
                          <w:marTop w:val="0"/>
                          <w:marBottom w:val="0"/>
                          <w:divBdr>
                            <w:top w:val="none" w:sz="0" w:space="0" w:color="auto"/>
                            <w:left w:val="none" w:sz="0" w:space="0" w:color="auto"/>
                            <w:bottom w:val="none" w:sz="0" w:space="0" w:color="auto"/>
                            <w:right w:val="none" w:sz="0" w:space="0" w:color="auto"/>
                          </w:divBdr>
                          <w:divsChild>
                            <w:div w:id="112184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9019483">
      <w:bodyDiv w:val="1"/>
      <w:marLeft w:val="0"/>
      <w:marRight w:val="0"/>
      <w:marTop w:val="0"/>
      <w:marBottom w:val="0"/>
      <w:divBdr>
        <w:top w:val="none" w:sz="0" w:space="0" w:color="auto"/>
        <w:left w:val="none" w:sz="0" w:space="0" w:color="auto"/>
        <w:bottom w:val="none" w:sz="0" w:space="0" w:color="auto"/>
        <w:right w:val="none" w:sz="0" w:space="0" w:color="auto"/>
      </w:divBdr>
      <w:divsChild>
        <w:div w:id="945818489">
          <w:marLeft w:val="2925"/>
          <w:marRight w:val="0"/>
          <w:marTop w:val="0"/>
          <w:marBottom w:val="0"/>
          <w:divBdr>
            <w:top w:val="none" w:sz="0" w:space="0" w:color="auto"/>
            <w:left w:val="none" w:sz="0" w:space="0" w:color="auto"/>
            <w:bottom w:val="none" w:sz="0" w:space="0" w:color="auto"/>
            <w:right w:val="none" w:sz="0" w:space="0" w:color="auto"/>
          </w:divBdr>
          <w:divsChild>
            <w:div w:id="1956523293">
              <w:marLeft w:val="0"/>
              <w:marRight w:val="0"/>
              <w:marTop w:val="0"/>
              <w:marBottom w:val="0"/>
              <w:divBdr>
                <w:top w:val="none" w:sz="0" w:space="0" w:color="auto"/>
                <w:left w:val="none" w:sz="0" w:space="0" w:color="auto"/>
                <w:bottom w:val="none" w:sz="0" w:space="0" w:color="auto"/>
                <w:right w:val="none" w:sz="0" w:space="0" w:color="auto"/>
              </w:divBdr>
              <w:divsChild>
                <w:div w:id="153183912">
                  <w:marLeft w:val="0"/>
                  <w:marRight w:val="0"/>
                  <w:marTop w:val="0"/>
                  <w:marBottom w:val="0"/>
                  <w:divBdr>
                    <w:top w:val="none" w:sz="0" w:space="0" w:color="auto"/>
                    <w:left w:val="none" w:sz="0" w:space="0" w:color="auto"/>
                    <w:bottom w:val="none" w:sz="0" w:space="0" w:color="auto"/>
                    <w:right w:val="none" w:sz="0" w:space="0" w:color="auto"/>
                  </w:divBdr>
                  <w:divsChild>
                    <w:div w:id="258753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2732691">
      <w:bodyDiv w:val="1"/>
      <w:marLeft w:val="0"/>
      <w:marRight w:val="0"/>
      <w:marTop w:val="0"/>
      <w:marBottom w:val="0"/>
      <w:divBdr>
        <w:top w:val="none" w:sz="0" w:space="0" w:color="auto"/>
        <w:left w:val="none" w:sz="0" w:space="0" w:color="auto"/>
        <w:bottom w:val="none" w:sz="0" w:space="0" w:color="auto"/>
        <w:right w:val="none" w:sz="0" w:space="0" w:color="auto"/>
      </w:divBdr>
      <w:divsChild>
        <w:div w:id="759763621">
          <w:marLeft w:val="2925"/>
          <w:marRight w:val="0"/>
          <w:marTop w:val="0"/>
          <w:marBottom w:val="0"/>
          <w:divBdr>
            <w:top w:val="none" w:sz="0" w:space="0" w:color="auto"/>
            <w:left w:val="none" w:sz="0" w:space="0" w:color="auto"/>
            <w:bottom w:val="none" w:sz="0" w:space="0" w:color="auto"/>
            <w:right w:val="none" w:sz="0" w:space="0" w:color="auto"/>
          </w:divBdr>
          <w:divsChild>
            <w:div w:id="1818493419">
              <w:marLeft w:val="0"/>
              <w:marRight w:val="0"/>
              <w:marTop w:val="0"/>
              <w:marBottom w:val="0"/>
              <w:divBdr>
                <w:top w:val="none" w:sz="0" w:space="0" w:color="auto"/>
                <w:left w:val="none" w:sz="0" w:space="0" w:color="auto"/>
                <w:bottom w:val="none" w:sz="0" w:space="0" w:color="auto"/>
                <w:right w:val="none" w:sz="0" w:space="0" w:color="auto"/>
              </w:divBdr>
              <w:divsChild>
                <w:div w:id="491484177">
                  <w:marLeft w:val="0"/>
                  <w:marRight w:val="0"/>
                  <w:marTop w:val="0"/>
                  <w:marBottom w:val="0"/>
                  <w:divBdr>
                    <w:top w:val="none" w:sz="0" w:space="0" w:color="auto"/>
                    <w:left w:val="none" w:sz="0" w:space="0" w:color="auto"/>
                    <w:bottom w:val="none" w:sz="0" w:space="0" w:color="auto"/>
                    <w:right w:val="none" w:sz="0" w:space="0" w:color="auto"/>
                  </w:divBdr>
                  <w:divsChild>
                    <w:div w:id="2107800539">
                      <w:marLeft w:val="0"/>
                      <w:marRight w:val="0"/>
                      <w:marTop w:val="0"/>
                      <w:marBottom w:val="0"/>
                      <w:divBdr>
                        <w:top w:val="none" w:sz="0" w:space="0" w:color="auto"/>
                        <w:left w:val="none" w:sz="0" w:space="0" w:color="auto"/>
                        <w:bottom w:val="none" w:sz="0" w:space="0" w:color="auto"/>
                        <w:right w:val="none" w:sz="0" w:space="0" w:color="auto"/>
                      </w:divBdr>
                      <w:divsChild>
                        <w:div w:id="182388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5856011">
      <w:bodyDiv w:val="1"/>
      <w:marLeft w:val="0"/>
      <w:marRight w:val="0"/>
      <w:marTop w:val="0"/>
      <w:marBottom w:val="0"/>
      <w:divBdr>
        <w:top w:val="none" w:sz="0" w:space="0" w:color="auto"/>
        <w:left w:val="none" w:sz="0" w:space="0" w:color="auto"/>
        <w:bottom w:val="none" w:sz="0" w:space="0" w:color="auto"/>
        <w:right w:val="none" w:sz="0" w:space="0" w:color="auto"/>
      </w:divBdr>
      <w:divsChild>
        <w:div w:id="158544557">
          <w:marLeft w:val="2925"/>
          <w:marRight w:val="0"/>
          <w:marTop w:val="0"/>
          <w:marBottom w:val="0"/>
          <w:divBdr>
            <w:top w:val="none" w:sz="0" w:space="0" w:color="auto"/>
            <w:left w:val="none" w:sz="0" w:space="0" w:color="auto"/>
            <w:bottom w:val="none" w:sz="0" w:space="0" w:color="auto"/>
            <w:right w:val="none" w:sz="0" w:space="0" w:color="auto"/>
          </w:divBdr>
          <w:divsChild>
            <w:div w:id="745764132">
              <w:marLeft w:val="0"/>
              <w:marRight w:val="0"/>
              <w:marTop w:val="0"/>
              <w:marBottom w:val="0"/>
              <w:divBdr>
                <w:top w:val="none" w:sz="0" w:space="0" w:color="auto"/>
                <w:left w:val="none" w:sz="0" w:space="0" w:color="auto"/>
                <w:bottom w:val="none" w:sz="0" w:space="0" w:color="auto"/>
                <w:right w:val="none" w:sz="0" w:space="0" w:color="auto"/>
              </w:divBdr>
              <w:divsChild>
                <w:div w:id="1165055266">
                  <w:marLeft w:val="0"/>
                  <w:marRight w:val="0"/>
                  <w:marTop w:val="0"/>
                  <w:marBottom w:val="0"/>
                  <w:divBdr>
                    <w:top w:val="none" w:sz="0" w:space="0" w:color="auto"/>
                    <w:left w:val="none" w:sz="0" w:space="0" w:color="auto"/>
                    <w:bottom w:val="none" w:sz="0" w:space="0" w:color="auto"/>
                    <w:right w:val="none" w:sz="0" w:space="0" w:color="auto"/>
                  </w:divBdr>
                  <w:divsChild>
                    <w:div w:id="298459884">
                      <w:marLeft w:val="0"/>
                      <w:marRight w:val="0"/>
                      <w:marTop w:val="0"/>
                      <w:marBottom w:val="0"/>
                      <w:divBdr>
                        <w:top w:val="none" w:sz="0" w:space="0" w:color="auto"/>
                        <w:left w:val="none" w:sz="0" w:space="0" w:color="auto"/>
                        <w:bottom w:val="none" w:sz="0" w:space="0" w:color="auto"/>
                        <w:right w:val="none" w:sz="0" w:space="0" w:color="auto"/>
                      </w:divBdr>
                      <w:divsChild>
                        <w:div w:id="1374816093">
                          <w:marLeft w:val="0"/>
                          <w:marRight w:val="0"/>
                          <w:marTop w:val="0"/>
                          <w:marBottom w:val="0"/>
                          <w:divBdr>
                            <w:top w:val="none" w:sz="0" w:space="0" w:color="auto"/>
                            <w:left w:val="single" w:sz="6" w:space="15" w:color="D8E2E8"/>
                            <w:bottom w:val="single" w:sz="6" w:space="8" w:color="D8E2E8"/>
                            <w:right w:val="single" w:sz="6" w:space="15" w:color="D8E2E8"/>
                          </w:divBdr>
                        </w:div>
                      </w:divsChild>
                    </w:div>
                  </w:divsChild>
                </w:div>
              </w:divsChild>
            </w:div>
          </w:divsChild>
        </w:div>
      </w:divsChild>
    </w:div>
    <w:div w:id="1058935434">
      <w:bodyDiv w:val="1"/>
      <w:marLeft w:val="0"/>
      <w:marRight w:val="0"/>
      <w:marTop w:val="0"/>
      <w:marBottom w:val="0"/>
      <w:divBdr>
        <w:top w:val="none" w:sz="0" w:space="0" w:color="auto"/>
        <w:left w:val="none" w:sz="0" w:space="0" w:color="auto"/>
        <w:bottom w:val="none" w:sz="0" w:space="0" w:color="auto"/>
        <w:right w:val="none" w:sz="0" w:space="0" w:color="auto"/>
      </w:divBdr>
      <w:divsChild>
        <w:div w:id="2066448221">
          <w:marLeft w:val="2925"/>
          <w:marRight w:val="0"/>
          <w:marTop w:val="0"/>
          <w:marBottom w:val="0"/>
          <w:divBdr>
            <w:top w:val="none" w:sz="0" w:space="0" w:color="auto"/>
            <w:left w:val="none" w:sz="0" w:space="0" w:color="auto"/>
            <w:bottom w:val="none" w:sz="0" w:space="0" w:color="auto"/>
            <w:right w:val="none" w:sz="0" w:space="0" w:color="auto"/>
          </w:divBdr>
          <w:divsChild>
            <w:div w:id="1321886273">
              <w:marLeft w:val="0"/>
              <w:marRight w:val="0"/>
              <w:marTop w:val="0"/>
              <w:marBottom w:val="0"/>
              <w:divBdr>
                <w:top w:val="none" w:sz="0" w:space="0" w:color="auto"/>
                <w:left w:val="none" w:sz="0" w:space="0" w:color="auto"/>
                <w:bottom w:val="none" w:sz="0" w:space="0" w:color="auto"/>
                <w:right w:val="none" w:sz="0" w:space="0" w:color="auto"/>
              </w:divBdr>
              <w:divsChild>
                <w:div w:id="1017344750">
                  <w:marLeft w:val="0"/>
                  <w:marRight w:val="0"/>
                  <w:marTop w:val="0"/>
                  <w:marBottom w:val="0"/>
                  <w:divBdr>
                    <w:top w:val="none" w:sz="0" w:space="0" w:color="auto"/>
                    <w:left w:val="none" w:sz="0" w:space="0" w:color="auto"/>
                    <w:bottom w:val="none" w:sz="0" w:space="0" w:color="auto"/>
                    <w:right w:val="none" w:sz="0" w:space="0" w:color="auto"/>
                  </w:divBdr>
                  <w:divsChild>
                    <w:div w:id="1522428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9278774">
      <w:bodyDiv w:val="1"/>
      <w:marLeft w:val="0"/>
      <w:marRight w:val="0"/>
      <w:marTop w:val="0"/>
      <w:marBottom w:val="0"/>
      <w:divBdr>
        <w:top w:val="none" w:sz="0" w:space="0" w:color="auto"/>
        <w:left w:val="none" w:sz="0" w:space="0" w:color="auto"/>
        <w:bottom w:val="none" w:sz="0" w:space="0" w:color="auto"/>
        <w:right w:val="none" w:sz="0" w:space="0" w:color="auto"/>
      </w:divBdr>
    </w:div>
    <w:div w:id="1140072259">
      <w:bodyDiv w:val="1"/>
      <w:marLeft w:val="0"/>
      <w:marRight w:val="0"/>
      <w:marTop w:val="0"/>
      <w:marBottom w:val="0"/>
      <w:divBdr>
        <w:top w:val="none" w:sz="0" w:space="0" w:color="auto"/>
        <w:left w:val="none" w:sz="0" w:space="0" w:color="auto"/>
        <w:bottom w:val="none" w:sz="0" w:space="0" w:color="auto"/>
        <w:right w:val="none" w:sz="0" w:space="0" w:color="auto"/>
      </w:divBdr>
      <w:divsChild>
        <w:div w:id="653146381">
          <w:marLeft w:val="2925"/>
          <w:marRight w:val="0"/>
          <w:marTop w:val="0"/>
          <w:marBottom w:val="0"/>
          <w:divBdr>
            <w:top w:val="none" w:sz="0" w:space="0" w:color="auto"/>
            <w:left w:val="none" w:sz="0" w:space="0" w:color="auto"/>
            <w:bottom w:val="none" w:sz="0" w:space="0" w:color="auto"/>
            <w:right w:val="none" w:sz="0" w:space="0" w:color="auto"/>
          </w:divBdr>
          <w:divsChild>
            <w:div w:id="1293905522">
              <w:marLeft w:val="0"/>
              <w:marRight w:val="0"/>
              <w:marTop w:val="0"/>
              <w:marBottom w:val="0"/>
              <w:divBdr>
                <w:top w:val="none" w:sz="0" w:space="0" w:color="auto"/>
                <w:left w:val="none" w:sz="0" w:space="0" w:color="auto"/>
                <w:bottom w:val="none" w:sz="0" w:space="0" w:color="auto"/>
                <w:right w:val="none" w:sz="0" w:space="0" w:color="auto"/>
              </w:divBdr>
              <w:divsChild>
                <w:div w:id="83769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74880">
      <w:bodyDiv w:val="1"/>
      <w:marLeft w:val="0"/>
      <w:marRight w:val="0"/>
      <w:marTop w:val="0"/>
      <w:marBottom w:val="0"/>
      <w:divBdr>
        <w:top w:val="none" w:sz="0" w:space="0" w:color="auto"/>
        <w:left w:val="none" w:sz="0" w:space="0" w:color="auto"/>
        <w:bottom w:val="none" w:sz="0" w:space="0" w:color="auto"/>
        <w:right w:val="none" w:sz="0" w:space="0" w:color="auto"/>
      </w:divBdr>
      <w:divsChild>
        <w:div w:id="1997562679">
          <w:marLeft w:val="2925"/>
          <w:marRight w:val="0"/>
          <w:marTop w:val="0"/>
          <w:marBottom w:val="0"/>
          <w:divBdr>
            <w:top w:val="none" w:sz="0" w:space="0" w:color="auto"/>
            <w:left w:val="none" w:sz="0" w:space="0" w:color="auto"/>
            <w:bottom w:val="none" w:sz="0" w:space="0" w:color="auto"/>
            <w:right w:val="none" w:sz="0" w:space="0" w:color="auto"/>
          </w:divBdr>
          <w:divsChild>
            <w:div w:id="549464423">
              <w:marLeft w:val="0"/>
              <w:marRight w:val="0"/>
              <w:marTop w:val="0"/>
              <w:marBottom w:val="0"/>
              <w:divBdr>
                <w:top w:val="none" w:sz="0" w:space="0" w:color="auto"/>
                <w:left w:val="none" w:sz="0" w:space="0" w:color="auto"/>
                <w:bottom w:val="none" w:sz="0" w:space="0" w:color="auto"/>
                <w:right w:val="none" w:sz="0" w:space="0" w:color="auto"/>
              </w:divBdr>
              <w:divsChild>
                <w:div w:id="14384521">
                  <w:marLeft w:val="0"/>
                  <w:marRight w:val="0"/>
                  <w:marTop w:val="0"/>
                  <w:marBottom w:val="0"/>
                  <w:divBdr>
                    <w:top w:val="none" w:sz="0" w:space="0" w:color="auto"/>
                    <w:left w:val="none" w:sz="0" w:space="0" w:color="auto"/>
                    <w:bottom w:val="none" w:sz="0" w:space="0" w:color="auto"/>
                    <w:right w:val="none" w:sz="0" w:space="0" w:color="auto"/>
                  </w:divBdr>
                  <w:divsChild>
                    <w:div w:id="2067727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8176518">
      <w:bodyDiv w:val="1"/>
      <w:marLeft w:val="0"/>
      <w:marRight w:val="0"/>
      <w:marTop w:val="0"/>
      <w:marBottom w:val="0"/>
      <w:divBdr>
        <w:top w:val="none" w:sz="0" w:space="0" w:color="auto"/>
        <w:left w:val="none" w:sz="0" w:space="0" w:color="auto"/>
        <w:bottom w:val="none" w:sz="0" w:space="0" w:color="auto"/>
        <w:right w:val="none" w:sz="0" w:space="0" w:color="auto"/>
      </w:divBdr>
      <w:divsChild>
        <w:div w:id="2038235572">
          <w:marLeft w:val="2925"/>
          <w:marRight w:val="0"/>
          <w:marTop w:val="0"/>
          <w:marBottom w:val="0"/>
          <w:divBdr>
            <w:top w:val="none" w:sz="0" w:space="0" w:color="auto"/>
            <w:left w:val="none" w:sz="0" w:space="0" w:color="auto"/>
            <w:bottom w:val="none" w:sz="0" w:space="0" w:color="auto"/>
            <w:right w:val="none" w:sz="0" w:space="0" w:color="auto"/>
          </w:divBdr>
          <w:divsChild>
            <w:div w:id="1650590700">
              <w:marLeft w:val="0"/>
              <w:marRight w:val="0"/>
              <w:marTop w:val="0"/>
              <w:marBottom w:val="0"/>
              <w:divBdr>
                <w:top w:val="none" w:sz="0" w:space="0" w:color="auto"/>
                <w:left w:val="none" w:sz="0" w:space="0" w:color="auto"/>
                <w:bottom w:val="none" w:sz="0" w:space="0" w:color="auto"/>
                <w:right w:val="none" w:sz="0" w:space="0" w:color="auto"/>
              </w:divBdr>
              <w:divsChild>
                <w:div w:id="43649087">
                  <w:marLeft w:val="0"/>
                  <w:marRight w:val="0"/>
                  <w:marTop w:val="0"/>
                  <w:marBottom w:val="0"/>
                  <w:divBdr>
                    <w:top w:val="none" w:sz="0" w:space="0" w:color="auto"/>
                    <w:left w:val="none" w:sz="0" w:space="0" w:color="auto"/>
                    <w:bottom w:val="none" w:sz="0" w:space="0" w:color="auto"/>
                    <w:right w:val="none" w:sz="0" w:space="0" w:color="auto"/>
                  </w:divBdr>
                  <w:divsChild>
                    <w:div w:id="1432311941">
                      <w:marLeft w:val="0"/>
                      <w:marRight w:val="0"/>
                      <w:marTop w:val="0"/>
                      <w:marBottom w:val="0"/>
                      <w:divBdr>
                        <w:top w:val="none" w:sz="0" w:space="0" w:color="auto"/>
                        <w:left w:val="none" w:sz="0" w:space="0" w:color="auto"/>
                        <w:bottom w:val="none" w:sz="0" w:space="0" w:color="auto"/>
                        <w:right w:val="none" w:sz="0" w:space="0" w:color="auto"/>
                      </w:divBdr>
                      <w:divsChild>
                        <w:div w:id="1320959756">
                          <w:marLeft w:val="0"/>
                          <w:marRight w:val="0"/>
                          <w:marTop w:val="0"/>
                          <w:marBottom w:val="0"/>
                          <w:divBdr>
                            <w:top w:val="none" w:sz="0" w:space="0" w:color="auto"/>
                            <w:left w:val="single" w:sz="6" w:space="15" w:color="D8E2E8"/>
                            <w:bottom w:val="single" w:sz="6" w:space="8" w:color="D8E2E8"/>
                            <w:right w:val="single" w:sz="6" w:space="15" w:color="D8E2E8"/>
                          </w:divBdr>
                        </w:div>
                      </w:divsChild>
                    </w:div>
                  </w:divsChild>
                </w:div>
              </w:divsChild>
            </w:div>
          </w:divsChild>
        </w:div>
      </w:divsChild>
    </w:div>
    <w:div w:id="1370180397">
      <w:bodyDiv w:val="1"/>
      <w:marLeft w:val="0"/>
      <w:marRight w:val="0"/>
      <w:marTop w:val="0"/>
      <w:marBottom w:val="0"/>
      <w:divBdr>
        <w:top w:val="none" w:sz="0" w:space="0" w:color="auto"/>
        <w:left w:val="none" w:sz="0" w:space="0" w:color="auto"/>
        <w:bottom w:val="none" w:sz="0" w:space="0" w:color="auto"/>
        <w:right w:val="none" w:sz="0" w:space="0" w:color="auto"/>
      </w:divBdr>
    </w:div>
    <w:div w:id="1422487237">
      <w:bodyDiv w:val="1"/>
      <w:marLeft w:val="0"/>
      <w:marRight w:val="0"/>
      <w:marTop w:val="0"/>
      <w:marBottom w:val="0"/>
      <w:divBdr>
        <w:top w:val="none" w:sz="0" w:space="0" w:color="auto"/>
        <w:left w:val="none" w:sz="0" w:space="0" w:color="auto"/>
        <w:bottom w:val="none" w:sz="0" w:space="0" w:color="auto"/>
        <w:right w:val="none" w:sz="0" w:space="0" w:color="auto"/>
      </w:divBdr>
      <w:divsChild>
        <w:div w:id="976452505">
          <w:marLeft w:val="2925"/>
          <w:marRight w:val="0"/>
          <w:marTop w:val="0"/>
          <w:marBottom w:val="0"/>
          <w:divBdr>
            <w:top w:val="none" w:sz="0" w:space="0" w:color="auto"/>
            <w:left w:val="none" w:sz="0" w:space="0" w:color="auto"/>
            <w:bottom w:val="none" w:sz="0" w:space="0" w:color="auto"/>
            <w:right w:val="none" w:sz="0" w:space="0" w:color="auto"/>
          </w:divBdr>
          <w:divsChild>
            <w:div w:id="840120749">
              <w:marLeft w:val="0"/>
              <w:marRight w:val="0"/>
              <w:marTop w:val="0"/>
              <w:marBottom w:val="0"/>
              <w:divBdr>
                <w:top w:val="none" w:sz="0" w:space="0" w:color="auto"/>
                <w:left w:val="none" w:sz="0" w:space="0" w:color="auto"/>
                <w:bottom w:val="none" w:sz="0" w:space="0" w:color="auto"/>
                <w:right w:val="none" w:sz="0" w:space="0" w:color="auto"/>
              </w:divBdr>
              <w:divsChild>
                <w:div w:id="1002124636">
                  <w:marLeft w:val="0"/>
                  <w:marRight w:val="0"/>
                  <w:marTop w:val="0"/>
                  <w:marBottom w:val="0"/>
                  <w:divBdr>
                    <w:top w:val="none" w:sz="0" w:space="0" w:color="auto"/>
                    <w:left w:val="none" w:sz="0" w:space="0" w:color="auto"/>
                    <w:bottom w:val="none" w:sz="0" w:space="0" w:color="auto"/>
                    <w:right w:val="none" w:sz="0" w:space="0" w:color="auto"/>
                  </w:divBdr>
                  <w:divsChild>
                    <w:div w:id="133086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566036">
      <w:bodyDiv w:val="1"/>
      <w:marLeft w:val="0"/>
      <w:marRight w:val="0"/>
      <w:marTop w:val="0"/>
      <w:marBottom w:val="0"/>
      <w:divBdr>
        <w:top w:val="none" w:sz="0" w:space="0" w:color="auto"/>
        <w:left w:val="none" w:sz="0" w:space="0" w:color="auto"/>
        <w:bottom w:val="none" w:sz="0" w:space="0" w:color="auto"/>
        <w:right w:val="none" w:sz="0" w:space="0" w:color="auto"/>
      </w:divBdr>
    </w:div>
    <w:div w:id="1639726092">
      <w:bodyDiv w:val="1"/>
      <w:marLeft w:val="0"/>
      <w:marRight w:val="0"/>
      <w:marTop w:val="0"/>
      <w:marBottom w:val="0"/>
      <w:divBdr>
        <w:top w:val="none" w:sz="0" w:space="0" w:color="auto"/>
        <w:left w:val="none" w:sz="0" w:space="0" w:color="auto"/>
        <w:bottom w:val="none" w:sz="0" w:space="0" w:color="auto"/>
        <w:right w:val="none" w:sz="0" w:space="0" w:color="auto"/>
      </w:divBdr>
    </w:div>
    <w:div w:id="1648827176">
      <w:bodyDiv w:val="1"/>
      <w:marLeft w:val="0"/>
      <w:marRight w:val="0"/>
      <w:marTop w:val="0"/>
      <w:marBottom w:val="0"/>
      <w:divBdr>
        <w:top w:val="none" w:sz="0" w:space="0" w:color="auto"/>
        <w:left w:val="none" w:sz="0" w:space="0" w:color="auto"/>
        <w:bottom w:val="none" w:sz="0" w:space="0" w:color="auto"/>
        <w:right w:val="none" w:sz="0" w:space="0" w:color="auto"/>
      </w:divBdr>
      <w:divsChild>
        <w:div w:id="801388240">
          <w:marLeft w:val="2925"/>
          <w:marRight w:val="0"/>
          <w:marTop w:val="0"/>
          <w:marBottom w:val="0"/>
          <w:divBdr>
            <w:top w:val="none" w:sz="0" w:space="0" w:color="auto"/>
            <w:left w:val="none" w:sz="0" w:space="0" w:color="auto"/>
            <w:bottom w:val="none" w:sz="0" w:space="0" w:color="auto"/>
            <w:right w:val="none" w:sz="0" w:space="0" w:color="auto"/>
          </w:divBdr>
          <w:divsChild>
            <w:div w:id="970087288">
              <w:marLeft w:val="0"/>
              <w:marRight w:val="0"/>
              <w:marTop w:val="0"/>
              <w:marBottom w:val="0"/>
              <w:divBdr>
                <w:top w:val="none" w:sz="0" w:space="0" w:color="auto"/>
                <w:left w:val="none" w:sz="0" w:space="0" w:color="auto"/>
                <w:bottom w:val="none" w:sz="0" w:space="0" w:color="auto"/>
                <w:right w:val="none" w:sz="0" w:space="0" w:color="auto"/>
              </w:divBdr>
              <w:divsChild>
                <w:div w:id="1892690188">
                  <w:marLeft w:val="0"/>
                  <w:marRight w:val="0"/>
                  <w:marTop w:val="0"/>
                  <w:marBottom w:val="0"/>
                  <w:divBdr>
                    <w:top w:val="none" w:sz="0" w:space="0" w:color="auto"/>
                    <w:left w:val="none" w:sz="0" w:space="0" w:color="auto"/>
                    <w:bottom w:val="none" w:sz="0" w:space="0" w:color="auto"/>
                    <w:right w:val="none" w:sz="0" w:space="0" w:color="auto"/>
                  </w:divBdr>
                  <w:divsChild>
                    <w:div w:id="52948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4869046">
      <w:bodyDiv w:val="1"/>
      <w:marLeft w:val="0"/>
      <w:marRight w:val="0"/>
      <w:marTop w:val="0"/>
      <w:marBottom w:val="0"/>
      <w:divBdr>
        <w:top w:val="none" w:sz="0" w:space="0" w:color="auto"/>
        <w:left w:val="none" w:sz="0" w:space="0" w:color="auto"/>
        <w:bottom w:val="none" w:sz="0" w:space="0" w:color="auto"/>
        <w:right w:val="none" w:sz="0" w:space="0" w:color="auto"/>
      </w:divBdr>
      <w:divsChild>
        <w:div w:id="1510099125">
          <w:marLeft w:val="0"/>
          <w:marRight w:val="0"/>
          <w:marTop w:val="0"/>
          <w:marBottom w:val="0"/>
          <w:divBdr>
            <w:top w:val="none" w:sz="0" w:space="0" w:color="auto"/>
            <w:left w:val="none" w:sz="0" w:space="0" w:color="auto"/>
            <w:bottom w:val="none" w:sz="0" w:space="0" w:color="auto"/>
            <w:right w:val="none" w:sz="0" w:space="0" w:color="auto"/>
          </w:divBdr>
          <w:divsChild>
            <w:div w:id="1762531048">
              <w:marLeft w:val="0"/>
              <w:marRight w:val="0"/>
              <w:marTop w:val="0"/>
              <w:marBottom w:val="0"/>
              <w:divBdr>
                <w:top w:val="none" w:sz="0" w:space="0" w:color="auto"/>
                <w:left w:val="none" w:sz="0" w:space="0" w:color="auto"/>
                <w:bottom w:val="none" w:sz="0" w:space="0" w:color="auto"/>
                <w:right w:val="none" w:sz="0" w:space="0" w:color="auto"/>
              </w:divBdr>
              <w:divsChild>
                <w:div w:id="1508599317">
                  <w:marLeft w:val="0"/>
                  <w:marRight w:val="0"/>
                  <w:marTop w:val="0"/>
                  <w:marBottom w:val="0"/>
                  <w:divBdr>
                    <w:top w:val="none" w:sz="0" w:space="0" w:color="auto"/>
                    <w:left w:val="none" w:sz="0" w:space="0" w:color="auto"/>
                    <w:bottom w:val="none" w:sz="0" w:space="0" w:color="auto"/>
                    <w:right w:val="none" w:sz="0" w:space="0" w:color="auto"/>
                  </w:divBdr>
                  <w:divsChild>
                    <w:div w:id="17391872">
                      <w:marLeft w:val="0"/>
                      <w:marRight w:val="0"/>
                      <w:marTop w:val="0"/>
                      <w:marBottom w:val="0"/>
                      <w:divBdr>
                        <w:top w:val="none" w:sz="0" w:space="0" w:color="auto"/>
                        <w:left w:val="none" w:sz="0" w:space="0" w:color="auto"/>
                        <w:bottom w:val="none" w:sz="0" w:space="0" w:color="auto"/>
                        <w:right w:val="none" w:sz="0" w:space="0" w:color="auto"/>
                      </w:divBdr>
                      <w:divsChild>
                        <w:div w:id="342824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chapter</Template>
  <TotalTime>504</TotalTime>
  <Pages>16</Pages>
  <Words>5069</Words>
  <Characters>30376</Characters>
  <Application>Microsoft Office Word</Application>
  <DocSecurity>0</DocSecurity>
  <Lines>253</Lines>
  <Paragraphs>70</Paragraphs>
  <ScaleCrop>false</ScaleCrop>
  <HeadingPairs>
    <vt:vector size="2" baseType="variant">
      <vt:variant>
        <vt:lpstr>Title</vt:lpstr>
      </vt:variant>
      <vt:variant>
        <vt:i4>1</vt:i4>
      </vt:variant>
    </vt:vector>
  </HeadingPairs>
  <TitlesOfParts>
    <vt:vector size="1" baseType="lpstr">
      <vt:lpstr>Supporting research and related activities</vt:lpstr>
    </vt:vector>
  </TitlesOfParts>
  <Company>GB</Company>
  <LinksUpToDate>false</LinksUpToDate>
  <CharactersWithSpaces>35375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Supporting research and related activities</dc:title>
  <dc:subject>Annual Report 2013-14</dc:subject>
  <dc:creator>gingell</dc:creator>
  <cp:keywords/>
  <dc:description>E.</dc:description>
  <cp:lastModifiedBy>Horsfall, Tracey</cp:lastModifiedBy>
  <cp:revision>77</cp:revision>
  <cp:lastPrinted>2014-09-26T05:19:00Z</cp:lastPrinted>
  <dcterms:created xsi:type="dcterms:W3CDTF">2013-02-24T21:05:00Z</dcterms:created>
  <dcterms:modified xsi:type="dcterms:W3CDTF">2014-10-13T22:44:00Z</dcterms:modified>
</cp:coreProperties>
</file>

<file path=docProps/custom.xml><?xml version="1.0" encoding="utf-8"?>
<Properties xmlns="http://schemas.openxmlformats.org/officeDocument/2006/custom-properties" xmlns:vt="http://schemas.openxmlformats.org/officeDocument/2006/docPropsVTypes"/>
</file>