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326" w14:textId="2F226072" w:rsidR="00377A48" w:rsidRPr="007E1409" w:rsidRDefault="004B345B" w:rsidP="007E1409">
      <w:pPr>
        <w:tabs>
          <w:tab w:val="left" w:pos="640"/>
        </w:tabs>
        <w:spacing w:before="100" w:beforeAutospacing="1" w:after="120"/>
        <w:ind w:hanging="284"/>
        <w:rPr>
          <w:rFonts w:eastAsiaTheme="majorEastAsia"/>
          <w:b/>
          <w:bCs/>
          <w:color w:val="009BD2"/>
          <w:sz w:val="48"/>
          <w:szCs w:val="22"/>
        </w:rPr>
      </w:pPr>
      <w:r w:rsidRPr="008A18E3">
        <w:rPr>
          <w:rFonts w:eastAsiaTheme="majorEastAsia"/>
          <w:b/>
          <w:bCs/>
          <w:color w:val="009BD2"/>
          <w:sz w:val="48"/>
          <w:szCs w:val="22"/>
        </w:rPr>
        <w:t xml:space="preserve"> </w:t>
      </w:r>
      <w:r w:rsidR="00F06164">
        <w:rPr>
          <w:rFonts w:eastAsiaTheme="majorEastAsia"/>
          <w:b/>
          <w:bCs/>
          <w:color w:val="009BD2"/>
          <w:sz w:val="48"/>
          <w:szCs w:val="22"/>
        </w:rPr>
        <w:tab/>
      </w:r>
      <w:r w:rsidR="00F06164">
        <w:rPr>
          <w:rFonts w:eastAsiaTheme="majorEastAsia"/>
          <w:b/>
          <w:bCs/>
          <w:color w:val="009BD2"/>
          <w:sz w:val="48"/>
          <w:szCs w:val="22"/>
        </w:rPr>
        <w:tab/>
      </w:r>
    </w:p>
    <w:tbl>
      <w:tblPr>
        <w:tblStyle w:val="TableGrid"/>
        <w:tblpPr w:leftFromText="180" w:rightFromText="180" w:vertAnchor="text" w:horzAnchor="margin" w:tblpX="-568" w:tblpY="239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8099"/>
      </w:tblGrid>
      <w:tr w:rsidR="00F62EAC" w:rsidRPr="00DD306E" w14:paraId="5AE2AC3B" w14:textId="77777777" w:rsidTr="007879D5">
        <w:trPr>
          <w:trHeight w:val="407"/>
        </w:trPr>
        <w:tc>
          <w:tcPr>
            <w:tcW w:w="10080" w:type="dxa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F5F5F5"/>
            <w:vAlign w:val="center"/>
          </w:tcPr>
          <w:p w14:paraId="0C600669" w14:textId="1A54FE6F" w:rsidR="00F62EAC" w:rsidRPr="00DD306E" w:rsidRDefault="00F62EAC" w:rsidP="00AD008B">
            <w:pPr>
              <w:spacing w:before="80" w:after="160" w:line="259" w:lineRule="auto"/>
              <w:rPr>
                <w:rFonts w:eastAsia="Calibri"/>
                <w:b/>
                <w:bCs/>
                <w:color w:val="3B3838" w:themeColor="background2" w:themeShade="40"/>
                <w:szCs w:val="22"/>
                <w:lang w:eastAsia="en-US"/>
              </w:rPr>
            </w:pPr>
            <w:r w:rsidRPr="00DD306E">
              <w:rPr>
                <w:rFonts w:eastAsiaTheme="majorEastAsia"/>
                <w:b/>
                <w:bCs/>
                <w:color w:val="265A9A"/>
                <w:szCs w:val="22"/>
                <w:lang w:eastAsia="en-US"/>
              </w:rPr>
              <w:t>Position Description</w:t>
            </w:r>
            <w:r w:rsidR="00225224" w:rsidRPr="00DD306E">
              <w:rPr>
                <w:rFonts w:eastAsiaTheme="majorEastAsia"/>
                <w:b/>
                <w:bCs/>
                <w:color w:val="265A9A"/>
                <w:szCs w:val="22"/>
                <w:lang w:eastAsia="en-US"/>
              </w:rPr>
              <w:t xml:space="preserve"> (PD)</w:t>
            </w:r>
          </w:p>
        </w:tc>
      </w:tr>
      <w:tr w:rsidR="00E415C6" w:rsidRPr="00DD306E" w14:paraId="1E645BA3" w14:textId="77777777" w:rsidTr="007879D5">
        <w:trPr>
          <w:trHeight w:val="407"/>
        </w:trPr>
        <w:tc>
          <w:tcPr>
            <w:tcW w:w="198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F5F5F5"/>
          </w:tcPr>
          <w:p w14:paraId="5AA9BB4E" w14:textId="61CAE230" w:rsidR="00E415C6" w:rsidRPr="00D55E4B" w:rsidRDefault="00E415C6" w:rsidP="00E415C6">
            <w:pPr>
              <w:spacing w:before="80" w:after="160" w:line="259" w:lineRule="auto"/>
              <w:ind w:left="-392" w:firstLine="392"/>
              <w:rPr>
                <w:rFonts w:eastAsiaTheme="majorEastAsia" w:cs="Arial"/>
                <w:color w:val="265A9A"/>
                <w:szCs w:val="22"/>
                <w:lang w:eastAsia="en-US"/>
              </w:rPr>
            </w:pPr>
            <w:r w:rsidRPr="00D55E4B">
              <w:rPr>
                <w:rFonts w:eastAsiaTheme="majorEastAsia"/>
                <w:color w:val="265A9A"/>
                <w:szCs w:val="22"/>
                <w:lang w:eastAsia="en-US"/>
              </w:rPr>
              <w:t xml:space="preserve">Role </w:t>
            </w:r>
          </w:p>
        </w:tc>
        <w:tc>
          <w:tcPr>
            <w:tcW w:w="809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3C839127" w14:textId="44C82D0F" w:rsidR="00E415C6" w:rsidRPr="00DD306E" w:rsidRDefault="00CE3049" w:rsidP="00E415C6">
            <w:pPr>
              <w:spacing w:before="80" w:after="160" w:line="259" w:lineRule="auto"/>
              <w:rPr>
                <w:rFonts w:eastAsia="Calibri"/>
                <w:lang w:eastAsia="en-US"/>
              </w:rPr>
            </w:pPr>
            <w:r w:rsidRPr="1B363BA7">
              <w:rPr>
                <w:rFonts w:eastAsia="Calibri"/>
                <w:lang w:eastAsia="en-US"/>
              </w:rPr>
              <w:t>H</w:t>
            </w:r>
            <w:r w:rsidR="008E0440" w:rsidRPr="1B363BA7">
              <w:rPr>
                <w:rFonts w:eastAsia="Calibri"/>
                <w:lang w:eastAsia="en-US"/>
              </w:rPr>
              <w:t>uman Resources</w:t>
            </w:r>
            <w:r w:rsidRPr="1B363BA7">
              <w:rPr>
                <w:rFonts w:eastAsia="Calibri"/>
                <w:lang w:eastAsia="en-US"/>
              </w:rPr>
              <w:t xml:space="preserve"> Advisor</w:t>
            </w:r>
            <w:r w:rsidR="0927B30C" w:rsidRPr="1B363BA7">
              <w:rPr>
                <w:rFonts w:eastAsia="Calibri"/>
                <w:lang w:eastAsia="en-US"/>
              </w:rPr>
              <w:t>/Senior Advisor</w:t>
            </w:r>
            <w:r w:rsidRPr="1B363BA7">
              <w:rPr>
                <w:rFonts w:eastAsia="Calibri"/>
                <w:lang w:eastAsia="en-US"/>
              </w:rPr>
              <w:t xml:space="preserve"> </w:t>
            </w:r>
            <w:r w:rsidR="007A13F5" w:rsidRPr="1B363BA7">
              <w:rPr>
                <w:rFonts w:eastAsia="Calibri"/>
                <w:lang w:eastAsia="en-US"/>
              </w:rPr>
              <w:t>and</w:t>
            </w:r>
            <w:r w:rsidRPr="1B363BA7">
              <w:rPr>
                <w:rFonts w:eastAsia="Calibri"/>
                <w:lang w:eastAsia="en-US"/>
              </w:rPr>
              <w:t xml:space="preserve"> </w:t>
            </w:r>
            <w:r w:rsidR="004B0650" w:rsidRPr="1B363BA7">
              <w:rPr>
                <w:rFonts w:eastAsia="Calibri"/>
                <w:lang w:eastAsia="en-US"/>
              </w:rPr>
              <w:t xml:space="preserve">Payroll </w:t>
            </w:r>
            <w:r w:rsidRPr="1B363BA7">
              <w:rPr>
                <w:rFonts w:eastAsia="Calibri"/>
                <w:lang w:eastAsia="en-US"/>
              </w:rPr>
              <w:t>Advisor</w:t>
            </w:r>
            <w:r w:rsidR="244A1CB2" w:rsidRPr="762DC809">
              <w:rPr>
                <w:rFonts w:eastAsia="Calibri"/>
                <w:lang w:eastAsia="en-US"/>
              </w:rPr>
              <w:t>/</w:t>
            </w:r>
            <w:r w:rsidR="244A1CB2" w:rsidRPr="75DD07EF">
              <w:rPr>
                <w:rFonts w:eastAsia="Calibri"/>
                <w:lang w:eastAsia="en-US"/>
              </w:rPr>
              <w:t xml:space="preserve">Senior Payroll </w:t>
            </w:r>
            <w:r w:rsidR="244A1CB2" w:rsidRPr="22CA93D1">
              <w:rPr>
                <w:rFonts w:eastAsia="Calibri"/>
                <w:lang w:eastAsia="en-US"/>
              </w:rPr>
              <w:t>Advisor</w:t>
            </w:r>
          </w:p>
        </w:tc>
      </w:tr>
      <w:tr w:rsidR="00E415C6" w:rsidRPr="00DD306E" w14:paraId="68158108" w14:textId="77777777" w:rsidTr="007879D5">
        <w:trPr>
          <w:trHeight w:val="407"/>
        </w:trPr>
        <w:tc>
          <w:tcPr>
            <w:tcW w:w="198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F5F5F5"/>
          </w:tcPr>
          <w:p w14:paraId="243B4B81" w14:textId="1DBEBD15" w:rsidR="00E415C6" w:rsidRPr="00D55E4B" w:rsidRDefault="00E415C6" w:rsidP="00E415C6">
            <w:pPr>
              <w:spacing w:before="80" w:after="160" w:line="259" w:lineRule="auto"/>
              <w:ind w:left="-392" w:firstLine="392"/>
              <w:rPr>
                <w:rFonts w:eastAsiaTheme="majorEastAsia" w:cs="Arial"/>
                <w:color w:val="265A9A"/>
                <w:szCs w:val="22"/>
                <w:lang w:eastAsia="en-US"/>
              </w:rPr>
            </w:pPr>
            <w:r w:rsidRPr="00D55E4B">
              <w:rPr>
                <w:rFonts w:eastAsiaTheme="majorEastAsia"/>
                <w:color w:val="265A9A"/>
                <w:szCs w:val="22"/>
                <w:lang w:eastAsia="en-US"/>
              </w:rPr>
              <w:t>Branch</w:t>
            </w:r>
          </w:p>
        </w:tc>
        <w:tc>
          <w:tcPr>
            <w:tcW w:w="809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11CC5CEC" w14:textId="4480C359" w:rsidR="00E415C6" w:rsidRPr="00DD306E" w:rsidRDefault="000F3D6E" w:rsidP="00E415C6">
            <w:p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Corporate Group</w:t>
            </w:r>
          </w:p>
        </w:tc>
      </w:tr>
      <w:tr w:rsidR="00E415C6" w:rsidRPr="00DD306E" w14:paraId="7F28B1FE" w14:textId="77777777" w:rsidTr="007879D5">
        <w:trPr>
          <w:trHeight w:val="407"/>
        </w:trPr>
        <w:tc>
          <w:tcPr>
            <w:tcW w:w="198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F5F5F5"/>
          </w:tcPr>
          <w:p w14:paraId="41A45D3E" w14:textId="7CDAAEDE" w:rsidR="00E415C6" w:rsidRPr="00D55E4B" w:rsidRDefault="00E415C6" w:rsidP="00E415C6">
            <w:pPr>
              <w:spacing w:before="80" w:after="160" w:line="259" w:lineRule="auto"/>
              <w:rPr>
                <w:rFonts w:eastAsiaTheme="majorEastAsia" w:cs="Arial"/>
                <w:color w:val="265A9A"/>
                <w:szCs w:val="22"/>
                <w:lang w:eastAsia="en-US"/>
              </w:rPr>
            </w:pPr>
            <w:r w:rsidRPr="00D55E4B">
              <w:rPr>
                <w:rFonts w:eastAsiaTheme="majorEastAsia"/>
                <w:color w:val="265A9A"/>
                <w:szCs w:val="22"/>
                <w:lang w:eastAsia="en-US"/>
              </w:rPr>
              <w:t>Team</w:t>
            </w:r>
          </w:p>
        </w:tc>
        <w:tc>
          <w:tcPr>
            <w:tcW w:w="809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5999DFB9" w14:textId="7E9CAB3A" w:rsidR="00E415C6" w:rsidRPr="00DD306E" w:rsidRDefault="000F3D6E" w:rsidP="00E415C6">
            <w:p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Human Resources</w:t>
            </w:r>
          </w:p>
        </w:tc>
      </w:tr>
      <w:tr w:rsidR="00E415C6" w:rsidRPr="00DD306E" w14:paraId="0A94B258" w14:textId="77777777" w:rsidTr="007879D5">
        <w:trPr>
          <w:trHeight w:val="407"/>
        </w:trPr>
        <w:tc>
          <w:tcPr>
            <w:tcW w:w="198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F5F5F5"/>
          </w:tcPr>
          <w:p w14:paraId="21F8BFDF" w14:textId="26B83DDF" w:rsidR="00E415C6" w:rsidRPr="00D55E4B" w:rsidRDefault="00E415C6" w:rsidP="00E415C6">
            <w:pPr>
              <w:spacing w:before="80" w:after="160" w:line="259" w:lineRule="auto"/>
              <w:rPr>
                <w:rFonts w:eastAsiaTheme="majorEastAsia" w:cs="Arial"/>
                <w:color w:val="265A9A"/>
                <w:szCs w:val="22"/>
                <w:lang w:eastAsia="en-US"/>
              </w:rPr>
            </w:pPr>
            <w:r w:rsidRPr="00D55E4B">
              <w:rPr>
                <w:rFonts w:eastAsiaTheme="majorEastAsia"/>
                <w:color w:val="265A9A"/>
                <w:szCs w:val="22"/>
                <w:lang w:eastAsia="en-US"/>
              </w:rPr>
              <w:t>Level</w:t>
            </w:r>
          </w:p>
        </w:tc>
        <w:tc>
          <w:tcPr>
            <w:tcW w:w="809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5EE5842F" w14:textId="1C5B7CFF" w:rsidR="00E415C6" w:rsidRPr="00DD306E" w:rsidRDefault="00ED5D62" w:rsidP="00E415C6">
            <w:pPr>
              <w:spacing w:before="80" w:after="160" w:line="259" w:lineRule="auto"/>
              <w:rPr>
                <w:rFonts w:eastAsia="Calibri"/>
                <w:szCs w:val="22"/>
                <w:highlight w:val="yellow"/>
                <w:lang w:eastAsia="en-US"/>
              </w:rPr>
            </w:pPr>
            <w:r w:rsidRPr="00DD306E">
              <w:rPr>
                <w:rFonts w:eastAsia="Calibri"/>
                <w:szCs w:val="22"/>
                <w:lang w:eastAsia="en-US"/>
              </w:rPr>
              <w:t xml:space="preserve">Broadband </w:t>
            </w:r>
            <w:r w:rsidR="005B13F1" w:rsidRPr="00DD306E">
              <w:rPr>
                <w:rFonts w:eastAsia="Calibri"/>
                <w:szCs w:val="22"/>
                <w:lang w:eastAsia="en-US"/>
              </w:rPr>
              <w:t>Staff Level 2 (APS Level 5 and 6</w:t>
            </w:r>
            <w:r w:rsidR="00EF5872" w:rsidRPr="00DD306E">
              <w:rPr>
                <w:rFonts w:eastAsia="Calibri"/>
                <w:szCs w:val="22"/>
                <w:lang w:eastAsia="en-US"/>
              </w:rPr>
              <w:t>)</w:t>
            </w:r>
          </w:p>
        </w:tc>
      </w:tr>
      <w:tr w:rsidR="00E415C6" w:rsidRPr="00DD306E" w14:paraId="5627FCC2" w14:textId="77777777" w:rsidTr="007879D5">
        <w:trPr>
          <w:trHeight w:val="407"/>
        </w:trPr>
        <w:tc>
          <w:tcPr>
            <w:tcW w:w="198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F5F5F5"/>
          </w:tcPr>
          <w:p w14:paraId="058A9A09" w14:textId="47B99662" w:rsidR="00E415C6" w:rsidRPr="00D55E4B" w:rsidRDefault="00E415C6" w:rsidP="00E415C6">
            <w:pPr>
              <w:spacing w:before="80" w:after="160" w:line="259" w:lineRule="auto"/>
              <w:rPr>
                <w:rFonts w:eastAsiaTheme="majorEastAsia" w:cs="Arial"/>
                <w:color w:val="265A9A"/>
                <w:szCs w:val="22"/>
                <w:lang w:eastAsia="en-US"/>
              </w:rPr>
            </w:pPr>
            <w:r w:rsidRPr="00D55E4B">
              <w:rPr>
                <w:rFonts w:eastAsiaTheme="majorEastAsia"/>
                <w:color w:val="265A9A"/>
                <w:szCs w:val="22"/>
                <w:lang w:eastAsia="en-US"/>
              </w:rPr>
              <w:t xml:space="preserve">Role </w:t>
            </w:r>
            <w:r w:rsidRPr="00D55E4B">
              <w:rPr>
                <w:color w:val="265A9A"/>
                <w:szCs w:val="22"/>
                <w:lang w:eastAsia="en-US"/>
              </w:rPr>
              <w:t>c</w:t>
            </w:r>
            <w:r w:rsidRPr="00D55E4B">
              <w:rPr>
                <w:rFonts w:eastAsiaTheme="majorEastAsia"/>
                <w:color w:val="265A9A"/>
                <w:szCs w:val="22"/>
                <w:lang w:eastAsia="en-US"/>
              </w:rPr>
              <w:t>ontext</w:t>
            </w:r>
          </w:p>
        </w:tc>
        <w:tc>
          <w:tcPr>
            <w:tcW w:w="809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0993EE7A" w14:textId="3CE4636B" w:rsidR="007B6685" w:rsidRDefault="007B6685" w:rsidP="003877E3">
            <w:p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 w:rsidRPr="32982CBE">
              <w:rPr>
                <w:rFonts w:eastAsia="Calibri"/>
                <w:lang w:eastAsia="en-US"/>
              </w:rPr>
              <w:t xml:space="preserve">We are seeking professional, high performing and motivated individuals with </w:t>
            </w:r>
            <w:r w:rsidR="00D266D0" w:rsidRPr="32982CBE">
              <w:rPr>
                <w:rFonts w:eastAsia="Calibri"/>
                <w:lang w:eastAsia="en-US"/>
              </w:rPr>
              <w:t>strong technical knowledge and e</w:t>
            </w:r>
            <w:r w:rsidRPr="32982CBE">
              <w:rPr>
                <w:rFonts w:eastAsia="Calibri"/>
                <w:lang w:eastAsia="en-US"/>
              </w:rPr>
              <w:t xml:space="preserve">xperience in one or more of the HR disciplines – wellbeing, health and safety, </w:t>
            </w:r>
            <w:r w:rsidR="00EA7821" w:rsidRPr="32982CBE">
              <w:rPr>
                <w:rFonts w:eastAsia="Calibri"/>
                <w:lang w:eastAsia="en-US"/>
              </w:rPr>
              <w:t xml:space="preserve">inclusion and </w:t>
            </w:r>
            <w:r w:rsidRPr="32982CBE">
              <w:rPr>
                <w:rFonts w:eastAsia="Calibri"/>
                <w:lang w:eastAsia="en-US"/>
              </w:rPr>
              <w:t xml:space="preserve">diversity, workplace relations, strategy and reporting, learning </w:t>
            </w:r>
            <w:r w:rsidR="00CD3CA4" w:rsidRPr="32982CBE">
              <w:rPr>
                <w:rFonts w:eastAsia="Calibri"/>
                <w:lang w:eastAsia="en-US"/>
              </w:rPr>
              <w:t>and development</w:t>
            </w:r>
            <w:r w:rsidRPr="32982CBE">
              <w:rPr>
                <w:rFonts w:eastAsia="Calibri"/>
                <w:lang w:eastAsia="en-US"/>
              </w:rPr>
              <w:t>, recruitment, and pay and conditions. </w:t>
            </w:r>
          </w:p>
          <w:p w14:paraId="02238D7F" w14:textId="2783DD98" w:rsidR="003877E3" w:rsidRPr="00986ECB" w:rsidRDefault="494EFCA0" w:rsidP="54AA99AD">
            <w:pPr>
              <w:spacing w:after="120" w:line="259" w:lineRule="auto"/>
              <w:ind w:right="-142"/>
              <w:rPr>
                <w:rFonts w:eastAsia="Calibri"/>
                <w:lang w:eastAsia="en-US"/>
              </w:rPr>
            </w:pPr>
            <w:r w:rsidRPr="32982CBE">
              <w:rPr>
                <w:rFonts w:eastAsia="Calibri"/>
                <w:lang w:eastAsia="en-US"/>
              </w:rPr>
              <w:t xml:space="preserve">These roles are interesting and varied, providing the opportunity to work in a small, agile team supporting both operational and strategic HR functions and activities for the Productivity Commission (PC). </w:t>
            </w:r>
          </w:p>
          <w:p w14:paraId="7AA8C074" w14:textId="622AA06C" w:rsidR="003877E3" w:rsidRPr="00986ECB" w:rsidRDefault="003877E3" w:rsidP="003877E3">
            <w:pPr>
              <w:spacing w:after="120" w:line="259" w:lineRule="auto"/>
              <w:ind w:right="-142"/>
              <w:rPr>
                <w:rFonts w:eastAsia="Calibri"/>
                <w:lang w:eastAsia="en-US"/>
              </w:rPr>
            </w:pPr>
            <w:r w:rsidRPr="7A444F16">
              <w:rPr>
                <w:rFonts w:eastAsia="Calibri"/>
                <w:lang w:eastAsia="en-US"/>
              </w:rPr>
              <w:t xml:space="preserve"> </w:t>
            </w:r>
            <w:r w:rsidR="1FFFC404" w:rsidRPr="7A444F16">
              <w:rPr>
                <w:rFonts w:eastAsia="Calibri"/>
                <w:lang w:eastAsia="en-US"/>
              </w:rPr>
              <w:t>The successful candidate</w:t>
            </w:r>
            <w:r w:rsidRPr="7A444F16">
              <w:rPr>
                <w:rFonts w:eastAsia="Calibri"/>
                <w:lang w:eastAsia="en-US"/>
              </w:rPr>
              <w:t xml:space="preserve"> </w:t>
            </w:r>
            <w:r w:rsidR="792ECA11" w:rsidRPr="7A444F16">
              <w:rPr>
                <w:rFonts w:eastAsia="Calibri"/>
                <w:lang w:eastAsia="en-US"/>
              </w:rPr>
              <w:t xml:space="preserve">will be </w:t>
            </w:r>
            <w:r w:rsidR="00C34AF0" w:rsidRPr="7A444F16">
              <w:rPr>
                <w:rFonts w:eastAsia="Calibri"/>
                <w:lang w:eastAsia="en-US"/>
              </w:rPr>
              <w:t>an</w:t>
            </w:r>
            <w:r w:rsidRPr="7A444F16">
              <w:rPr>
                <w:rFonts w:eastAsia="Calibri"/>
                <w:lang w:eastAsia="en-US"/>
              </w:rPr>
              <w:t xml:space="preserve"> </w:t>
            </w:r>
            <w:r w:rsidR="000E667C" w:rsidRPr="7A444F16">
              <w:rPr>
                <w:rFonts w:eastAsia="Calibri"/>
                <w:lang w:eastAsia="en-US"/>
              </w:rPr>
              <w:t xml:space="preserve">experienced </w:t>
            </w:r>
            <w:r w:rsidRPr="7A444F16">
              <w:rPr>
                <w:rFonts w:eastAsia="Calibri"/>
                <w:lang w:eastAsia="en-US"/>
              </w:rPr>
              <w:t xml:space="preserve">practitioner, with strong communication and relationship management skills, an eye for detail, and a professional and flexible working style. </w:t>
            </w:r>
          </w:p>
          <w:p w14:paraId="36EC118F" w14:textId="1859446D" w:rsidR="003877E3" w:rsidRPr="00986ECB" w:rsidRDefault="1110200F" w:rsidP="003877E3">
            <w:pPr>
              <w:spacing w:after="120" w:line="259" w:lineRule="auto"/>
              <w:ind w:right="-142"/>
              <w:rPr>
                <w:rFonts w:eastAsia="Calibri"/>
                <w:lang w:eastAsia="en-US"/>
              </w:rPr>
            </w:pPr>
            <w:r w:rsidRPr="08416AC5">
              <w:rPr>
                <w:rFonts w:eastAsia="Calibri"/>
                <w:lang w:eastAsia="en-US"/>
              </w:rPr>
              <w:t>You</w:t>
            </w:r>
            <w:r w:rsidR="003877E3" w:rsidRPr="08416AC5">
              <w:rPr>
                <w:rFonts w:eastAsia="Calibri"/>
                <w:lang w:eastAsia="en-US"/>
              </w:rPr>
              <w:t xml:space="preserve"> will have the ability to manage multiple </w:t>
            </w:r>
            <w:proofErr w:type="gramStart"/>
            <w:r w:rsidR="003877E3" w:rsidRPr="08416AC5">
              <w:rPr>
                <w:rFonts w:eastAsia="Calibri"/>
                <w:lang w:eastAsia="en-US"/>
              </w:rPr>
              <w:t>priorities, and</w:t>
            </w:r>
            <w:proofErr w:type="gramEnd"/>
            <w:r w:rsidR="003877E3" w:rsidRPr="08416AC5">
              <w:rPr>
                <w:rFonts w:eastAsia="Calibri"/>
                <w:lang w:eastAsia="en-US"/>
              </w:rPr>
              <w:t xml:space="preserve"> </w:t>
            </w:r>
            <w:r w:rsidR="254CA76D" w:rsidRPr="08416AC5">
              <w:rPr>
                <w:rFonts w:eastAsia="Calibri"/>
                <w:lang w:eastAsia="en-US"/>
              </w:rPr>
              <w:t xml:space="preserve">have </w:t>
            </w:r>
            <w:r w:rsidR="003877E3" w:rsidRPr="08416AC5">
              <w:rPr>
                <w:rFonts w:eastAsia="Calibri"/>
                <w:lang w:eastAsia="en-US"/>
              </w:rPr>
              <w:t xml:space="preserve">a commitment to continuous improvement in HR service delivery.  </w:t>
            </w:r>
          </w:p>
          <w:p w14:paraId="2E886EE8" w14:textId="44F4D102" w:rsidR="00030EE3" w:rsidRPr="00937170" w:rsidRDefault="00030EE3" w:rsidP="00937170">
            <w:p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 w:rsidRPr="00937170">
              <w:rPr>
                <w:rFonts w:eastAsia="Calibri"/>
                <w:szCs w:val="22"/>
                <w:lang w:eastAsia="en-US"/>
              </w:rPr>
              <w:t xml:space="preserve">The </w:t>
            </w:r>
            <w:r w:rsidR="00082909">
              <w:rPr>
                <w:rFonts w:eastAsia="Calibri"/>
                <w:szCs w:val="22"/>
                <w:lang w:eastAsia="en-US"/>
              </w:rPr>
              <w:t>PC</w:t>
            </w:r>
            <w:r w:rsidRPr="00937170">
              <w:rPr>
                <w:rFonts w:eastAsia="Calibri"/>
                <w:szCs w:val="22"/>
                <w:lang w:eastAsia="en-US"/>
              </w:rPr>
              <w:t xml:space="preserve">’s HR team delivers high-quality support and advice across the full employee lifecycle. Our aim is to support the </w:t>
            </w:r>
            <w:r w:rsidR="00082909">
              <w:rPr>
                <w:rFonts w:eastAsia="Calibri"/>
                <w:szCs w:val="22"/>
                <w:lang w:eastAsia="en-US"/>
              </w:rPr>
              <w:t>PC</w:t>
            </w:r>
            <w:r w:rsidRPr="00937170">
              <w:rPr>
                <w:rFonts w:eastAsia="Calibri"/>
                <w:szCs w:val="22"/>
                <w:lang w:eastAsia="en-US"/>
              </w:rPr>
              <w:t xml:space="preserve"> in maintaining an engaged, inclusive, and healthy workforce with the capabilities and capacity to achieve the </w:t>
            </w:r>
            <w:r w:rsidR="00082909">
              <w:rPr>
                <w:rFonts w:eastAsia="Calibri"/>
                <w:szCs w:val="22"/>
                <w:lang w:eastAsia="en-US"/>
              </w:rPr>
              <w:t>PC’s</w:t>
            </w:r>
            <w:r w:rsidRPr="00937170">
              <w:rPr>
                <w:rFonts w:eastAsia="Calibri"/>
                <w:szCs w:val="22"/>
                <w:lang w:eastAsia="en-US"/>
              </w:rPr>
              <w:t xml:space="preserve"> goals – now and into the future.</w:t>
            </w:r>
          </w:p>
          <w:p w14:paraId="431373E7" w14:textId="77777777" w:rsidR="00030EE3" w:rsidRPr="00937170" w:rsidRDefault="00030EE3" w:rsidP="00937170">
            <w:p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 w:rsidRPr="00937170">
              <w:rPr>
                <w:rFonts w:eastAsia="Calibri"/>
                <w:szCs w:val="22"/>
                <w:lang w:eastAsia="en-US"/>
              </w:rPr>
              <w:t>The team’s responsibilities are broadly grouped in two functional streams of work:</w:t>
            </w:r>
          </w:p>
          <w:p w14:paraId="5C52328B" w14:textId="77777777" w:rsidR="00030EE3" w:rsidRPr="00475054" w:rsidRDefault="00030EE3" w:rsidP="00030EE3">
            <w:pPr>
              <w:pStyle w:val="ListParagraph"/>
              <w:numPr>
                <w:ilvl w:val="0"/>
                <w:numId w:val="6"/>
              </w:numPr>
              <w:spacing w:after="120" w:line="259" w:lineRule="auto"/>
              <w:ind w:right="-142"/>
              <w:rPr>
                <w:b/>
                <w:bCs/>
              </w:rPr>
            </w:pPr>
            <w:r>
              <w:rPr>
                <w:b/>
                <w:bCs/>
              </w:rPr>
              <w:t xml:space="preserve">Workforce development and conditions </w:t>
            </w:r>
            <w:r w:rsidRPr="00122F2D">
              <w:t>–</w:t>
            </w:r>
            <w:r>
              <w:rPr>
                <w:b/>
                <w:bCs/>
              </w:rPr>
              <w:t xml:space="preserve"> </w:t>
            </w:r>
            <w:r>
              <w:t>including</w:t>
            </w:r>
            <w:r w:rsidRPr="004C70DA">
              <w:t xml:space="preserve"> pay and conditions (we manage our pay and conditions in house using Aurion), recruitment, learning and development, inclusion and diversity</w:t>
            </w:r>
            <w:r>
              <w:t xml:space="preserve">, and </w:t>
            </w:r>
            <w:r w:rsidRPr="004C70DA">
              <w:t>workforce strategy</w:t>
            </w:r>
            <w:r>
              <w:t xml:space="preserve">; and </w:t>
            </w:r>
          </w:p>
          <w:p w14:paraId="5869DF3A" w14:textId="77777777" w:rsidR="00030EE3" w:rsidRPr="004C70DA" w:rsidRDefault="00030EE3" w:rsidP="00030EE3">
            <w:pPr>
              <w:pStyle w:val="ListParagraph"/>
              <w:numPr>
                <w:ilvl w:val="0"/>
                <w:numId w:val="6"/>
              </w:numPr>
              <w:spacing w:after="120" w:line="259" w:lineRule="auto"/>
              <w:ind w:right="-142"/>
              <w:rPr>
                <w:b/>
                <w:bCs/>
              </w:rPr>
            </w:pPr>
            <w:r w:rsidRPr="00475054">
              <w:rPr>
                <w:b/>
                <w:bCs/>
              </w:rPr>
              <w:t>Workplace relations and wellbeing</w:t>
            </w:r>
            <w:r>
              <w:t xml:space="preserve"> – including</w:t>
            </w:r>
            <w:r w:rsidRPr="004C70DA">
              <w:t xml:space="preserve"> performance management, employee relations, </w:t>
            </w:r>
            <w:r>
              <w:t xml:space="preserve">conduct and integrity, and </w:t>
            </w:r>
            <w:r w:rsidRPr="004C70DA">
              <w:t>work health and safety (WHS) and wellbeing.</w:t>
            </w:r>
          </w:p>
          <w:p w14:paraId="31440A5C" w14:textId="6833A0C1" w:rsidR="00E415C6" w:rsidRPr="000E667C" w:rsidRDefault="00030EE3" w:rsidP="000E667C">
            <w:p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 w:rsidRPr="00937170">
              <w:rPr>
                <w:rFonts w:eastAsia="Calibri"/>
                <w:szCs w:val="22"/>
                <w:lang w:eastAsia="en-US"/>
              </w:rPr>
              <w:t>Across this broad range of functions, HR team members work flexibly and collaboratively to provide timely, accurate advice and support – balancing operational priorities with longer-term strategic projects.</w:t>
            </w:r>
          </w:p>
        </w:tc>
      </w:tr>
      <w:tr w:rsidR="00E415C6" w:rsidRPr="00DD306E" w14:paraId="3A654536" w14:textId="77777777" w:rsidTr="007879D5">
        <w:trPr>
          <w:trHeight w:val="407"/>
        </w:trPr>
        <w:tc>
          <w:tcPr>
            <w:tcW w:w="198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F5F5F5"/>
          </w:tcPr>
          <w:p w14:paraId="571887D3" w14:textId="4B50700C" w:rsidR="00E415C6" w:rsidRPr="00D55E4B" w:rsidRDefault="00E415C6" w:rsidP="00E415C6">
            <w:pPr>
              <w:spacing w:before="80" w:after="160" w:line="259" w:lineRule="auto"/>
              <w:rPr>
                <w:rFonts w:eastAsiaTheme="majorEastAsia" w:cs="Arial"/>
                <w:color w:val="265A9A"/>
                <w:szCs w:val="22"/>
                <w:lang w:eastAsia="en-US"/>
              </w:rPr>
            </w:pPr>
            <w:r w:rsidRPr="00D55E4B">
              <w:rPr>
                <w:rFonts w:eastAsiaTheme="majorEastAsia"/>
                <w:color w:val="265A9A"/>
                <w:szCs w:val="22"/>
                <w:lang w:eastAsia="en-US"/>
              </w:rPr>
              <w:t xml:space="preserve">Reports </w:t>
            </w:r>
            <w:r w:rsidRPr="00D55E4B">
              <w:rPr>
                <w:color w:val="265A9A"/>
                <w:szCs w:val="22"/>
                <w:lang w:eastAsia="en-US"/>
              </w:rPr>
              <w:t>t</w:t>
            </w:r>
            <w:r w:rsidRPr="00D55E4B">
              <w:rPr>
                <w:rFonts w:eastAsiaTheme="majorEastAsia"/>
                <w:color w:val="265A9A"/>
                <w:szCs w:val="22"/>
                <w:lang w:eastAsia="en-US"/>
              </w:rPr>
              <w:t>o</w:t>
            </w:r>
          </w:p>
        </w:tc>
        <w:tc>
          <w:tcPr>
            <w:tcW w:w="809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631F9253" w14:textId="544392CE" w:rsidR="00E415C6" w:rsidRPr="00DD306E" w:rsidRDefault="007C220A" w:rsidP="00E415C6">
            <w:pPr>
              <w:spacing w:before="80"/>
              <w:rPr>
                <w:rFonts w:eastAsia="Calibri"/>
                <w:szCs w:val="22"/>
                <w:highlight w:val="yellow"/>
                <w:lang w:eastAsia="en-US"/>
              </w:rPr>
            </w:pPr>
            <w:r w:rsidRPr="00C34AF0">
              <w:rPr>
                <w:rFonts w:eastAsia="Calibri"/>
                <w:szCs w:val="22"/>
                <w:lang w:eastAsia="en-US"/>
              </w:rPr>
              <w:t>Assistant Director, HR</w:t>
            </w:r>
          </w:p>
        </w:tc>
      </w:tr>
      <w:tr w:rsidR="00E415C6" w:rsidRPr="00DD306E" w14:paraId="597E7F54" w14:textId="77777777" w:rsidTr="007879D5">
        <w:trPr>
          <w:trHeight w:val="407"/>
        </w:trPr>
        <w:tc>
          <w:tcPr>
            <w:tcW w:w="198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F5F5F5"/>
          </w:tcPr>
          <w:p w14:paraId="5A1CEDA0" w14:textId="30E2B433" w:rsidR="00E415C6" w:rsidRPr="00D55E4B" w:rsidRDefault="00E415C6" w:rsidP="00E415C6">
            <w:pPr>
              <w:spacing w:before="80" w:after="160" w:line="259" w:lineRule="auto"/>
              <w:rPr>
                <w:rFonts w:eastAsiaTheme="majorEastAsia" w:cs="Arial"/>
                <w:color w:val="265A9A"/>
                <w:szCs w:val="22"/>
                <w:lang w:eastAsia="en-US"/>
              </w:rPr>
            </w:pPr>
            <w:r w:rsidRPr="00D55E4B">
              <w:rPr>
                <w:rFonts w:eastAsiaTheme="majorEastAsia"/>
                <w:color w:val="265A9A"/>
                <w:szCs w:val="22"/>
                <w:lang w:eastAsia="en-US"/>
              </w:rPr>
              <w:t xml:space="preserve">Direct </w:t>
            </w:r>
            <w:r w:rsidRPr="00D55E4B">
              <w:rPr>
                <w:color w:val="265A9A"/>
                <w:szCs w:val="22"/>
                <w:lang w:eastAsia="en-US"/>
              </w:rPr>
              <w:t>r</w:t>
            </w:r>
            <w:r w:rsidRPr="00D55E4B">
              <w:rPr>
                <w:rFonts w:eastAsiaTheme="majorEastAsia"/>
                <w:color w:val="265A9A"/>
                <w:szCs w:val="22"/>
                <w:lang w:eastAsia="en-US"/>
              </w:rPr>
              <w:t>eports</w:t>
            </w:r>
          </w:p>
        </w:tc>
        <w:tc>
          <w:tcPr>
            <w:tcW w:w="809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22D4F821" w14:textId="5D53802E" w:rsidR="00E415C6" w:rsidRPr="00DD306E" w:rsidRDefault="005B13F1" w:rsidP="005B13F1">
            <w:p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DD306E">
              <w:rPr>
                <w:rFonts w:eastAsia="Calibri"/>
                <w:szCs w:val="22"/>
                <w:lang w:eastAsia="en-US"/>
              </w:rPr>
              <w:t>Nil</w:t>
            </w:r>
          </w:p>
        </w:tc>
      </w:tr>
      <w:tr w:rsidR="000F3AA7" w:rsidRPr="00DD306E" w14:paraId="0D880B22" w14:textId="77777777" w:rsidTr="007879D5">
        <w:trPr>
          <w:trHeight w:val="407"/>
        </w:trPr>
        <w:tc>
          <w:tcPr>
            <w:tcW w:w="198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F5F5F5"/>
          </w:tcPr>
          <w:p w14:paraId="7AB88A33" w14:textId="39892A18" w:rsidR="000F3AA7" w:rsidRPr="00D55E4B" w:rsidRDefault="000F3AA7" w:rsidP="00E415C6">
            <w:pPr>
              <w:spacing w:before="80" w:after="160" w:line="259" w:lineRule="auto"/>
              <w:rPr>
                <w:rFonts w:eastAsiaTheme="majorEastAsia"/>
                <w:color w:val="265A9A"/>
                <w:szCs w:val="22"/>
                <w:lang w:eastAsia="en-US"/>
              </w:rPr>
            </w:pPr>
            <w:r w:rsidRPr="00D55E4B">
              <w:rPr>
                <w:rFonts w:eastAsiaTheme="majorEastAsia"/>
                <w:color w:val="265A9A"/>
                <w:szCs w:val="22"/>
                <w:lang w:eastAsia="en-US"/>
              </w:rPr>
              <w:t>Contact officer</w:t>
            </w:r>
          </w:p>
        </w:tc>
        <w:tc>
          <w:tcPr>
            <w:tcW w:w="809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149AB114" w14:textId="06EC5940" w:rsidR="000F3AA7" w:rsidRPr="00DD306E" w:rsidRDefault="00233DBE" w:rsidP="005B13F1">
            <w:p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David Swan </w:t>
            </w:r>
            <w:r w:rsidR="00C34AF0">
              <w:rPr>
                <w:rFonts w:eastAsia="Calibri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Cs w:val="22"/>
                <w:lang w:eastAsia="en-US"/>
              </w:rPr>
              <w:t xml:space="preserve">(02) </w:t>
            </w:r>
            <w:r w:rsidR="00CE6FE6" w:rsidRPr="00CE6FE6">
              <w:rPr>
                <w:rFonts w:eastAsia="Calibri"/>
                <w:szCs w:val="22"/>
                <w:lang w:eastAsia="en-US"/>
              </w:rPr>
              <w:t>6240 3213</w:t>
            </w:r>
          </w:p>
        </w:tc>
      </w:tr>
    </w:tbl>
    <w:p w14:paraId="32607FB0" w14:textId="77777777" w:rsidR="00C23371" w:rsidRDefault="00C23371">
      <w:r>
        <w:br w:type="page"/>
      </w:r>
    </w:p>
    <w:tbl>
      <w:tblPr>
        <w:tblStyle w:val="TableGrid"/>
        <w:tblpPr w:leftFromText="180" w:rightFromText="180" w:vertAnchor="text" w:horzAnchor="margin" w:tblpX="-568" w:tblpY="23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800"/>
      </w:tblGrid>
      <w:tr w:rsidR="00E415C6" w:rsidRPr="00DD306E" w14:paraId="6345DD1D" w14:textId="77777777" w:rsidTr="00FE5D4B">
        <w:trPr>
          <w:trHeight w:val="407"/>
        </w:trPr>
        <w:tc>
          <w:tcPr>
            <w:tcW w:w="198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F5F5F5"/>
          </w:tcPr>
          <w:p w14:paraId="4B2A410F" w14:textId="0A351B2F" w:rsidR="00E415C6" w:rsidRPr="00DD306E" w:rsidRDefault="00E415C6" w:rsidP="00E415C6">
            <w:pPr>
              <w:spacing w:before="80" w:after="160" w:line="259" w:lineRule="auto"/>
              <w:rPr>
                <w:rFonts w:eastAsiaTheme="majorEastAsia" w:cs="Arial"/>
                <w:szCs w:val="22"/>
                <w:lang w:eastAsia="en-US"/>
              </w:rPr>
            </w:pPr>
            <w:r w:rsidRPr="00DD306E">
              <w:rPr>
                <w:rFonts w:eastAsiaTheme="majorEastAsia"/>
                <w:color w:val="265A9A"/>
                <w:szCs w:val="22"/>
                <w:lang w:eastAsia="en-US"/>
              </w:rPr>
              <w:lastRenderedPageBreak/>
              <w:t>Responsibilities</w:t>
            </w:r>
          </w:p>
        </w:tc>
        <w:tc>
          <w:tcPr>
            <w:tcW w:w="780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4D8431B2" w14:textId="77777777" w:rsidR="00233DBE" w:rsidRDefault="00233DBE" w:rsidP="00233DBE">
            <w:pPr>
              <w:spacing w:after="120" w:line="259" w:lineRule="auto"/>
              <w:ind w:right="-142"/>
            </w:pPr>
            <w:r>
              <w:t>Key accountabilities may include:</w:t>
            </w:r>
          </w:p>
          <w:p w14:paraId="0195E8EE" w14:textId="213832B2" w:rsidR="00A40259" w:rsidRPr="00A40259" w:rsidRDefault="00A40259" w:rsidP="00A40259">
            <w:pPr>
              <w:spacing w:after="120" w:line="276" w:lineRule="auto"/>
              <w:ind w:left="426" w:hanging="431"/>
              <w:rPr>
                <w:rFonts w:eastAsia="Calibri"/>
                <w:b/>
                <w:color w:val="66BCDB"/>
                <w:szCs w:val="22"/>
                <w:lang w:eastAsia="en-US"/>
              </w:rPr>
            </w:pPr>
            <w:r w:rsidRPr="00A40259">
              <w:rPr>
                <w:rFonts w:eastAsia="Calibri"/>
                <w:b/>
                <w:color w:val="66BCDB"/>
                <w:szCs w:val="22"/>
                <w:lang w:eastAsia="en-US"/>
              </w:rPr>
              <w:t>HR</w:t>
            </w:r>
            <w:r w:rsidR="00E87F93">
              <w:rPr>
                <w:rFonts w:eastAsia="Calibri"/>
                <w:b/>
                <w:color w:val="66BCDB"/>
                <w:szCs w:val="22"/>
                <w:lang w:eastAsia="en-US"/>
              </w:rPr>
              <w:t xml:space="preserve"> </w:t>
            </w:r>
            <w:r w:rsidR="008E0440">
              <w:rPr>
                <w:rFonts w:eastAsia="Calibri"/>
                <w:b/>
                <w:color w:val="66BCDB"/>
                <w:szCs w:val="22"/>
                <w:lang w:eastAsia="en-US"/>
              </w:rPr>
              <w:t>Advisor</w:t>
            </w:r>
            <w:r w:rsidR="00055AFC">
              <w:rPr>
                <w:rFonts w:eastAsia="Calibri"/>
                <w:b/>
                <w:color w:val="66BCDB"/>
                <w:szCs w:val="22"/>
                <w:lang w:eastAsia="en-US"/>
              </w:rPr>
              <w:t xml:space="preserve"> / Senior HR Advisor</w:t>
            </w:r>
          </w:p>
          <w:p w14:paraId="63735DFE" w14:textId="77777777" w:rsidR="00233DBE" w:rsidRPr="00D53114" w:rsidRDefault="00233DBE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 w:rsidRPr="00D53114">
              <w:rPr>
                <w:rFonts w:eastAsia="Calibri"/>
                <w:szCs w:val="22"/>
                <w:lang w:eastAsia="en-US"/>
              </w:rPr>
              <w:t>providing advice and support to management and staff on, and managing administrative aspects of, a wide range of HR matters</w:t>
            </w:r>
          </w:p>
          <w:p w14:paraId="3B699744" w14:textId="4DBE8528" w:rsidR="00E73889" w:rsidRPr="00E73889" w:rsidRDefault="003E7B79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support</w:t>
            </w:r>
            <w:r w:rsidR="00E73889" w:rsidRPr="00E73889">
              <w:rPr>
                <w:rFonts w:eastAsia="Calibri"/>
                <w:szCs w:val="22"/>
                <w:lang w:eastAsia="en-US"/>
              </w:rPr>
              <w:t xml:space="preserve"> recruitment</w:t>
            </w:r>
            <w:r w:rsidR="00E73889">
              <w:rPr>
                <w:rFonts w:eastAsia="Calibri"/>
                <w:szCs w:val="22"/>
                <w:lang w:eastAsia="en-US"/>
              </w:rPr>
              <w:t xml:space="preserve"> </w:t>
            </w:r>
            <w:r w:rsidR="00E73889" w:rsidRPr="00E73889">
              <w:rPr>
                <w:rFonts w:eastAsia="Calibri"/>
                <w:szCs w:val="22"/>
                <w:lang w:eastAsia="en-US"/>
              </w:rPr>
              <w:t>process</w:t>
            </w:r>
            <w:r>
              <w:rPr>
                <w:rFonts w:eastAsia="Calibri"/>
                <w:szCs w:val="22"/>
                <w:lang w:eastAsia="en-US"/>
              </w:rPr>
              <w:t>es</w:t>
            </w:r>
            <w:r w:rsidR="00E73889" w:rsidRPr="00E73889">
              <w:rPr>
                <w:rFonts w:eastAsia="Calibri"/>
                <w:szCs w:val="22"/>
                <w:lang w:eastAsia="en-US"/>
              </w:rPr>
              <w:t>, providing advice on best practices for recruitment and selection, ensuring adherence to merit-based selection principles</w:t>
            </w:r>
          </w:p>
          <w:p w14:paraId="5CDCCE76" w14:textId="6ABFEE0B" w:rsidR="00E73889" w:rsidRPr="00E73889" w:rsidRDefault="00E73889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 w:rsidRPr="00E73889">
              <w:rPr>
                <w:rFonts w:eastAsia="Calibri"/>
                <w:szCs w:val="22"/>
                <w:lang w:eastAsia="en-US"/>
              </w:rPr>
              <w:t>coordinate activities relating to the performance appraisal process</w:t>
            </w:r>
            <w:r w:rsidR="00500FAB">
              <w:rPr>
                <w:rFonts w:eastAsia="Calibri"/>
                <w:szCs w:val="22"/>
                <w:lang w:eastAsia="en-US"/>
              </w:rPr>
              <w:t xml:space="preserve"> including</w:t>
            </w:r>
            <w:r w:rsidRPr="00E73889">
              <w:rPr>
                <w:rFonts w:eastAsia="Calibri"/>
                <w:szCs w:val="22"/>
                <w:lang w:eastAsia="en-US"/>
              </w:rPr>
              <w:t xml:space="preserve"> provid</w:t>
            </w:r>
            <w:r w:rsidR="00500FAB">
              <w:rPr>
                <w:rFonts w:eastAsia="Calibri"/>
                <w:szCs w:val="22"/>
                <w:lang w:eastAsia="en-US"/>
              </w:rPr>
              <w:t>ing</w:t>
            </w:r>
            <w:r w:rsidRPr="00E73889">
              <w:rPr>
                <w:rFonts w:eastAsia="Calibri"/>
                <w:szCs w:val="22"/>
                <w:lang w:eastAsia="en-US"/>
              </w:rPr>
              <w:t xml:space="preserve"> support to managers on performance management issues, </w:t>
            </w:r>
            <w:r w:rsidR="00FD0062">
              <w:rPr>
                <w:rFonts w:eastAsia="Calibri"/>
                <w:szCs w:val="22"/>
                <w:lang w:eastAsia="en-US"/>
              </w:rPr>
              <w:t xml:space="preserve">and </w:t>
            </w:r>
            <w:r w:rsidRPr="00E73889">
              <w:rPr>
                <w:rFonts w:eastAsia="Calibri"/>
                <w:szCs w:val="22"/>
                <w:lang w:eastAsia="en-US"/>
              </w:rPr>
              <w:t>develop and implement performance improvement plans</w:t>
            </w:r>
          </w:p>
          <w:p w14:paraId="1DE97F01" w14:textId="0532C57C" w:rsidR="00E73889" w:rsidRPr="00E73889" w:rsidRDefault="00E73889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 w:rsidRPr="00E73889">
              <w:rPr>
                <w:rFonts w:eastAsia="Calibri"/>
                <w:szCs w:val="22"/>
                <w:lang w:eastAsia="en-US"/>
              </w:rPr>
              <w:t xml:space="preserve">facilitate identification of training needs and coordinate professional development programs including evaluating the effectiveness of training initiatives </w:t>
            </w:r>
          </w:p>
          <w:p w14:paraId="396D902B" w14:textId="77777777" w:rsidR="00592C1D" w:rsidRPr="00157068" w:rsidRDefault="00592C1D" w:rsidP="00592C1D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 w:rsidRPr="00157068">
              <w:rPr>
                <w:rFonts w:eastAsia="Calibri"/>
                <w:szCs w:val="22"/>
                <w:lang w:eastAsia="en-US"/>
              </w:rPr>
              <w:t>maintain accurate HR records and databases, prepare HR reports and analytics to support decision-making, ensuring data privacy and confidentiality are maintained</w:t>
            </w:r>
          </w:p>
          <w:p w14:paraId="5BE9BB6E" w14:textId="77777777" w:rsidR="00233DBE" w:rsidRPr="00D53114" w:rsidRDefault="00233DBE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 w:rsidRPr="00D53114">
              <w:rPr>
                <w:rFonts w:eastAsia="Calibri"/>
                <w:szCs w:val="22"/>
                <w:lang w:eastAsia="en-US"/>
              </w:rPr>
              <w:t>coordinating meetings and forums, including providing secretariat support for consultative committees</w:t>
            </w:r>
          </w:p>
          <w:p w14:paraId="5C3E9521" w14:textId="29A3284E" w:rsidR="00157068" w:rsidRPr="00157068" w:rsidRDefault="00157068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 w:rsidRPr="00157068">
              <w:rPr>
                <w:rFonts w:eastAsia="Calibri"/>
                <w:szCs w:val="22"/>
                <w:lang w:eastAsia="en-US"/>
              </w:rPr>
              <w:t xml:space="preserve">build and maintain positive relationships with internal and external stakeholders acting as a point of contact for HR-related inquiries and issues, as well as collaborating with other </w:t>
            </w:r>
            <w:r>
              <w:rPr>
                <w:rFonts w:eastAsia="Calibri"/>
                <w:szCs w:val="22"/>
                <w:lang w:eastAsia="en-US"/>
              </w:rPr>
              <w:t>teams</w:t>
            </w:r>
            <w:r w:rsidRPr="00157068">
              <w:rPr>
                <w:rFonts w:eastAsia="Calibri"/>
                <w:szCs w:val="22"/>
                <w:lang w:eastAsia="en-US"/>
              </w:rPr>
              <w:t xml:space="preserve"> to align HR strategies with broader APS strategies</w:t>
            </w:r>
          </w:p>
          <w:p w14:paraId="644D6BA1" w14:textId="77777777" w:rsidR="00157068" w:rsidRPr="00157068" w:rsidRDefault="00157068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 w:rsidRPr="00157068">
              <w:rPr>
                <w:rFonts w:eastAsia="Calibri"/>
                <w:szCs w:val="22"/>
                <w:lang w:eastAsia="en-US"/>
              </w:rPr>
              <w:t>provide leadership and guidance to HR team members ensuring compliance with APS values, employment principles, and the APS Code of Conduct</w:t>
            </w:r>
          </w:p>
          <w:p w14:paraId="7FB3FF0B" w14:textId="36398252" w:rsidR="00E415C6" w:rsidRDefault="00233DBE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  <w:szCs w:val="22"/>
                <w:lang w:eastAsia="en-US"/>
              </w:rPr>
            </w:pPr>
            <w:r w:rsidRPr="00D53114">
              <w:rPr>
                <w:rFonts w:eastAsia="Calibri"/>
                <w:szCs w:val="22"/>
                <w:lang w:eastAsia="en-US"/>
              </w:rPr>
              <w:t>contributing to the development, implementation and evaluation of HR policies, practices and services</w:t>
            </w:r>
            <w:r w:rsidR="0071244F">
              <w:rPr>
                <w:rFonts w:eastAsia="Calibri"/>
                <w:szCs w:val="22"/>
                <w:lang w:eastAsia="en-US"/>
              </w:rPr>
              <w:t>.</w:t>
            </w:r>
          </w:p>
          <w:p w14:paraId="7405E67E" w14:textId="7FB91CE9" w:rsidR="00A40259" w:rsidRPr="00E87F93" w:rsidRDefault="00A40259" w:rsidP="00E87F93">
            <w:pPr>
              <w:spacing w:after="120" w:line="276" w:lineRule="auto"/>
              <w:ind w:left="426" w:hanging="431"/>
              <w:rPr>
                <w:rFonts w:eastAsia="Calibri"/>
                <w:b/>
                <w:color w:val="66BCDB"/>
                <w:szCs w:val="22"/>
                <w:lang w:eastAsia="en-US"/>
              </w:rPr>
            </w:pPr>
            <w:r w:rsidRPr="00E87F93">
              <w:rPr>
                <w:rFonts w:eastAsia="Calibri"/>
                <w:b/>
                <w:color w:val="66BCDB"/>
                <w:szCs w:val="22"/>
                <w:lang w:eastAsia="en-US"/>
              </w:rPr>
              <w:t xml:space="preserve">Payroll </w:t>
            </w:r>
            <w:r w:rsidR="008E0440">
              <w:rPr>
                <w:rFonts w:eastAsia="Calibri"/>
                <w:b/>
                <w:color w:val="66BCDB"/>
                <w:szCs w:val="22"/>
                <w:lang w:eastAsia="en-US"/>
              </w:rPr>
              <w:t>Advisor</w:t>
            </w:r>
            <w:r w:rsidR="00055AFC">
              <w:rPr>
                <w:rFonts w:eastAsia="Calibri"/>
                <w:b/>
                <w:color w:val="66BCDB"/>
                <w:szCs w:val="22"/>
                <w:lang w:eastAsia="en-US"/>
              </w:rPr>
              <w:t xml:space="preserve"> / Senior Payroll Advisor</w:t>
            </w:r>
          </w:p>
          <w:p w14:paraId="21686530" w14:textId="77777777" w:rsidR="00E87F93" w:rsidRPr="007567EA" w:rsidRDefault="00E87F93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</w:rPr>
            </w:pPr>
            <w:r>
              <w:t>c</w:t>
            </w:r>
            <w:r w:rsidRPr="00CD4D71">
              <w:t>alculat</w:t>
            </w:r>
            <w:r>
              <w:t>ing</w:t>
            </w:r>
            <w:r w:rsidRPr="00CD4D71">
              <w:t xml:space="preserve"> and process</w:t>
            </w:r>
            <w:r>
              <w:t xml:space="preserve">ing end-to-end </w:t>
            </w:r>
            <w:r w:rsidRPr="00CD4D71">
              <w:t xml:space="preserve">payroll transactions </w:t>
            </w:r>
            <w:r>
              <w:t xml:space="preserve">on Aurion, </w:t>
            </w:r>
            <w:r w:rsidRPr="00CD4D71">
              <w:t>including commencements, cessations, leave and superannuation</w:t>
            </w:r>
            <w:r w:rsidRPr="007567EA">
              <w:t xml:space="preserve"> </w:t>
            </w:r>
          </w:p>
          <w:p w14:paraId="3CFEAE31" w14:textId="067F7D87" w:rsidR="00E87F93" w:rsidRPr="00CD4D71" w:rsidRDefault="00E87F93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</w:rPr>
            </w:pPr>
            <w:r>
              <w:t xml:space="preserve">undertaking regular and ad-hoc reporting </w:t>
            </w:r>
            <w:r w:rsidR="005C26B7">
              <w:t>for internal and external stakeholders</w:t>
            </w:r>
          </w:p>
          <w:p w14:paraId="116D59C8" w14:textId="737AFDFA" w:rsidR="00E87F93" w:rsidRPr="002F72D7" w:rsidRDefault="00E87F93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</w:rPr>
            </w:pPr>
            <w:r>
              <w:t xml:space="preserve">providing </w:t>
            </w:r>
            <w:r w:rsidRPr="009A1788">
              <w:t>complex payroll-related advice</w:t>
            </w:r>
            <w:r>
              <w:t xml:space="preserve">, and guidance on </w:t>
            </w:r>
            <w:r w:rsidRPr="002F72D7">
              <w:t>policies, leave entitlements and conditions of employment</w:t>
            </w:r>
          </w:p>
          <w:p w14:paraId="2B54E97C" w14:textId="63FF4E13" w:rsidR="00181671" w:rsidRPr="00A8642A" w:rsidRDefault="00E87F93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</w:rPr>
            </w:pPr>
            <w:r w:rsidRPr="00A8642A">
              <w:rPr>
                <w:rFonts w:eastAsia="Calibri"/>
              </w:rPr>
              <w:t>managing superannuation and leave entitlements in accordance with legislation</w:t>
            </w:r>
            <w:r w:rsidR="00A8642A" w:rsidRPr="00A8642A">
              <w:rPr>
                <w:rFonts w:eastAsia="Calibri"/>
              </w:rPr>
              <w:t>, including</w:t>
            </w:r>
            <w:r w:rsidR="00A8642A">
              <w:rPr>
                <w:rFonts w:eastAsia="Calibri"/>
              </w:rPr>
              <w:t xml:space="preserve"> </w:t>
            </w:r>
            <w:r w:rsidR="00181671" w:rsidRPr="00A8642A">
              <w:rPr>
                <w:rFonts w:eastAsia="Calibri"/>
              </w:rPr>
              <w:t>leave liabilities for incoming and outgoing transfers.</w:t>
            </w:r>
          </w:p>
          <w:p w14:paraId="20B87ADE" w14:textId="631E8FA7" w:rsidR="00E87F93" w:rsidRDefault="00A8642A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</w:pPr>
            <w:r w:rsidRPr="00A8642A">
              <w:t xml:space="preserve">records management, ensuring </w:t>
            </w:r>
            <w:r w:rsidR="00C61B25">
              <w:t xml:space="preserve">payroll system </w:t>
            </w:r>
            <w:r w:rsidRPr="00A8642A">
              <w:t xml:space="preserve">data is accurate and </w:t>
            </w:r>
            <w:r w:rsidR="00E87F93">
              <w:t xml:space="preserve">maintaining and developing </w:t>
            </w:r>
            <w:r w:rsidR="00D864EE" w:rsidRPr="00A8642A">
              <w:t>internal records</w:t>
            </w:r>
            <w:r w:rsidR="00D864EE">
              <w:t xml:space="preserve"> </w:t>
            </w:r>
            <w:r w:rsidR="00E87F93">
              <w:t>payroll-related excel spreadsheets</w:t>
            </w:r>
          </w:p>
          <w:p w14:paraId="7E580555" w14:textId="06D7637B" w:rsidR="00FA67E4" w:rsidRDefault="00FA67E4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</w:pPr>
            <w:r w:rsidRPr="00FA67E4">
              <w:t xml:space="preserve">research and advise on legislative and policy areas including </w:t>
            </w:r>
            <w:r w:rsidR="00FB4D61">
              <w:t>the</w:t>
            </w:r>
            <w:r w:rsidRPr="00FA67E4">
              <w:t xml:space="preserve"> </w:t>
            </w:r>
            <w:r>
              <w:t xml:space="preserve">PC </w:t>
            </w:r>
            <w:r w:rsidRPr="00FA67E4">
              <w:t xml:space="preserve">Enterprise Agreement, Maternity Leave Act, Long Service Leave Act </w:t>
            </w:r>
            <w:r w:rsidR="00FB4D61">
              <w:t>and others</w:t>
            </w:r>
            <w:r w:rsidR="005C26B7">
              <w:t>.</w:t>
            </w:r>
          </w:p>
          <w:p w14:paraId="2F0EBBC2" w14:textId="1BA4594C" w:rsidR="00E87F93" w:rsidRPr="00E87F93" w:rsidRDefault="00E87F93" w:rsidP="00157068">
            <w:pPr>
              <w:pStyle w:val="ListParagraph"/>
              <w:numPr>
                <w:ilvl w:val="0"/>
                <w:numId w:val="2"/>
              </w:numPr>
              <w:spacing w:after="120" w:line="259" w:lineRule="auto"/>
              <w:ind w:right="-142"/>
              <w:rPr>
                <w:rFonts w:eastAsia="Calibri"/>
              </w:rPr>
            </w:pPr>
            <w:r>
              <w:t>supporting other HR team activities as required</w:t>
            </w:r>
            <w:r w:rsidR="0071244F">
              <w:t>.</w:t>
            </w:r>
          </w:p>
        </w:tc>
      </w:tr>
      <w:tr w:rsidR="0041058F" w:rsidRPr="00DD306E" w14:paraId="3CA3B2FA" w14:textId="77777777" w:rsidTr="00FE5D4B">
        <w:trPr>
          <w:trHeight w:val="407"/>
        </w:trPr>
        <w:tc>
          <w:tcPr>
            <w:tcW w:w="198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F5F5F5"/>
          </w:tcPr>
          <w:p w14:paraId="73BC252D" w14:textId="7308472E" w:rsidR="0041058F" w:rsidRPr="00DD306E" w:rsidRDefault="00E55354" w:rsidP="0041058F">
            <w:pPr>
              <w:spacing w:before="80" w:after="160" w:line="259" w:lineRule="auto"/>
              <w:rPr>
                <w:rFonts w:eastAsiaTheme="majorEastAsia"/>
                <w:color w:val="265A9A"/>
                <w:szCs w:val="22"/>
                <w:lang w:eastAsia="en-US"/>
              </w:rPr>
            </w:pPr>
            <w:r>
              <w:rPr>
                <w:rFonts w:eastAsiaTheme="majorEastAsia"/>
                <w:color w:val="265A9A"/>
                <w:szCs w:val="22"/>
                <w:lang w:eastAsia="en-US"/>
              </w:rPr>
              <w:lastRenderedPageBreak/>
              <w:t>Selection Criteria</w:t>
            </w:r>
          </w:p>
        </w:tc>
        <w:tc>
          <w:tcPr>
            <w:tcW w:w="780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4FA80929" w14:textId="77777777" w:rsidR="0041058F" w:rsidRPr="00DD306E" w:rsidRDefault="0041058F" w:rsidP="0041058F">
            <w:pPr>
              <w:spacing w:after="120" w:line="276" w:lineRule="auto"/>
              <w:ind w:left="426" w:hanging="431"/>
              <w:rPr>
                <w:rFonts w:cs="Arial"/>
                <w:color w:val="66BCDB"/>
                <w:szCs w:val="22"/>
              </w:rPr>
            </w:pPr>
            <w:r w:rsidRPr="00DD306E">
              <w:rPr>
                <w:rFonts w:eastAsia="Calibri"/>
                <w:b/>
                <w:color w:val="66BCDB"/>
                <w:szCs w:val="22"/>
                <w:lang w:eastAsia="en-US"/>
              </w:rPr>
              <w:t>Professional expertise</w:t>
            </w:r>
            <w:r w:rsidRPr="00DD306E">
              <w:rPr>
                <w:rFonts w:eastAsiaTheme="majorEastAsia" w:cs="Arial"/>
                <w:b/>
                <w:color w:val="66BCDB"/>
                <w:szCs w:val="22"/>
                <w:lang w:eastAsia="en-US"/>
              </w:rPr>
              <w:t>:</w:t>
            </w:r>
            <w:r w:rsidRPr="00DD306E">
              <w:rPr>
                <w:rFonts w:cs="Arial"/>
                <w:color w:val="66BCDB"/>
                <w:szCs w:val="22"/>
              </w:rPr>
              <w:t xml:space="preserve"> </w:t>
            </w:r>
          </w:p>
          <w:p w14:paraId="7C745470" w14:textId="1E1ED9C6" w:rsidR="0041058F" w:rsidRPr="00162AFB" w:rsidRDefault="0041058F" w:rsidP="00296530">
            <w:pPr>
              <w:numPr>
                <w:ilvl w:val="0"/>
                <w:numId w:val="3"/>
              </w:numPr>
              <w:spacing w:after="120"/>
              <w:rPr>
                <w:rFonts w:cs="Arial"/>
                <w:szCs w:val="22"/>
              </w:rPr>
            </w:pPr>
            <w:r w:rsidRPr="00162AFB">
              <w:rPr>
                <w:rFonts w:cs="Arial"/>
                <w:szCs w:val="22"/>
              </w:rPr>
              <w:t>Sound knowledge of</w:t>
            </w:r>
            <w:r>
              <w:rPr>
                <w:rFonts w:cs="Arial"/>
                <w:szCs w:val="22"/>
              </w:rPr>
              <w:t>,</w:t>
            </w:r>
            <w:r w:rsidRPr="00162AFB">
              <w:rPr>
                <w:rFonts w:cs="Arial"/>
                <w:szCs w:val="22"/>
              </w:rPr>
              <w:t xml:space="preserve"> and experience in working across a broad range of HR functions – including pay and conditions, recruitment,</w:t>
            </w:r>
            <w:r w:rsidR="00E23DED">
              <w:rPr>
                <w:rFonts w:cs="Arial"/>
                <w:szCs w:val="22"/>
              </w:rPr>
              <w:t xml:space="preserve"> </w:t>
            </w:r>
            <w:r w:rsidR="00E23DED" w:rsidRPr="00162AFB">
              <w:rPr>
                <w:rFonts w:cs="Arial"/>
                <w:szCs w:val="22"/>
              </w:rPr>
              <w:t>learning and development,</w:t>
            </w:r>
            <w:r w:rsidRPr="00162AFB">
              <w:rPr>
                <w:rFonts w:cs="Arial"/>
                <w:szCs w:val="22"/>
              </w:rPr>
              <w:t xml:space="preserve"> in</w:t>
            </w:r>
            <w:r w:rsidR="00321184">
              <w:rPr>
                <w:rFonts w:cs="Arial"/>
                <w:szCs w:val="22"/>
              </w:rPr>
              <w:t>clusion and diver</w:t>
            </w:r>
            <w:r w:rsidR="00E23DED">
              <w:rPr>
                <w:rFonts w:cs="Arial"/>
                <w:szCs w:val="22"/>
              </w:rPr>
              <w:t>sity</w:t>
            </w:r>
            <w:r w:rsidRPr="00162AFB">
              <w:rPr>
                <w:rFonts w:cs="Arial"/>
                <w:szCs w:val="22"/>
              </w:rPr>
              <w:t xml:space="preserve">, workforce </w:t>
            </w:r>
            <w:r w:rsidR="001F638B">
              <w:rPr>
                <w:rFonts w:cs="Arial"/>
                <w:szCs w:val="22"/>
              </w:rPr>
              <w:t>strategy</w:t>
            </w:r>
            <w:r w:rsidRPr="00162AFB">
              <w:rPr>
                <w:rFonts w:cs="Arial"/>
                <w:szCs w:val="22"/>
              </w:rPr>
              <w:t xml:space="preserve">, performance management, </w:t>
            </w:r>
            <w:r w:rsidR="001F638B">
              <w:rPr>
                <w:rFonts w:cs="Arial"/>
                <w:szCs w:val="22"/>
              </w:rPr>
              <w:t>employee</w:t>
            </w:r>
            <w:r w:rsidRPr="00162AFB">
              <w:rPr>
                <w:rFonts w:cs="Arial"/>
                <w:szCs w:val="22"/>
              </w:rPr>
              <w:t xml:space="preserve"> relations</w:t>
            </w:r>
            <w:r>
              <w:rPr>
                <w:rFonts w:cs="Arial"/>
                <w:szCs w:val="22"/>
              </w:rPr>
              <w:t>, case management</w:t>
            </w:r>
            <w:r w:rsidRPr="00162AFB">
              <w:rPr>
                <w:rFonts w:cs="Arial"/>
                <w:szCs w:val="22"/>
              </w:rPr>
              <w:t xml:space="preserve"> and work health and safety.</w:t>
            </w:r>
          </w:p>
          <w:p w14:paraId="45F1F617" w14:textId="7C44B2B4" w:rsidR="00D82305" w:rsidRPr="00D82305" w:rsidRDefault="00D82305">
            <w:pPr>
              <w:numPr>
                <w:ilvl w:val="0"/>
                <w:numId w:val="3"/>
              </w:numPr>
              <w:spacing w:after="120"/>
              <w:rPr>
                <w:rFonts w:cs="Arial"/>
                <w:szCs w:val="22"/>
              </w:rPr>
            </w:pPr>
            <w:r w:rsidRPr="00D82305">
              <w:rPr>
                <w:rFonts w:cs="Arial"/>
                <w:szCs w:val="22"/>
              </w:rPr>
              <w:t>Demonstrated knowledge of, and ability to accurately interpret and apply, relevant legislation, policies, and procedures.</w:t>
            </w:r>
          </w:p>
          <w:p w14:paraId="023E8AD7" w14:textId="77777777" w:rsidR="0080612A" w:rsidRPr="00343508" w:rsidRDefault="0080612A" w:rsidP="0080612A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rPr>
                <w:rFonts w:cs="Arial"/>
                <w:szCs w:val="22"/>
              </w:rPr>
            </w:pPr>
            <w:r w:rsidRPr="00343508">
              <w:rPr>
                <w:rFonts w:cs="Arial"/>
                <w:szCs w:val="22"/>
              </w:rPr>
              <w:t>High level administrative and organisational skills, with proven ability to adapt to changing priorities and manage multiple deadlines.</w:t>
            </w:r>
          </w:p>
          <w:p w14:paraId="2FDE67BD" w14:textId="6CD06F6B" w:rsidR="0080612A" w:rsidRPr="00A97237" w:rsidRDefault="0080612A" w:rsidP="00A97237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rPr>
                <w:rFonts w:cs="Arial"/>
                <w:szCs w:val="22"/>
              </w:rPr>
            </w:pPr>
            <w:r w:rsidRPr="00343508">
              <w:rPr>
                <w:rFonts w:cs="Arial"/>
                <w:szCs w:val="22"/>
              </w:rPr>
              <w:t>Experience preparing correspondence and reports including emails and letters on routine and more complex matters.</w:t>
            </w:r>
          </w:p>
          <w:p w14:paraId="1CCE2B5D" w14:textId="77777777" w:rsidR="0041058F" w:rsidRPr="00C97E3A" w:rsidRDefault="0041058F" w:rsidP="0041058F">
            <w:pPr>
              <w:spacing w:after="120" w:line="259" w:lineRule="auto"/>
              <w:ind w:right="-142"/>
              <w:rPr>
                <w:b/>
                <w:bCs/>
                <w:szCs w:val="22"/>
              </w:rPr>
            </w:pPr>
            <w:r w:rsidRPr="00C97E3A">
              <w:rPr>
                <w:b/>
                <w:bCs/>
                <w:szCs w:val="22"/>
              </w:rPr>
              <w:t>Desirable</w:t>
            </w:r>
          </w:p>
          <w:p w14:paraId="2C62445C" w14:textId="29BDCD66" w:rsidR="0041058F" w:rsidRPr="00296530" w:rsidRDefault="0041058F" w:rsidP="00296530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right="-142"/>
              <w:rPr>
                <w:szCs w:val="22"/>
              </w:rPr>
            </w:pPr>
            <w:r w:rsidRPr="00AA13FB">
              <w:rPr>
                <w:rFonts w:eastAsia="Calibri"/>
                <w:szCs w:val="22"/>
                <w:lang w:eastAsia="en-US"/>
              </w:rPr>
              <w:t>Experience in a similar APS HR role and a sound knowledge of APS conditions will be highly regarded.</w:t>
            </w:r>
          </w:p>
          <w:p w14:paraId="72069FE1" w14:textId="0BD8FAEC" w:rsidR="00296530" w:rsidRPr="00B618D6" w:rsidRDefault="00296530" w:rsidP="00B618D6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right="-142"/>
            </w:pPr>
            <w:r>
              <w:t>P</w:t>
            </w:r>
            <w:r w:rsidRPr="0067641A">
              <w:t xml:space="preserve">ayroll </w:t>
            </w:r>
            <w:r>
              <w:t>expertise</w:t>
            </w:r>
            <w:r w:rsidRPr="0067641A">
              <w:t xml:space="preserve"> </w:t>
            </w:r>
            <w:r w:rsidR="006D7AA6">
              <w:t xml:space="preserve">and </w:t>
            </w:r>
            <w:r>
              <w:t>e</w:t>
            </w:r>
            <w:r w:rsidRPr="00DD262E">
              <w:t>xperience with the Aurion payroll system</w:t>
            </w:r>
            <w:r>
              <w:t xml:space="preserve"> (including configuration and administration)</w:t>
            </w:r>
            <w:r w:rsidR="0071244F">
              <w:t xml:space="preserve"> will be</w:t>
            </w:r>
            <w:r w:rsidRPr="00DD262E">
              <w:t xml:space="preserve"> highly regarded</w:t>
            </w:r>
            <w:r>
              <w:t>.</w:t>
            </w:r>
          </w:p>
          <w:p w14:paraId="50E55264" w14:textId="77777777" w:rsidR="0041058F" w:rsidRPr="00DD306E" w:rsidRDefault="0041058F" w:rsidP="0041058F">
            <w:pPr>
              <w:spacing w:before="120" w:after="120"/>
              <w:rPr>
                <w:rFonts w:eastAsia="Calibri"/>
                <w:b/>
                <w:color w:val="66BCDB"/>
                <w:szCs w:val="22"/>
                <w:lang w:eastAsia="en-US"/>
              </w:rPr>
            </w:pPr>
            <w:r w:rsidRPr="00DD306E">
              <w:rPr>
                <w:rFonts w:eastAsia="Calibri"/>
                <w:b/>
                <w:color w:val="66BCDB"/>
                <w:szCs w:val="22"/>
                <w:lang w:eastAsia="en-US"/>
              </w:rPr>
              <w:t>Effective Engagement:</w:t>
            </w:r>
          </w:p>
          <w:p w14:paraId="3FC245CD" w14:textId="77777777" w:rsidR="007F2D87" w:rsidRDefault="007F2D87" w:rsidP="0029653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Pr="004F7754">
              <w:rPr>
                <w:rFonts w:eastAsia="Calibri"/>
              </w:rPr>
              <w:t>roven ability to communicate effectively, using information that is accurate, clear and concise</w:t>
            </w:r>
            <w:r w:rsidRPr="00304431">
              <w:rPr>
                <w:rFonts w:eastAsia="Calibri"/>
              </w:rPr>
              <w:t xml:space="preserve">. </w:t>
            </w:r>
          </w:p>
          <w:p w14:paraId="1AFCB2E6" w14:textId="540112CF" w:rsidR="007F2D87" w:rsidRPr="009B2BBD" w:rsidRDefault="007F2D87" w:rsidP="0029653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Calibri"/>
              </w:rPr>
            </w:pPr>
            <w:r w:rsidRPr="009B2BBD">
              <w:rPr>
                <w:rFonts w:eastAsia="Calibri"/>
              </w:rPr>
              <w:t xml:space="preserve">Shares information in a timely way, is proactive in assisting others in the team and collaborates effectively with others, contributing positively </w:t>
            </w:r>
            <w:r w:rsidR="003941B6">
              <w:rPr>
                <w:rFonts w:eastAsia="Calibri"/>
              </w:rPr>
              <w:t xml:space="preserve">to </w:t>
            </w:r>
            <w:r w:rsidRPr="009B2BBD">
              <w:rPr>
                <w:rFonts w:eastAsia="Calibri"/>
              </w:rPr>
              <w:t>work discussions and team meetings.</w:t>
            </w:r>
          </w:p>
          <w:p w14:paraId="6B67EAD5" w14:textId="77777777" w:rsidR="007F2D87" w:rsidRPr="002514F8" w:rsidRDefault="007F2D87" w:rsidP="0029653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Ability t</w:t>
            </w:r>
            <w:r w:rsidRPr="00304431">
              <w:rPr>
                <w:rFonts w:eastAsia="Calibri"/>
              </w:rPr>
              <w:t>o build rapport and maintain cooperative and positive relationships with colleagues and key stakeholders.</w:t>
            </w:r>
          </w:p>
          <w:p w14:paraId="1E55F51E" w14:textId="77777777" w:rsidR="0041058F" w:rsidRPr="00DD306E" w:rsidRDefault="0041058F" w:rsidP="0041058F">
            <w:pPr>
              <w:spacing w:before="120" w:after="120"/>
              <w:rPr>
                <w:rFonts w:eastAsiaTheme="majorEastAsia" w:cs="Arial"/>
                <w:color w:val="66BCDB"/>
                <w:szCs w:val="22"/>
                <w:lang w:eastAsia="en-US"/>
              </w:rPr>
            </w:pPr>
            <w:r w:rsidRPr="00DD306E">
              <w:rPr>
                <w:rFonts w:eastAsia="Calibri"/>
                <w:b/>
                <w:color w:val="66BCDB"/>
                <w:szCs w:val="22"/>
                <w:lang w:eastAsia="en-US"/>
              </w:rPr>
              <w:t xml:space="preserve">Personal Productivity and Growth: </w:t>
            </w:r>
          </w:p>
          <w:p w14:paraId="12D5B9E1" w14:textId="77777777" w:rsidR="009824CE" w:rsidRPr="009B2BBD" w:rsidRDefault="009824CE" w:rsidP="0029653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Calibri"/>
              </w:rPr>
            </w:pPr>
            <w:r w:rsidRPr="009B2BBD">
              <w:rPr>
                <w:rFonts w:eastAsia="Calibri"/>
              </w:rPr>
              <w:t>Demonstrated ability to plan and progress work and deliver on agreed outcomes.</w:t>
            </w:r>
          </w:p>
          <w:p w14:paraId="2C48A3BD" w14:textId="77777777" w:rsidR="009824CE" w:rsidRPr="009B2BBD" w:rsidRDefault="009824CE" w:rsidP="0029653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Calibri"/>
              </w:rPr>
            </w:pPr>
            <w:r w:rsidRPr="009B2BBD">
              <w:rPr>
                <w:rFonts w:eastAsia="Calibri"/>
              </w:rPr>
              <w:t>Perseverance and resilience in managing competing priorities in a changing environment.</w:t>
            </w:r>
          </w:p>
          <w:p w14:paraId="13EB157A" w14:textId="79BE4992" w:rsidR="0041058F" w:rsidRPr="0041058F" w:rsidRDefault="009824CE" w:rsidP="00296530">
            <w:pPr>
              <w:pStyle w:val="ListParagraph"/>
              <w:numPr>
                <w:ilvl w:val="0"/>
                <w:numId w:val="3"/>
              </w:numPr>
              <w:spacing w:line="259" w:lineRule="auto"/>
              <w:ind w:right="-142"/>
              <w:rPr>
                <w:szCs w:val="22"/>
              </w:rPr>
            </w:pPr>
            <w:r w:rsidRPr="009B2BBD">
              <w:rPr>
                <w:rFonts w:eastAsia="Calibri"/>
              </w:rPr>
              <w:t>A preparedness to seek (and act on) advice and feedback and take opportunities to expand your knowledge and skills and contribute to a positive workplace culture.</w:t>
            </w:r>
          </w:p>
        </w:tc>
      </w:tr>
    </w:tbl>
    <w:p w14:paraId="6F4B2FF4" w14:textId="77777777" w:rsidR="005A4BCB" w:rsidRDefault="005A4BCB"/>
    <w:p w14:paraId="47CB702C" w14:textId="6DD6FE51" w:rsidR="00427045" w:rsidRDefault="00427045" w:rsidP="00E72673">
      <w:pPr>
        <w:rPr>
          <w:rFonts w:eastAsia="Calibri"/>
          <w:b/>
          <w:szCs w:val="22"/>
          <w:lang w:eastAsia="en-US"/>
        </w:rPr>
        <w:sectPr w:rsidR="00427045" w:rsidSect="007E1409">
          <w:headerReference w:type="even" r:id="rId12"/>
          <w:head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021" w:right="1418" w:bottom="851" w:left="1418" w:header="0" w:footer="0" w:gutter="0"/>
          <w:paperSrc w:first="15" w:other="15"/>
          <w:cols w:space="709"/>
          <w:titlePg/>
          <w:docGrid w:linePitch="354"/>
        </w:sectPr>
      </w:pPr>
    </w:p>
    <w:p w14:paraId="7692D07C" w14:textId="7D2A5D76" w:rsidR="00A505B7" w:rsidRDefault="00A505B7">
      <w:pPr>
        <w:rPr>
          <w:rFonts w:eastAsia="Calibri"/>
          <w:szCs w:val="22"/>
          <w:lang w:eastAsia="en-US"/>
        </w:rPr>
      </w:pPr>
    </w:p>
    <w:sectPr w:rsidR="00A505B7" w:rsidSect="00430A61">
      <w:type w:val="continuous"/>
      <w:pgSz w:w="11907" w:h="16840" w:code="9"/>
      <w:pgMar w:top="1135" w:right="850" w:bottom="1440" w:left="1080" w:header="0" w:footer="0" w:gutter="0"/>
      <w:cols w:num="2" w:space="709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46A23" w14:textId="77777777" w:rsidR="001C4FD0" w:rsidRDefault="001C4FD0">
      <w:r>
        <w:separator/>
      </w:r>
    </w:p>
  </w:endnote>
  <w:endnote w:type="continuationSeparator" w:id="0">
    <w:p w14:paraId="40830227" w14:textId="77777777" w:rsidR="001C4FD0" w:rsidRDefault="001C4FD0">
      <w:r>
        <w:continuationSeparator/>
      </w:r>
    </w:p>
  </w:endnote>
  <w:endnote w:type="continuationNotice" w:id="1">
    <w:p w14:paraId="1515F4D7" w14:textId="77777777" w:rsidR="001C4FD0" w:rsidRDefault="001C4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NimbusSanNov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37E68" w14:textId="3C5C519D" w:rsidR="00C67A20" w:rsidRPr="003C1535" w:rsidRDefault="00C85370" w:rsidP="003C1535">
    <w:pPr>
      <w:tabs>
        <w:tab w:val="center" w:pos="4513"/>
      </w:tabs>
      <w:ind w:left="-1418" w:right="-1440"/>
      <w:jc w:val="right"/>
      <w:rPr>
        <w:rFonts w:eastAsia="Calibri"/>
        <w:color w:val="595959"/>
        <w:sz w:val="18"/>
        <w:szCs w:val="18"/>
        <w:lang w:eastAsia="en-US"/>
      </w:rPr>
    </w:pPr>
    <w:r w:rsidRPr="00724381">
      <w:rPr>
        <w:noProof/>
        <w:kern w:val="16"/>
        <w:sz w:val="20"/>
      </w:rPr>
      <w:drawing>
        <wp:anchor distT="0" distB="0" distL="114300" distR="114300" simplePos="0" relativeHeight="251658244" behindDoc="1" locked="0" layoutInCell="1" allowOverlap="1" wp14:anchorId="3CB3DAB0" wp14:editId="22AD665E">
          <wp:simplePos x="0" y="0"/>
          <wp:positionH relativeFrom="page">
            <wp:posOffset>-37416</wp:posOffset>
          </wp:positionH>
          <wp:positionV relativeFrom="page">
            <wp:posOffset>9818517</wp:posOffset>
          </wp:positionV>
          <wp:extent cx="7604125" cy="983450"/>
          <wp:effectExtent l="0" t="0" r="0" b="7620"/>
          <wp:wrapNone/>
          <wp:docPr id="1193239999" name="Picture 11932399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239999" name="Picture 119323999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125" cy="98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534F3" w14:textId="26447018" w:rsidR="00C67A20" w:rsidRPr="003C1535" w:rsidRDefault="00C67A20" w:rsidP="003C1535">
    <w:pPr>
      <w:tabs>
        <w:tab w:val="center" w:pos="4513"/>
        <w:tab w:val="right" w:pos="9026"/>
      </w:tabs>
      <w:rPr>
        <w:rFonts w:eastAsia="Calibri"/>
        <w:color w:val="595959"/>
        <w:sz w:val="18"/>
        <w:szCs w:val="18"/>
        <w:lang w:eastAsia="en-US"/>
      </w:rPr>
    </w:pPr>
  </w:p>
  <w:p w14:paraId="206DD9D5" w14:textId="77777777" w:rsidR="00C67A20" w:rsidRDefault="00C67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B13F2" w14:textId="77777777" w:rsidR="001C4FD0" w:rsidRDefault="001C4FD0">
      <w:r>
        <w:separator/>
      </w:r>
    </w:p>
  </w:footnote>
  <w:footnote w:type="continuationSeparator" w:id="0">
    <w:p w14:paraId="1C8A4A90" w14:textId="77777777" w:rsidR="001C4FD0" w:rsidRDefault="001C4FD0">
      <w:r>
        <w:continuationSeparator/>
      </w:r>
    </w:p>
  </w:footnote>
  <w:footnote w:type="continuationNotice" w:id="1">
    <w:p w14:paraId="4536925B" w14:textId="77777777" w:rsidR="001C4FD0" w:rsidRDefault="001C4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7B544" w14:textId="539F3A16" w:rsidR="000923A3" w:rsidRDefault="00092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9A8A" w14:textId="45D9999A" w:rsidR="00C67A20" w:rsidRDefault="00C67A20" w:rsidP="00846D4C">
    <w:pPr>
      <w:pStyle w:val="Header"/>
      <w:pBdr>
        <w:bottom w:val="none" w:sz="0" w:space="0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B550E" w14:textId="583E8D2F" w:rsidR="000923A3" w:rsidRDefault="007E1409">
    <w:pPr>
      <w:pStyle w:val="Header"/>
    </w:pPr>
    <w:r w:rsidRPr="00B42D01">
      <w:rPr>
        <w:rFonts w:ascii="Arial Black" w:hAnsi="Arial Black" w:cs="Arial"/>
        <w:b/>
        <w:noProof/>
        <w:color w:val="E7E6E6" w:themeColor="background2"/>
        <w:sz w:val="36"/>
        <w:szCs w:val="36"/>
        <w:highlight w:val="yellow"/>
      </w:rPr>
      <w:drawing>
        <wp:anchor distT="0" distB="0" distL="114300" distR="114300" simplePos="0" relativeHeight="251658240" behindDoc="0" locked="0" layoutInCell="1" allowOverlap="1" wp14:anchorId="297D2347" wp14:editId="2B2CB44E">
          <wp:simplePos x="0" y="0"/>
          <wp:positionH relativeFrom="page">
            <wp:posOffset>-37660</wp:posOffset>
          </wp:positionH>
          <wp:positionV relativeFrom="page">
            <wp:posOffset>0</wp:posOffset>
          </wp:positionV>
          <wp:extent cx="7596000" cy="1173843"/>
          <wp:effectExtent l="0" t="0" r="5080" b="7620"/>
          <wp:wrapNone/>
          <wp:docPr id="2045624087" name="Picture 2045624087" descr="A white and blu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088261" name="Picture 1618088261" descr="A white and blue backgroun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2" r="2793"/>
                  <a:stretch/>
                </pic:blipFill>
                <pic:spPr bwMode="auto">
                  <a:xfrm>
                    <a:off x="0" y="0"/>
                    <a:ext cx="7596000" cy="1173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A2445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4E5D90"/>
    <w:multiLevelType w:val="hybridMultilevel"/>
    <w:tmpl w:val="1DAEF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05CF"/>
    <w:multiLevelType w:val="multilevel"/>
    <w:tmpl w:val="1FE0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D312D9"/>
    <w:multiLevelType w:val="hybridMultilevel"/>
    <w:tmpl w:val="929607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45402"/>
    <w:multiLevelType w:val="multilevel"/>
    <w:tmpl w:val="125E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5E5775"/>
    <w:multiLevelType w:val="multilevel"/>
    <w:tmpl w:val="CC54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464FD"/>
    <w:multiLevelType w:val="hybridMultilevel"/>
    <w:tmpl w:val="1312F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604BE"/>
    <w:multiLevelType w:val="hybridMultilevel"/>
    <w:tmpl w:val="573CF5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DF590F"/>
    <w:multiLevelType w:val="hybridMultilevel"/>
    <w:tmpl w:val="3DA6735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191B2C"/>
    <w:multiLevelType w:val="multilevel"/>
    <w:tmpl w:val="E85A5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D9059D2"/>
    <w:multiLevelType w:val="hybridMultilevel"/>
    <w:tmpl w:val="2E446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076858">
    <w:abstractNumId w:val="0"/>
  </w:num>
  <w:num w:numId="2" w16cid:durableId="935672956">
    <w:abstractNumId w:val="10"/>
  </w:num>
  <w:num w:numId="3" w16cid:durableId="673151358">
    <w:abstractNumId w:val="3"/>
  </w:num>
  <w:num w:numId="4" w16cid:durableId="1351645566">
    <w:abstractNumId w:val="8"/>
  </w:num>
  <w:num w:numId="5" w16cid:durableId="2001153666">
    <w:abstractNumId w:val="7"/>
  </w:num>
  <w:num w:numId="6" w16cid:durableId="1069615156">
    <w:abstractNumId w:val="6"/>
  </w:num>
  <w:num w:numId="7" w16cid:durableId="75249822">
    <w:abstractNumId w:val="9"/>
  </w:num>
  <w:num w:numId="8" w16cid:durableId="1967850629">
    <w:abstractNumId w:val="5"/>
  </w:num>
  <w:num w:numId="9" w16cid:durableId="1914969644">
    <w:abstractNumId w:val="1"/>
  </w:num>
  <w:num w:numId="10" w16cid:durableId="1731148642">
    <w:abstractNumId w:val="2"/>
  </w:num>
  <w:num w:numId="11" w16cid:durableId="2855043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8F"/>
    <w:rsid w:val="000005F5"/>
    <w:rsid w:val="000031C8"/>
    <w:rsid w:val="00003DB3"/>
    <w:rsid w:val="000046C2"/>
    <w:rsid w:val="00010A39"/>
    <w:rsid w:val="00012B96"/>
    <w:rsid w:val="00012BFD"/>
    <w:rsid w:val="00012C4C"/>
    <w:rsid w:val="0001324C"/>
    <w:rsid w:val="0001762B"/>
    <w:rsid w:val="00020A70"/>
    <w:rsid w:val="00022A1C"/>
    <w:rsid w:val="00022D64"/>
    <w:rsid w:val="0002347F"/>
    <w:rsid w:val="00024A42"/>
    <w:rsid w:val="000274D4"/>
    <w:rsid w:val="00030EE3"/>
    <w:rsid w:val="00032F03"/>
    <w:rsid w:val="000356A4"/>
    <w:rsid w:val="000400A0"/>
    <w:rsid w:val="000423BB"/>
    <w:rsid w:val="00044A94"/>
    <w:rsid w:val="00045870"/>
    <w:rsid w:val="00047ADC"/>
    <w:rsid w:val="00055AFC"/>
    <w:rsid w:val="0005780F"/>
    <w:rsid w:val="00063B85"/>
    <w:rsid w:val="00074F5F"/>
    <w:rsid w:val="000756FD"/>
    <w:rsid w:val="00076AB4"/>
    <w:rsid w:val="0008168B"/>
    <w:rsid w:val="00082909"/>
    <w:rsid w:val="00084C8A"/>
    <w:rsid w:val="00087070"/>
    <w:rsid w:val="000923A3"/>
    <w:rsid w:val="00094326"/>
    <w:rsid w:val="000B03A0"/>
    <w:rsid w:val="000B23B0"/>
    <w:rsid w:val="000B39E9"/>
    <w:rsid w:val="000B3D76"/>
    <w:rsid w:val="000B4C32"/>
    <w:rsid w:val="000C0BC6"/>
    <w:rsid w:val="000C42D8"/>
    <w:rsid w:val="000C452A"/>
    <w:rsid w:val="000C55F7"/>
    <w:rsid w:val="000C59F0"/>
    <w:rsid w:val="000C615F"/>
    <w:rsid w:val="000D2DBE"/>
    <w:rsid w:val="000D470A"/>
    <w:rsid w:val="000D4E3B"/>
    <w:rsid w:val="000D652E"/>
    <w:rsid w:val="000E0EFB"/>
    <w:rsid w:val="000E508E"/>
    <w:rsid w:val="000E667C"/>
    <w:rsid w:val="000E6A80"/>
    <w:rsid w:val="000F3AA7"/>
    <w:rsid w:val="000F3D6E"/>
    <w:rsid w:val="000F44FF"/>
    <w:rsid w:val="000F6839"/>
    <w:rsid w:val="001079F6"/>
    <w:rsid w:val="00111E0E"/>
    <w:rsid w:val="00111FE7"/>
    <w:rsid w:val="0011480C"/>
    <w:rsid w:val="00114CD4"/>
    <w:rsid w:val="00120BFE"/>
    <w:rsid w:val="00121E82"/>
    <w:rsid w:val="00124571"/>
    <w:rsid w:val="00125F69"/>
    <w:rsid w:val="00126AB6"/>
    <w:rsid w:val="00130C6A"/>
    <w:rsid w:val="0013297A"/>
    <w:rsid w:val="00133E4A"/>
    <w:rsid w:val="00134D10"/>
    <w:rsid w:val="001371AB"/>
    <w:rsid w:val="00137B1D"/>
    <w:rsid w:val="00140278"/>
    <w:rsid w:val="0014197E"/>
    <w:rsid w:val="00157068"/>
    <w:rsid w:val="00160699"/>
    <w:rsid w:val="00160879"/>
    <w:rsid w:val="00162F7D"/>
    <w:rsid w:val="00163EE7"/>
    <w:rsid w:val="001667AA"/>
    <w:rsid w:val="001726D6"/>
    <w:rsid w:val="00173642"/>
    <w:rsid w:val="00176CD7"/>
    <w:rsid w:val="00177248"/>
    <w:rsid w:val="00177FDE"/>
    <w:rsid w:val="00180449"/>
    <w:rsid w:val="001811C3"/>
    <w:rsid w:val="00181671"/>
    <w:rsid w:val="0018229B"/>
    <w:rsid w:val="00182BF4"/>
    <w:rsid w:val="00182D01"/>
    <w:rsid w:val="00183B6D"/>
    <w:rsid w:val="00183BFA"/>
    <w:rsid w:val="00184438"/>
    <w:rsid w:val="00184C38"/>
    <w:rsid w:val="00186EAB"/>
    <w:rsid w:val="0019106B"/>
    <w:rsid w:val="0019162F"/>
    <w:rsid w:val="001954A8"/>
    <w:rsid w:val="00196CA2"/>
    <w:rsid w:val="00197AC1"/>
    <w:rsid w:val="00197C82"/>
    <w:rsid w:val="001A2D5C"/>
    <w:rsid w:val="001A38CF"/>
    <w:rsid w:val="001A5B85"/>
    <w:rsid w:val="001B1C4A"/>
    <w:rsid w:val="001B1EC4"/>
    <w:rsid w:val="001B293B"/>
    <w:rsid w:val="001B336E"/>
    <w:rsid w:val="001B4761"/>
    <w:rsid w:val="001B69A7"/>
    <w:rsid w:val="001B7820"/>
    <w:rsid w:val="001B7B06"/>
    <w:rsid w:val="001C330C"/>
    <w:rsid w:val="001C3700"/>
    <w:rsid w:val="001C3E87"/>
    <w:rsid w:val="001C4FD0"/>
    <w:rsid w:val="001C564E"/>
    <w:rsid w:val="001D0E71"/>
    <w:rsid w:val="001D1B84"/>
    <w:rsid w:val="001D2B66"/>
    <w:rsid w:val="001D4947"/>
    <w:rsid w:val="001D5082"/>
    <w:rsid w:val="001D51C4"/>
    <w:rsid w:val="001D5347"/>
    <w:rsid w:val="001E16E2"/>
    <w:rsid w:val="001E1C73"/>
    <w:rsid w:val="001E5D15"/>
    <w:rsid w:val="001E6E13"/>
    <w:rsid w:val="001E7259"/>
    <w:rsid w:val="001F17AB"/>
    <w:rsid w:val="001F208F"/>
    <w:rsid w:val="001F3A8F"/>
    <w:rsid w:val="001F5B4D"/>
    <w:rsid w:val="001F638B"/>
    <w:rsid w:val="00201C6A"/>
    <w:rsid w:val="0020396A"/>
    <w:rsid w:val="00203ADD"/>
    <w:rsid w:val="002040DB"/>
    <w:rsid w:val="00205F70"/>
    <w:rsid w:val="00207DC4"/>
    <w:rsid w:val="00211BDD"/>
    <w:rsid w:val="00213681"/>
    <w:rsid w:val="00216371"/>
    <w:rsid w:val="002238EA"/>
    <w:rsid w:val="00225224"/>
    <w:rsid w:val="00226C0B"/>
    <w:rsid w:val="00227CC8"/>
    <w:rsid w:val="00233C7A"/>
    <w:rsid w:val="00233DBE"/>
    <w:rsid w:val="00241D68"/>
    <w:rsid w:val="00245015"/>
    <w:rsid w:val="00246023"/>
    <w:rsid w:val="00250B9A"/>
    <w:rsid w:val="00251706"/>
    <w:rsid w:val="002525A9"/>
    <w:rsid w:val="002531BC"/>
    <w:rsid w:val="0025511B"/>
    <w:rsid w:val="00264327"/>
    <w:rsid w:val="00273398"/>
    <w:rsid w:val="00273F57"/>
    <w:rsid w:val="0027514A"/>
    <w:rsid w:val="002779B6"/>
    <w:rsid w:val="002852A2"/>
    <w:rsid w:val="00286F36"/>
    <w:rsid w:val="00290ECC"/>
    <w:rsid w:val="00292899"/>
    <w:rsid w:val="00296530"/>
    <w:rsid w:val="00296999"/>
    <w:rsid w:val="002969A3"/>
    <w:rsid w:val="002A79B0"/>
    <w:rsid w:val="002B02F4"/>
    <w:rsid w:val="002B04C6"/>
    <w:rsid w:val="002B6657"/>
    <w:rsid w:val="002C0034"/>
    <w:rsid w:val="002C007E"/>
    <w:rsid w:val="002C0622"/>
    <w:rsid w:val="002C4CFC"/>
    <w:rsid w:val="002C66AC"/>
    <w:rsid w:val="002C6E9F"/>
    <w:rsid w:val="002C7953"/>
    <w:rsid w:val="002D2989"/>
    <w:rsid w:val="002D6C1E"/>
    <w:rsid w:val="002D7B08"/>
    <w:rsid w:val="002E22D6"/>
    <w:rsid w:val="002E33F8"/>
    <w:rsid w:val="002E3480"/>
    <w:rsid w:val="002E40C6"/>
    <w:rsid w:val="002E42C8"/>
    <w:rsid w:val="002E585A"/>
    <w:rsid w:val="002E59EB"/>
    <w:rsid w:val="002E65FD"/>
    <w:rsid w:val="002F20D3"/>
    <w:rsid w:val="002F357A"/>
    <w:rsid w:val="002F3A95"/>
    <w:rsid w:val="002F4771"/>
    <w:rsid w:val="002F633F"/>
    <w:rsid w:val="002F7FD2"/>
    <w:rsid w:val="00300624"/>
    <w:rsid w:val="003060D3"/>
    <w:rsid w:val="00306CFF"/>
    <w:rsid w:val="003144A5"/>
    <w:rsid w:val="00315D02"/>
    <w:rsid w:val="00317D86"/>
    <w:rsid w:val="00320BD7"/>
    <w:rsid w:val="00321184"/>
    <w:rsid w:val="003212BB"/>
    <w:rsid w:val="00323963"/>
    <w:rsid w:val="003262A1"/>
    <w:rsid w:val="00327EDB"/>
    <w:rsid w:val="00330C62"/>
    <w:rsid w:val="00332210"/>
    <w:rsid w:val="00332F21"/>
    <w:rsid w:val="00336AFC"/>
    <w:rsid w:val="00342D0C"/>
    <w:rsid w:val="00344BC9"/>
    <w:rsid w:val="003471F6"/>
    <w:rsid w:val="003529CC"/>
    <w:rsid w:val="00352DF0"/>
    <w:rsid w:val="00360274"/>
    <w:rsid w:val="00363196"/>
    <w:rsid w:val="003649AC"/>
    <w:rsid w:val="00365B32"/>
    <w:rsid w:val="00366FD4"/>
    <w:rsid w:val="00367BF0"/>
    <w:rsid w:val="00374C7C"/>
    <w:rsid w:val="003751E2"/>
    <w:rsid w:val="00377A48"/>
    <w:rsid w:val="00377D98"/>
    <w:rsid w:val="003801B9"/>
    <w:rsid w:val="003804C3"/>
    <w:rsid w:val="00381958"/>
    <w:rsid w:val="00382416"/>
    <w:rsid w:val="00386A35"/>
    <w:rsid w:val="003877E3"/>
    <w:rsid w:val="00390FE4"/>
    <w:rsid w:val="00391BFE"/>
    <w:rsid w:val="00392C8A"/>
    <w:rsid w:val="00393B59"/>
    <w:rsid w:val="003941B6"/>
    <w:rsid w:val="003951B7"/>
    <w:rsid w:val="003A27D6"/>
    <w:rsid w:val="003C1535"/>
    <w:rsid w:val="003C36ED"/>
    <w:rsid w:val="003C3BBB"/>
    <w:rsid w:val="003C3D01"/>
    <w:rsid w:val="003C73D1"/>
    <w:rsid w:val="003D179D"/>
    <w:rsid w:val="003D66B6"/>
    <w:rsid w:val="003D673E"/>
    <w:rsid w:val="003D68C6"/>
    <w:rsid w:val="003E0548"/>
    <w:rsid w:val="003E480B"/>
    <w:rsid w:val="003E5101"/>
    <w:rsid w:val="003E5B66"/>
    <w:rsid w:val="003E607F"/>
    <w:rsid w:val="003E6265"/>
    <w:rsid w:val="003E7B79"/>
    <w:rsid w:val="003F1F8A"/>
    <w:rsid w:val="003F4789"/>
    <w:rsid w:val="003F5FBE"/>
    <w:rsid w:val="003F6FD1"/>
    <w:rsid w:val="00407320"/>
    <w:rsid w:val="0041058F"/>
    <w:rsid w:val="004109B6"/>
    <w:rsid w:val="0041245A"/>
    <w:rsid w:val="00421C8D"/>
    <w:rsid w:val="00422EC7"/>
    <w:rsid w:val="00424C85"/>
    <w:rsid w:val="00427045"/>
    <w:rsid w:val="00430A61"/>
    <w:rsid w:val="004354B9"/>
    <w:rsid w:val="00440914"/>
    <w:rsid w:val="004421DF"/>
    <w:rsid w:val="00446F4F"/>
    <w:rsid w:val="00453721"/>
    <w:rsid w:val="00453DE7"/>
    <w:rsid w:val="00457F46"/>
    <w:rsid w:val="004612E6"/>
    <w:rsid w:val="00462FC2"/>
    <w:rsid w:val="00464E50"/>
    <w:rsid w:val="00465054"/>
    <w:rsid w:val="00466B1A"/>
    <w:rsid w:val="004706E4"/>
    <w:rsid w:val="00470718"/>
    <w:rsid w:val="00471523"/>
    <w:rsid w:val="00473433"/>
    <w:rsid w:val="00473C1A"/>
    <w:rsid w:val="00475CFE"/>
    <w:rsid w:val="00476B99"/>
    <w:rsid w:val="00480C94"/>
    <w:rsid w:val="0048333F"/>
    <w:rsid w:val="00485134"/>
    <w:rsid w:val="00486F68"/>
    <w:rsid w:val="004872EF"/>
    <w:rsid w:val="00491E5A"/>
    <w:rsid w:val="004943E9"/>
    <w:rsid w:val="00495CD7"/>
    <w:rsid w:val="00496680"/>
    <w:rsid w:val="004A27FF"/>
    <w:rsid w:val="004A5486"/>
    <w:rsid w:val="004A7083"/>
    <w:rsid w:val="004B0650"/>
    <w:rsid w:val="004B0B4F"/>
    <w:rsid w:val="004B2685"/>
    <w:rsid w:val="004B2C2D"/>
    <w:rsid w:val="004B345B"/>
    <w:rsid w:val="004B3C7D"/>
    <w:rsid w:val="004B474E"/>
    <w:rsid w:val="004B6CDD"/>
    <w:rsid w:val="004B7152"/>
    <w:rsid w:val="004C00B0"/>
    <w:rsid w:val="004C0FBB"/>
    <w:rsid w:val="004C2C0F"/>
    <w:rsid w:val="004C3026"/>
    <w:rsid w:val="004C32AA"/>
    <w:rsid w:val="004D4AF9"/>
    <w:rsid w:val="004D5353"/>
    <w:rsid w:val="004D5CCE"/>
    <w:rsid w:val="004F0E7D"/>
    <w:rsid w:val="004F18FA"/>
    <w:rsid w:val="004F21A8"/>
    <w:rsid w:val="004F41CA"/>
    <w:rsid w:val="004F43E7"/>
    <w:rsid w:val="004F4F59"/>
    <w:rsid w:val="004F54D5"/>
    <w:rsid w:val="004F6574"/>
    <w:rsid w:val="00500FAB"/>
    <w:rsid w:val="00501346"/>
    <w:rsid w:val="0050217A"/>
    <w:rsid w:val="00502A0D"/>
    <w:rsid w:val="00505B3B"/>
    <w:rsid w:val="00507BCB"/>
    <w:rsid w:val="005131F6"/>
    <w:rsid w:val="00516DC6"/>
    <w:rsid w:val="0052414E"/>
    <w:rsid w:val="00524C28"/>
    <w:rsid w:val="0052613C"/>
    <w:rsid w:val="00527412"/>
    <w:rsid w:val="00527C5A"/>
    <w:rsid w:val="005323AC"/>
    <w:rsid w:val="005331A9"/>
    <w:rsid w:val="00534F44"/>
    <w:rsid w:val="005374BA"/>
    <w:rsid w:val="00537BDF"/>
    <w:rsid w:val="00542081"/>
    <w:rsid w:val="005421E8"/>
    <w:rsid w:val="00543679"/>
    <w:rsid w:val="00544828"/>
    <w:rsid w:val="0055281A"/>
    <w:rsid w:val="00555A98"/>
    <w:rsid w:val="0055602F"/>
    <w:rsid w:val="00556FC1"/>
    <w:rsid w:val="00562987"/>
    <w:rsid w:val="00562B3A"/>
    <w:rsid w:val="00566627"/>
    <w:rsid w:val="00567528"/>
    <w:rsid w:val="00570CA4"/>
    <w:rsid w:val="00571288"/>
    <w:rsid w:val="00571514"/>
    <w:rsid w:val="00572E86"/>
    <w:rsid w:val="005822E3"/>
    <w:rsid w:val="0058763B"/>
    <w:rsid w:val="005918E6"/>
    <w:rsid w:val="00592C1D"/>
    <w:rsid w:val="005A0813"/>
    <w:rsid w:val="005A4BCB"/>
    <w:rsid w:val="005A4DED"/>
    <w:rsid w:val="005A5FD7"/>
    <w:rsid w:val="005A6104"/>
    <w:rsid w:val="005A6EA5"/>
    <w:rsid w:val="005B0038"/>
    <w:rsid w:val="005B13F1"/>
    <w:rsid w:val="005B6246"/>
    <w:rsid w:val="005C0F5C"/>
    <w:rsid w:val="005C26B7"/>
    <w:rsid w:val="005D1A81"/>
    <w:rsid w:val="005D1C17"/>
    <w:rsid w:val="005D1C86"/>
    <w:rsid w:val="005D36C0"/>
    <w:rsid w:val="005D4234"/>
    <w:rsid w:val="005D4EFE"/>
    <w:rsid w:val="005E3684"/>
    <w:rsid w:val="005F1AEB"/>
    <w:rsid w:val="005F35D6"/>
    <w:rsid w:val="005F6A48"/>
    <w:rsid w:val="005F6A99"/>
    <w:rsid w:val="00612CF8"/>
    <w:rsid w:val="00615D47"/>
    <w:rsid w:val="006206E7"/>
    <w:rsid w:val="006207D5"/>
    <w:rsid w:val="006226B7"/>
    <w:rsid w:val="006244B1"/>
    <w:rsid w:val="00625A24"/>
    <w:rsid w:val="00627CA4"/>
    <w:rsid w:val="006313E0"/>
    <w:rsid w:val="006313F5"/>
    <w:rsid w:val="00633C57"/>
    <w:rsid w:val="006448BB"/>
    <w:rsid w:val="00645C46"/>
    <w:rsid w:val="0065478E"/>
    <w:rsid w:val="00655063"/>
    <w:rsid w:val="00664607"/>
    <w:rsid w:val="00664F41"/>
    <w:rsid w:val="006654C8"/>
    <w:rsid w:val="00665DC4"/>
    <w:rsid w:val="0067448F"/>
    <w:rsid w:val="00675AFD"/>
    <w:rsid w:val="00680BC3"/>
    <w:rsid w:val="0068207D"/>
    <w:rsid w:val="00682977"/>
    <w:rsid w:val="0068747E"/>
    <w:rsid w:val="0069623B"/>
    <w:rsid w:val="006A04AB"/>
    <w:rsid w:val="006B114F"/>
    <w:rsid w:val="006B12FF"/>
    <w:rsid w:val="006B652C"/>
    <w:rsid w:val="006B66F7"/>
    <w:rsid w:val="006C1CE7"/>
    <w:rsid w:val="006C370C"/>
    <w:rsid w:val="006C4A08"/>
    <w:rsid w:val="006C5DAE"/>
    <w:rsid w:val="006C5FC1"/>
    <w:rsid w:val="006C6164"/>
    <w:rsid w:val="006C6401"/>
    <w:rsid w:val="006D0427"/>
    <w:rsid w:val="006D23E8"/>
    <w:rsid w:val="006D30DB"/>
    <w:rsid w:val="006D5194"/>
    <w:rsid w:val="006D7AA6"/>
    <w:rsid w:val="006E1D5F"/>
    <w:rsid w:val="006E380C"/>
    <w:rsid w:val="006E3AA0"/>
    <w:rsid w:val="006E42C7"/>
    <w:rsid w:val="006E48CF"/>
    <w:rsid w:val="006E7CD4"/>
    <w:rsid w:val="006F2D90"/>
    <w:rsid w:val="006F4BA2"/>
    <w:rsid w:val="006F7DEA"/>
    <w:rsid w:val="007025A0"/>
    <w:rsid w:val="007027EE"/>
    <w:rsid w:val="00703A58"/>
    <w:rsid w:val="00704631"/>
    <w:rsid w:val="00704694"/>
    <w:rsid w:val="0070583E"/>
    <w:rsid w:val="00707D6D"/>
    <w:rsid w:val="0071244F"/>
    <w:rsid w:val="00713FE6"/>
    <w:rsid w:val="00722FBD"/>
    <w:rsid w:val="007234CA"/>
    <w:rsid w:val="00723D3A"/>
    <w:rsid w:val="00725D25"/>
    <w:rsid w:val="007304AB"/>
    <w:rsid w:val="00731B55"/>
    <w:rsid w:val="007375BB"/>
    <w:rsid w:val="007406EA"/>
    <w:rsid w:val="00741E12"/>
    <w:rsid w:val="0074213C"/>
    <w:rsid w:val="00742655"/>
    <w:rsid w:val="00744B08"/>
    <w:rsid w:val="00751D67"/>
    <w:rsid w:val="00755129"/>
    <w:rsid w:val="00757367"/>
    <w:rsid w:val="007601A3"/>
    <w:rsid w:val="0076137B"/>
    <w:rsid w:val="00763A80"/>
    <w:rsid w:val="00765619"/>
    <w:rsid w:val="0076610D"/>
    <w:rsid w:val="007706C1"/>
    <w:rsid w:val="00774026"/>
    <w:rsid w:val="00776868"/>
    <w:rsid w:val="007774C3"/>
    <w:rsid w:val="00780915"/>
    <w:rsid w:val="007818C6"/>
    <w:rsid w:val="007864AF"/>
    <w:rsid w:val="007879D5"/>
    <w:rsid w:val="0079225E"/>
    <w:rsid w:val="0079359F"/>
    <w:rsid w:val="00795730"/>
    <w:rsid w:val="007A13F5"/>
    <w:rsid w:val="007A1498"/>
    <w:rsid w:val="007A4C1D"/>
    <w:rsid w:val="007B0EAE"/>
    <w:rsid w:val="007B0F25"/>
    <w:rsid w:val="007B4028"/>
    <w:rsid w:val="007B51CC"/>
    <w:rsid w:val="007B58E5"/>
    <w:rsid w:val="007B6685"/>
    <w:rsid w:val="007C0265"/>
    <w:rsid w:val="007C0E92"/>
    <w:rsid w:val="007C1012"/>
    <w:rsid w:val="007C220A"/>
    <w:rsid w:val="007C4DF0"/>
    <w:rsid w:val="007C57CF"/>
    <w:rsid w:val="007C6EE7"/>
    <w:rsid w:val="007D0B05"/>
    <w:rsid w:val="007D1C37"/>
    <w:rsid w:val="007D386A"/>
    <w:rsid w:val="007D3CF6"/>
    <w:rsid w:val="007D59CE"/>
    <w:rsid w:val="007E1409"/>
    <w:rsid w:val="007E5321"/>
    <w:rsid w:val="007E5577"/>
    <w:rsid w:val="007E657C"/>
    <w:rsid w:val="007F030F"/>
    <w:rsid w:val="007F0BAE"/>
    <w:rsid w:val="007F2D87"/>
    <w:rsid w:val="007F5425"/>
    <w:rsid w:val="007F6B81"/>
    <w:rsid w:val="007F75BC"/>
    <w:rsid w:val="00803C74"/>
    <w:rsid w:val="0080612A"/>
    <w:rsid w:val="00807954"/>
    <w:rsid w:val="008137F9"/>
    <w:rsid w:val="0081641C"/>
    <w:rsid w:val="008165BC"/>
    <w:rsid w:val="00820FA6"/>
    <w:rsid w:val="00821648"/>
    <w:rsid w:val="00822F2E"/>
    <w:rsid w:val="0082462E"/>
    <w:rsid w:val="00824B4D"/>
    <w:rsid w:val="00826E68"/>
    <w:rsid w:val="0083092F"/>
    <w:rsid w:val="008406E4"/>
    <w:rsid w:val="00842D17"/>
    <w:rsid w:val="00843857"/>
    <w:rsid w:val="00843F55"/>
    <w:rsid w:val="00846D4C"/>
    <w:rsid w:val="00847C27"/>
    <w:rsid w:val="00850F27"/>
    <w:rsid w:val="008512FB"/>
    <w:rsid w:val="00851E17"/>
    <w:rsid w:val="00856DE3"/>
    <w:rsid w:val="00857348"/>
    <w:rsid w:val="00857A16"/>
    <w:rsid w:val="00863C7C"/>
    <w:rsid w:val="00865A2D"/>
    <w:rsid w:val="00867A3D"/>
    <w:rsid w:val="008731DE"/>
    <w:rsid w:val="0087347F"/>
    <w:rsid w:val="008745BC"/>
    <w:rsid w:val="0088022F"/>
    <w:rsid w:val="00880C7B"/>
    <w:rsid w:val="00881264"/>
    <w:rsid w:val="0088359C"/>
    <w:rsid w:val="00890FCD"/>
    <w:rsid w:val="0089683A"/>
    <w:rsid w:val="008A1742"/>
    <w:rsid w:val="008A18E3"/>
    <w:rsid w:val="008A4C07"/>
    <w:rsid w:val="008A57D9"/>
    <w:rsid w:val="008B124A"/>
    <w:rsid w:val="008B3250"/>
    <w:rsid w:val="008B3289"/>
    <w:rsid w:val="008B3BC5"/>
    <w:rsid w:val="008B3C81"/>
    <w:rsid w:val="008C0843"/>
    <w:rsid w:val="008C2405"/>
    <w:rsid w:val="008C469C"/>
    <w:rsid w:val="008C475C"/>
    <w:rsid w:val="008C4822"/>
    <w:rsid w:val="008D104F"/>
    <w:rsid w:val="008D20F7"/>
    <w:rsid w:val="008D42E3"/>
    <w:rsid w:val="008E002B"/>
    <w:rsid w:val="008E0440"/>
    <w:rsid w:val="008E2119"/>
    <w:rsid w:val="008F0212"/>
    <w:rsid w:val="008F123D"/>
    <w:rsid w:val="008F3C32"/>
    <w:rsid w:val="008F3CEA"/>
    <w:rsid w:val="008F752C"/>
    <w:rsid w:val="00911255"/>
    <w:rsid w:val="00911AF6"/>
    <w:rsid w:val="0091334F"/>
    <w:rsid w:val="00917D3D"/>
    <w:rsid w:val="00917FCD"/>
    <w:rsid w:val="00927045"/>
    <w:rsid w:val="00932FB9"/>
    <w:rsid w:val="00937170"/>
    <w:rsid w:val="0094065A"/>
    <w:rsid w:val="00942308"/>
    <w:rsid w:val="00946A5D"/>
    <w:rsid w:val="00951538"/>
    <w:rsid w:val="009524D7"/>
    <w:rsid w:val="0095324D"/>
    <w:rsid w:val="009544DC"/>
    <w:rsid w:val="00957684"/>
    <w:rsid w:val="00964664"/>
    <w:rsid w:val="00964EC7"/>
    <w:rsid w:val="0096530A"/>
    <w:rsid w:val="0096548B"/>
    <w:rsid w:val="009731CF"/>
    <w:rsid w:val="00973FEF"/>
    <w:rsid w:val="009824CE"/>
    <w:rsid w:val="00984A44"/>
    <w:rsid w:val="0098773E"/>
    <w:rsid w:val="00991E4D"/>
    <w:rsid w:val="009977BB"/>
    <w:rsid w:val="009A14CF"/>
    <w:rsid w:val="009A265C"/>
    <w:rsid w:val="009A30AD"/>
    <w:rsid w:val="009B0959"/>
    <w:rsid w:val="009B258B"/>
    <w:rsid w:val="009B39B0"/>
    <w:rsid w:val="009B485B"/>
    <w:rsid w:val="009B4A2C"/>
    <w:rsid w:val="009B5AD5"/>
    <w:rsid w:val="009B63F8"/>
    <w:rsid w:val="009C56D9"/>
    <w:rsid w:val="009C67E1"/>
    <w:rsid w:val="009C6EE6"/>
    <w:rsid w:val="009D3EB7"/>
    <w:rsid w:val="009E0D75"/>
    <w:rsid w:val="009E472C"/>
    <w:rsid w:val="009E57BA"/>
    <w:rsid w:val="009F085B"/>
    <w:rsid w:val="009F4C49"/>
    <w:rsid w:val="009F538A"/>
    <w:rsid w:val="00A0105C"/>
    <w:rsid w:val="00A0318F"/>
    <w:rsid w:val="00A039E3"/>
    <w:rsid w:val="00A057CD"/>
    <w:rsid w:val="00A079F8"/>
    <w:rsid w:val="00A11BAF"/>
    <w:rsid w:val="00A12666"/>
    <w:rsid w:val="00A15E7B"/>
    <w:rsid w:val="00A2063F"/>
    <w:rsid w:val="00A22EBB"/>
    <w:rsid w:val="00A265BA"/>
    <w:rsid w:val="00A26F64"/>
    <w:rsid w:val="00A304B2"/>
    <w:rsid w:val="00A30B17"/>
    <w:rsid w:val="00A31D68"/>
    <w:rsid w:val="00A32738"/>
    <w:rsid w:val="00A32F7F"/>
    <w:rsid w:val="00A33A44"/>
    <w:rsid w:val="00A3588E"/>
    <w:rsid w:val="00A35E2B"/>
    <w:rsid w:val="00A364C5"/>
    <w:rsid w:val="00A36716"/>
    <w:rsid w:val="00A37D0C"/>
    <w:rsid w:val="00A40259"/>
    <w:rsid w:val="00A439E0"/>
    <w:rsid w:val="00A451FF"/>
    <w:rsid w:val="00A45840"/>
    <w:rsid w:val="00A505B7"/>
    <w:rsid w:val="00A559EF"/>
    <w:rsid w:val="00A5685D"/>
    <w:rsid w:val="00A570B0"/>
    <w:rsid w:val="00A638DC"/>
    <w:rsid w:val="00A63A74"/>
    <w:rsid w:val="00A649A7"/>
    <w:rsid w:val="00A66FE3"/>
    <w:rsid w:val="00A70877"/>
    <w:rsid w:val="00A72FCD"/>
    <w:rsid w:val="00A75572"/>
    <w:rsid w:val="00A77AF6"/>
    <w:rsid w:val="00A86356"/>
    <w:rsid w:val="00A8642A"/>
    <w:rsid w:val="00A9036F"/>
    <w:rsid w:val="00A92681"/>
    <w:rsid w:val="00A927EB"/>
    <w:rsid w:val="00A963BD"/>
    <w:rsid w:val="00A97237"/>
    <w:rsid w:val="00A972FB"/>
    <w:rsid w:val="00AA0C5B"/>
    <w:rsid w:val="00AA13FB"/>
    <w:rsid w:val="00AA32A3"/>
    <w:rsid w:val="00AB2341"/>
    <w:rsid w:val="00AB6624"/>
    <w:rsid w:val="00AB7997"/>
    <w:rsid w:val="00AC1E3E"/>
    <w:rsid w:val="00AD008B"/>
    <w:rsid w:val="00AD30AA"/>
    <w:rsid w:val="00AD5010"/>
    <w:rsid w:val="00AD519C"/>
    <w:rsid w:val="00AD5B0F"/>
    <w:rsid w:val="00AD6039"/>
    <w:rsid w:val="00AD6C94"/>
    <w:rsid w:val="00AD6D73"/>
    <w:rsid w:val="00AE30E6"/>
    <w:rsid w:val="00AE5C00"/>
    <w:rsid w:val="00AE5EDE"/>
    <w:rsid w:val="00AE6C79"/>
    <w:rsid w:val="00AF59C0"/>
    <w:rsid w:val="00AF6C35"/>
    <w:rsid w:val="00AF6FF1"/>
    <w:rsid w:val="00AF703A"/>
    <w:rsid w:val="00AF77F9"/>
    <w:rsid w:val="00AF7DAE"/>
    <w:rsid w:val="00AF7E32"/>
    <w:rsid w:val="00B05722"/>
    <w:rsid w:val="00B10D13"/>
    <w:rsid w:val="00B1203F"/>
    <w:rsid w:val="00B159D7"/>
    <w:rsid w:val="00B163DE"/>
    <w:rsid w:val="00B202EC"/>
    <w:rsid w:val="00B2192B"/>
    <w:rsid w:val="00B22695"/>
    <w:rsid w:val="00B22E17"/>
    <w:rsid w:val="00B241DB"/>
    <w:rsid w:val="00B268AC"/>
    <w:rsid w:val="00B27F70"/>
    <w:rsid w:val="00B325D6"/>
    <w:rsid w:val="00B349D9"/>
    <w:rsid w:val="00B37BAE"/>
    <w:rsid w:val="00B418EB"/>
    <w:rsid w:val="00B42657"/>
    <w:rsid w:val="00B46210"/>
    <w:rsid w:val="00B46511"/>
    <w:rsid w:val="00B50BE6"/>
    <w:rsid w:val="00B618D6"/>
    <w:rsid w:val="00B63F4D"/>
    <w:rsid w:val="00B6745A"/>
    <w:rsid w:val="00B72304"/>
    <w:rsid w:val="00B723A5"/>
    <w:rsid w:val="00B72CAC"/>
    <w:rsid w:val="00B76343"/>
    <w:rsid w:val="00B76699"/>
    <w:rsid w:val="00B77073"/>
    <w:rsid w:val="00B861EE"/>
    <w:rsid w:val="00B879DE"/>
    <w:rsid w:val="00B90AD3"/>
    <w:rsid w:val="00B91029"/>
    <w:rsid w:val="00B91F3E"/>
    <w:rsid w:val="00B93817"/>
    <w:rsid w:val="00B94BFA"/>
    <w:rsid w:val="00B95B99"/>
    <w:rsid w:val="00B9640D"/>
    <w:rsid w:val="00B96FAC"/>
    <w:rsid w:val="00B96FCA"/>
    <w:rsid w:val="00BA1B00"/>
    <w:rsid w:val="00BA296A"/>
    <w:rsid w:val="00BA2BD3"/>
    <w:rsid w:val="00BA70D6"/>
    <w:rsid w:val="00BA712D"/>
    <w:rsid w:val="00BA7EC3"/>
    <w:rsid w:val="00BC029B"/>
    <w:rsid w:val="00BC4267"/>
    <w:rsid w:val="00BC4553"/>
    <w:rsid w:val="00BC45A9"/>
    <w:rsid w:val="00BC743F"/>
    <w:rsid w:val="00BD0ED6"/>
    <w:rsid w:val="00BD22A3"/>
    <w:rsid w:val="00BE02D9"/>
    <w:rsid w:val="00BE2E4F"/>
    <w:rsid w:val="00BE4720"/>
    <w:rsid w:val="00BF03E6"/>
    <w:rsid w:val="00BF1493"/>
    <w:rsid w:val="00BF1B10"/>
    <w:rsid w:val="00BF4C53"/>
    <w:rsid w:val="00BF676C"/>
    <w:rsid w:val="00C00403"/>
    <w:rsid w:val="00C046AA"/>
    <w:rsid w:val="00C05829"/>
    <w:rsid w:val="00C13521"/>
    <w:rsid w:val="00C16FE9"/>
    <w:rsid w:val="00C204A7"/>
    <w:rsid w:val="00C20AD0"/>
    <w:rsid w:val="00C20E7B"/>
    <w:rsid w:val="00C2125B"/>
    <w:rsid w:val="00C221BF"/>
    <w:rsid w:val="00C23371"/>
    <w:rsid w:val="00C26809"/>
    <w:rsid w:val="00C309B4"/>
    <w:rsid w:val="00C34AF0"/>
    <w:rsid w:val="00C35CD1"/>
    <w:rsid w:val="00C36EEA"/>
    <w:rsid w:val="00C37098"/>
    <w:rsid w:val="00C37C61"/>
    <w:rsid w:val="00C41E6C"/>
    <w:rsid w:val="00C43025"/>
    <w:rsid w:val="00C44B91"/>
    <w:rsid w:val="00C51063"/>
    <w:rsid w:val="00C533D6"/>
    <w:rsid w:val="00C53458"/>
    <w:rsid w:val="00C5433E"/>
    <w:rsid w:val="00C5461C"/>
    <w:rsid w:val="00C573FE"/>
    <w:rsid w:val="00C578B1"/>
    <w:rsid w:val="00C6072F"/>
    <w:rsid w:val="00C61B25"/>
    <w:rsid w:val="00C620F6"/>
    <w:rsid w:val="00C643B4"/>
    <w:rsid w:val="00C66573"/>
    <w:rsid w:val="00C670BA"/>
    <w:rsid w:val="00C67A20"/>
    <w:rsid w:val="00C702E3"/>
    <w:rsid w:val="00C73B66"/>
    <w:rsid w:val="00C7669D"/>
    <w:rsid w:val="00C81D3C"/>
    <w:rsid w:val="00C82F74"/>
    <w:rsid w:val="00C85370"/>
    <w:rsid w:val="00C9046F"/>
    <w:rsid w:val="00C90FF9"/>
    <w:rsid w:val="00C948FC"/>
    <w:rsid w:val="00C96668"/>
    <w:rsid w:val="00C97E3A"/>
    <w:rsid w:val="00CA1D94"/>
    <w:rsid w:val="00CA1E1C"/>
    <w:rsid w:val="00CA2733"/>
    <w:rsid w:val="00CA4193"/>
    <w:rsid w:val="00CA5EDC"/>
    <w:rsid w:val="00CC14D4"/>
    <w:rsid w:val="00CC5046"/>
    <w:rsid w:val="00CC5128"/>
    <w:rsid w:val="00CC7505"/>
    <w:rsid w:val="00CD27DE"/>
    <w:rsid w:val="00CD299C"/>
    <w:rsid w:val="00CD3CA4"/>
    <w:rsid w:val="00CE3049"/>
    <w:rsid w:val="00CE4646"/>
    <w:rsid w:val="00CE570A"/>
    <w:rsid w:val="00CE6CAA"/>
    <w:rsid w:val="00CE6FE6"/>
    <w:rsid w:val="00CE772C"/>
    <w:rsid w:val="00CF0F32"/>
    <w:rsid w:val="00CF106D"/>
    <w:rsid w:val="00CF5AB9"/>
    <w:rsid w:val="00CF5BD7"/>
    <w:rsid w:val="00CF5FC6"/>
    <w:rsid w:val="00CF7622"/>
    <w:rsid w:val="00CF7E9E"/>
    <w:rsid w:val="00D0740B"/>
    <w:rsid w:val="00D11A6B"/>
    <w:rsid w:val="00D16872"/>
    <w:rsid w:val="00D16F01"/>
    <w:rsid w:val="00D21DD0"/>
    <w:rsid w:val="00D24EE3"/>
    <w:rsid w:val="00D266D0"/>
    <w:rsid w:val="00D27BC9"/>
    <w:rsid w:val="00D27E5B"/>
    <w:rsid w:val="00D317F2"/>
    <w:rsid w:val="00D3295A"/>
    <w:rsid w:val="00D33E1D"/>
    <w:rsid w:val="00D345F8"/>
    <w:rsid w:val="00D373D3"/>
    <w:rsid w:val="00D37FFE"/>
    <w:rsid w:val="00D42DED"/>
    <w:rsid w:val="00D4457A"/>
    <w:rsid w:val="00D4497F"/>
    <w:rsid w:val="00D53099"/>
    <w:rsid w:val="00D5357E"/>
    <w:rsid w:val="00D55E4B"/>
    <w:rsid w:val="00D561F6"/>
    <w:rsid w:val="00D6170E"/>
    <w:rsid w:val="00D701A6"/>
    <w:rsid w:val="00D75501"/>
    <w:rsid w:val="00D76F87"/>
    <w:rsid w:val="00D77466"/>
    <w:rsid w:val="00D77EF6"/>
    <w:rsid w:val="00D815A5"/>
    <w:rsid w:val="00D81A90"/>
    <w:rsid w:val="00D82305"/>
    <w:rsid w:val="00D83593"/>
    <w:rsid w:val="00D864EE"/>
    <w:rsid w:val="00D919CE"/>
    <w:rsid w:val="00D932AE"/>
    <w:rsid w:val="00D943AD"/>
    <w:rsid w:val="00D9557B"/>
    <w:rsid w:val="00D96E55"/>
    <w:rsid w:val="00DA226F"/>
    <w:rsid w:val="00DA4E75"/>
    <w:rsid w:val="00DA5DA1"/>
    <w:rsid w:val="00DB2A3F"/>
    <w:rsid w:val="00DB2B5F"/>
    <w:rsid w:val="00DB7D08"/>
    <w:rsid w:val="00DC17DF"/>
    <w:rsid w:val="00DC2528"/>
    <w:rsid w:val="00DC58F3"/>
    <w:rsid w:val="00DC60EF"/>
    <w:rsid w:val="00DC61E5"/>
    <w:rsid w:val="00DC6204"/>
    <w:rsid w:val="00DD306E"/>
    <w:rsid w:val="00DD674D"/>
    <w:rsid w:val="00DE31F7"/>
    <w:rsid w:val="00DE6CA1"/>
    <w:rsid w:val="00DE76D6"/>
    <w:rsid w:val="00DF0A30"/>
    <w:rsid w:val="00DF3934"/>
    <w:rsid w:val="00E037BC"/>
    <w:rsid w:val="00E115EF"/>
    <w:rsid w:val="00E11C35"/>
    <w:rsid w:val="00E160DF"/>
    <w:rsid w:val="00E2291C"/>
    <w:rsid w:val="00E23980"/>
    <w:rsid w:val="00E23DED"/>
    <w:rsid w:val="00E32260"/>
    <w:rsid w:val="00E346EC"/>
    <w:rsid w:val="00E34E87"/>
    <w:rsid w:val="00E35B4B"/>
    <w:rsid w:val="00E36019"/>
    <w:rsid w:val="00E37C3E"/>
    <w:rsid w:val="00E40FA9"/>
    <w:rsid w:val="00E41174"/>
    <w:rsid w:val="00E415C6"/>
    <w:rsid w:val="00E41B01"/>
    <w:rsid w:val="00E4315D"/>
    <w:rsid w:val="00E43F1C"/>
    <w:rsid w:val="00E468F2"/>
    <w:rsid w:val="00E47001"/>
    <w:rsid w:val="00E55354"/>
    <w:rsid w:val="00E57D06"/>
    <w:rsid w:val="00E66FDB"/>
    <w:rsid w:val="00E70A62"/>
    <w:rsid w:val="00E72673"/>
    <w:rsid w:val="00E73313"/>
    <w:rsid w:val="00E73889"/>
    <w:rsid w:val="00E745B0"/>
    <w:rsid w:val="00E80F41"/>
    <w:rsid w:val="00E81E75"/>
    <w:rsid w:val="00E8236A"/>
    <w:rsid w:val="00E8286A"/>
    <w:rsid w:val="00E8568A"/>
    <w:rsid w:val="00E87F93"/>
    <w:rsid w:val="00E90A29"/>
    <w:rsid w:val="00E92E83"/>
    <w:rsid w:val="00E93FE4"/>
    <w:rsid w:val="00E961FC"/>
    <w:rsid w:val="00EA1BD0"/>
    <w:rsid w:val="00EA7821"/>
    <w:rsid w:val="00EB0842"/>
    <w:rsid w:val="00EB1D73"/>
    <w:rsid w:val="00EB32EB"/>
    <w:rsid w:val="00EB795F"/>
    <w:rsid w:val="00EC5730"/>
    <w:rsid w:val="00EC7987"/>
    <w:rsid w:val="00ED24A4"/>
    <w:rsid w:val="00ED5D62"/>
    <w:rsid w:val="00ED61AC"/>
    <w:rsid w:val="00ED61EF"/>
    <w:rsid w:val="00ED6864"/>
    <w:rsid w:val="00ED6E12"/>
    <w:rsid w:val="00EE0374"/>
    <w:rsid w:val="00EE0DE6"/>
    <w:rsid w:val="00EE0FBC"/>
    <w:rsid w:val="00EE1C24"/>
    <w:rsid w:val="00EE1F73"/>
    <w:rsid w:val="00EE5E05"/>
    <w:rsid w:val="00EF2144"/>
    <w:rsid w:val="00EF4A77"/>
    <w:rsid w:val="00EF5872"/>
    <w:rsid w:val="00EF5F3B"/>
    <w:rsid w:val="00F00D58"/>
    <w:rsid w:val="00F01E5E"/>
    <w:rsid w:val="00F040F1"/>
    <w:rsid w:val="00F04294"/>
    <w:rsid w:val="00F05FEC"/>
    <w:rsid w:val="00F06164"/>
    <w:rsid w:val="00F06354"/>
    <w:rsid w:val="00F06792"/>
    <w:rsid w:val="00F1207B"/>
    <w:rsid w:val="00F13D19"/>
    <w:rsid w:val="00F15898"/>
    <w:rsid w:val="00F21F45"/>
    <w:rsid w:val="00F22353"/>
    <w:rsid w:val="00F24A03"/>
    <w:rsid w:val="00F317EB"/>
    <w:rsid w:val="00F3508C"/>
    <w:rsid w:val="00F417DF"/>
    <w:rsid w:val="00F41D89"/>
    <w:rsid w:val="00F429BD"/>
    <w:rsid w:val="00F4454B"/>
    <w:rsid w:val="00F50084"/>
    <w:rsid w:val="00F51C69"/>
    <w:rsid w:val="00F6161D"/>
    <w:rsid w:val="00F62530"/>
    <w:rsid w:val="00F62EAC"/>
    <w:rsid w:val="00F63E7B"/>
    <w:rsid w:val="00F7274F"/>
    <w:rsid w:val="00F7364F"/>
    <w:rsid w:val="00F74810"/>
    <w:rsid w:val="00F753CA"/>
    <w:rsid w:val="00F8018F"/>
    <w:rsid w:val="00F840AE"/>
    <w:rsid w:val="00F85622"/>
    <w:rsid w:val="00F905A9"/>
    <w:rsid w:val="00F93738"/>
    <w:rsid w:val="00F977AA"/>
    <w:rsid w:val="00FA044D"/>
    <w:rsid w:val="00FA0AC6"/>
    <w:rsid w:val="00FA31AE"/>
    <w:rsid w:val="00FA53E2"/>
    <w:rsid w:val="00FA62FF"/>
    <w:rsid w:val="00FA67E4"/>
    <w:rsid w:val="00FB0FB1"/>
    <w:rsid w:val="00FB2269"/>
    <w:rsid w:val="00FB3048"/>
    <w:rsid w:val="00FB3FA9"/>
    <w:rsid w:val="00FB4D61"/>
    <w:rsid w:val="00FB644C"/>
    <w:rsid w:val="00FC15C5"/>
    <w:rsid w:val="00FC3F22"/>
    <w:rsid w:val="00FD0062"/>
    <w:rsid w:val="00FD2872"/>
    <w:rsid w:val="00FD4608"/>
    <w:rsid w:val="00FE1EC4"/>
    <w:rsid w:val="00FE2B04"/>
    <w:rsid w:val="00FE5280"/>
    <w:rsid w:val="00FE5D4B"/>
    <w:rsid w:val="00FF16F8"/>
    <w:rsid w:val="00FF4876"/>
    <w:rsid w:val="08416AC5"/>
    <w:rsid w:val="0927B30C"/>
    <w:rsid w:val="0E1D7669"/>
    <w:rsid w:val="1110200F"/>
    <w:rsid w:val="1B363BA7"/>
    <w:rsid w:val="1FFFC404"/>
    <w:rsid w:val="22CA93D1"/>
    <w:rsid w:val="244A1CB2"/>
    <w:rsid w:val="254CA76D"/>
    <w:rsid w:val="32982CBE"/>
    <w:rsid w:val="3783CF78"/>
    <w:rsid w:val="3A0E4943"/>
    <w:rsid w:val="494EFCA0"/>
    <w:rsid w:val="54AA99AD"/>
    <w:rsid w:val="75DD07EF"/>
    <w:rsid w:val="762DC809"/>
    <w:rsid w:val="792ECA11"/>
    <w:rsid w:val="7A444F16"/>
    <w:rsid w:val="7C2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460EF"/>
  <w15:docId w15:val="{87510A80-C4D2-4896-BF6C-E652166C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48F"/>
    <w:rPr>
      <w:rFonts w:ascii="Arial" w:hAnsi="Arial"/>
      <w:sz w:val="22"/>
    </w:rPr>
  </w:style>
  <w:style w:type="paragraph" w:styleId="Heading1">
    <w:name w:val="heading 1"/>
    <w:basedOn w:val="Normal"/>
    <w:next w:val="formattedparas"/>
    <w:qFormat/>
    <w:pPr>
      <w:keepNext/>
      <w:tabs>
        <w:tab w:val="left" w:pos="567"/>
      </w:tabs>
      <w:spacing w:after="720" w:line="360" w:lineRule="atLeast"/>
      <w:ind w:left="567" w:hanging="567"/>
      <w:outlineLvl w:val="0"/>
    </w:pPr>
    <w:rPr>
      <w:b/>
      <w:caps/>
      <w:sz w:val="36"/>
    </w:rPr>
  </w:style>
  <w:style w:type="paragraph" w:styleId="Heading2">
    <w:name w:val="heading 2"/>
    <w:basedOn w:val="Normal"/>
    <w:next w:val="formattedparas"/>
    <w:link w:val="Heading2Char"/>
    <w:uiPriority w:val="9"/>
    <w:qFormat/>
    <w:pPr>
      <w:keepNext/>
      <w:tabs>
        <w:tab w:val="left" w:pos="567"/>
      </w:tabs>
      <w:spacing w:before="480" w:after="140"/>
      <w:ind w:left="567" w:hanging="567"/>
      <w:outlineLvl w:val="1"/>
    </w:pPr>
    <w:rPr>
      <w:b/>
      <w:sz w:val="28"/>
    </w:rPr>
  </w:style>
  <w:style w:type="paragraph" w:styleId="Heading3">
    <w:name w:val="heading 3"/>
    <w:basedOn w:val="Normal"/>
    <w:next w:val="formattedparas"/>
    <w:link w:val="Heading3Char"/>
    <w:uiPriority w:val="9"/>
    <w:qFormat/>
    <w:rsid w:val="00A45840"/>
    <w:pPr>
      <w:keepNext/>
      <w:spacing w:before="360" w:after="140" w:line="240" w:lineRule="atLeast"/>
      <w:outlineLvl w:val="2"/>
    </w:pPr>
    <w:rPr>
      <w:b/>
      <w:color w:val="009BD2"/>
      <w:sz w:val="28"/>
    </w:rPr>
  </w:style>
  <w:style w:type="paragraph" w:styleId="Heading4">
    <w:name w:val="heading 4"/>
    <w:basedOn w:val="Normal"/>
    <w:next w:val="formattedparas"/>
    <w:qFormat/>
    <w:pPr>
      <w:keepNext/>
      <w:spacing w:before="140" w:after="140" w:line="240" w:lineRule="atLeast"/>
      <w:outlineLvl w:val="3"/>
    </w:pPr>
    <w:rPr>
      <w:i/>
    </w:rPr>
  </w:style>
  <w:style w:type="paragraph" w:styleId="Heading5">
    <w:name w:val="heading 5"/>
    <w:basedOn w:val="Heading4"/>
    <w:next w:val="formattedparas"/>
    <w:qFormat/>
    <w:pPr>
      <w:outlineLvl w:val="4"/>
    </w:pPr>
    <w:rPr>
      <w:rFonts w:ascii="Times New Roman" w:hAnsi="Times New Roman"/>
    </w:rPr>
  </w:style>
  <w:style w:type="paragraph" w:styleId="Heading6">
    <w:name w:val="heading 6"/>
    <w:basedOn w:val="Heading4"/>
    <w:next w:val="formattedparas"/>
    <w:qFormat/>
    <w:pPr>
      <w:outlineLvl w:val="5"/>
    </w:pPr>
    <w:rPr>
      <w:i w:val="0"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dparas">
    <w:name w:val="formatted paras"/>
    <w:basedOn w:val="Normal"/>
    <w:pPr>
      <w:spacing w:after="140" w:line="300" w:lineRule="atLeast"/>
      <w:jc w:val="both"/>
    </w:pPr>
  </w:style>
  <w:style w:type="paragraph" w:styleId="TOC6">
    <w:name w:val="toc 6"/>
    <w:basedOn w:val="Normal"/>
    <w:next w:val="formattedparas"/>
    <w:semiHidden/>
    <w:pPr>
      <w:tabs>
        <w:tab w:val="right" w:pos="8179"/>
      </w:tabs>
      <w:spacing w:line="240" w:lineRule="atLeast"/>
      <w:ind w:left="3542"/>
    </w:pPr>
  </w:style>
  <w:style w:type="paragraph" w:styleId="TOC5">
    <w:name w:val="toc 5"/>
    <w:basedOn w:val="Normal"/>
    <w:next w:val="formattedparas"/>
    <w:semiHidden/>
    <w:pPr>
      <w:tabs>
        <w:tab w:val="right" w:pos="8179"/>
      </w:tabs>
      <w:spacing w:line="240" w:lineRule="atLeast"/>
      <w:ind w:left="2837"/>
    </w:pPr>
  </w:style>
  <w:style w:type="paragraph" w:styleId="TOC4">
    <w:name w:val="toc 4"/>
    <w:basedOn w:val="Normal"/>
    <w:next w:val="formattedparas"/>
    <w:semiHidden/>
    <w:pPr>
      <w:tabs>
        <w:tab w:val="right" w:pos="8179"/>
      </w:tabs>
      <w:spacing w:line="240" w:lineRule="atLeast"/>
      <w:ind w:left="2131"/>
    </w:pPr>
  </w:style>
  <w:style w:type="paragraph" w:styleId="TOC3">
    <w:name w:val="toc 3"/>
    <w:basedOn w:val="Normal"/>
    <w:next w:val="formattedparas"/>
    <w:semiHidden/>
    <w:pPr>
      <w:tabs>
        <w:tab w:val="right" w:pos="8179"/>
      </w:tabs>
      <w:spacing w:line="240" w:lineRule="atLeast"/>
      <w:ind w:left="1440"/>
    </w:pPr>
  </w:style>
  <w:style w:type="paragraph" w:styleId="TOC2">
    <w:name w:val="toc 2"/>
    <w:basedOn w:val="Normal"/>
    <w:next w:val="formattedparas"/>
    <w:semiHidden/>
    <w:pPr>
      <w:tabs>
        <w:tab w:val="left" w:pos="1440"/>
        <w:tab w:val="right" w:pos="8179"/>
      </w:tabs>
      <w:spacing w:line="240" w:lineRule="atLeast"/>
      <w:ind w:left="720"/>
    </w:pPr>
  </w:style>
  <w:style w:type="paragraph" w:styleId="TOC1">
    <w:name w:val="toc 1"/>
    <w:basedOn w:val="Normal"/>
    <w:next w:val="formattedparas"/>
    <w:semiHidden/>
    <w:pPr>
      <w:tabs>
        <w:tab w:val="left" w:pos="720"/>
        <w:tab w:val="right" w:pos="8179"/>
      </w:tabs>
      <w:spacing w:line="240" w:lineRule="atLeast"/>
    </w:pPr>
  </w:style>
  <w:style w:type="paragraph" w:styleId="Index6">
    <w:name w:val="index 6"/>
    <w:basedOn w:val="Index1"/>
    <w:next w:val="Index1"/>
    <w:semiHidden/>
    <w:pPr>
      <w:ind w:left="862" w:hanging="142"/>
    </w:pPr>
  </w:style>
  <w:style w:type="paragraph" w:styleId="Index1">
    <w:name w:val="index 1"/>
    <w:basedOn w:val="Normal"/>
    <w:next w:val="Normal"/>
    <w:semiHidden/>
    <w:pPr>
      <w:tabs>
        <w:tab w:val="right" w:pos="3515"/>
      </w:tabs>
      <w:ind w:left="144" w:hanging="144"/>
    </w:pPr>
    <w:rPr>
      <w:sz w:val="18"/>
    </w:rPr>
  </w:style>
  <w:style w:type="paragraph" w:styleId="Index5">
    <w:name w:val="index 5"/>
    <w:basedOn w:val="Index1"/>
    <w:next w:val="Index1"/>
    <w:semiHidden/>
    <w:pPr>
      <w:ind w:left="720" w:hanging="142"/>
    </w:pPr>
  </w:style>
  <w:style w:type="paragraph" w:styleId="Index4">
    <w:name w:val="index 4"/>
    <w:basedOn w:val="Index1"/>
    <w:next w:val="Index1"/>
    <w:semiHidden/>
    <w:pPr>
      <w:ind w:left="576"/>
    </w:pPr>
  </w:style>
  <w:style w:type="paragraph" w:styleId="Index3">
    <w:name w:val="index 3"/>
    <w:basedOn w:val="Index1"/>
    <w:next w:val="Index1"/>
    <w:semiHidden/>
    <w:pPr>
      <w:ind w:left="432" w:hanging="142"/>
    </w:pPr>
  </w:style>
  <w:style w:type="paragraph" w:styleId="Index2">
    <w:name w:val="index 2"/>
    <w:basedOn w:val="Index1"/>
    <w:next w:val="Index1"/>
    <w:semiHidden/>
    <w:pPr>
      <w:ind w:left="288" w:hanging="142"/>
    </w:pPr>
  </w:style>
  <w:style w:type="paragraph" w:styleId="IndexHeading">
    <w:name w:val="index heading"/>
    <w:basedOn w:val="Heading1"/>
    <w:next w:val="Index1"/>
    <w:semiHidden/>
    <w:pPr>
      <w:pageBreakBefore/>
      <w:outlineLvl w:val="9"/>
    </w:pPr>
  </w:style>
  <w:style w:type="paragraph" w:styleId="Footer">
    <w:name w:val="footer"/>
    <w:basedOn w:val="Normal"/>
    <w:link w:val="FooterChar"/>
    <w:uiPriority w:val="99"/>
    <w:pPr>
      <w:tabs>
        <w:tab w:val="right" w:pos="8179"/>
      </w:tabs>
    </w:pPr>
    <w:rPr>
      <w:caps/>
    </w:rPr>
  </w:style>
  <w:style w:type="paragraph" w:styleId="Header">
    <w:name w:val="header"/>
    <w:basedOn w:val="Normal"/>
    <w:pPr>
      <w:pBdr>
        <w:bottom w:val="single" w:sz="24" w:space="1" w:color="auto"/>
      </w:pBdr>
      <w:spacing w:line="240" w:lineRule="exact"/>
    </w:pPr>
    <w:rPr>
      <w:caps/>
      <w:sz w:val="18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tabs>
        <w:tab w:val="left" w:pos="288"/>
      </w:tabs>
      <w:spacing w:after="60" w:line="240" w:lineRule="exact"/>
      <w:ind w:left="288" w:hanging="288"/>
      <w:jc w:val="both"/>
    </w:pPr>
  </w:style>
  <w:style w:type="paragraph" w:styleId="NormalIndent">
    <w:name w:val="Normal Indent"/>
    <w:basedOn w:val="Normal"/>
    <w:next w:val="formattedparas"/>
    <w:pPr>
      <w:spacing w:after="140" w:line="260" w:lineRule="exact"/>
      <w:ind w:left="567"/>
      <w:jc w:val="both"/>
    </w:pPr>
  </w:style>
  <w:style w:type="paragraph" w:customStyle="1" w:styleId="Tabletext">
    <w:name w:val="Table text"/>
    <w:basedOn w:val="Normal"/>
    <w:pPr>
      <w:keepNext/>
      <w:keepLines/>
      <w:spacing w:line="240" w:lineRule="atLeast"/>
    </w:pPr>
    <w:rPr>
      <w:sz w:val="20"/>
    </w:rPr>
  </w:style>
  <w:style w:type="paragraph" w:customStyle="1" w:styleId="TableNotesSources">
    <w:name w:val="Table Notes &amp; Sources"/>
    <w:basedOn w:val="Normal"/>
    <w:next w:val="Spaceaftertable"/>
    <w:pPr>
      <w:keepNext/>
      <w:keepLines/>
      <w:spacing w:line="240" w:lineRule="atLeast"/>
      <w:jc w:val="both"/>
    </w:pPr>
    <w:rPr>
      <w:sz w:val="18"/>
    </w:rPr>
  </w:style>
  <w:style w:type="paragraph" w:customStyle="1" w:styleId="Spaceaftertable">
    <w:name w:val="Space after table"/>
    <w:basedOn w:val="Normal"/>
    <w:next w:val="formattedparas"/>
    <w:pPr>
      <w:spacing w:after="240" w:line="240" w:lineRule="atLeast"/>
    </w:pPr>
    <w:rPr>
      <w:sz w:val="18"/>
    </w:rPr>
  </w:style>
  <w:style w:type="paragraph" w:customStyle="1" w:styleId="TableColHead">
    <w:name w:val="Table Col Head"/>
    <w:basedOn w:val="Normal"/>
    <w:pPr>
      <w:keepNext/>
      <w:keepLines/>
      <w:spacing w:line="160" w:lineRule="atLeast"/>
    </w:pPr>
    <w:rPr>
      <w:i/>
      <w:sz w:val="20"/>
    </w:rPr>
  </w:style>
  <w:style w:type="paragraph" w:customStyle="1" w:styleId="Tabletitle">
    <w:name w:val="Table title"/>
    <w:basedOn w:val="Normal"/>
    <w:pPr>
      <w:keepNext/>
      <w:keepLines/>
      <w:tabs>
        <w:tab w:val="left" w:pos="907"/>
      </w:tabs>
      <w:spacing w:after="80" w:line="240" w:lineRule="atLeast"/>
      <w:ind w:left="907" w:hanging="907"/>
    </w:pPr>
  </w:style>
  <w:style w:type="paragraph" w:customStyle="1" w:styleId="linebelowtableheading">
    <w:name w:val="line below table heading"/>
    <w:basedOn w:val="Normal"/>
    <w:next w:val="TableColHead"/>
    <w:pPr>
      <w:keepNext/>
      <w:keepLines/>
      <w:pBdr>
        <w:bottom w:val="single" w:sz="12" w:space="1" w:color="auto"/>
      </w:pBdr>
      <w:spacing w:after="80" w:line="60" w:lineRule="exact"/>
    </w:pPr>
  </w:style>
  <w:style w:type="paragraph" w:customStyle="1" w:styleId="Horizontallineintable">
    <w:name w:val="Horizontal line in table"/>
    <w:basedOn w:val="Normal"/>
    <w:next w:val="formattedparas"/>
    <w:pPr>
      <w:keepNext/>
      <w:keepLines/>
      <w:pBdr>
        <w:bottom w:val="single" w:sz="6" w:space="1" w:color="auto"/>
      </w:pBdr>
      <w:spacing w:after="80" w:line="60" w:lineRule="exact"/>
      <w:jc w:val="both"/>
    </w:pPr>
  </w:style>
  <w:style w:type="paragraph" w:customStyle="1" w:styleId="2tabindent">
    <w:name w:val="2tab indent"/>
    <w:basedOn w:val="Normal"/>
    <w:next w:val="formattedparas"/>
    <w:pPr>
      <w:tabs>
        <w:tab w:val="left" w:pos="510"/>
        <w:tab w:val="left" w:pos="1008"/>
      </w:tabs>
      <w:spacing w:after="80" w:line="300" w:lineRule="atLeast"/>
      <w:ind w:left="1008" w:hanging="1008"/>
      <w:jc w:val="both"/>
    </w:pPr>
  </w:style>
  <w:style w:type="paragraph" w:customStyle="1" w:styleId="LastBullet">
    <w:name w:val="Last Bullet"/>
    <w:basedOn w:val="Normal"/>
    <w:next w:val="formattedparas"/>
    <w:pPr>
      <w:tabs>
        <w:tab w:val="left" w:pos="567"/>
      </w:tabs>
      <w:spacing w:after="140" w:line="300" w:lineRule="exact"/>
      <w:ind w:left="567" w:hanging="567"/>
      <w:jc w:val="both"/>
    </w:pPr>
  </w:style>
  <w:style w:type="paragraph" w:customStyle="1" w:styleId="lead-intobullet">
    <w:name w:val="lead-in to bullet"/>
    <w:basedOn w:val="Normal"/>
    <w:next w:val="bulletltrind"/>
    <w:pPr>
      <w:keepNext/>
      <w:spacing w:after="80" w:line="300" w:lineRule="atLeast"/>
      <w:jc w:val="both"/>
    </w:pPr>
  </w:style>
  <w:style w:type="paragraph" w:customStyle="1" w:styleId="bulletltrind">
    <w:name w:val="bullet/ltr ind."/>
    <w:basedOn w:val="Normal"/>
    <w:pPr>
      <w:tabs>
        <w:tab w:val="left" w:pos="567"/>
      </w:tabs>
      <w:spacing w:after="80" w:line="300" w:lineRule="exact"/>
      <w:ind w:left="567" w:hanging="567"/>
      <w:jc w:val="both"/>
    </w:pPr>
  </w:style>
  <w:style w:type="paragraph" w:customStyle="1" w:styleId="Blockquotes">
    <w:name w:val="Block quotes"/>
    <w:basedOn w:val="Normal"/>
    <w:pPr>
      <w:tabs>
        <w:tab w:val="left" w:pos="510"/>
      </w:tabs>
      <w:spacing w:after="140" w:line="260" w:lineRule="exact"/>
      <w:ind w:left="567"/>
      <w:jc w:val="both"/>
    </w:pPr>
  </w:style>
  <w:style w:type="paragraph" w:customStyle="1" w:styleId="DocInfo">
    <w:name w:val="Doc Info"/>
    <w:basedOn w:val="Normal"/>
    <w:next w:val="Footer"/>
    <w:pPr>
      <w:framePr w:hSpace="181" w:wrap="auto" w:vAnchor="page" w:hAnchor="page" w:xAlign="center" w:y="15877"/>
      <w:jc w:val="center"/>
    </w:pPr>
    <w:rPr>
      <w:sz w:val="14"/>
    </w:rPr>
  </w:style>
  <w:style w:type="paragraph" w:customStyle="1" w:styleId="Menu">
    <w:name w:val="Menu"/>
    <w:basedOn w:val="Heading4"/>
    <w:next w:val="Normal"/>
    <w:pPr>
      <w:outlineLvl w:val="9"/>
    </w:pPr>
    <w:rPr>
      <w:b/>
      <w:i w:val="0"/>
    </w:rPr>
  </w:style>
  <w:style w:type="paragraph" w:customStyle="1" w:styleId="Address">
    <w:name w:val="Address"/>
    <w:basedOn w:val="Normal"/>
    <w:pPr>
      <w:framePr w:hSpace="181" w:wrap="auto" w:vAnchor="page" w:hAnchor="page" w:x="9470" w:y="1532"/>
      <w:spacing w:line="220" w:lineRule="atLeast"/>
    </w:pPr>
    <w:rPr>
      <w:b/>
      <w:noProof/>
      <w:sz w:val="14"/>
    </w:rPr>
  </w:style>
  <w:style w:type="paragraph" w:styleId="BalloonText">
    <w:name w:val="Balloon Text"/>
    <w:basedOn w:val="Normal"/>
    <w:semiHidden/>
    <w:rsid w:val="004A70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46D4C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paragraph" w:customStyle="1" w:styleId="BoxSpace">
    <w:name w:val="Box Space"/>
    <w:basedOn w:val="Normal"/>
    <w:rsid w:val="00A35E2B"/>
    <w:pPr>
      <w:keepNext/>
      <w:spacing w:before="360" w:line="80" w:lineRule="exact"/>
    </w:pPr>
    <w:rPr>
      <w:sz w:val="24"/>
    </w:rPr>
  </w:style>
  <w:style w:type="paragraph" w:styleId="ListParagraph">
    <w:name w:val="List Paragraph"/>
    <w:aliases w:val="Recommendation,List Paragraph1,List Paragraph11,NFP GP Bulleted List,List Paragraph2,FooterText,numbered,Paragraphe de liste1,Bulletr List Paragraph,列出段落,列出段落1,List Paragraph21,Listeafsnit1,Parágrafo da Lista1,Párrafo de lista1,リスト段落1,L"/>
    <w:basedOn w:val="Normal"/>
    <w:link w:val="ListParagraphChar"/>
    <w:uiPriority w:val="34"/>
    <w:qFormat/>
    <w:rsid w:val="00984A44"/>
    <w:pPr>
      <w:ind w:left="720"/>
    </w:pPr>
  </w:style>
  <w:style w:type="character" w:styleId="CommentReference">
    <w:name w:val="annotation reference"/>
    <w:uiPriority w:val="99"/>
    <w:rsid w:val="00AF7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F77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7F9"/>
  </w:style>
  <w:style w:type="paragraph" w:styleId="CommentSubject">
    <w:name w:val="annotation subject"/>
    <w:basedOn w:val="CommentText"/>
    <w:next w:val="CommentText"/>
    <w:link w:val="CommentSubjectChar"/>
    <w:rsid w:val="00AF77F9"/>
    <w:rPr>
      <w:b/>
      <w:bCs/>
    </w:rPr>
  </w:style>
  <w:style w:type="character" w:customStyle="1" w:styleId="CommentSubjectChar">
    <w:name w:val="Comment Subject Char"/>
    <w:link w:val="CommentSubject"/>
    <w:rsid w:val="00AF77F9"/>
    <w:rPr>
      <w:b/>
      <w:bCs/>
    </w:rPr>
  </w:style>
  <w:style w:type="paragraph" w:customStyle="1" w:styleId="Space">
    <w:name w:val="Space"/>
    <w:basedOn w:val="Normal"/>
    <w:rsid w:val="001E6E13"/>
    <w:pPr>
      <w:spacing w:after="840" w:line="259" w:lineRule="auto"/>
    </w:pPr>
    <w:rPr>
      <w:rFonts w:eastAsiaTheme="minorHAnsi" w:cstheme="minorBidi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6E13"/>
    <w:rPr>
      <w:rFonts w:ascii="Arial" w:hAnsi="Arial"/>
      <w:b/>
      <w:sz w:val="28"/>
    </w:rPr>
  </w:style>
  <w:style w:type="character" w:styleId="Hyperlink">
    <w:name w:val="Hyperlink"/>
    <w:basedOn w:val="DefaultParagraphFont"/>
    <w:uiPriority w:val="99"/>
    <w:unhideWhenUsed/>
    <w:rsid w:val="001E6E13"/>
    <w:rPr>
      <w:color w:val="0563C1" w:themeColor="hyperlink"/>
      <w:u w:val="single"/>
    </w:rPr>
  </w:style>
  <w:style w:type="paragraph" w:styleId="ListBullet2">
    <w:name w:val="List Bullet 2"/>
    <w:basedOn w:val="Normal"/>
    <w:uiPriority w:val="99"/>
    <w:unhideWhenUsed/>
    <w:rsid w:val="001E6E13"/>
    <w:pPr>
      <w:numPr>
        <w:numId w:val="1"/>
      </w:numPr>
      <w:spacing w:after="160" w:line="259" w:lineRule="auto"/>
      <w:contextualSpacing/>
    </w:pPr>
    <w:rPr>
      <w:rFonts w:eastAsiaTheme="minorHAnsi" w:cstheme="minorBidi"/>
      <w:szCs w:val="22"/>
      <w:lang w:eastAsia="en-US"/>
    </w:rPr>
  </w:style>
  <w:style w:type="character" w:styleId="Emphasis">
    <w:name w:val="Emphasis"/>
    <w:basedOn w:val="DefaultParagraphFont"/>
    <w:qFormat/>
    <w:rsid w:val="001E6E13"/>
    <w:rPr>
      <w:i/>
      <w:iCs/>
    </w:rPr>
  </w:style>
  <w:style w:type="character" w:customStyle="1" w:styleId="A4">
    <w:name w:val="A4"/>
    <w:uiPriority w:val="99"/>
    <w:rsid w:val="003C1535"/>
    <w:rPr>
      <w:rFonts w:cs="Open Sans Light"/>
      <w:color w:val="000000"/>
      <w:sz w:val="22"/>
      <w:szCs w:val="22"/>
    </w:rPr>
  </w:style>
  <w:style w:type="table" w:styleId="TableGrid">
    <w:name w:val="Table Grid"/>
    <w:basedOn w:val="TableNormal"/>
    <w:rsid w:val="0050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ANimbustext">
    <w:name w:val="NMA Nimbus text"/>
    <w:basedOn w:val="Normal"/>
    <w:qFormat/>
    <w:rsid w:val="009B39B0"/>
    <w:pPr>
      <w:spacing w:line="250" w:lineRule="exact"/>
    </w:pPr>
    <w:rPr>
      <w:rFonts w:ascii="NimbusSanNov" w:eastAsiaTheme="minorHAnsi" w:hAnsi="NimbusSanNov" w:cstheme="minorBidi"/>
      <w:szCs w:val="24"/>
      <w:lang w:val="en-US" w:eastAsia="en-US"/>
    </w:rPr>
  </w:style>
  <w:style w:type="paragraph" w:customStyle="1" w:styleId="NMANimbusmainheading">
    <w:name w:val="NMA Nimbus main heading"/>
    <w:qFormat/>
    <w:rsid w:val="009B39B0"/>
    <w:pPr>
      <w:spacing w:after="60" w:line="350" w:lineRule="exact"/>
    </w:pPr>
    <w:rPr>
      <w:rFonts w:ascii="NimbusSanNov" w:eastAsiaTheme="minorHAnsi" w:hAnsi="NimbusSanNov" w:cstheme="minorBidi"/>
      <w:b/>
      <w:sz w:val="32"/>
      <w:szCs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19162F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A4E75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D0E71"/>
    <w:rPr>
      <w:rFonts w:ascii="Arial" w:hAnsi="Arial"/>
      <w:caps/>
      <w:sz w:val="22"/>
    </w:rPr>
  </w:style>
  <w:style w:type="paragraph" w:customStyle="1" w:styleId="StyleHeading220ptCustomColorRGB40139174Left0cm">
    <w:name w:val="Style Heading 2 + 20 pt Custom Color(RGB(40139174)) Left:  0 cm..."/>
    <w:basedOn w:val="Heading2"/>
    <w:rsid w:val="00C51063"/>
    <w:pPr>
      <w:spacing w:before="240" w:after="120"/>
      <w:ind w:left="0" w:right="-143" w:firstLine="0"/>
    </w:pPr>
    <w:rPr>
      <w:bCs/>
      <w:color w:val="288BAE"/>
      <w:sz w:val="44"/>
    </w:rPr>
  </w:style>
  <w:style w:type="paragraph" w:styleId="Revision">
    <w:name w:val="Revision"/>
    <w:hidden/>
    <w:uiPriority w:val="99"/>
    <w:semiHidden/>
    <w:rsid w:val="002A79B0"/>
    <w:rPr>
      <w:rFonts w:ascii="Arial" w:hAnsi="Arial"/>
      <w:sz w:val="22"/>
    </w:rPr>
  </w:style>
  <w:style w:type="paragraph" w:customStyle="1" w:styleId="paragraph">
    <w:name w:val="paragraph"/>
    <w:basedOn w:val="Normal"/>
    <w:rsid w:val="00FA044D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DefaultParagraphFont"/>
    <w:rsid w:val="00FA044D"/>
  </w:style>
  <w:style w:type="character" w:customStyle="1" w:styleId="eop">
    <w:name w:val="eop"/>
    <w:basedOn w:val="DefaultParagraphFont"/>
    <w:rsid w:val="00FA044D"/>
  </w:style>
  <w:style w:type="character" w:customStyle="1" w:styleId="Heading3Char">
    <w:name w:val="Heading 3 Char"/>
    <w:basedOn w:val="DefaultParagraphFont"/>
    <w:link w:val="Heading3"/>
    <w:uiPriority w:val="9"/>
    <w:rsid w:val="00C05829"/>
    <w:rPr>
      <w:rFonts w:ascii="Arial" w:hAnsi="Arial"/>
      <w:b/>
      <w:color w:val="009BD2"/>
      <w:sz w:val="28"/>
    </w:rPr>
  </w:style>
  <w:style w:type="character" w:customStyle="1" w:styleId="ListParagraphChar">
    <w:name w:val="List Paragraph Char"/>
    <w:aliases w:val="Recommendation Char,List Paragraph1 Char,List Paragraph11 Char,NFP GP Bulleted List Char,List Paragraph2 Char,FooterText Char,numbered Char,Paragraphe de liste1 Char,Bulletr List Paragraph Char,列出段落 Char,列出段落1 Char,Listeafsnit1 Char"/>
    <w:basedOn w:val="DefaultParagraphFont"/>
    <w:link w:val="ListParagraph"/>
    <w:uiPriority w:val="34"/>
    <w:locked/>
    <w:rsid w:val="00030EE3"/>
    <w:rPr>
      <w:rFonts w:ascii="Arial" w:hAnsi="Arial"/>
      <w:sz w:val="22"/>
    </w:rPr>
  </w:style>
  <w:style w:type="character" w:styleId="Mention">
    <w:name w:val="Mention"/>
    <w:basedOn w:val="DefaultParagraphFont"/>
    <w:uiPriority w:val="99"/>
    <w:unhideWhenUsed/>
    <w:rsid w:val="0083092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5029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20393cdf-440a-4521-8f19-00ba43423d00">
      <Value>1</Value>
    </TaxCatchAll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Status xmlns="3d385984-9344-419b-a80b-49c06a2bdab8" xsi:nil="true"/>
    <_Flow_SignoffStatus xmlns="3d385984-9344-419b-a80b-49c06a2bdab8" xsi:nil="true"/>
    <_dlc_DocId xmlns="20393cdf-440a-4521-8f19-00ba43423d00">MPWT-2140667901-68877</_dlc_DocId>
    <_dlc_DocIdUrl xmlns="20393cdf-440a-4521-8f19-00ba43423d00">
      <Url>https://pcgov.sharepoint.com/sites/sceteam/_layouts/15/DocIdRedir.aspx?ID=MPWT-2140667901-68877</Url>
      <Description>MPWT-2140667901-68877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75c93c18f5d3d89d4415edef93a59103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30799f57c9beb53abc1b0bc63e93e9e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C4CC-8789-405C-95C0-86E4DE799C81}">
  <ds:schemaRefs>
    <ds:schemaRef ds:uri="http://schemas.microsoft.com/office/2006/metadata/properties"/>
    <ds:schemaRef ds:uri="http://schemas.microsoft.com/office/infopath/2007/PartnerControls"/>
    <ds:schemaRef ds:uri="20393cdf-440a-4521-8f19-00ba43423d00"/>
    <ds:schemaRef ds:uri="3d385984-9344-419b-a80b-49c06a2bdab8"/>
  </ds:schemaRefs>
</ds:datastoreItem>
</file>

<file path=customXml/itemProps2.xml><?xml version="1.0" encoding="utf-8"?>
<ds:datastoreItem xmlns:ds="http://schemas.openxmlformats.org/officeDocument/2006/customXml" ds:itemID="{F61D5B04-1B11-43F2-BF1A-177E10130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ADC40-F7E1-4679-8039-0781339C57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D9EA08-5931-4C3E-9902-050F43EE58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15B972-84C1-44AA-BAD7-EA73FFC9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 Advisor/Senior Advisor and Payroll Advisor/Senior Payroll Advisor - Position description</vt:lpstr>
    </vt:vector>
  </TitlesOfParts>
  <Company>Productivity Commission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Advisor/Senior Advisor and Payroll Advisor/Senior Payroll Advisor - Position description</dc:title>
  <dc:subject/>
  <dc:creator>Productivity Commission</dc:creator>
  <cp:keywords/>
  <cp:lastModifiedBy>Chris Alston</cp:lastModifiedBy>
  <cp:revision>80</cp:revision>
  <dcterms:created xsi:type="dcterms:W3CDTF">2024-10-02T03:40:00Z</dcterms:created>
  <dcterms:modified xsi:type="dcterms:W3CDTF">2024-10-15T23:50:00Z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0x0101006C0B5E815648EF46B6FA6D42F17E5E9F000C963E276195B04F83BC027CFDC94A8D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ClassificationContentMarkingHeaderShapeIds">
    <vt:lpwstr>51d15912</vt:lpwstr>
  </property>
  <property fmtid="{D5CDD505-2E9C-101B-9397-08002B2CF9AE}" pid="6" name="ClassificationContentMarkingHeaderFontProps">
    <vt:lpwstr>#000000,12,Calibri</vt:lpwstr>
  </property>
  <property fmtid="{D5CDD505-2E9C-101B-9397-08002B2CF9AE}" pid="7" name="ClassificationContentMarkingHeaderText">
    <vt:lpwstr> OFFICIAL</vt:lpwstr>
  </property>
  <property fmtid="{D5CDD505-2E9C-101B-9397-08002B2CF9AE}" pid="8" name="_dlc_DocIdItemGuid">
    <vt:lpwstr>614f8cad-7fff-4abf-8349-ec37413a8ced</vt:lpwstr>
  </property>
  <property fmtid="{D5CDD505-2E9C-101B-9397-08002B2CF9AE}" pid="9" name="MSIP_Label_c1f2b1ce-4212-46db-a901-dd8453f57141_Enabled">
    <vt:lpwstr>true</vt:lpwstr>
  </property>
  <property fmtid="{D5CDD505-2E9C-101B-9397-08002B2CF9AE}" pid="10" name="MSIP_Label_c1f2b1ce-4212-46db-a901-dd8453f57141_SetDate">
    <vt:lpwstr>2024-10-15T23:37:56Z</vt:lpwstr>
  </property>
  <property fmtid="{D5CDD505-2E9C-101B-9397-08002B2CF9AE}" pid="11" name="MSIP_Label_c1f2b1ce-4212-46db-a901-dd8453f57141_Method">
    <vt:lpwstr>Privileged</vt:lpwstr>
  </property>
  <property fmtid="{D5CDD505-2E9C-101B-9397-08002B2CF9AE}" pid="12" name="MSIP_Label_c1f2b1ce-4212-46db-a901-dd8453f57141_Name">
    <vt:lpwstr>Publish</vt:lpwstr>
  </property>
  <property fmtid="{D5CDD505-2E9C-101B-9397-08002B2CF9AE}" pid="13" name="MSIP_Label_c1f2b1ce-4212-46db-a901-dd8453f57141_SiteId">
    <vt:lpwstr>29f9330b-c0fe-4244-830e-ba9f275d6c34</vt:lpwstr>
  </property>
  <property fmtid="{D5CDD505-2E9C-101B-9397-08002B2CF9AE}" pid="14" name="MSIP_Label_c1f2b1ce-4212-46db-a901-dd8453f57141_ActionId">
    <vt:lpwstr>9ff5698d-87fd-44ba-b83a-6cfd99de8320</vt:lpwstr>
  </property>
  <property fmtid="{D5CDD505-2E9C-101B-9397-08002B2CF9AE}" pid="15" name="MSIP_Label_c1f2b1ce-4212-46db-a901-dd8453f57141_ContentBits">
    <vt:lpwstr>0</vt:lpwstr>
  </property>
</Properties>
</file>