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7FAF" w14:textId="77777777" w:rsidR="00594CE1" w:rsidRDefault="00594CE1" w:rsidP="00D02533"/>
    <w:p w14:paraId="42FE72D2" w14:textId="77777777" w:rsidR="00D3587E" w:rsidRDefault="00D3587E" w:rsidP="00D02533"/>
    <w:tbl>
      <w:tblPr>
        <w:tblStyle w:val="TableGrid"/>
        <w:tblpPr w:leftFromText="180" w:rightFromText="180" w:vertAnchor="text" w:horzAnchor="margin" w:tblpX="-568" w:tblpY="239"/>
        <w:tblW w:w="9781"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981"/>
        <w:gridCol w:w="7800"/>
      </w:tblGrid>
      <w:tr w:rsidR="005A2408" w:rsidRPr="00DD306E" w14:paraId="2A66E9A2" w14:textId="77777777" w:rsidTr="488A6E42">
        <w:trPr>
          <w:trHeight w:val="407"/>
        </w:trPr>
        <w:tc>
          <w:tcPr>
            <w:tcW w:w="9781" w:type="dxa"/>
            <w:gridSpan w:val="2"/>
            <w:shd w:val="clear" w:color="auto" w:fill="F5F5F5"/>
            <w:vAlign w:val="center"/>
          </w:tcPr>
          <w:p w14:paraId="1ABEF26C" w14:textId="77777777" w:rsidR="005A2408" w:rsidRPr="00DD306E" w:rsidRDefault="005A2408" w:rsidP="009D55C8">
            <w:pPr>
              <w:spacing w:before="80" w:after="160" w:line="259" w:lineRule="auto"/>
              <w:rPr>
                <w:rFonts w:eastAsia="Calibri"/>
                <w:b/>
                <w:bCs/>
                <w:color w:val="091626" w:themeColor="background2" w:themeShade="40"/>
                <w:szCs w:val="22"/>
                <w:lang w:eastAsia="en-US"/>
              </w:rPr>
            </w:pPr>
            <w:r w:rsidRPr="00DD306E">
              <w:rPr>
                <w:rFonts w:eastAsiaTheme="majorEastAsia"/>
                <w:b/>
                <w:bCs/>
                <w:color w:val="265A9A"/>
                <w:szCs w:val="22"/>
                <w:lang w:eastAsia="en-US"/>
              </w:rPr>
              <w:t>Position Description (PD)</w:t>
            </w:r>
          </w:p>
        </w:tc>
      </w:tr>
      <w:tr w:rsidR="005A2408" w:rsidRPr="00DD306E" w14:paraId="3530596C" w14:textId="77777777" w:rsidTr="488A6E42">
        <w:trPr>
          <w:trHeight w:val="407"/>
        </w:trPr>
        <w:tc>
          <w:tcPr>
            <w:tcW w:w="1981" w:type="dxa"/>
            <w:shd w:val="clear" w:color="auto" w:fill="F5F5F5"/>
          </w:tcPr>
          <w:p w14:paraId="491DC1DE" w14:textId="77777777" w:rsidR="005A2408" w:rsidRPr="00DD306E" w:rsidRDefault="005A2408" w:rsidP="009D55C8">
            <w:pPr>
              <w:spacing w:before="80" w:after="160" w:line="259" w:lineRule="auto"/>
              <w:ind w:left="-392" w:firstLine="392"/>
              <w:rPr>
                <w:rFonts w:eastAsiaTheme="majorEastAsia" w:cs="Arial"/>
                <w:color w:val="288BAE"/>
                <w:szCs w:val="22"/>
                <w:lang w:eastAsia="en-US"/>
              </w:rPr>
            </w:pPr>
            <w:r w:rsidRPr="005A2408">
              <w:rPr>
                <w:rFonts w:eastAsiaTheme="majorEastAsia"/>
                <w:color w:val="265A9A"/>
                <w:szCs w:val="22"/>
                <w:lang w:eastAsia="en-US"/>
              </w:rPr>
              <w:t xml:space="preserve">Role </w:t>
            </w:r>
          </w:p>
        </w:tc>
        <w:tc>
          <w:tcPr>
            <w:tcW w:w="7800" w:type="dxa"/>
            <w:vAlign w:val="center"/>
          </w:tcPr>
          <w:p w14:paraId="15A34F92" w14:textId="5D7DB9B0" w:rsidR="005A2408" w:rsidRPr="00DD306E" w:rsidRDefault="00FE27E8" w:rsidP="7FC3870F">
            <w:pPr>
              <w:spacing w:before="80" w:after="160" w:line="259" w:lineRule="auto"/>
              <w:rPr>
                <w:rFonts w:eastAsia="Calibri"/>
                <w:lang w:eastAsia="en-US"/>
              </w:rPr>
            </w:pPr>
            <w:r w:rsidRPr="7FC3870F">
              <w:rPr>
                <w:rFonts w:eastAsia="Calibri"/>
                <w:lang w:eastAsia="en-US"/>
              </w:rPr>
              <w:t>Senior Policy Analyst</w:t>
            </w:r>
            <w:r w:rsidR="003E55B2" w:rsidRPr="7FC3870F">
              <w:rPr>
                <w:rFonts w:eastAsia="Calibri"/>
                <w:lang w:eastAsia="en-US"/>
              </w:rPr>
              <w:t xml:space="preserve"> (Identified Position</w:t>
            </w:r>
            <w:r w:rsidRPr="7FC3870F">
              <w:rPr>
                <w:rFonts w:eastAsia="Calibri"/>
                <w:lang w:eastAsia="en-US"/>
              </w:rPr>
              <w:t>; Affirmative Measure Position</w:t>
            </w:r>
            <w:r w:rsidR="003E55B2" w:rsidRPr="7FC3870F">
              <w:rPr>
                <w:rFonts w:eastAsia="Calibri"/>
                <w:lang w:eastAsia="en-US"/>
              </w:rPr>
              <w:t>)</w:t>
            </w:r>
          </w:p>
        </w:tc>
      </w:tr>
      <w:tr w:rsidR="005A2408" w:rsidRPr="00DD306E" w14:paraId="4E08A1A4" w14:textId="77777777" w:rsidTr="488A6E42">
        <w:trPr>
          <w:trHeight w:val="407"/>
        </w:trPr>
        <w:tc>
          <w:tcPr>
            <w:tcW w:w="1981" w:type="dxa"/>
            <w:shd w:val="clear" w:color="auto" w:fill="F5F5F5"/>
          </w:tcPr>
          <w:p w14:paraId="1AE365B8" w14:textId="77777777" w:rsidR="005A2408" w:rsidRPr="005A2408" w:rsidRDefault="005A2408" w:rsidP="009D55C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Branch</w:t>
            </w:r>
          </w:p>
        </w:tc>
        <w:tc>
          <w:tcPr>
            <w:tcW w:w="7800" w:type="dxa"/>
            <w:vAlign w:val="center"/>
          </w:tcPr>
          <w:p w14:paraId="20C20363" w14:textId="02FAD5B0" w:rsidR="005A2408" w:rsidRPr="00DD306E" w:rsidRDefault="00F15765" w:rsidP="009D55C8">
            <w:pPr>
              <w:spacing w:before="80" w:after="160" w:line="259" w:lineRule="auto"/>
              <w:rPr>
                <w:rFonts w:eastAsia="Calibri"/>
                <w:szCs w:val="22"/>
                <w:lang w:eastAsia="en-US"/>
              </w:rPr>
            </w:pPr>
            <w:r>
              <w:rPr>
                <w:rFonts w:eastAsia="Calibri"/>
                <w:szCs w:val="22"/>
                <w:lang w:eastAsia="en-US"/>
              </w:rPr>
              <w:t>Inquiry and Research Group</w:t>
            </w:r>
          </w:p>
        </w:tc>
      </w:tr>
      <w:tr w:rsidR="005A2408" w:rsidRPr="00DD306E" w14:paraId="5798A90D" w14:textId="77777777" w:rsidTr="488A6E42">
        <w:trPr>
          <w:trHeight w:val="407"/>
        </w:trPr>
        <w:tc>
          <w:tcPr>
            <w:tcW w:w="1981" w:type="dxa"/>
            <w:shd w:val="clear" w:color="auto" w:fill="F5F5F5"/>
          </w:tcPr>
          <w:p w14:paraId="3C2DDEA7"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Team</w:t>
            </w:r>
          </w:p>
        </w:tc>
        <w:tc>
          <w:tcPr>
            <w:tcW w:w="7800" w:type="dxa"/>
            <w:vAlign w:val="center"/>
          </w:tcPr>
          <w:p w14:paraId="46C390D9" w14:textId="34D719EE" w:rsidR="005A2408" w:rsidRPr="00DD306E" w:rsidRDefault="00F15765" w:rsidP="009D55C8">
            <w:pPr>
              <w:spacing w:before="80" w:after="160" w:line="259" w:lineRule="auto"/>
              <w:rPr>
                <w:rFonts w:eastAsia="Calibri"/>
                <w:szCs w:val="22"/>
                <w:lang w:eastAsia="en-US"/>
              </w:rPr>
            </w:pPr>
            <w:r>
              <w:rPr>
                <w:rFonts w:eastAsia="Calibri"/>
                <w:szCs w:val="22"/>
                <w:lang w:eastAsia="en-US"/>
              </w:rPr>
              <w:t>Aboriginal and Torres Strait Islander Stream</w:t>
            </w:r>
          </w:p>
        </w:tc>
      </w:tr>
      <w:tr w:rsidR="005A2408" w:rsidRPr="00DD306E" w14:paraId="650785C0" w14:textId="77777777" w:rsidTr="488A6E42">
        <w:trPr>
          <w:trHeight w:val="407"/>
        </w:trPr>
        <w:tc>
          <w:tcPr>
            <w:tcW w:w="1981" w:type="dxa"/>
            <w:shd w:val="clear" w:color="auto" w:fill="F5F5F5"/>
          </w:tcPr>
          <w:p w14:paraId="169A37DC"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Level</w:t>
            </w:r>
          </w:p>
        </w:tc>
        <w:tc>
          <w:tcPr>
            <w:tcW w:w="7800" w:type="dxa"/>
            <w:vAlign w:val="center"/>
          </w:tcPr>
          <w:p w14:paraId="355DA81F" w14:textId="6B139565" w:rsidR="005A2408" w:rsidRPr="00DD306E" w:rsidRDefault="00F15765" w:rsidP="009D55C8">
            <w:pPr>
              <w:spacing w:before="80" w:after="160" w:line="259" w:lineRule="auto"/>
              <w:rPr>
                <w:rFonts w:eastAsia="Calibri"/>
                <w:szCs w:val="22"/>
                <w:highlight w:val="yellow"/>
                <w:lang w:eastAsia="en-US"/>
              </w:rPr>
            </w:pPr>
            <w:r w:rsidRPr="00F15765">
              <w:rPr>
                <w:rFonts w:eastAsia="Calibri"/>
                <w:szCs w:val="22"/>
                <w:lang w:eastAsia="en-US"/>
              </w:rPr>
              <w:t>Executive Level 1</w:t>
            </w:r>
          </w:p>
        </w:tc>
      </w:tr>
      <w:tr w:rsidR="005A2408" w:rsidRPr="00DD306E" w14:paraId="07EF8B89" w14:textId="77777777" w:rsidTr="488A6E42">
        <w:trPr>
          <w:trHeight w:val="407"/>
        </w:trPr>
        <w:tc>
          <w:tcPr>
            <w:tcW w:w="1981" w:type="dxa"/>
            <w:shd w:val="clear" w:color="auto" w:fill="F5F5F5"/>
          </w:tcPr>
          <w:p w14:paraId="6CA30471"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Role context</w:t>
            </w:r>
          </w:p>
        </w:tc>
        <w:tc>
          <w:tcPr>
            <w:tcW w:w="7800" w:type="dxa"/>
          </w:tcPr>
          <w:p w14:paraId="21563A97" w14:textId="77777777" w:rsidR="001E0372" w:rsidRPr="00842734" w:rsidRDefault="001E0372" w:rsidP="001E0372">
            <w:pPr>
              <w:spacing w:after="120" w:line="276" w:lineRule="auto"/>
              <w:ind w:left="426" w:hanging="431"/>
              <w:rPr>
                <w:rFonts w:eastAsia="Calibri"/>
                <w:b/>
                <w:color w:val="66BCDB"/>
                <w:szCs w:val="22"/>
                <w:lang w:eastAsia="en-US"/>
              </w:rPr>
            </w:pPr>
            <w:r w:rsidRPr="00842734">
              <w:rPr>
                <w:rFonts w:eastAsia="Calibri"/>
                <w:b/>
                <w:color w:val="66BCDB"/>
                <w:szCs w:val="22"/>
                <w:lang w:eastAsia="en-US"/>
              </w:rPr>
              <w:t>About the Team</w:t>
            </w:r>
          </w:p>
          <w:p w14:paraId="4623D19E" w14:textId="20D64B05" w:rsidR="003C3328" w:rsidRDefault="008D4D7F" w:rsidP="00195B3B">
            <w:pPr>
              <w:spacing w:after="120" w:line="259" w:lineRule="auto"/>
              <w:ind w:right="-142"/>
              <w:rPr>
                <w:rFonts w:eastAsia="Calibri"/>
                <w:bCs/>
                <w:szCs w:val="22"/>
                <w:lang w:eastAsia="en-US"/>
              </w:rPr>
            </w:pPr>
            <w:r w:rsidRPr="008D4D7F">
              <w:rPr>
                <w:rFonts w:eastAsia="Calibri"/>
                <w:bCs/>
                <w:szCs w:val="22"/>
                <w:lang w:eastAsia="en-US"/>
              </w:rPr>
              <w:t>The Productivity Commission</w:t>
            </w:r>
            <w:r w:rsidR="00195B3B">
              <w:rPr>
                <w:rFonts w:eastAsia="Calibri"/>
                <w:bCs/>
                <w:szCs w:val="22"/>
                <w:lang w:eastAsia="en-US"/>
              </w:rPr>
              <w:t xml:space="preserve">’s </w:t>
            </w:r>
            <w:r w:rsidR="002B3950">
              <w:rPr>
                <w:rFonts w:eastAsia="Calibri"/>
                <w:bCs/>
                <w:szCs w:val="22"/>
                <w:lang w:eastAsia="en-US"/>
              </w:rPr>
              <w:t xml:space="preserve">(PC) </w:t>
            </w:r>
            <w:r w:rsidR="00195B3B" w:rsidRPr="00195B3B">
              <w:rPr>
                <w:rFonts w:eastAsia="Calibri"/>
                <w:bCs/>
                <w:szCs w:val="22"/>
                <w:lang w:eastAsia="en-US"/>
              </w:rPr>
              <w:t>Aboriginal and Torres Strait Islander Stream undertakes reporting, research and analysis that centres the voices of Aboriginal and Torres Strait Islander people</w:t>
            </w:r>
            <w:r w:rsidR="003C3328">
              <w:rPr>
                <w:rFonts w:eastAsia="Calibri"/>
                <w:bCs/>
                <w:szCs w:val="22"/>
                <w:lang w:eastAsia="en-US"/>
              </w:rPr>
              <w:t xml:space="preserve">. </w:t>
            </w:r>
          </w:p>
          <w:p w14:paraId="44EE6042" w14:textId="163CBC5F" w:rsidR="00FA31C9" w:rsidRPr="00DD306E" w:rsidRDefault="005D0A91" w:rsidP="00FA31C9">
            <w:pPr>
              <w:spacing w:after="120" w:line="259" w:lineRule="auto"/>
              <w:ind w:right="-142"/>
              <w:rPr>
                <w:rFonts w:eastAsia="Calibri"/>
                <w:bCs/>
                <w:szCs w:val="22"/>
                <w:lang w:eastAsia="en-US"/>
              </w:rPr>
            </w:pPr>
            <w:r w:rsidRPr="005D0A91">
              <w:rPr>
                <w:rFonts w:eastAsia="Calibri"/>
                <w:bCs/>
                <w:szCs w:val="22"/>
                <w:lang w:eastAsia="en-US"/>
              </w:rPr>
              <w:t>The Stream has an accountability role under the National Agreement on Closing the Gap, which includes developing and maintaining an information repository (through the publication of a dashboard and annual data report) and independently reviewing governments’ progress against the commitments in the Agreement. We also undertake research and provide policy insights and advice on matters of importance to Aboriginal and Torres Strait Islander people.</w:t>
            </w:r>
            <w:r>
              <w:rPr>
                <w:rFonts w:eastAsia="Calibri"/>
                <w:bCs/>
                <w:szCs w:val="22"/>
                <w:lang w:eastAsia="en-US"/>
              </w:rPr>
              <w:t xml:space="preserve"> </w:t>
            </w:r>
          </w:p>
        </w:tc>
      </w:tr>
      <w:tr w:rsidR="005A2408" w:rsidRPr="00DD306E" w14:paraId="6BAD2734" w14:textId="77777777" w:rsidTr="488A6E42">
        <w:trPr>
          <w:trHeight w:val="407"/>
        </w:trPr>
        <w:tc>
          <w:tcPr>
            <w:tcW w:w="1981" w:type="dxa"/>
            <w:shd w:val="clear" w:color="auto" w:fill="F5F5F5"/>
          </w:tcPr>
          <w:p w14:paraId="0BC8CC28"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Reports to</w:t>
            </w:r>
          </w:p>
        </w:tc>
        <w:tc>
          <w:tcPr>
            <w:tcW w:w="7800" w:type="dxa"/>
          </w:tcPr>
          <w:p w14:paraId="314CD5A7" w14:textId="45AC5C0D" w:rsidR="005A2408" w:rsidRPr="00DD306E" w:rsidRDefault="008D4D7F" w:rsidP="009D55C8">
            <w:pPr>
              <w:spacing w:before="80"/>
              <w:rPr>
                <w:rFonts w:eastAsia="Calibri"/>
                <w:szCs w:val="22"/>
                <w:highlight w:val="yellow"/>
                <w:lang w:eastAsia="en-US"/>
              </w:rPr>
            </w:pPr>
            <w:r w:rsidRPr="008D4D7F">
              <w:rPr>
                <w:rFonts w:eastAsia="Calibri"/>
                <w:szCs w:val="22"/>
                <w:lang w:eastAsia="en-US"/>
              </w:rPr>
              <w:t>Project Manager</w:t>
            </w:r>
          </w:p>
        </w:tc>
      </w:tr>
      <w:tr w:rsidR="005A2408" w:rsidRPr="00DD306E" w14:paraId="5C43FBEA" w14:textId="77777777" w:rsidTr="488A6E42">
        <w:trPr>
          <w:trHeight w:val="407"/>
        </w:trPr>
        <w:tc>
          <w:tcPr>
            <w:tcW w:w="1981" w:type="dxa"/>
            <w:shd w:val="clear" w:color="auto" w:fill="F5F5F5"/>
          </w:tcPr>
          <w:p w14:paraId="6CC5F74A" w14:textId="77777777" w:rsidR="005A2408" w:rsidRPr="005A2408" w:rsidRDefault="005A2408" w:rsidP="005A2408">
            <w:pPr>
              <w:spacing w:before="80" w:after="160" w:line="259" w:lineRule="auto"/>
              <w:ind w:left="-392" w:firstLine="392"/>
              <w:rPr>
                <w:rFonts w:eastAsiaTheme="majorEastAsia"/>
                <w:color w:val="265A9A"/>
                <w:szCs w:val="22"/>
                <w:lang w:eastAsia="en-US"/>
              </w:rPr>
            </w:pPr>
            <w:r w:rsidRPr="005A2408">
              <w:rPr>
                <w:rFonts w:eastAsiaTheme="majorEastAsia"/>
                <w:color w:val="265A9A"/>
                <w:szCs w:val="22"/>
                <w:lang w:eastAsia="en-US"/>
              </w:rPr>
              <w:t>Direct reports</w:t>
            </w:r>
          </w:p>
        </w:tc>
        <w:tc>
          <w:tcPr>
            <w:tcW w:w="7800" w:type="dxa"/>
          </w:tcPr>
          <w:p w14:paraId="01ACC667" w14:textId="77777777" w:rsidR="005A2408" w:rsidRPr="00DD306E" w:rsidRDefault="005A2408" w:rsidP="009D55C8">
            <w:pPr>
              <w:spacing w:before="80" w:after="160" w:line="259" w:lineRule="auto"/>
              <w:rPr>
                <w:rFonts w:eastAsia="Calibri"/>
                <w:szCs w:val="22"/>
                <w:lang w:eastAsia="en-US"/>
              </w:rPr>
            </w:pPr>
            <w:r w:rsidRPr="00DD306E">
              <w:rPr>
                <w:rFonts w:eastAsia="Calibri"/>
                <w:szCs w:val="22"/>
                <w:lang w:eastAsia="en-US"/>
              </w:rPr>
              <w:t>Nil</w:t>
            </w:r>
          </w:p>
        </w:tc>
      </w:tr>
      <w:tr w:rsidR="00192241" w:rsidRPr="00DD306E" w14:paraId="1C02E43A" w14:textId="77777777" w:rsidTr="488A6E42">
        <w:trPr>
          <w:trHeight w:val="407"/>
        </w:trPr>
        <w:tc>
          <w:tcPr>
            <w:tcW w:w="1981" w:type="dxa"/>
            <w:shd w:val="clear" w:color="auto" w:fill="F5F5F5"/>
          </w:tcPr>
          <w:p w14:paraId="1E4F4E7A" w14:textId="365755AF" w:rsidR="00192241" w:rsidRPr="005A2408" w:rsidRDefault="00192241" w:rsidP="00192241">
            <w:pPr>
              <w:spacing w:before="80" w:after="160" w:line="259" w:lineRule="auto"/>
              <w:ind w:left="-392" w:firstLine="392"/>
              <w:rPr>
                <w:rFonts w:eastAsiaTheme="majorEastAsia"/>
                <w:color w:val="265A9A" w:themeColor="background2"/>
                <w:lang w:eastAsia="en-US"/>
              </w:rPr>
            </w:pPr>
            <w:r w:rsidRPr="582A5D3D">
              <w:rPr>
                <w:rFonts w:eastAsiaTheme="majorEastAsia"/>
                <w:color w:val="265A9A" w:themeColor="background2"/>
                <w:lang w:eastAsia="en-US"/>
              </w:rPr>
              <w:t>Responsibilities</w:t>
            </w:r>
          </w:p>
          <w:p w14:paraId="4B8B41BE" w14:textId="1BD2A4F3"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0966E80E" w14:textId="3EA1672B"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66A33273" w14:textId="1D77D33F"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0E89602F" w14:textId="48582095"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2329CC7B" w14:textId="6490EF18"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615CC195" w14:textId="1BB1CAA5"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66FC5084" w14:textId="62E5B45A"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377E57AC" w14:textId="7B3940A5"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32B741EA" w14:textId="243BC601" w:rsidR="00192241" w:rsidRPr="005A2408" w:rsidRDefault="00192241" w:rsidP="00192241">
            <w:pPr>
              <w:spacing w:before="80" w:after="160" w:line="259" w:lineRule="auto"/>
              <w:ind w:left="-392" w:firstLine="392"/>
              <w:rPr>
                <w:rFonts w:eastAsiaTheme="majorEastAsia"/>
                <w:color w:val="265A9A" w:themeColor="background2"/>
                <w:lang w:eastAsia="en-US"/>
              </w:rPr>
            </w:pPr>
          </w:p>
          <w:p w14:paraId="1876CC34" w14:textId="23F6DB5F" w:rsidR="00192241" w:rsidRPr="005A2408" w:rsidRDefault="00192241" w:rsidP="00415865">
            <w:pPr>
              <w:spacing w:before="80" w:after="160" w:line="259" w:lineRule="auto"/>
              <w:ind w:left="-392"/>
              <w:rPr>
                <w:rFonts w:eastAsiaTheme="majorEastAsia"/>
                <w:color w:val="265A9A"/>
                <w:lang w:eastAsia="en-US"/>
              </w:rPr>
            </w:pPr>
          </w:p>
        </w:tc>
        <w:tc>
          <w:tcPr>
            <w:tcW w:w="7800" w:type="dxa"/>
          </w:tcPr>
          <w:p w14:paraId="130EFE8A" w14:textId="5948D0B1" w:rsidR="00192241" w:rsidRPr="00E43804" w:rsidRDefault="00192241" w:rsidP="00192241">
            <w:pPr>
              <w:pStyle w:val="Default"/>
              <w:rPr>
                <w:sz w:val="22"/>
                <w:szCs w:val="22"/>
              </w:rPr>
            </w:pPr>
            <w:r w:rsidRPr="7FC3870F">
              <w:rPr>
                <w:sz w:val="22"/>
                <w:szCs w:val="22"/>
              </w:rPr>
              <w:t xml:space="preserve">Under broad direction, the Senior Policy Analyst will: </w:t>
            </w:r>
          </w:p>
          <w:p w14:paraId="639CB7EE" w14:textId="3C266D61" w:rsidR="00192241" w:rsidRDefault="00192241" w:rsidP="00192241">
            <w:pPr>
              <w:pStyle w:val="Default"/>
              <w:numPr>
                <w:ilvl w:val="0"/>
                <w:numId w:val="18"/>
              </w:numPr>
              <w:spacing w:after="53"/>
              <w:rPr>
                <w:sz w:val="22"/>
                <w:szCs w:val="22"/>
              </w:rPr>
            </w:pPr>
            <w:r w:rsidRPr="2571D5AD">
              <w:rPr>
                <w:sz w:val="22"/>
                <w:szCs w:val="22"/>
              </w:rPr>
              <w:t xml:space="preserve">Undertake research and analysis relevant to the Stream’s work program and prepare high quality research papers, case studies, reports.  </w:t>
            </w:r>
          </w:p>
          <w:p w14:paraId="72121E9D" w14:textId="03696A9C" w:rsidR="00192241" w:rsidRPr="004B24AD" w:rsidRDefault="00192241" w:rsidP="00415865">
            <w:pPr>
              <w:pStyle w:val="Default"/>
              <w:numPr>
                <w:ilvl w:val="0"/>
                <w:numId w:val="18"/>
              </w:numPr>
              <w:spacing w:after="53"/>
              <w:rPr>
                <w:szCs w:val="22"/>
              </w:rPr>
            </w:pPr>
            <w:r w:rsidRPr="00415865">
              <w:rPr>
                <w:sz w:val="22"/>
                <w:szCs w:val="22"/>
              </w:rPr>
              <w:t xml:space="preserve">Engage with Aboriginal and Torres Strait Islander people, organisations and communities, along with representatives of other government agencies, businesses, research bodies and community organisations. This engagement will be consistent with the PC’s principles for engagement with Aboriginal and Torres Strait Islander people.  </w:t>
            </w:r>
          </w:p>
          <w:p w14:paraId="344C0510" w14:textId="63EC57AF" w:rsidR="00192241" w:rsidRDefault="00192241" w:rsidP="00192241">
            <w:pPr>
              <w:pStyle w:val="Default"/>
              <w:numPr>
                <w:ilvl w:val="0"/>
                <w:numId w:val="18"/>
              </w:numPr>
              <w:spacing w:after="53"/>
              <w:rPr>
                <w:sz w:val="22"/>
                <w:szCs w:val="22"/>
              </w:rPr>
            </w:pPr>
            <w:r w:rsidRPr="00E43804">
              <w:rPr>
                <w:sz w:val="22"/>
                <w:szCs w:val="22"/>
              </w:rPr>
              <w:t xml:space="preserve">Develop subject matter expertise </w:t>
            </w:r>
            <w:r>
              <w:rPr>
                <w:sz w:val="22"/>
                <w:szCs w:val="22"/>
              </w:rPr>
              <w:t xml:space="preserve">on the key elements and commitments </w:t>
            </w:r>
            <w:r w:rsidRPr="00E43804">
              <w:rPr>
                <w:sz w:val="22"/>
                <w:szCs w:val="22"/>
              </w:rPr>
              <w:t xml:space="preserve">relevant to the </w:t>
            </w:r>
            <w:r>
              <w:rPr>
                <w:sz w:val="22"/>
                <w:szCs w:val="22"/>
              </w:rPr>
              <w:t xml:space="preserve">National Agreement on </w:t>
            </w:r>
            <w:r w:rsidRPr="00E43804">
              <w:rPr>
                <w:sz w:val="22"/>
                <w:szCs w:val="22"/>
              </w:rPr>
              <w:t>Closing the Gap</w:t>
            </w:r>
            <w:r>
              <w:rPr>
                <w:sz w:val="22"/>
                <w:szCs w:val="22"/>
              </w:rPr>
              <w:t xml:space="preserve"> as well as </w:t>
            </w:r>
            <w:r w:rsidRPr="00E43804">
              <w:rPr>
                <w:sz w:val="22"/>
                <w:szCs w:val="22"/>
              </w:rPr>
              <w:t xml:space="preserve">monitor developments and provide expert advice to </w:t>
            </w:r>
            <w:r>
              <w:rPr>
                <w:sz w:val="22"/>
                <w:szCs w:val="22"/>
              </w:rPr>
              <w:t>Commissioners and other internal colleagues on policy matters</w:t>
            </w:r>
            <w:r w:rsidR="00F35A47">
              <w:rPr>
                <w:sz w:val="22"/>
                <w:szCs w:val="22"/>
              </w:rPr>
              <w:t>.</w:t>
            </w:r>
          </w:p>
          <w:p w14:paraId="5EDFCEE1" w14:textId="77777777" w:rsidR="00192241" w:rsidRDefault="00192241" w:rsidP="00192241">
            <w:pPr>
              <w:pStyle w:val="Default"/>
              <w:numPr>
                <w:ilvl w:val="0"/>
                <w:numId w:val="18"/>
              </w:numPr>
              <w:spacing w:after="53"/>
              <w:rPr>
                <w:sz w:val="22"/>
                <w:szCs w:val="22"/>
              </w:rPr>
            </w:pPr>
            <w:r w:rsidRPr="004220C3">
              <w:rPr>
                <w:sz w:val="22"/>
                <w:szCs w:val="22"/>
              </w:rPr>
              <w:t>Contribut</w:t>
            </w:r>
            <w:r>
              <w:rPr>
                <w:sz w:val="22"/>
                <w:szCs w:val="22"/>
              </w:rPr>
              <w:t>e</w:t>
            </w:r>
            <w:r w:rsidRPr="004220C3">
              <w:rPr>
                <w:sz w:val="22"/>
                <w:szCs w:val="22"/>
              </w:rPr>
              <w:t xml:space="preserve"> to the planning and delivery of </w:t>
            </w:r>
            <w:r>
              <w:rPr>
                <w:sz w:val="22"/>
                <w:szCs w:val="22"/>
              </w:rPr>
              <w:t>Aboriginal and Torres Strait Islander Stream</w:t>
            </w:r>
            <w:r w:rsidRPr="004220C3">
              <w:rPr>
                <w:sz w:val="22"/>
                <w:szCs w:val="22"/>
              </w:rPr>
              <w:t xml:space="preserve"> projects.</w:t>
            </w:r>
          </w:p>
          <w:p w14:paraId="11E64B27" w14:textId="1A3B0583" w:rsidR="00192241" w:rsidRPr="004B24AD" w:rsidRDefault="00192241" w:rsidP="00415865">
            <w:pPr>
              <w:pStyle w:val="Default"/>
              <w:numPr>
                <w:ilvl w:val="0"/>
                <w:numId w:val="18"/>
              </w:numPr>
              <w:spacing w:after="53"/>
              <w:rPr>
                <w:szCs w:val="22"/>
              </w:rPr>
            </w:pPr>
            <w:r w:rsidRPr="00415865">
              <w:rPr>
                <w:sz w:val="22"/>
                <w:szCs w:val="22"/>
              </w:rPr>
              <w:t xml:space="preserve">Supervise and mentor staff, including Aboriginal and Torres Strait Islander employees as required, and support staff development, including through promoting cultural capabilities and safety within the team. </w:t>
            </w:r>
          </w:p>
          <w:p w14:paraId="2084A6E2" w14:textId="60A8BE99" w:rsidR="00192241" w:rsidRPr="004B32ED" w:rsidRDefault="00192241" w:rsidP="00192241">
            <w:pPr>
              <w:pStyle w:val="ListBullet"/>
              <w:numPr>
                <w:ilvl w:val="0"/>
                <w:numId w:val="0"/>
              </w:numPr>
            </w:pPr>
          </w:p>
        </w:tc>
      </w:tr>
    </w:tbl>
    <w:p w14:paraId="22D9F3F5" w14:textId="77777777" w:rsidR="007C3577" w:rsidRDefault="007C3577"/>
    <w:tbl>
      <w:tblPr>
        <w:tblStyle w:val="TableGrid"/>
        <w:tblpPr w:leftFromText="180" w:rightFromText="180" w:vertAnchor="text" w:horzAnchor="margin" w:tblpX="-568" w:tblpY="239"/>
        <w:tblW w:w="9781"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1981"/>
        <w:gridCol w:w="7800"/>
      </w:tblGrid>
      <w:tr w:rsidR="006C1E37" w:rsidRPr="00DD306E" w14:paraId="7E07E21B" w14:textId="77777777" w:rsidTr="14E51F67">
        <w:trPr>
          <w:trHeight w:val="407"/>
        </w:trPr>
        <w:tc>
          <w:tcPr>
            <w:tcW w:w="1981" w:type="dxa"/>
            <w:shd w:val="clear" w:color="auto" w:fill="F5F5F5"/>
          </w:tcPr>
          <w:p w14:paraId="4642E616" w14:textId="12433AEE" w:rsidR="006C1E37" w:rsidRPr="582A5D3D" w:rsidRDefault="00A51AA2" w:rsidP="00192241">
            <w:pPr>
              <w:spacing w:before="80" w:after="160" w:line="259" w:lineRule="auto"/>
              <w:ind w:left="-392" w:firstLine="392"/>
              <w:rPr>
                <w:rFonts w:eastAsiaTheme="majorEastAsia"/>
                <w:color w:val="265A9A" w:themeColor="background2"/>
                <w:lang w:eastAsia="en-US"/>
              </w:rPr>
            </w:pPr>
            <w:r>
              <w:rPr>
                <w:rFonts w:eastAsiaTheme="majorEastAsia"/>
                <w:color w:val="265A9A" w:themeColor="background2"/>
                <w:lang w:eastAsia="en-US"/>
              </w:rPr>
              <w:lastRenderedPageBreak/>
              <w:t>Selection Criteria</w:t>
            </w:r>
          </w:p>
        </w:tc>
        <w:tc>
          <w:tcPr>
            <w:tcW w:w="7800" w:type="dxa"/>
          </w:tcPr>
          <w:p w14:paraId="53C39DA2" w14:textId="77777777" w:rsidR="00572920" w:rsidRPr="006E0C20" w:rsidRDefault="00572920" w:rsidP="00415865">
            <w:pPr>
              <w:spacing w:before="120" w:after="120"/>
              <w:rPr>
                <w:rFonts w:eastAsia="Calibri"/>
                <w:b/>
                <w:color w:val="66BCDB"/>
                <w:szCs w:val="22"/>
                <w:lang w:eastAsia="en-US"/>
              </w:rPr>
            </w:pPr>
            <w:r w:rsidRPr="00DD306E">
              <w:rPr>
                <w:rFonts w:eastAsia="Calibri"/>
                <w:b/>
                <w:color w:val="66BCDB"/>
                <w:szCs w:val="22"/>
                <w:lang w:eastAsia="en-US"/>
              </w:rPr>
              <w:t>Professional expertise</w:t>
            </w:r>
            <w:r w:rsidRPr="00415865">
              <w:rPr>
                <w:rFonts w:eastAsia="Calibri"/>
                <w:b/>
                <w:color w:val="66BCDB"/>
                <w:szCs w:val="22"/>
                <w:lang w:eastAsia="en-US"/>
              </w:rPr>
              <w:t>:</w:t>
            </w:r>
            <w:r w:rsidRPr="006E0C20">
              <w:rPr>
                <w:rFonts w:eastAsia="Calibri"/>
                <w:b/>
                <w:color w:val="66BCDB"/>
                <w:szCs w:val="22"/>
                <w:lang w:eastAsia="en-US"/>
              </w:rPr>
              <w:t xml:space="preserve">  </w:t>
            </w:r>
          </w:p>
          <w:p w14:paraId="7E4CD981" w14:textId="04A61FEE" w:rsidR="00572920" w:rsidRPr="004B24AD" w:rsidRDefault="00572920" w:rsidP="066F406E">
            <w:pPr>
              <w:pStyle w:val="Default"/>
              <w:numPr>
                <w:ilvl w:val="0"/>
                <w:numId w:val="18"/>
              </w:numPr>
              <w:spacing w:after="53"/>
              <w:rPr>
                <w:sz w:val="22"/>
                <w:szCs w:val="22"/>
              </w:rPr>
            </w:pPr>
            <w:r w:rsidRPr="066F406E">
              <w:rPr>
                <w:sz w:val="22"/>
                <w:szCs w:val="22"/>
              </w:rPr>
              <w:t xml:space="preserve">Well-developed conceptual and analytical skills and demonstrated experience applying these to matters of relevance to Aboriginal and Torres Strait Islander people.  </w:t>
            </w:r>
          </w:p>
          <w:p w14:paraId="4B4DEF35" w14:textId="19BE9C39" w:rsidR="00572920" w:rsidRPr="004B24AD" w:rsidRDefault="00572920" w:rsidP="00415865">
            <w:pPr>
              <w:pStyle w:val="Default"/>
              <w:numPr>
                <w:ilvl w:val="0"/>
                <w:numId w:val="18"/>
              </w:numPr>
              <w:spacing w:after="53"/>
            </w:pPr>
            <w:r w:rsidRPr="14E51F67">
              <w:rPr>
                <w:sz w:val="22"/>
                <w:szCs w:val="22"/>
              </w:rPr>
              <w:t xml:space="preserve">Experience working in Aboriginal and Torres Strait Islander policy development, program implementation, such as in </w:t>
            </w:r>
            <w:r w:rsidR="5A40741D" w:rsidRPr="14E51F67">
              <w:rPr>
                <w:sz w:val="22"/>
                <w:szCs w:val="22"/>
              </w:rPr>
              <w:t xml:space="preserve">or with </w:t>
            </w:r>
            <w:r w:rsidRPr="14E51F67">
              <w:rPr>
                <w:sz w:val="22"/>
                <w:szCs w:val="22"/>
              </w:rPr>
              <w:t>Commonwealth or State and Territory agencies</w:t>
            </w:r>
            <w:r>
              <w:t xml:space="preserve"> </w:t>
            </w:r>
            <w:r w:rsidRPr="14E51F67">
              <w:rPr>
                <w:sz w:val="22"/>
                <w:szCs w:val="22"/>
              </w:rPr>
              <w:t>(for example, in areas such as health, employment, education, housing</w:t>
            </w:r>
            <w:r w:rsidR="005C2DCF">
              <w:rPr>
                <w:sz w:val="22"/>
                <w:szCs w:val="22"/>
              </w:rPr>
              <w:t>, family safety</w:t>
            </w:r>
            <w:r w:rsidRPr="14E51F67">
              <w:rPr>
                <w:sz w:val="22"/>
                <w:szCs w:val="22"/>
              </w:rPr>
              <w:t xml:space="preserve"> or justice) will be highly valued. </w:t>
            </w:r>
          </w:p>
          <w:p w14:paraId="07DEA344" w14:textId="6DEF8A5D" w:rsidR="00572920" w:rsidRPr="004B24AD" w:rsidRDefault="00F0660D" w:rsidP="00415865">
            <w:pPr>
              <w:pStyle w:val="Default"/>
              <w:numPr>
                <w:ilvl w:val="0"/>
                <w:numId w:val="18"/>
              </w:numPr>
              <w:spacing w:after="53"/>
              <w:rPr>
                <w:szCs w:val="22"/>
              </w:rPr>
            </w:pPr>
            <w:r>
              <w:rPr>
                <w:sz w:val="22"/>
                <w:szCs w:val="22"/>
              </w:rPr>
              <w:t>E</w:t>
            </w:r>
            <w:r w:rsidR="00572920" w:rsidRPr="006E0C20">
              <w:rPr>
                <w:sz w:val="22"/>
                <w:szCs w:val="22"/>
              </w:rPr>
              <w:t>xperience in applying public policy and other frameworks, mixed-methods and Indigenous research methods</w:t>
            </w:r>
            <w:r w:rsidR="00CD459A">
              <w:rPr>
                <w:sz w:val="22"/>
                <w:szCs w:val="22"/>
              </w:rPr>
              <w:t>.</w:t>
            </w:r>
          </w:p>
          <w:p w14:paraId="3A62B010" w14:textId="77777777" w:rsidR="00572920" w:rsidRPr="004B24AD" w:rsidRDefault="00572920" w:rsidP="00415865">
            <w:pPr>
              <w:pStyle w:val="Default"/>
              <w:numPr>
                <w:ilvl w:val="0"/>
                <w:numId w:val="18"/>
              </w:numPr>
              <w:spacing w:after="53"/>
              <w:rPr>
                <w:szCs w:val="22"/>
              </w:rPr>
            </w:pPr>
            <w:r w:rsidRPr="006E0C20">
              <w:rPr>
                <w:sz w:val="22"/>
                <w:szCs w:val="22"/>
              </w:rPr>
              <w:t xml:space="preserve">Knowledge and understanding of Aboriginal and Torres Strait Islander cultures, histories, and perspectives. </w:t>
            </w:r>
          </w:p>
          <w:p w14:paraId="77092BBF" w14:textId="77777777" w:rsidR="00572920" w:rsidRPr="004B24AD" w:rsidRDefault="00572920" w:rsidP="00415865">
            <w:pPr>
              <w:pStyle w:val="Default"/>
              <w:numPr>
                <w:ilvl w:val="0"/>
                <w:numId w:val="18"/>
              </w:numPr>
              <w:spacing w:after="53"/>
              <w:rPr>
                <w:szCs w:val="22"/>
              </w:rPr>
            </w:pPr>
            <w:r w:rsidRPr="006E0C20">
              <w:rPr>
                <w:sz w:val="22"/>
                <w:szCs w:val="22"/>
              </w:rPr>
              <w:t xml:space="preserve">Demonstrated project management skills, including the ability to manage a number of tasks with a variety of deadlines, strong attention to detail and ability to exercise sound judgment. </w:t>
            </w:r>
          </w:p>
          <w:p w14:paraId="35E0440F" w14:textId="4C29B7AA" w:rsidR="00572920" w:rsidRPr="00E46950" w:rsidRDefault="00572920" w:rsidP="00415865">
            <w:pPr>
              <w:pStyle w:val="ListBullet"/>
              <w:ind w:left="700"/>
            </w:pPr>
            <w:r>
              <w:t>Academic qualifications in an area(s) such as public policy, social policy, economics</w:t>
            </w:r>
            <w:r w:rsidR="3E91B299">
              <w:t xml:space="preserve"> or other social sciences</w:t>
            </w:r>
            <w:r>
              <w:t>, law, statistics</w:t>
            </w:r>
            <w:r w:rsidR="003F6913">
              <w:t xml:space="preserve"> and</w:t>
            </w:r>
            <w:r w:rsidR="001230F2">
              <w:t xml:space="preserve"> </w:t>
            </w:r>
            <w:r>
              <w:t>data analysis</w:t>
            </w:r>
            <w:r w:rsidR="003F6913">
              <w:t>, Aboriginal and Torres Strait Islander studies</w:t>
            </w:r>
            <w:r w:rsidR="34621FC7">
              <w:t>, or evaluation</w:t>
            </w:r>
            <w:r>
              <w:t xml:space="preserve">. </w:t>
            </w:r>
          </w:p>
          <w:p w14:paraId="779FCF15" w14:textId="77777777" w:rsidR="00572920" w:rsidRPr="00397099" w:rsidRDefault="00572920" w:rsidP="00572920">
            <w:pPr>
              <w:spacing w:before="120" w:after="120"/>
              <w:rPr>
                <w:rFonts w:eastAsia="Calibri"/>
                <w:b/>
                <w:color w:val="66BCDB"/>
                <w:szCs w:val="22"/>
                <w:lang w:eastAsia="en-US"/>
              </w:rPr>
            </w:pPr>
            <w:r w:rsidRPr="00DD306E">
              <w:rPr>
                <w:rFonts w:eastAsia="Calibri"/>
                <w:b/>
                <w:color w:val="66BCDB"/>
                <w:szCs w:val="22"/>
                <w:lang w:eastAsia="en-US"/>
              </w:rPr>
              <w:t>Effective Engagement:</w:t>
            </w:r>
          </w:p>
          <w:p w14:paraId="48D85E73" w14:textId="77777777" w:rsidR="00572920" w:rsidRDefault="00572920" w:rsidP="00572920">
            <w:pPr>
              <w:pStyle w:val="ListBullet"/>
              <w:numPr>
                <w:ilvl w:val="0"/>
                <w:numId w:val="18"/>
              </w:numPr>
              <w:spacing w:before="120" w:after="120" w:line="259" w:lineRule="auto"/>
              <w:contextualSpacing w:val="0"/>
            </w:pPr>
            <w:r>
              <w:t xml:space="preserve">Demonstrated ability to build strong, sustainable working relationships within the Commission and with Aboriginal and Torres Strait Islander people, organisations and communities. </w:t>
            </w:r>
          </w:p>
          <w:p w14:paraId="2FAC4B81" w14:textId="77777777" w:rsidR="00572920" w:rsidRDefault="00572920" w:rsidP="00572920">
            <w:pPr>
              <w:pStyle w:val="ListParagraph"/>
              <w:numPr>
                <w:ilvl w:val="0"/>
                <w:numId w:val="18"/>
              </w:numPr>
              <w:spacing w:after="120"/>
              <w:rPr>
                <w:rFonts w:eastAsia="Calibri"/>
              </w:rPr>
            </w:pPr>
            <w:r w:rsidRPr="00397099">
              <w:rPr>
                <w:rFonts w:eastAsia="Calibri"/>
              </w:rPr>
              <w:t xml:space="preserve">Knowledge and understanding of </w:t>
            </w:r>
            <w:r>
              <w:t>principles for engagement with</w:t>
            </w:r>
            <w:r w:rsidRPr="00397099">
              <w:rPr>
                <w:rFonts w:eastAsia="Calibri"/>
              </w:rPr>
              <w:t xml:space="preserve"> Aboriginal an</w:t>
            </w:r>
            <w:r>
              <w:rPr>
                <w:rFonts w:eastAsia="Calibri"/>
              </w:rPr>
              <w:t>d</w:t>
            </w:r>
            <w:r w:rsidRPr="00397099">
              <w:rPr>
                <w:rFonts w:eastAsia="Calibri"/>
              </w:rPr>
              <w:t xml:space="preserve"> Torres Strait Islander</w:t>
            </w:r>
            <w:r>
              <w:rPr>
                <w:rFonts w:eastAsia="Calibri"/>
              </w:rPr>
              <w:t xml:space="preserve"> people, </w:t>
            </w:r>
            <w:r>
              <w:t xml:space="preserve">organisations and communities. </w:t>
            </w:r>
          </w:p>
          <w:p w14:paraId="7FD952A6" w14:textId="77777777" w:rsidR="00572920" w:rsidRDefault="00572920" w:rsidP="00572920">
            <w:pPr>
              <w:pStyle w:val="ListBullet"/>
              <w:numPr>
                <w:ilvl w:val="0"/>
                <w:numId w:val="18"/>
              </w:numPr>
              <w:spacing w:before="120" w:after="120" w:line="259" w:lineRule="auto"/>
              <w:contextualSpacing w:val="0"/>
            </w:pPr>
            <w:r w:rsidRPr="00FA4F63">
              <w:t>Demonstrated ability to work effectively in teams and well-developed management skills, including the ability to assist project leaders in managing projects, and to supervise the work of others</w:t>
            </w:r>
            <w:r>
              <w:t xml:space="preserve">, including </w:t>
            </w:r>
            <w:r w:rsidRPr="00393853">
              <w:t xml:space="preserve">Aboriginal and Torres Strait Islander </w:t>
            </w:r>
            <w:r>
              <w:t>employees</w:t>
            </w:r>
            <w:r w:rsidRPr="00FA4F63">
              <w:t>.</w:t>
            </w:r>
          </w:p>
          <w:p w14:paraId="4F44B2C0" w14:textId="77777777" w:rsidR="00572920" w:rsidRPr="00397099" w:rsidRDefault="00572920" w:rsidP="00572920">
            <w:pPr>
              <w:pStyle w:val="ListParagraph"/>
              <w:numPr>
                <w:ilvl w:val="0"/>
                <w:numId w:val="18"/>
              </w:numPr>
              <w:spacing w:after="120"/>
              <w:rPr>
                <w:rFonts w:eastAsia="Calibri"/>
              </w:rPr>
            </w:pPr>
            <w:r w:rsidRPr="00397099">
              <w:rPr>
                <w:rFonts w:eastAsia="Calibri"/>
              </w:rPr>
              <w:t xml:space="preserve">High-level written and oral communication skills, including proficient report writing and presentation skills – with the ability to explain difficult technical concepts in plain English. </w:t>
            </w:r>
          </w:p>
          <w:p w14:paraId="198A40C0" w14:textId="77777777" w:rsidR="00572920" w:rsidRPr="00DD306E" w:rsidRDefault="00572920" w:rsidP="00572920">
            <w:pPr>
              <w:spacing w:before="120" w:after="120"/>
              <w:rPr>
                <w:rFonts w:eastAsiaTheme="majorEastAsia" w:cs="Arial"/>
                <w:color w:val="66BCDB"/>
                <w:szCs w:val="22"/>
                <w:lang w:eastAsia="en-US"/>
              </w:rPr>
            </w:pPr>
            <w:r w:rsidRPr="00DD306E">
              <w:rPr>
                <w:rFonts w:eastAsia="Calibri"/>
                <w:b/>
                <w:color w:val="66BCDB"/>
                <w:szCs w:val="22"/>
                <w:lang w:eastAsia="en-US"/>
              </w:rPr>
              <w:t xml:space="preserve">Personal Productivity and Growth: </w:t>
            </w:r>
          </w:p>
          <w:p w14:paraId="1D989BA0" w14:textId="77777777" w:rsidR="00572920" w:rsidRPr="00467EBA" w:rsidRDefault="00572920" w:rsidP="00467EBA">
            <w:pPr>
              <w:pStyle w:val="Default"/>
              <w:numPr>
                <w:ilvl w:val="0"/>
                <w:numId w:val="18"/>
              </w:numPr>
              <w:spacing w:after="53"/>
              <w:rPr>
                <w:sz w:val="22"/>
                <w:szCs w:val="22"/>
              </w:rPr>
            </w:pPr>
            <w:r w:rsidRPr="00467EBA">
              <w:rPr>
                <w:sz w:val="22"/>
                <w:szCs w:val="22"/>
              </w:rPr>
              <w:t xml:space="preserve">The ability to effectively plan and progress work and deliver on agreed outcomes – managing competing priorities, monitoring work progress, problem solving, identifying and implementing improvements and displaying resilience. </w:t>
            </w:r>
          </w:p>
          <w:p w14:paraId="0F81B4F5" w14:textId="2103D5EC" w:rsidR="006C1E37" w:rsidRPr="006E0C20" w:rsidRDefault="00572920" w:rsidP="00467EBA">
            <w:pPr>
              <w:pStyle w:val="Default"/>
              <w:numPr>
                <w:ilvl w:val="0"/>
                <w:numId w:val="18"/>
              </w:numPr>
              <w:spacing w:after="53"/>
              <w:rPr>
                <w:rFonts w:eastAsia="Calibri"/>
              </w:rPr>
            </w:pPr>
            <w:r w:rsidRPr="00467EBA">
              <w:rPr>
                <w:sz w:val="22"/>
                <w:szCs w:val="22"/>
              </w:rPr>
              <w:t>A preparedness to seek (and act) on advice and feedback and take opportunities to expand your knowledge and skills.</w:t>
            </w:r>
          </w:p>
        </w:tc>
      </w:tr>
      <w:tr w:rsidR="00DD4CD7" w:rsidRPr="00DD306E" w14:paraId="71959E41" w14:textId="77777777" w:rsidTr="14E51F67">
        <w:trPr>
          <w:trHeight w:val="407"/>
        </w:trPr>
        <w:tc>
          <w:tcPr>
            <w:tcW w:w="1981" w:type="dxa"/>
            <w:shd w:val="clear" w:color="auto" w:fill="F5F5F5"/>
          </w:tcPr>
          <w:p w14:paraId="79BCE42A" w14:textId="6E7028C2" w:rsidR="00DD4CD7" w:rsidRDefault="00DD4CD7" w:rsidP="00DD4CD7">
            <w:pPr>
              <w:spacing w:before="80" w:after="160" w:line="259" w:lineRule="auto"/>
              <w:ind w:left="-392" w:firstLine="392"/>
              <w:rPr>
                <w:rFonts w:eastAsiaTheme="majorEastAsia"/>
                <w:color w:val="265A9A" w:themeColor="background2"/>
                <w:lang w:eastAsia="en-US"/>
              </w:rPr>
            </w:pPr>
            <w:r>
              <w:rPr>
                <w:rFonts w:eastAsiaTheme="majorEastAsia"/>
                <w:color w:val="265A9A"/>
                <w:szCs w:val="22"/>
                <w:lang w:eastAsia="en-US"/>
              </w:rPr>
              <w:t>Identified Position</w:t>
            </w:r>
          </w:p>
        </w:tc>
        <w:tc>
          <w:tcPr>
            <w:tcW w:w="7800" w:type="dxa"/>
          </w:tcPr>
          <w:p w14:paraId="5FD898A7" w14:textId="77777777" w:rsidR="00DD4CD7" w:rsidRPr="004A6553" w:rsidRDefault="00DD4CD7" w:rsidP="00DD4CD7">
            <w:pPr>
              <w:spacing w:after="240"/>
            </w:pPr>
            <w:r w:rsidRPr="004A6553">
              <w:t>Candidates applying for an</w:t>
            </w:r>
            <w:r>
              <w:t xml:space="preserve"> identified position must demonstrate </w:t>
            </w:r>
            <w:r w:rsidRPr="004A6553">
              <w:t xml:space="preserve">the </w:t>
            </w:r>
            <w:r>
              <w:t xml:space="preserve">following </w:t>
            </w:r>
            <w:r w:rsidRPr="004A6553">
              <w:t>capabilities:</w:t>
            </w:r>
          </w:p>
          <w:p w14:paraId="2BC8784D" w14:textId="648DD0F8" w:rsidR="006E0C20" w:rsidRDefault="00DD4CD7" w:rsidP="00DD4CD7">
            <w:pPr>
              <w:pStyle w:val="ListBullet"/>
              <w:numPr>
                <w:ilvl w:val="0"/>
                <w:numId w:val="18"/>
              </w:numPr>
              <w:spacing w:before="120" w:after="120" w:line="259" w:lineRule="auto"/>
              <w:contextualSpacing w:val="0"/>
            </w:pPr>
            <w:r w:rsidRPr="00A92236">
              <w:t>a knowledge and understanding of the issues affecting Aboriginal and Torres Strait Islander peoples and their communities, and</w:t>
            </w:r>
          </w:p>
          <w:p w14:paraId="5E8A1006" w14:textId="22D43D2D" w:rsidR="00DD4CD7" w:rsidRPr="006E0C20" w:rsidRDefault="00DD4CD7" w:rsidP="006E0C20">
            <w:pPr>
              <w:pStyle w:val="ListBullet"/>
              <w:numPr>
                <w:ilvl w:val="0"/>
                <w:numId w:val="18"/>
              </w:numPr>
              <w:spacing w:before="120" w:after="120" w:line="259" w:lineRule="auto"/>
              <w:contextualSpacing w:val="0"/>
              <w:rPr>
                <w:rFonts w:eastAsia="Calibri"/>
                <w:b/>
                <w:color w:val="66BCDB"/>
                <w:szCs w:val="22"/>
                <w:lang w:eastAsia="en-US"/>
              </w:rPr>
            </w:pPr>
            <w:r w:rsidRPr="00A92236">
              <w:lastRenderedPageBreak/>
              <w:t>a demonstrated ability to communicate sensitively and effectively with</w:t>
            </w:r>
            <w:r>
              <w:t xml:space="preserve"> </w:t>
            </w:r>
            <w:r w:rsidRPr="00A92236">
              <w:t>Aboriginal and Torres Strait Islander people, community organisations or peak organisations.</w:t>
            </w:r>
          </w:p>
        </w:tc>
      </w:tr>
      <w:tr w:rsidR="00DD4CD7" w:rsidRPr="00DD306E" w14:paraId="2EAFA16C" w14:textId="77777777" w:rsidTr="14E51F67">
        <w:trPr>
          <w:trHeight w:val="407"/>
        </w:trPr>
        <w:tc>
          <w:tcPr>
            <w:tcW w:w="1981" w:type="dxa"/>
            <w:shd w:val="clear" w:color="auto" w:fill="F5F5F5"/>
          </w:tcPr>
          <w:p w14:paraId="78C55E8C" w14:textId="3A9DBB86" w:rsidR="00DD4CD7" w:rsidRDefault="00DD4CD7" w:rsidP="006E0C20">
            <w:pPr>
              <w:spacing w:before="80" w:after="160" w:line="259" w:lineRule="auto"/>
              <w:rPr>
                <w:rFonts w:eastAsiaTheme="majorEastAsia"/>
                <w:color w:val="265A9A" w:themeColor="background2"/>
                <w:lang w:eastAsia="en-US"/>
              </w:rPr>
            </w:pPr>
            <w:r>
              <w:rPr>
                <w:rFonts w:eastAsiaTheme="majorEastAsia"/>
                <w:color w:val="265A9A"/>
                <w:szCs w:val="22"/>
                <w:lang w:eastAsia="en-US"/>
              </w:rPr>
              <w:lastRenderedPageBreak/>
              <w:t>Affirmative Measure Position</w:t>
            </w:r>
          </w:p>
        </w:tc>
        <w:tc>
          <w:tcPr>
            <w:tcW w:w="7800" w:type="dxa"/>
          </w:tcPr>
          <w:p w14:paraId="502FE1CA" w14:textId="77777777" w:rsidR="00DD4CD7" w:rsidRPr="00240982" w:rsidRDefault="00DD4CD7" w:rsidP="00DD4CD7">
            <w:pPr>
              <w:spacing w:before="80" w:after="160" w:line="259" w:lineRule="auto"/>
              <w:rPr>
                <w:szCs w:val="22"/>
              </w:rPr>
            </w:pPr>
            <w:r w:rsidRPr="00240982">
              <w:rPr>
                <w:szCs w:val="22"/>
              </w:rPr>
              <w:t xml:space="preserve">Affirmative Measure positions are only open to Aboriginal and/or Torres Strait Islander peoples. </w:t>
            </w:r>
          </w:p>
          <w:p w14:paraId="57F5E19E" w14:textId="77777777" w:rsidR="00DD4CD7" w:rsidRPr="00240982" w:rsidRDefault="00DD4CD7" w:rsidP="00DD4CD7">
            <w:pPr>
              <w:spacing w:before="80" w:after="160" w:line="259" w:lineRule="auto"/>
              <w:rPr>
                <w:szCs w:val="22"/>
              </w:rPr>
            </w:pPr>
            <w:r w:rsidRPr="00240982">
              <w:rPr>
                <w:szCs w:val="22"/>
              </w:rPr>
              <w:t xml:space="preserve">To be eligible to apply for a position advertised under Affirmative Measure – Indigenous, you will need to confirm all of the following: </w:t>
            </w:r>
          </w:p>
          <w:p w14:paraId="0EDD3F12" w14:textId="77777777" w:rsidR="00DD4CD7" w:rsidRPr="00240982" w:rsidRDefault="00DD4CD7" w:rsidP="00DD4CD7">
            <w:pPr>
              <w:pStyle w:val="ListBullet"/>
              <w:numPr>
                <w:ilvl w:val="0"/>
                <w:numId w:val="18"/>
              </w:numPr>
              <w:spacing w:before="80" w:after="160" w:line="259" w:lineRule="auto"/>
              <w:contextualSpacing w:val="0"/>
              <w:rPr>
                <w:szCs w:val="22"/>
              </w:rPr>
            </w:pPr>
            <w:r w:rsidRPr="00240982">
              <w:rPr>
                <w:szCs w:val="22"/>
              </w:rPr>
              <w:t xml:space="preserve">You are of Aboriginal and Torres Strait Islander Australian descent. </w:t>
            </w:r>
          </w:p>
          <w:p w14:paraId="58C952C1" w14:textId="77777777" w:rsidR="00DD4CD7" w:rsidRPr="00240982" w:rsidRDefault="00DD4CD7" w:rsidP="00DD4CD7">
            <w:pPr>
              <w:pStyle w:val="ListBullet"/>
              <w:numPr>
                <w:ilvl w:val="0"/>
                <w:numId w:val="18"/>
              </w:numPr>
              <w:spacing w:before="80" w:after="160" w:line="259" w:lineRule="auto"/>
              <w:contextualSpacing w:val="0"/>
              <w:rPr>
                <w:szCs w:val="22"/>
              </w:rPr>
            </w:pPr>
            <w:r w:rsidRPr="00240982">
              <w:rPr>
                <w:szCs w:val="22"/>
              </w:rPr>
              <w:t xml:space="preserve">You identify as an Aboriginal or Torres Strait Islander Australian or both. </w:t>
            </w:r>
          </w:p>
          <w:p w14:paraId="3E789F50" w14:textId="77777777" w:rsidR="00DD4CD7" w:rsidRPr="00240982" w:rsidRDefault="00DD4CD7" w:rsidP="00DD4CD7">
            <w:pPr>
              <w:pStyle w:val="ListBullet"/>
              <w:numPr>
                <w:ilvl w:val="0"/>
                <w:numId w:val="18"/>
              </w:numPr>
              <w:spacing w:before="80" w:after="160" w:line="259" w:lineRule="auto"/>
              <w:contextualSpacing w:val="0"/>
              <w:rPr>
                <w:szCs w:val="22"/>
              </w:rPr>
            </w:pPr>
            <w:r w:rsidRPr="00240982">
              <w:rPr>
                <w:szCs w:val="22"/>
              </w:rPr>
              <w:t xml:space="preserve">You are accepted as an Aboriginal or Torres Strait Islander Australian. </w:t>
            </w:r>
          </w:p>
          <w:p w14:paraId="46C92C27" w14:textId="34849ACD" w:rsidR="00DD4CD7" w:rsidRPr="00DD306E" w:rsidRDefault="00DD4CD7" w:rsidP="00DD4CD7">
            <w:pPr>
              <w:spacing w:before="120" w:after="120"/>
              <w:rPr>
                <w:rFonts w:eastAsia="Calibri"/>
                <w:b/>
                <w:color w:val="66BCDB"/>
                <w:szCs w:val="22"/>
                <w:lang w:eastAsia="en-US"/>
              </w:rPr>
            </w:pPr>
            <w:r w:rsidRPr="00240982">
              <w:rPr>
                <w:szCs w:val="22"/>
              </w:rPr>
              <w:t>You can confirm your heritage with either a letter from an Indigenous organisation or Community Elder, or an appropriate statutory declaration.</w:t>
            </w:r>
          </w:p>
        </w:tc>
      </w:tr>
    </w:tbl>
    <w:p w14:paraId="49B6159B" w14:textId="77777777" w:rsidR="00424147" w:rsidRDefault="00424147"/>
    <w:p w14:paraId="5AB534B0" w14:textId="77777777" w:rsidR="009C3D65" w:rsidRPr="00D02533" w:rsidRDefault="009C3D65" w:rsidP="009C3D65"/>
    <w:sectPr w:rsidR="009C3D65" w:rsidRPr="00D02533" w:rsidSect="001E6B06">
      <w:headerReference w:type="even" r:id="rId13"/>
      <w:headerReference w:type="default" r:id="rId14"/>
      <w:footerReference w:type="default" r:id="rId15"/>
      <w:headerReference w:type="first" r:id="rId16"/>
      <w:footerReference w:type="first" r:id="rId17"/>
      <w:pgSz w:w="11906" w:h="16838" w:code="9"/>
      <w:pgMar w:top="1276" w:right="1276" w:bottom="1276" w:left="1276"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7F3FD" w14:textId="77777777" w:rsidR="000374C8" w:rsidRDefault="000374C8" w:rsidP="00F3517F">
      <w:r>
        <w:separator/>
      </w:r>
    </w:p>
  </w:endnote>
  <w:endnote w:type="continuationSeparator" w:id="0">
    <w:p w14:paraId="23A82DFD" w14:textId="77777777" w:rsidR="000374C8" w:rsidRDefault="000374C8" w:rsidP="00F3517F">
      <w:r>
        <w:continuationSeparator/>
      </w:r>
    </w:p>
  </w:endnote>
  <w:endnote w:type="continuationNotice" w:id="1">
    <w:p w14:paraId="3B75A11C" w14:textId="77777777" w:rsidR="000374C8" w:rsidRDefault="0003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6C8A" w14:textId="19B53B5B" w:rsidR="00900872" w:rsidRPr="00A034AB" w:rsidRDefault="00900872" w:rsidP="00900872">
    <w:pPr>
      <w:pStyle w:val="Footer"/>
      <w:tabs>
        <w:tab w:val="clear" w:pos="9026"/>
      </w:tabs>
      <w:ind w:left="-1418"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AB09" w14:textId="58B2D21F" w:rsidR="005A2408" w:rsidRDefault="005A2408">
    <w:pPr>
      <w:pStyle w:val="Footer"/>
    </w:pPr>
    <w:r w:rsidRPr="00724381">
      <w:rPr>
        <w:noProof/>
        <w:kern w:val="16"/>
        <w:sz w:val="20"/>
      </w:rPr>
      <w:drawing>
        <wp:anchor distT="0" distB="0" distL="114300" distR="114300" simplePos="0" relativeHeight="251658241" behindDoc="1" locked="0" layoutInCell="1" allowOverlap="1" wp14:anchorId="1C5D87EF" wp14:editId="118F8A3D">
          <wp:simplePos x="0" y="0"/>
          <wp:positionH relativeFrom="page">
            <wp:posOffset>-13511</wp:posOffset>
          </wp:positionH>
          <wp:positionV relativeFrom="page">
            <wp:posOffset>9730740</wp:posOffset>
          </wp:positionV>
          <wp:extent cx="7604125" cy="983450"/>
          <wp:effectExtent l="0" t="0" r="0" b="7620"/>
          <wp:wrapNone/>
          <wp:docPr id="1135987738" name="Picture 1135987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87738" name="Picture 11359877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4125" cy="983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4074" w14:textId="77777777" w:rsidR="000374C8" w:rsidRDefault="000374C8" w:rsidP="00F3517F">
      <w:r>
        <w:separator/>
      </w:r>
    </w:p>
  </w:footnote>
  <w:footnote w:type="continuationSeparator" w:id="0">
    <w:p w14:paraId="6CB0475A" w14:textId="77777777" w:rsidR="000374C8" w:rsidRDefault="000374C8" w:rsidP="00F3517F">
      <w:r>
        <w:continuationSeparator/>
      </w:r>
    </w:p>
  </w:footnote>
  <w:footnote w:type="continuationNotice" w:id="1">
    <w:p w14:paraId="51FE42DC" w14:textId="77777777" w:rsidR="000374C8" w:rsidRDefault="00037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5C5F" w14:textId="1663A1B7" w:rsidR="005A2408" w:rsidRDefault="005A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E7C7" w14:textId="01A79DF6" w:rsidR="005A2408" w:rsidRDefault="005A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7A62" w14:textId="4AD8FE7B" w:rsidR="005A2408" w:rsidRDefault="005A2408">
    <w:pPr>
      <w:pStyle w:val="Header"/>
    </w:pPr>
    <w:r w:rsidRPr="00B42D01">
      <w:rPr>
        <w:rFonts w:ascii="Arial Black" w:hAnsi="Arial Black" w:cs="Arial"/>
        <w:b/>
        <w:noProof/>
        <w:color w:val="265A9A" w:themeColor="background2"/>
        <w:sz w:val="36"/>
        <w:szCs w:val="36"/>
        <w:highlight w:val="yellow"/>
      </w:rPr>
      <w:drawing>
        <wp:anchor distT="0" distB="0" distL="114300" distR="114300" simplePos="0" relativeHeight="251658240" behindDoc="0" locked="0" layoutInCell="1" allowOverlap="1" wp14:anchorId="6698BB17" wp14:editId="64E72735">
          <wp:simplePos x="0" y="0"/>
          <wp:positionH relativeFrom="page">
            <wp:posOffset>-12700</wp:posOffset>
          </wp:positionH>
          <wp:positionV relativeFrom="page">
            <wp:posOffset>-22860</wp:posOffset>
          </wp:positionV>
          <wp:extent cx="7596000" cy="1173843"/>
          <wp:effectExtent l="0" t="0" r="5080" b="7620"/>
          <wp:wrapNone/>
          <wp:docPr id="941503666" name="Picture 941503666" descr="A white and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8261" name="Picture 1618088261" descr="A white and blue background"/>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239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210EB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B1F5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10"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1"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8F400B16"/>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D312D9"/>
    <w:multiLevelType w:val="hybridMultilevel"/>
    <w:tmpl w:val="9296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3E5434"/>
    <w:multiLevelType w:val="hybridMultilevel"/>
    <w:tmpl w:val="E1B0C2E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A060C"/>
    <w:multiLevelType w:val="hybridMultilevel"/>
    <w:tmpl w:val="90FEE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082F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91B2C"/>
    <w:multiLevelType w:val="multilevel"/>
    <w:tmpl w:val="E85A50E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D9059D2"/>
    <w:multiLevelType w:val="hybridMultilevel"/>
    <w:tmpl w:val="0A1AC180"/>
    <w:lvl w:ilvl="0" w:tplc="D61218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204539">
    <w:abstractNumId w:val="13"/>
  </w:num>
  <w:num w:numId="2" w16cid:durableId="1603566257">
    <w:abstractNumId w:val="16"/>
  </w:num>
  <w:num w:numId="3" w16cid:durableId="1651330643">
    <w:abstractNumId w:val="12"/>
  </w:num>
  <w:num w:numId="4" w16cid:durableId="2092852460">
    <w:abstractNumId w:val="10"/>
  </w:num>
  <w:num w:numId="5" w16cid:durableId="866139792">
    <w:abstractNumId w:val="9"/>
  </w:num>
  <w:num w:numId="6" w16cid:durableId="1989895105">
    <w:abstractNumId w:val="8"/>
  </w:num>
  <w:num w:numId="7" w16cid:durableId="1277176410">
    <w:abstractNumId w:val="7"/>
  </w:num>
  <w:num w:numId="8" w16cid:durableId="1960992474">
    <w:abstractNumId w:val="11"/>
  </w:num>
  <w:num w:numId="9" w16cid:durableId="1768309759">
    <w:abstractNumId w:val="6"/>
  </w:num>
  <w:num w:numId="10" w16cid:durableId="664164525">
    <w:abstractNumId w:val="5"/>
  </w:num>
  <w:num w:numId="11" w16cid:durableId="847643047">
    <w:abstractNumId w:val="4"/>
  </w:num>
  <w:num w:numId="12" w16cid:durableId="817499364">
    <w:abstractNumId w:val="3"/>
  </w:num>
  <w:num w:numId="13" w16cid:durableId="576869246">
    <w:abstractNumId w:val="21"/>
  </w:num>
  <w:num w:numId="14" w16cid:durableId="333386930">
    <w:abstractNumId w:val="15"/>
  </w:num>
  <w:num w:numId="15" w16cid:durableId="2104839418">
    <w:abstractNumId w:val="10"/>
    <w:lvlOverride w:ilvl="0">
      <w:startOverride w:val="1"/>
    </w:lvlOverride>
  </w:num>
  <w:num w:numId="16" w16cid:durableId="383413552">
    <w:abstractNumId w:val="17"/>
  </w:num>
  <w:num w:numId="17" w16cid:durableId="673151358">
    <w:abstractNumId w:val="14"/>
  </w:num>
  <w:num w:numId="18" w16cid:durableId="935672956">
    <w:abstractNumId w:val="23"/>
  </w:num>
  <w:num w:numId="19" w16cid:durableId="75249822">
    <w:abstractNumId w:val="22"/>
  </w:num>
  <w:num w:numId="20" w16cid:durableId="1224370746">
    <w:abstractNumId w:val="20"/>
  </w:num>
  <w:num w:numId="21" w16cid:durableId="1469741227">
    <w:abstractNumId w:val="0"/>
  </w:num>
  <w:num w:numId="22" w16cid:durableId="238909256">
    <w:abstractNumId w:val="2"/>
  </w:num>
  <w:num w:numId="23" w16cid:durableId="1541017761">
    <w:abstractNumId w:val="1"/>
  </w:num>
  <w:num w:numId="24" w16cid:durableId="118187771">
    <w:abstractNumId w:val="18"/>
  </w:num>
  <w:num w:numId="25" w16cid:durableId="854538588">
    <w:abstractNumId w:val="19"/>
  </w:num>
  <w:num w:numId="26" w16cid:durableId="1842239809">
    <w:abstractNumId w:val="12"/>
  </w:num>
  <w:num w:numId="27" w16cid:durableId="887034927">
    <w:abstractNumId w:val="12"/>
  </w:num>
  <w:num w:numId="28" w16cid:durableId="1628201172">
    <w:abstractNumId w:val="12"/>
  </w:num>
  <w:num w:numId="29" w16cid:durableId="829905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08"/>
    <w:rsid w:val="00015BE9"/>
    <w:rsid w:val="00015DCA"/>
    <w:rsid w:val="00020718"/>
    <w:rsid w:val="000267C9"/>
    <w:rsid w:val="00034156"/>
    <w:rsid w:val="000374C8"/>
    <w:rsid w:val="000439B4"/>
    <w:rsid w:val="00056EB2"/>
    <w:rsid w:val="00065239"/>
    <w:rsid w:val="00066AD5"/>
    <w:rsid w:val="00082CA0"/>
    <w:rsid w:val="00087144"/>
    <w:rsid w:val="000954B3"/>
    <w:rsid w:val="000A0DA4"/>
    <w:rsid w:val="000A307E"/>
    <w:rsid w:val="000B3558"/>
    <w:rsid w:val="000D26A8"/>
    <w:rsid w:val="000D6C76"/>
    <w:rsid w:val="000E45FB"/>
    <w:rsid w:val="000E6483"/>
    <w:rsid w:val="000F00EF"/>
    <w:rsid w:val="000F0E80"/>
    <w:rsid w:val="000F1657"/>
    <w:rsid w:val="000F54DB"/>
    <w:rsid w:val="001040F7"/>
    <w:rsid w:val="001055EB"/>
    <w:rsid w:val="00110ABC"/>
    <w:rsid w:val="00111E0E"/>
    <w:rsid w:val="001171E7"/>
    <w:rsid w:val="00117582"/>
    <w:rsid w:val="001230F2"/>
    <w:rsid w:val="00130C43"/>
    <w:rsid w:val="001436D4"/>
    <w:rsid w:val="00154A11"/>
    <w:rsid w:val="00156883"/>
    <w:rsid w:val="00166FC6"/>
    <w:rsid w:val="00171673"/>
    <w:rsid w:val="00171ED5"/>
    <w:rsid w:val="00175730"/>
    <w:rsid w:val="001770A1"/>
    <w:rsid w:val="00192241"/>
    <w:rsid w:val="00192D03"/>
    <w:rsid w:val="00195B3B"/>
    <w:rsid w:val="001A5C34"/>
    <w:rsid w:val="001B0B2F"/>
    <w:rsid w:val="001B7A4C"/>
    <w:rsid w:val="001C517C"/>
    <w:rsid w:val="001D7406"/>
    <w:rsid w:val="001E0372"/>
    <w:rsid w:val="001E0C30"/>
    <w:rsid w:val="001E1B98"/>
    <w:rsid w:val="001E6A2B"/>
    <w:rsid w:val="001E6A55"/>
    <w:rsid w:val="001E6B06"/>
    <w:rsid w:val="001F0354"/>
    <w:rsid w:val="001F5C07"/>
    <w:rsid w:val="001F7596"/>
    <w:rsid w:val="002231F2"/>
    <w:rsid w:val="00223ADC"/>
    <w:rsid w:val="00226390"/>
    <w:rsid w:val="00234CA3"/>
    <w:rsid w:val="00235D4C"/>
    <w:rsid w:val="002439DD"/>
    <w:rsid w:val="0025297F"/>
    <w:rsid w:val="002534F6"/>
    <w:rsid w:val="00253E49"/>
    <w:rsid w:val="002622E3"/>
    <w:rsid w:val="0026695F"/>
    <w:rsid w:val="00274890"/>
    <w:rsid w:val="002A2653"/>
    <w:rsid w:val="002A270D"/>
    <w:rsid w:val="002B3950"/>
    <w:rsid w:val="002B70D1"/>
    <w:rsid w:val="002E3B42"/>
    <w:rsid w:val="002F3FED"/>
    <w:rsid w:val="00313346"/>
    <w:rsid w:val="00320296"/>
    <w:rsid w:val="0032226D"/>
    <w:rsid w:val="00327736"/>
    <w:rsid w:val="00332706"/>
    <w:rsid w:val="0033532D"/>
    <w:rsid w:val="00347147"/>
    <w:rsid w:val="00355177"/>
    <w:rsid w:val="0035579D"/>
    <w:rsid w:val="00356B69"/>
    <w:rsid w:val="003572A3"/>
    <w:rsid w:val="00362308"/>
    <w:rsid w:val="00384F20"/>
    <w:rsid w:val="00393853"/>
    <w:rsid w:val="00397099"/>
    <w:rsid w:val="003A3F71"/>
    <w:rsid w:val="003A605F"/>
    <w:rsid w:val="003B0635"/>
    <w:rsid w:val="003B32EE"/>
    <w:rsid w:val="003B43BD"/>
    <w:rsid w:val="003B642F"/>
    <w:rsid w:val="003C3328"/>
    <w:rsid w:val="003E55B2"/>
    <w:rsid w:val="003E6942"/>
    <w:rsid w:val="003F6913"/>
    <w:rsid w:val="003F7094"/>
    <w:rsid w:val="00401E41"/>
    <w:rsid w:val="004020EF"/>
    <w:rsid w:val="00404BB3"/>
    <w:rsid w:val="004056C4"/>
    <w:rsid w:val="00406763"/>
    <w:rsid w:val="00413690"/>
    <w:rsid w:val="00415771"/>
    <w:rsid w:val="00415865"/>
    <w:rsid w:val="004220C3"/>
    <w:rsid w:val="00424147"/>
    <w:rsid w:val="004266B5"/>
    <w:rsid w:val="004364FA"/>
    <w:rsid w:val="004414E7"/>
    <w:rsid w:val="004549FA"/>
    <w:rsid w:val="004566C8"/>
    <w:rsid w:val="0046037F"/>
    <w:rsid w:val="004662D2"/>
    <w:rsid w:val="00467EBA"/>
    <w:rsid w:val="00470FD6"/>
    <w:rsid w:val="004740E1"/>
    <w:rsid w:val="00476E55"/>
    <w:rsid w:val="004819ED"/>
    <w:rsid w:val="004917A3"/>
    <w:rsid w:val="00495B3B"/>
    <w:rsid w:val="004B24AD"/>
    <w:rsid w:val="004B32ED"/>
    <w:rsid w:val="004B6571"/>
    <w:rsid w:val="004E70CE"/>
    <w:rsid w:val="004F535D"/>
    <w:rsid w:val="004F5927"/>
    <w:rsid w:val="00500B4B"/>
    <w:rsid w:val="0050477F"/>
    <w:rsid w:val="005061CB"/>
    <w:rsid w:val="0051445F"/>
    <w:rsid w:val="005153B2"/>
    <w:rsid w:val="005159BA"/>
    <w:rsid w:val="0052485D"/>
    <w:rsid w:val="0054101D"/>
    <w:rsid w:val="005649D1"/>
    <w:rsid w:val="00572920"/>
    <w:rsid w:val="00576B3D"/>
    <w:rsid w:val="005843A5"/>
    <w:rsid w:val="00584E66"/>
    <w:rsid w:val="00594CE1"/>
    <w:rsid w:val="005A058D"/>
    <w:rsid w:val="005A116C"/>
    <w:rsid w:val="005A2408"/>
    <w:rsid w:val="005A3F34"/>
    <w:rsid w:val="005A46B8"/>
    <w:rsid w:val="005A529C"/>
    <w:rsid w:val="005A780A"/>
    <w:rsid w:val="005C2DCF"/>
    <w:rsid w:val="005D0A91"/>
    <w:rsid w:val="005E613A"/>
    <w:rsid w:val="005F1447"/>
    <w:rsid w:val="005F3379"/>
    <w:rsid w:val="00606912"/>
    <w:rsid w:val="00622963"/>
    <w:rsid w:val="00625E3B"/>
    <w:rsid w:val="006514B4"/>
    <w:rsid w:val="00666754"/>
    <w:rsid w:val="00667C2A"/>
    <w:rsid w:val="006707FA"/>
    <w:rsid w:val="00670EEC"/>
    <w:rsid w:val="00674592"/>
    <w:rsid w:val="00675B35"/>
    <w:rsid w:val="00685C2F"/>
    <w:rsid w:val="0068761E"/>
    <w:rsid w:val="00693518"/>
    <w:rsid w:val="006B6F1C"/>
    <w:rsid w:val="006C1E37"/>
    <w:rsid w:val="006D3549"/>
    <w:rsid w:val="006E0C20"/>
    <w:rsid w:val="00701F6C"/>
    <w:rsid w:val="007035F9"/>
    <w:rsid w:val="00715250"/>
    <w:rsid w:val="0072137E"/>
    <w:rsid w:val="007267B0"/>
    <w:rsid w:val="0073306D"/>
    <w:rsid w:val="007351C4"/>
    <w:rsid w:val="00742242"/>
    <w:rsid w:val="00762662"/>
    <w:rsid w:val="007675B9"/>
    <w:rsid w:val="007726B8"/>
    <w:rsid w:val="007767F4"/>
    <w:rsid w:val="00780EFD"/>
    <w:rsid w:val="007B1430"/>
    <w:rsid w:val="007B418D"/>
    <w:rsid w:val="007C03B6"/>
    <w:rsid w:val="007C189A"/>
    <w:rsid w:val="007C3577"/>
    <w:rsid w:val="007C556A"/>
    <w:rsid w:val="007C587F"/>
    <w:rsid w:val="007D451A"/>
    <w:rsid w:val="007D68C1"/>
    <w:rsid w:val="007D6BB4"/>
    <w:rsid w:val="007E62C4"/>
    <w:rsid w:val="007F0E26"/>
    <w:rsid w:val="007F2FEB"/>
    <w:rsid w:val="007F3268"/>
    <w:rsid w:val="007F4641"/>
    <w:rsid w:val="007F55D7"/>
    <w:rsid w:val="008031CD"/>
    <w:rsid w:val="0081180E"/>
    <w:rsid w:val="00822065"/>
    <w:rsid w:val="00827291"/>
    <w:rsid w:val="00832951"/>
    <w:rsid w:val="008357C0"/>
    <w:rsid w:val="008375E0"/>
    <w:rsid w:val="00846C11"/>
    <w:rsid w:val="0084737F"/>
    <w:rsid w:val="00847393"/>
    <w:rsid w:val="008529E2"/>
    <w:rsid w:val="00853981"/>
    <w:rsid w:val="00865A26"/>
    <w:rsid w:val="00873A62"/>
    <w:rsid w:val="00876F2C"/>
    <w:rsid w:val="008923CE"/>
    <w:rsid w:val="00894862"/>
    <w:rsid w:val="00896FCD"/>
    <w:rsid w:val="008A1125"/>
    <w:rsid w:val="008A1BA0"/>
    <w:rsid w:val="008C141F"/>
    <w:rsid w:val="008C7D24"/>
    <w:rsid w:val="008D1738"/>
    <w:rsid w:val="008D4D7F"/>
    <w:rsid w:val="008D66E2"/>
    <w:rsid w:val="008D741E"/>
    <w:rsid w:val="008E1873"/>
    <w:rsid w:val="008E401C"/>
    <w:rsid w:val="008E7386"/>
    <w:rsid w:val="008F6541"/>
    <w:rsid w:val="00900872"/>
    <w:rsid w:val="00905F2F"/>
    <w:rsid w:val="00907117"/>
    <w:rsid w:val="00907170"/>
    <w:rsid w:val="00912F9E"/>
    <w:rsid w:val="0092108A"/>
    <w:rsid w:val="00922DE7"/>
    <w:rsid w:val="00933A00"/>
    <w:rsid w:val="00952F08"/>
    <w:rsid w:val="00956F6B"/>
    <w:rsid w:val="00964129"/>
    <w:rsid w:val="00972200"/>
    <w:rsid w:val="009834F8"/>
    <w:rsid w:val="00991A93"/>
    <w:rsid w:val="009936D9"/>
    <w:rsid w:val="009A1C4D"/>
    <w:rsid w:val="009A38A5"/>
    <w:rsid w:val="009B7D96"/>
    <w:rsid w:val="009C371E"/>
    <w:rsid w:val="009C3D65"/>
    <w:rsid w:val="009C42E0"/>
    <w:rsid w:val="009D117C"/>
    <w:rsid w:val="009D43C3"/>
    <w:rsid w:val="009D55C8"/>
    <w:rsid w:val="009D63C3"/>
    <w:rsid w:val="009E12BF"/>
    <w:rsid w:val="009E3642"/>
    <w:rsid w:val="009E687D"/>
    <w:rsid w:val="009E778C"/>
    <w:rsid w:val="00A01A98"/>
    <w:rsid w:val="00A034AB"/>
    <w:rsid w:val="00A12EFD"/>
    <w:rsid w:val="00A31DED"/>
    <w:rsid w:val="00A45354"/>
    <w:rsid w:val="00A51AA2"/>
    <w:rsid w:val="00A52F2F"/>
    <w:rsid w:val="00A63941"/>
    <w:rsid w:val="00A662CE"/>
    <w:rsid w:val="00A66B4F"/>
    <w:rsid w:val="00A81E0B"/>
    <w:rsid w:val="00A920D6"/>
    <w:rsid w:val="00A92236"/>
    <w:rsid w:val="00AB26E3"/>
    <w:rsid w:val="00AB5862"/>
    <w:rsid w:val="00AB7F51"/>
    <w:rsid w:val="00AC1D39"/>
    <w:rsid w:val="00AD560E"/>
    <w:rsid w:val="00AE011C"/>
    <w:rsid w:val="00AE1D1F"/>
    <w:rsid w:val="00AE2739"/>
    <w:rsid w:val="00AF1A22"/>
    <w:rsid w:val="00AF1F01"/>
    <w:rsid w:val="00AF4095"/>
    <w:rsid w:val="00AF4FC3"/>
    <w:rsid w:val="00B036E3"/>
    <w:rsid w:val="00B1392C"/>
    <w:rsid w:val="00B245D7"/>
    <w:rsid w:val="00B353AE"/>
    <w:rsid w:val="00B410C5"/>
    <w:rsid w:val="00B414B4"/>
    <w:rsid w:val="00B41702"/>
    <w:rsid w:val="00B45A41"/>
    <w:rsid w:val="00B47AD6"/>
    <w:rsid w:val="00B550AF"/>
    <w:rsid w:val="00B653B1"/>
    <w:rsid w:val="00B73E7A"/>
    <w:rsid w:val="00B741AB"/>
    <w:rsid w:val="00B80A42"/>
    <w:rsid w:val="00B92971"/>
    <w:rsid w:val="00B95940"/>
    <w:rsid w:val="00BA0306"/>
    <w:rsid w:val="00BA0A07"/>
    <w:rsid w:val="00BA3480"/>
    <w:rsid w:val="00BB104A"/>
    <w:rsid w:val="00BB4402"/>
    <w:rsid w:val="00BC44CC"/>
    <w:rsid w:val="00BD0D33"/>
    <w:rsid w:val="00BD2C1B"/>
    <w:rsid w:val="00BD3654"/>
    <w:rsid w:val="00BD57ED"/>
    <w:rsid w:val="00BD6B5C"/>
    <w:rsid w:val="00BE0F43"/>
    <w:rsid w:val="00BF0444"/>
    <w:rsid w:val="00BF0682"/>
    <w:rsid w:val="00BF1659"/>
    <w:rsid w:val="00BF17CB"/>
    <w:rsid w:val="00BF622D"/>
    <w:rsid w:val="00C0795A"/>
    <w:rsid w:val="00C1024A"/>
    <w:rsid w:val="00C25F13"/>
    <w:rsid w:val="00C47D9B"/>
    <w:rsid w:val="00C53EB2"/>
    <w:rsid w:val="00C542B9"/>
    <w:rsid w:val="00C65279"/>
    <w:rsid w:val="00C66B75"/>
    <w:rsid w:val="00C833AD"/>
    <w:rsid w:val="00C86423"/>
    <w:rsid w:val="00CA1D98"/>
    <w:rsid w:val="00CA7AEC"/>
    <w:rsid w:val="00CB05D8"/>
    <w:rsid w:val="00CB3A82"/>
    <w:rsid w:val="00CB4D4A"/>
    <w:rsid w:val="00CC3FAA"/>
    <w:rsid w:val="00CD459A"/>
    <w:rsid w:val="00CD5039"/>
    <w:rsid w:val="00CD616B"/>
    <w:rsid w:val="00CE2E79"/>
    <w:rsid w:val="00CE337D"/>
    <w:rsid w:val="00CE7CD8"/>
    <w:rsid w:val="00CF0A8B"/>
    <w:rsid w:val="00D02319"/>
    <w:rsid w:val="00D02533"/>
    <w:rsid w:val="00D16409"/>
    <w:rsid w:val="00D20D1B"/>
    <w:rsid w:val="00D26159"/>
    <w:rsid w:val="00D3587E"/>
    <w:rsid w:val="00D3619D"/>
    <w:rsid w:val="00D51634"/>
    <w:rsid w:val="00D66AD7"/>
    <w:rsid w:val="00D71C35"/>
    <w:rsid w:val="00D7234E"/>
    <w:rsid w:val="00D73986"/>
    <w:rsid w:val="00D80B8C"/>
    <w:rsid w:val="00D837F4"/>
    <w:rsid w:val="00D910AD"/>
    <w:rsid w:val="00D9785A"/>
    <w:rsid w:val="00D97C57"/>
    <w:rsid w:val="00DA2BED"/>
    <w:rsid w:val="00DA4F7D"/>
    <w:rsid w:val="00DB04A2"/>
    <w:rsid w:val="00DB5DDE"/>
    <w:rsid w:val="00DB65DD"/>
    <w:rsid w:val="00DC6F00"/>
    <w:rsid w:val="00DD4CD7"/>
    <w:rsid w:val="00DE083E"/>
    <w:rsid w:val="00DE484C"/>
    <w:rsid w:val="00DE4B9A"/>
    <w:rsid w:val="00DF47D5"/>
    <w:rsid w:val="00E0556A"/>
    <w:rsid w:val="00E25055"/>
    <w:rsid w:val="00E26564"/>
    <w:rsid w:val="00E26623"/>
    <w:rsid w:val="00E30C3A"/>
    <w:rsid w:val="00E3245A"/>
    <w:rsid w:val="00E335AB"/>
    <w:rsid w:val="00E401A7"/>
    <w:rsid w:val="00E43804"/>
    <w:rsid w:val="00E46950"/>
    <w:rsid w:val="00E5337C"/>
    <w:rsid w:val="00E5354D"/>
    <w:rsid w:val="00E572E3"/>
    <w:rsid w:val="00E712B0"/>
    <w:rsid w:val="00E71A96"/>
    <w:rsid w:val="00E7512B"/>
    <w:rsid w:val="00E8489F"/>
    <w:rsid w:val="00E85DC1"/>
    <w:rsid w:val="00EA4E99"/>
    <w:rsid w:val="00EA593F"/>
    <w:rsid w:val="00EB2B3F"/>
    <w:rsid w:val="00EB549E"/>
    <w:rsid w:val="00ED37B6"/>
    <w:rsid w:val="00ED4B45"/>
    <w:rsid w:val="00EE3654"/>
    <w:rsid w:val="00EF42BF"/>
    <w:rsid w:val="00F0487A"/>
    <w:rsid w:val="00F04DC4"/>
    <w:rsid w:val="00F05826"/>
    <w:rsid w:val="00F0660D"/>
    <w:rsid w:val="00F14002"/>
    <w:rsid w:val="00F15765"/>
    <w:rsid w:val="00F21F74"/>
    <w:rsid w:val="00F30626"/>
    <w:rsid w:val="00F3517F"/>
    <w:rsid w:val="00F35A47"/>
    <w:rsid w:val="00F52609"/>
    <w:rsid w:val="00F573D4"/>
    <w:rsid w:val="00F62D07"/>
    <w:rsid w:val="00F70F32"/>
    <w:rsid w:val="00F71B25"/>
    <w:rsid w:val="00F75613"/>
    <w:rsid w:val="00F75E7B"/>
    <w:rsid w:val="00F76981"/>
    <w:rsid w:val="00F90B4E"/>
    <w:rsid w:val="00F97219"/>
    <w:rsid w:val="00FA31C9"/>
    <w:rsid w:val="00FA4F63"/>
    <w:rsid w:val="00FA6F5D"/>
    <w:rsid w:val="00FC1E30"/>
    <w:rsid w:val="00FC5D2F"/>
    <w:rsid w:val="00FD0F96"/>
    <w:rsid w:val="00FD39A9"/>
    <w:rsid w:val="00FE2223"/>
    <w:rsid w:val="00FE27E8"/>
    <w:rsid w:val="00FE755B"/>
    <w:rsid w:val="00FE7D2A"/>
    <w:rsid w:val="01CAD11F"/>
    <w:rsid w:val="03510B8F"/>
    <w:rsid w:val="066F406E"/>
    <w:rsid w:val="14E51F67"/>
    <w:rsid w:val="23C6AD4B"/>
    <w:rsid w:val="2571D5AD"/>
    <w:rsid w:val="29D87FAA"/>
    <w:rsid w:val="2A1D1E7E"/>
    <w:rsid w:val="2C2AEC7D"/>
    <w:rsid w:val="2C3E35C7"/>
    <w:rsid w:val="34621FC7"/>
    <w:rsid w:val="35792A2F"/>
    <w:rsid w:val="39355ED2"/>
    <w:rsid w:val="39652EE5"/>
    <w:rsid w:val="3E91B299"/>
    <w:rsid w:val="3E956C28"/>
    <w:rsid w:val="40B1909B"/>
    <w:rsid w:val="472849FF"/>
    <w:rsid w:val="488A6E42"/>
    <w:rsid w:val="509FDE25"/>
    <w:rsid w:val="5382DEBB"/>
    <w:rsid w:val="55BAAEBC"/>
    <w:rsid w:val="582A5D3D"/>
    <w:rsid w:val="58D53E42"/>
    <w:rsid w:val="5A40741D"/>
    <w:rsid w:val="62314926"/>
    <w:rsid w:val="66677CD5"/>
    <w:rsid w:val="7FC387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2D8C"/>
  <w15:chartTrackingRefBased/>
  <w15:docId w15:val="{F0675EEE-9ABB-4FA0-BA6B-27F1154E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08"/>
    <w:pPr>
      <w:spacing w:after="0" w:line="240" w:lineRule="auto"/>
    </w:pPr>
    <w:rPr>
      <w:rFonts w:ascii="Arial" w:eastAsia="Times New Roman" w:hAnsi="Arial" w:cs="Times New Roman"/>
      <w:szCs w:val="20"/>
      <w:lang w:eastAsia="en-AU"/>
    </w:rPr>
  </w:style>
  <w:style w:type="paragraph" w:styleId="Heading1">
    <w:name w:val="heading 1"/>
    <w:basedOn w:val="Normal"/>
    <w:next w:val="Normal"/>
    <w:link w:val="Heading1Char"/>
    <w:uiPriority w:val="1"/>
    <w:qFormat/>
    <w:rsid w:val="002F3FED"/>
    <w:pPr>
      <w:keepNext/>
      <w:keepLines/>
      <w:spacing w:before="240"/>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aliases w:val="Recommendation,List Paragraph1,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347147"/>
    <w:pPr>
      <w:ind w:left="720" w:hanging="720"/>
      <w:contextualSpacing/>
    </w:pPr>
  </w:style>
  <w:style w:type="table" w:styleId="TableGrid">
    <w:name w:val="Table Grid"/>
    <w:basedOn w:val="TableNormal"/>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character" w:styleId="UnresolvedMention">
    <w:name w:val="Unresolved Mention"/>
    <w:basedOn w:val="DefaultParagraphFont"/>
    <w:uiPriority w:val="99"/>
    <w:semiHidden/>
    <w:unhideWhenUsed/>
    <w:rsid w:val="005A2408"/>
    <w:rPr>
      <w:color w:val="605E5C"/>
      <w:shd w:val="clear" w:color="auto" w:fill="E1DFDD"/>
    </w:rPr>
  </w:style>
  <w:style w:type="character" w:customStyle="1" w:styleId="ListParagraphChar">
    <w:name w:val="List Paragraph Char"/>
    <w:aliases w:val="Recommendation Char,List Paragraph1 Char,List Paragraph11 Char,NFP GP Bulleted List Char,List Paragraph2 Char,FooterText Char,numbered Char,Paragraphe de liste1 Char,Bulletr List Paragraph Char,列出段落 Char,列出段落1 Char,Listeafsnit1 Char"/>
    <w:basedOn w:val="DefaultParagraphFont"/>
    <w:link w:val="ListParagraph"/>
    <w:uiPriority w:val="34"/>
    <w:locked/>
    <w:rsid w:val="00235D4C"/>
    <w:rPr>
      <w:rFonts w:ascii="Arial" w:eastAsia="Times New Roman" w:hAnsi="Arial" w:cs="Times New Roman"/>
      <w:szCs w:val="20"/>
      <w:lang w:eastAsia="en-AU"/>
    </w:rPr>
  </w:style>
  <w:style w:type="paragraph" w:customStyle="1" w:styleId="Default">
    <w:name w:val="Default"/>
    <w:rsid w:val="00B550A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E27E8"/>
    <w:pPr>
      <w:spacing w:after="0" w:line="240" w:lineRule="auto"/>
    </w:pPr>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6E0C20"/>
    <w:rPr>
      <w:sz w:val="16"/>
      <w:szCs w:val="16"/>
    </w:rPr>
  </w:style>
  <w:style w:type="paragraph" w:styleId="CommentText">
    <w:name w:val="annotation text"/>
    <w:basedOn w:val="Normal"/>
    <w:link w:val="CommentTextChar"/>
    <w:uiPriority w:val="99"/>
    <w:unhideWhenUsed/>
    <w:rsid w:val="006E0C20"/>
    <w:rPr>
      <w:sz w:val="20"/>
    </w:rPr>
  </w:style>
  <w:style w:type="character" w:customStyle="1" w:styleId="CommentTextChar">
    <w:name w:val="Comment Text Char"/>
    <w:basedOn w:val="DefaultParagraphFont"/>
    <w:link w:val="CommentText"/>
    <w:uiPriority w:val="99"/>
    <w:rsid w:val="006E0C2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0C20"/>
    <w:rPr>
      <w:b/>
      <w:bCs/>
    </w:rPr>
  </w:style>
  <w:style w:type="character" w:customStyle="1" w:styleId="CommentSubjectChar">
    <w:name w:val="Comment Subject Char"/>
    <w:basedOn w:val="CommentTextChar"/>
    <w:link w:val="CommentSubject"/>
    <w:uiPriority w:val="99"/>
    <w:semiHidden/>
    <w:rsid w:val="006E0C20"/>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lt\AppData\Local\Temp\Templafy\WordVsto\ezkl3f3j.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PC blank document","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Comments xmlns="3d385984-9344-419b-a80b-49c06a2bdab8" xsi:nil="true"/>
    <Record_x0020_type xmlns="3d385984-9344-419b-a80b-49c06a2bdab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HR Document" ma:contentTypeID="0x01010088BC72BE5B117E438C8504289D49A4B2004ED8947794ABFE479D7DAFD6E2C8DF4A" ma:contentTypeVersion="23" ma:contentTypeDescription="" ma:contentTypeScope="" ma:versionID="540dd97f622e1593e0006c733d072686">
  <xsd:schema xmlns:xsd="http://www.w3.org/2001/XMLSchema" xmlns:xs="http://www.w3.org/2001/XMLSchema" xmlns:p="http://schemas.microsoft.com/office/2006/metadata/properties" xmlns:ns2="3d385984-9344-419b-a80b-49c06a2bdab8" xmlns:ns3="20393cdf-440a-4521-8f19-00ba43423d00" targetNamespace="http://schemas.microsoft.com/office/2006/metadata/properties" ma:root="true" ma:fieldsID="8bc18d50b948434716b2a673a731ea06" ns2:_="" ns3:_="">
    <xsd:import namespace="3d385984-9344-419b-a80b-49c06a2bdab8"/>
    <xsd:import namespace="20393cdf-440a-4521-8f19-00ba43423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i0f84bba906045b4af568ee102a52dcb"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ments" minOccurs="0"/>
                <xsd:element ref="ns2:Record_x0020_type"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Record_x0020_type" ma:index="23" nillable="true" ma:displayName="Record type" ma:format="RadioButtons" ma:internalName="Record_x0020_type">
      <xsd:simpleType>
        <xsd:restriction base="dms:Choice">
          <xsd:enumeration value="Meeting papers"/>
          <xsd:enumeration value="Administration"/>
          <xsd:enumeration value="Policy and resources"/>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70f5f83-a233-437c-a92a-16c9f128cb5d}"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AC62-CB21-46AA-8356-FBD0E94E4CEE}">
  <ds:schemaRefs/>
</ds:datastoreItem>
</file>

<file path=customXml/itemProps2.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3.xml><?xml version="1.0" encoding="utf-8"?>
<ds:datastoreItem xmlns:ds="http://schemas.openxmlformats.org/officeDocument/2006/customXml" ds:itemID="{692A6653-1667-4F38-91A5-708F434E04D6}">
  <ds:schemaRefs/>
</ds:datastoreItem>
</file>

<file path=customXml/itemProps4.xml><?xml version="1.0" encoding="utf-8"?>
<ds:datastoreItem xmlns:ds="http://schemas.openxmlformats.org/officeDocument/2006/customXml" ds:itemID="{50B89A24-AA48-4194-8380-C59393CF6143}">
  <ds:schemaRefs>
    <ds:schemaRef ds:uri="http://schemas.microsoft.com/sharepoint/v3/contenttype/forms"/>
  </ds:schemaRefs>
</ds:datastoreItem>
</file>

<file path=customXml/itemProps5.xml><?xml version="1.0" encoding="utf-8"?>
<ds:datastoreItem xmlns:ds="http://schemas.openxmlformats.org/officeDocument/2006/customXml" ds:itemID="{0012296E-BDCB-4D3E-88B3-0EE16BCD3E1F}">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D67A3ED2-B3F0-40BF-BFA7-18F0887B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85984-9344-419b-a80b-49c06a2bdab8"/>
    <ds:schemaRef ds:uri="20393cdf-440a-4521-8f19-00ba4342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ezkl3f3j.dotx</Template>
  <TotalTime>6</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 description - Senior Policy Analyst (Identified Position; Affirmative Measure Position)</vt:lpstr>
    </vt:vector>
  </TitlesOfParts>
  <Company>Productivity Commission</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Senior Policy Analyst (Identified Position; Affirmative Measure Position)</dc:title>
  <dc:subject/>
  <dc:creator>Productivity Commission</dc:creator>
  <cp:keywords/>
  <dc:description/>
  <cp:lastModifiedBy>Chris Alston</cp:lastModifiedBy>
  <cp:revision>10</cp:revision>
  <dcterms:created xsi:type="dcterms:W3CDTF">2025-02-17T04:33:00Z</dcterms:created>
  <dcterms:modified xsi:type="dcterms:W3CDTF">2025-02-17T06:18:00Z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637610559250636359</vt:lpwstr>
  </property>
  <property fmtid="{D5CDD505-2E9C-101B-9397-08002B2CF9AE}" pid="5" name="TemplafyFromBlank">
    <vt:bool>true</vt:bool>
  </property>
  <property fmtid="{D5CDD505-2E9C-101B-9397-08002B2CF9AE}" pid="6" name="ContentTypeId">
    <vt:lpwstr>0x01010088BC72BE5B117E438C8504289D49A4B2004ED8947794ABFE479D7DAFD6E2C8DF4A</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MSIP_Label_c1f2b1ce-4212-46db-a901-dd8453f57141_Enabled">
    <vt:lpwstr>true</vt:lpwstr>
  </property>
  <property fmtid="{D5CDD505-2E9C-101B-9397-08002B2CF9AE}" pid="10" name="MSIP_Label_c1f2b1ce-4212-46db-a901-dd8453f57141_SetDate">
    <vt:lpwstr>2025-02-17T06:17:35Z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86793738-7411-4a69-92b5-50d9e2603dff</vt:lpwstr>
  </property>
  <property fmtid="{D5CDD505-2E9C-101B-9397-08002B2CF9AE}" pid="15" name="MSIP_Label_c1f2b1ce-4212-46db-a901-dd8453f57141_ContentBits">
    <vt:lpwstr>0</vt:lpwstr>
  </property>
  <property fmtid="{D5CDD505-2E9C-101B-9397-08002B2CF9AE}" pid="16" name="MSIP_Label_c1f2b1ce-4212-46db-a901-dd8453f57141_Tag">
    <vt:lpwstr>10, 0, 1, 1</vt:lpwstr>
  </property>
</Properties>
</file>